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p>
    <w:p>
      <w:pPr>
        <w:pStyle w:val="2"/>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p>
    <w:p>
      <w:pPr>
        <w:pStyle w:val="2"/>
        <w:rPr>
          <w:rFonts w:hint="eastAsia" w:ascii="仿宋" w:hAnsi="仿宋" w:eastAsia="仿宋" w:cs="仿宋"/>
          <w:b/>
          <w:color w:val="auto"/>
          <w:sz w:val="24"/>
          <w:szCs w:val="24"/>
          <w:highlight w:val="none"/>
        </w:rPr>
      </w:pPr>
    </w:p>
    <w:p>
      <w:pPr>
        <w:rPr>
          <w:rFonts w:hint="eastAsia" w:ascii="仿宋" w:hAnsi="仿宋" w:eastAsia="仿宋" w:cs="仿宋"/>
          <w:color w:val="auto"/>
          <w:sz w:val="24"/>
          <w:szCs w:val="24"/>
          <w:highlight w:val="none"/>
        </w:rPr>
      </w:pPr>
    </w:p>
    <w:p>
      <w:pPr>
        <w:keepNext w:val="0"/>
        <w:keepLines w:val="0"/>
        <w:widowControl/>
        <w:suppressLineNumbers w:val="0"/>
        <w:jc w:val="center"/>
        <w:textAlignment w:val="center"/>
        <w:rPr>
          <w:rFonts w:hint="eastAsia" w:ascii="方正粗黑宋简体" w:hAnsi="方正粗黑宋简体" w:eastAsia="方正粗黑宋简体" w:cs="方正粗黑宋简体"/>
          <w:b/>
          <w:bCs/>
          <w:color w:val="auto"/>
          <w:kern w:val="2"/>
          <w:sz w:val="44"/>
          <w:szCs w:val="44"/>
          <w:highlight w:val="none"/>
          <w:lang w:val="en-US" w:eastAsia="zh-CN" w:bidi="ar-SA"/>
        </w:rPr>
      </w:pPr>
      <w:r>
        <w:rPr>
          <w:rFonts w:hint="eastAsia" w:ascii="方正粗黑宋简体" w:hAnsi="方正粗黑宋简体" w:eastAsia="方正粗黑宋简体" w:cs="方正粗黑宋简体"/>
          <w:b/>
          <w:bCs/>
          <w:color w:val="auto"/>
          <w:kern w:val="2"/>
          <w:sz w:val="44"/>
          <w:szCs w:val="44"/>
          <w:highlight w:val="none"/>
          <w:lang w:val="en-US" w:eastAsia="zh-CN" w:bidi="ar-SA"/>
        </w:rPr>
        <w:t>乌鲁木齐市友谊医院血管内超声系统（含旋磨介入治疗）采购项目</w:t>
      </w:r>
    </w:p>
    <w:p>
      <w:pPr>
        <w:keepNext w:val="0"/>
        <w:keepLines w:val="0"/>
        <w:widowControl/>
        <w:suppressLineNumbers w:val="0"/>
        <w:jc w:val="center"/>
        <w:textAlignment w:val="center"/>
        <w:rPr>
          <w:rFonts w:hint="eastAsia" w:ascii="方正粗黑宋简体" w:hAnsi="方正粗黑宋简体" w:eastAsia="方正粗黑宋简体" w:cs="方正粗黑宋简体"/>
          <w:b/>
          <w:bCs/>
          <w:color w:val="auto"/>
          <w:kern w:val="2"/>
          <w:sz w:val="44"/>
          <w:szCs w:val="44"/>
          <w:highlight w:val="none"/>
          <w:lang w:val="en-US" w:eastAsia="zh-CN" w:bidi="ar-SA"/>
        </w:rPr>
      </w:pPr>
    </w:p>
    <w:p>
      <w:pPr>
        <w:keepNext w:val="0"/>
        <w:keepLines w:val="0"/>
        <w:widowControl/>
        <w:suppressLineNumbers w:val="0"/>
        <w:jc w:val="center"/>
        <w:textAlignment w:val="center"/>
        <w:rPr>
          <w:rFonts w:hint="eastAsia" w:ascii="方正粗黑宋简体" w:hAnsi="方正粗黑宋简体" w:eastAsia="方正粗黑宋简体" w:cs="方正粗黑宋简体"/>
          <w:b/>
          <w:bCs/>
          <w:color w:val="auto"/>
          <w:kern w:val="2"/>
          <w:sz w:val="44"/>
          <w:szCs w:val="44"/>
          <w:highlight w:val="none"/>
          <w:lang w:val="en-US" w:eastAsia="zh-CN" w:bidi="ar-SA"/>
        </w:rPr>
      </w:pPr>
      <w:r>
        <w:rPr>
          <w:rFonts w:hint="eastAsia" w:ascii="方正粗黑宋简体" w:hAnsi="方正粗黑宋简体" w:eastAsia="方正粗黑宋简体" w:cs="方正粗黑宋简体"/>
          <w:b/>
          <w:bCs/>
          <w:color w:val="auto"/>
          <w:kern w:val="2"/>
          <w:sz w:val="44"/>
          <w:szCs w:val="44"/>
          <w:highlight w:val="none"/>
          <w:lang w:val="en-US" w:eastAsia="zh-CN" w:bidi="ar-SA"/>
        </w:rPr>
        <w:t>公开招标文件</w:t>
      </w:r>
    </w:p>
    <w:p>
      <w:pPr>
        <w:pStyle w:val="2"/>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napToGrid w:val="0"/>
        <w:spacing w:line="440" w:lineRule="exact"/>
        <w:rPr>
          <w:rFonts w:hint="eastAsia" w:ascii="仿宋" w:hAnsi="仿宋" w:eastAsia="仿宋" w:cs="仿宋"/>
          <w:color w:val="auto"/>
          <w:sz w:val="24"/>
          <w:szCs w:val="24"/>
          <w:highlight w:val="none"/>
        </w:rPr>
      </w:pPr>
    </w:p>
    <w:p>
      <w:pPr>
        <w:snapToGrid w:val="0"/>
        <w:spacing w:line="440" w:lineRule="exact"/>
        <w:rPr>
          <w:rFonts w:hint="eastAsia" w:ascii="仿宋" w:hAnsi="仿宋" w:eastAsia="仿宋" w:cs="仿宋"/>
          <w:color w:val="auto"/>
          <w:sz w:val="24"/>
          <w:szCs w:val="24"/>
          <w:highlight w:val="none"/>
        </w:rPr>
      </w:pPr>
    </w:p>
    <w:p>
      <w:pPr>
        <w:snapToGrid w:val="0"/>
        <w:spacing w:line="440" w:lineRule="exact"/>
        <w:rPr>
          <w:rFonts w:hint="eastAsia" w:ascii="仿宋" w:hAnsi="仿宋" w:eastAsia="仿宋" w:cs="仿宋"/>
          <w:color w:val="auto"/>
          <w:sz w:val="24"/>
          <w:szCs w:val="24"/>
          <w:highlight w:val="none"/>
        </w:rPr>
      </w:pPr>
    </w:p>
    <w:p>
      <w:pPr>
        <w:snapToGrid w:val="0"/>
        <w:spacing w:line="440" w:lineRule="exact"/>
        <w:rPr>
          <w:rFonts w:hint="eastAsia" w:ascii="仿宋" w:hAnsi="仿宋" w:eastAsia="仿宋" w:cs="仿宋"/>
          <w:color w:val="auto"/>
          <w:sz w:val="24"/>
          <w:szCs w:val="24"/>
          <w:highlight w:val="none"/>
        </w:rPr>
      </w:pPr>
    </w:p>
    <w:p>
      <w:pPr>
        <w:pStyle w:val="2"/>
        <w:spacing w:line="440" w:lineRule="exact"/>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ight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项目编号：XJPC-2021-027</w:t>
      </w:r>
    </w:p>
    <w:p>
      <w:pPr>
        <w:pStyle w:val="2"/>
        <w:kinsoku/>
        <w:wordWrap/>
        <w:overflowPunct/>
        <w:bidi w:val="0"/>
        <w:spacing w:beforeAutospacing="0" w:line="440" w:lineRule="exact"/>
        <w:ind w:left="0" w:leftChars="0" w:right="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项目名称：乌鲁木齐市友谊医院血管内超声系统（含旋磨介入治疗）采购项目</w:t>
      </w:r>
    </w:p>
    <w:p>
      <w:pPr>
        <w:pStyle w:val="2"/>
        <w:kinsoku/>
        <w:wordWrap/>
        <w:overflowPunct/>
        <w:bidi w:val="0"/>
        <w:spacing w:beforeAutospacing="0" w:line="440" w:lineRule="exact"/>
        <w:ind w:left="0" w:leftChars="0" w:right="0"/>
        <w:jc w:val="both"/>
        <w:rPr>
          <w:rFonts w:hint="eastAsia" w:ascii="仿宋" w:hAnsi="仿宋" w:eastAsia="仿宋" w:cs="仿宋"/>
          <w:b w:val="0"/>
          <w:bCs w:val="0"/>
          <w:color w:val="auto"/>
          <w:kern w:val="2"/>
          <w:sz w:val="24"/>
          <w:szCs w:val="24"/>
          <w:highlight w:val="none"/>
          <w:lang w:val="en-US" w:eastAsia="zh-CN" w:bidi="ar-SA"/>
        </w:rPr>
      </w:pP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采购人名称：乌鲁木齐市友谊医院</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采购人地址：乌鲁木齐市胜利路</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项目联系人：杨再江 </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项目联系方式：0991-2854144 </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4"/>
          <w:szCs w:val="24"/>
          <w:highlight w:val="none"/>
          <w:lang w:val="en-US" w:eastAsia="zh-CN" w:bidi="ar-SA"/>
        </w:rPr>
      </w:pP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采购代理机构名称：新疆谱诚项目管理咨询有限公司</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地址：乌鲁木齐市水磨沟区龙腾路1118号中央公园二期9栋503室</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项目联系人：刘婧、齐欢</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项目联系方式：15899126306</w:t>
      </w:r>
    </w:p>
    <w:p>
      <w:pPr>
        <w:jc w:val="center"/>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lang w:val="en-US" w:eastAsia="zh-CN" w:bidi="ar-SA"/>
        </w:rPr>
        <w:t>二○二一年十月</w:t>
      </w:r>
      <w:r>
        <w:rPr>
          <w:rFonts w:hint="eastAsia" w:ascii="仿宋" w:hAnsi="仿宋" w:eastAsia="仿宋" w:cs="仿宋"/>
          <w:color w:val="auto"/>
          <w:sz w:val="24"/>
          <w:szCs w:val="24"/>
          <w:highlight w:val="none"/>
        </w:rPr>
        <w:br w:type="page"/>
      </w:r>
    </w:p>
    <w:sdt>
      <w:sdtPr>
        <w:rPr>
          <w:rFonts w:hint="eastAsia" w:ascii="仿宋" w:hAnsi="仿宋" w:eastAsia="仿宋" w:cs="仿宋"/>
          <w:color w:val="auto"/>
          <w:sz w:val="24"/>
          <w:szCs w:val="24"/>
          <w:highlight w:val="none"/>
        </w:rPr>
        <w:id w:val="147455494"/>
        <w:docPartObj>
          <w:docPartGallery w:val="Table of Contents"/>
          <w:docPartUnique/>
        </w:docPartObj>
      </w:sdtPr>
      <w:sdtEndPr>
        <w:rPr>
          <w:rFonts w:hint="eastAsia" w:ascii="仿宋" w:hAnsi="仿宋" w:eastAsia="仿宋" w:cs="仿宋"/>
          <w:color w:val="auto"/>
          <w:sz w:val="24"/>
          <w:szCs w:val="24"/>
          <w:highlight w:val="none"/>
        </w:rPr>
      </w:sdtEndPr>
      <w:sdtContent>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目录</w:t>
          </w:r>
        </w:p>
        <w:p>
          <w:pPr>
            <w:pStyle w:val="404"/>
            <w:tabs>
              <w:tab w:val="right" w:leader="dot" w:pos="8312"/>
            </w:tabs>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"1-1" \h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"_Toc17860"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第一章    投标邀请函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_Toc17860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tabs>
              <w:tab w:val="right" w:leader="dot" w:pos="8312"/>
            </w:tabs>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"_Toc8919"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第二章    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_Toc8919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tabs>
              <w:tab w:val="right" w:leader="dot" w:pos="8312"/>
            </w:tabs>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"_Toc10316"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第三章 采购需求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_Toc10316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tabs>
              <w:tab w:val="right" w:leader="dot" w:pos="8312"/>
            </w:tabs>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"_Toc11193"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第四章 合同格式（参考）</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_Toc11193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tabs>
              <w:tab w:val="right" w:leader="dot" w:pos="8312"/>
            </w:tabs>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"_Toc16604"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rPr>
            <w:t>第五</w:t>
          </w:r>
          <w:r>
            <w:rPr>
              <w:rFonts w:hint="eastAsia" w:ascii="仿宋" w:hAnsi="仿宋" w:eastAsia="仿宋" w:cs="仿宋"/>
              <w:bCs/>
              <w:color w:val="auto"/>
              <w:kern w:val="2"/>
              <w:sz w:val="24"/>
              <w:szCs w:val="24"/>
              <w:highlight w:val="none"/>
              <w:lang w:eastAsia="zh-CN"/>
            </w:rPr>
            <w:t>章</w:t>
          </w:r>
          <w:r>
            <w:rPr>
              <w:rFonts w:hint="eastAsia" w:ascii="仿宋" w:hAnsi="仿宋" w:eastAsia="仿宋" w:cs="仿宋"/>
              <w:bCs/>
              <w:color w:val="auto"/>
              <w:kern w:val="2"/>
              <w:sz w:val="24"/>
              <w:szCs w:val="24"/>
              <w:highlight w:val="none"/>
            </w:rPr>
            <w:t xml:space="preserve">  投标文件格式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_Toc16604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tabs>
              <w:tab w:val="right" w:leader="dot" w:pos="8312"/>
            </w:tabs>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end"/>
          </w:r>
        </w:p>
      </w:sdtContent>
    </w:sdt>
    <w:p>
      <w:pPr>
        <w:spacing w:line="440" w:lineRule="exact"/>
        <w:rPr>
          <w:rFonts w:hint="eastAsia" w:ascii="仿宋" w:hAnsi="仿宋" w:eastAsia="仿宋" w:cs="仿宋"/>
          <w:b/>
          <w:color w:val="auto"/>
          <w:sz w:val="24"/>
          <w:szCs w:val="24"/>
          <w:highlight w:val="none"/>
        </w:rPr>
      </w:pPr>
      <w:bookmarkStart w:id="0" w:name="_Toc17860"/>
      <w:r>
        <w:rPr>
          <w:rFonts w:hint="eastAsia" w:ascii="仿宋" w:hAnsi="仿宋" w:eastAsia="仿宋" w:cs="仿宋"/>
          <w:b/>
          <w:color w:val="auto"/>
          <w:sz w:val="24"/>
          <w:szCs w:val="24"/>
          <w:highlight w:val="none"/>
        </w:rPr>
        <w:br w:type="page"/>
      </w:r>
    </w:p>
    <w:p>
      <w:pPr>
        <w:widowControl/>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第一章    投标邀请函</w:t>
      </w:r>
      <w:bookmarkEnd w:id="0"/>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乌鲁木齐市友谊医院血管内超声系统（含旋磨介入治疗）采购项目</w:t>
      </w:r>
      <w:r>
        <w:rPr>
          <w:rFonts w:hint="eastAsia" w:ascii="仿宋" w:hAnsi="仿宋" w:eastAsia="仿宋" w:cs="仿宋"/>
          <w:color w:val="auto"/>
          <w:sz w:val="24"/>
          <w:szCs w:val="24"/>
          <w:highlight w:val="none"/>
        </w:rPr>
        <w:t>的潜在投标人应在</w:t>
      </w:r>
      <w:r>
        <w:rPr>
          <w:rFonts w:hint="eastAsia" w:ascii="仿宋" w:hAnsi="仿宋" w:eastAsia="仿宋" w:cs="仿宋"/>
          <w:color w:val="auto"/>
          <w:sz w:val="24"/>
          <w:szCs w:val="24"/>
          <w:highlight w:val="none"/>
          <w:u w:val="single"/>
        </w:rPr>
        <w:t>乌鲁木齐市水磨沟区龙腾路1118号中央公园二期9栋商务办公楼办公用房503室</w:t>
      </w:r>
      <w:r>
        <w:rPr>
          <w:rFonts w:hint="eastAsia" w:ascii="仿宋" w:hAnsi="仿宋" w:eastAsia="仿宋" w:cs="仿宋"/>
          <w:color w:val="auto"/>
          <w:sz w:val="24"/>
          <w:szCs w:val="24"/>
          <w:highlight w:val="none"/>
        </w:rPr>
        <w:t>获取招标文件，并于</w:t>
      </w:r>
      <w:r>
        <w:rPr>
          <w:rFonts w:hint="eastAsia" w:ascii="仿宋" w:hAnsi="仿宋" w:eastAsia="仿宋" w:cs="仿宋"/>
          <w:color w:val="auto"/>
          <w:sz w:val="24"/>
          <w:szCs w:val="24"/>
          <w:highlight w:val="none"/>
          <w:u w:val="single"/>
        </w:rPr>
        <w:t>2021年11月8日 16:00</w:t>
      </w:r>
      <w:r>
        <w:rPr>
          <w:rFonts w:hint="eastAsia" w:ascii="仿宋" w:hAnsi="仿宋" w:eastAsia="仿宋" w:cs="仿宋"/>
          <w:color w:val="auto"/>
          <w:sz w:val="24"/>
          <w:szCs w:val="24"/>
          <w:highlight w:val="none"/>
        </w:rPr>
        <w:t>（北京时间）前递交投标文件。</w:t>
      </w:r>
    </w:p>
    <w:p>
      <w:pPr>
        <w:pStyle w:val="45"/>
        <w:spacing w:before="0" w:beforeAutospacing="0" w:after="0" w:afterAutospacing="0" w:line="440" w:lineRule="exact"/>
        <w:jc w:val="both"/>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一、项目基本情况</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项目编号：XJPC-2021-027</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项目名称：乌鲁木齐市友谊医院血管内超声系统（含旋磨介入治疗）采购项目</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预算金额（万元）265.00</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采购内容血管内超声系统（含旋磨介入治疗）采购（详见采购文件）</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合同履行期限：详见招标文件</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二、申请人的资格要求：</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2、具有有效营业执照的国内独立法人资格，具有独立承担民事责任的能力；</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进口产品须提供制造商为本项目给予投标人投标产品的制造商授权书（可提供总代理授权）服务承诺函。所有证件必须在有效期内;</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5、本项目不接受联合体</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三、获取招标文件</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2021年10月18日</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2021</w:t>
      </w:r>
      <w:r>
        <w:rPr>
          <w:rFonts w:hint="eastAsia" w:ascii="仿宋" w:hAnsi="仿宋" w:eastAsia="仿宋" w:cs="仿宋"/>
          <w:color w:val="auto"/>
          <w:sz w:val="24"/>
          <w:szCs w:val="24"/>
          <w:highlight w:val="none"/>
        </w:rPr>
        <w:t>年10月22日00:00（</w:t>
      </w:r>
      <w:r>
        <w:rPr>
          <w:rFonts w:hint="eastAsia" w:ascii="仿宋" w:hAnsi="仿宋" w:eastAsia="仿宋" w:cs="仿宋"/>
          <w:color w:val="auto"/>
          <w:sz w:val="24"/>
          <w:szCs w:val="24"/>
          <w:highlight w:val="none"/>
          <w:u w:val="single"/>
        </w:rPr>
        <w:t>北京时间）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10:00至13:30</w:t>
      </w:r>
      <w:r>
        <w:rPr>
          <w:rFonts w:hint="eastAsia" w:ascii="仿宋" w:hAnsi="仿宋" w:eastAsia="仿宋" w:cs="仿宋"/>
          <w:color w:val="auto"/>
          <w:sz w:val="24"/>
          <w:szCs w:val="24"/>
          <w:highlight w:val="none"/>
        </w:rPr>
        <w:t>，下午</w:t>
      </w:r>
      <w:r>
        <w:rPr>
          <w:rFonts w:hint="eastAsia" w:ascii="仿宋" w:hAnsi="仿宋" w:eastAsia="仿宋" w:cs="仿宋"/>
          <w:color w:val="auto"/>
          <w:sz w:val="24"/>
          <w:szCs w:val="24"/>
          <w:highlight w:val="none"/>
          <w:u w:val="single"/>
        </w:rPr>
        <w:t>15:30至18:00</w:t>
      </w:r>
      <w:r>
        <w:rPr>
          <w:rFonts w:hint="eastAsia" w:ascii="仿宋" w:hAnsi="仿宋" w:eastAsia="仿宋" w:cs="仿宋"/>
          <w:color w:val="auto"/>
          <w:sz w:val="24"/>
          <w:szCs w:val="24"/>
          <w:highlight w:val="none"/>
        </w:rPr>
        <w:t>（北京时间，法定节假日除外）</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乌鲁木齐市水磨沟区龙腾路1118号中央公园二期9栋商务办公楼办公用房503室</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方式：现场购买</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售价（元）：200元/份</w:t>
      </w:r>
    </w:p>
    <w:p>
      <w:pPr>
        <w:pStyle w:val="45"/>
        <w:spacing w:before="0" w:beforeAutospacing="0" w:after="0" w:afterAutospacing="0" w:line="440" w:lineRule="exact"/>
        <w:jc w:val="both"/>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四、提交投标文件截止时间、开标时间和地点</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u w:val="single"/>
        </w:rPr>
        <w:t>2021年11月8日 16:00</w:t>
      </w:r>
      <w:r>
        <w:rPr>
          <w:rFonts w:hint="eastAsia" w:ascii="仿宋" w:hAnsi="仿宋" w:eastAsia="仿宋" w:cs="仿宋"/>
          <w:color w:val="auto"/>
          <w:sz w:val="24"/>
          <w:szCs w:val="24"/>
          <w:highlight w:val="none"/>
        </w:rPr>
        <w:t>（北京时间）</w:t>
      </w:r>
    </w:p>
    <w:p>
      <w:pPr>
        <w:pStyle w:val="45"/>
        <w:spacing w:before="0" w:beforeAutospacing="0" w:after="0" w:afterAutospacing="0" w:line="4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投标地点：</w:t>
      </w:r>
      <w:r>
        <w:rPr>
          <w:rFonts w:hint="eastAsia" w:ascii="仿宋" w:hAnsi="仿宋" w:eastAsia="仿宋" w:cs="仿宋"/>
          <w:color w:val="auto"/>
          <w:sz w:val="24"/>
          <w:szCs w:val="24"/>
          <w:highlight w:val="none"/>
          <w:u w:val="single"/>
        </w:rPr>
        <w:t>乌鲁木齐市水磨沟区龙腾路1118号中央公园二期9栋商务办公楼办公用房401室</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u w:val="single"/>
        </w:rPr>
        <w:t>2021年11月8日 16:00</w:t>
      </w:r>
      <w:r>
        <w:rPr>
          <w:rFonts w:hint="eastAsia" w:ascii="仿宋" w:hAnsi="仿宋" w:eastAsia="仿宋" w:cs="仿宋"/>
          <w:color w:val="auto"/>
          <w:sz w:val="24"/>
          <w:szCs w:val="24"/>
          <w:highlight w:val="none"/>
        </w:rPr>
        <w:t>（北京时间）</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u w:val="single"/>
        </w:rPr>
        <w:t>乌鲁木齐市水磨沟区龙腾路1118号中央公园二期9栋商务办公楼办公用房401室</w:t>
      </w:r>
    </w:p>
    <w:p>
      <w:pPr>
        <w:pStyle w:val="45"/>
        <w:spacing w:before="0" w:beforeAutospacing="0" w:after="0" w:afterAutospacing="0" w:line="440" w:lineRule="exact"/>
        <w:jc w:val="both"/>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五、公告期限</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pPr>
        <w:pStyle w:val="45"/>
        <w:spacing w:before="0" w:beforeAutospacing="0" w:after="0" w:afterAutospacing="0" w:line="440" w:lineRule="exact"/>
        <w:jc w:val="both"/>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六、其他补充事宜</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报名时请随身携带法定代表人授权委托书及被授权人的身份证原件或相关资格证明文件、三证合一的《营业执照》原件</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rPr>
        <w:t>通过</w:t>
      </w:r>
      <w:r>
        <w:rPr>
          <w:rFonts w:hint="eastAsia" w:ascii="仿宋" w:hAnsi="仿宋" w:eastAsia="仿宋" w:cs="仿宋"/>
          <w:color w:val="auto"/>
          <w:sz w:val="24"/>
          <w:szCs w:val="24"/>
          <w:highlight w:val="none"/>
          <w:shd w:val="clear" w:color="auto" w:fill="FFFFFF"/>
        </w:rPr>
        <w:t>“信用中国”网站（www.creditchina.gov.cn）和中国政府采购网（www.ccgp.gov.cn）渠道查询的本单位信用记录的网页，以上所有资料提供原件及复印件加盖投标单位公章的复印件贰套，资料不齐不予受理。</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七、对本次招标提出询问，请按以下方式联系。</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1.采购人信息</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称：乌鲁木齐市友谊医院</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址：乌鲁木齐市胜利路</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项目联系人：杨再江 </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项目联系方式：0991-2854144 </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称：新疆谱诚项目管理咨询有限公司</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址：乌鲁木齐市水磨沟区龙腾路1118号中央公园二期9栋商务办公楼办公用房503室</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项目联系人：刘婧、齐欢</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项目联系方式：15899126306</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2021年10月15日</w:t>
      </w:r>
    </w:p>
    <w:p>
      <w:pPr>
        <w:widowControl/>
        <w:spacing w:line="440" w:lineRule="exact"/>
        <w:jc w:val="center"/>
        <w:outlineLvl w:val="0"/>
        <w:rPr>
          <w:rFonts w:hint="eastAsia" w:ascii="仿宋" w:hAnsi="仿宋" w:eastAsia="仿宋" w:cs="仿宋"/>
          <w:b/>
          <w:color w:val="auto"/>
          <w:sz w:val="24"/>
          <w:szCs w:val="24"/>
          <w:highlight w:val="none"/>
        </w:rPr>
      </w:pPr>
      <w:bookmarkStart w:id="1" w:name="_Toc8919"/>
      <w:r>
        <w:rPr>
          <w:rFonts w:hint="eastAsia" w:ascii="仿宋" w:hAnsi="仿宋" w:eastAsia="仿宋" w:cs="仿宋"/>
          <w:b/>
          <w:color w:val="auto"/>
          <w:sz w:val="24"/>
          <w:szCs w:val="24"/>
          <w:highlight w:val="none"/>
        </w:rPr>
        <w:t>第二章    投标人须知</w:t>
      </w:r>
      <w:bookmarkEnd w:id="1"/>
    </w:p>
    <w:p>
      <w:pPr>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投标人须知前附表</w:t>
      </w:r>
    </w:p>
    <w:tbl>
      <w:tblPr>
        <w:tblStyle w:val="51"/>
        <w:tblW w:w="95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项号</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restart"/>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１</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131" w:type="dxa"/>
            <w:vAlign w:val="center"/>
          </w:tcPr>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乌鲁木齐市友谊医院血管内超声系统（含旋磨介入治疗）采购项目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75" w:type="dxa"/>
            <w:vMerge w:val="continue"/>
            <w:vAlign w:val="center"/>
          </w:tcPr>
          <w:p>
            <w:pPr>
              <w:spacing w:line="440" w:lineRule="exact"/>
              <w:rPr>
                <w:rFonts w:hint="eastAsia" w:ascii="仿宋" w:hAnsi="仿宋" w:eastAsia="仿宋" w:cs="仿宋"/>
                <w:color w:val="auto"/>
                <w:sz w:val="24"/>
                <w:szCs w:val="24"/>
                <w:highlight w:val="none"/>
              </w:rPr>
            </w:pP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XJPC-2021-027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675" w:type="dxa"/>
            <w:vMerge w:val="continue"/>
            <w:vAlign w:val="center"/>
          </w:tcPr>
          <w:p>
            <w:pPr>
              <w:spacing w:line="440" w:lineRule="exact"/>
              <w:rPr>
                <w:rFonts w:hint="eastAsia" w:ascii="仿宋" w:hAnsi="仿宋" w:eastAsia="仿宋" w:cs="仿宋"/>
                <w:color w:val="auto"/>
                <w:sz w:val="24"/>
                <w:szCs w:val="24"/>
                <w:highlight w:val="none"/>
              </w:rPr>
            </w:pP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实施地点</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pacing w:line="440" w:lineRule="exact"/>
              <w:rPr>
                <w:rFonts w:hint="eastAsia" w:ascii="仿宋" w:hAnsi="仿宋" w:eastAsia="仿宋" w:cs="仿宋"/>
                <w:color w:val="auto"/>
                <w:sz w:val="24"/>
                <w:szCs w:val="24"/>
                <w:highlight w:val="none"/>
              </w:rPr>
            </w:pP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pacing w:line="440" w:lineRule="exact"/>
              <w:rPr>
                <w:rFonts w:hint="eastAsia" w:ascii="仿宋" w:hAnsi="仿宋" w:eastAsia="仿宋" w:cs="仿宋"/>
                <w:color w:val="auto"/>
                <w:sz w:val="24"/>
                <w:szCs w:val="24"/>
                <w:highlight w:val="none"/>
              </w:rPr>
            </w:pP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pacing w:line="440" w:lineRule="exact"/>
              <w:rPr>
                <w:rFonts w:hint="eastAsia" w:ascii="仿宋" w:hAnsi="仿宋" w:eastAsia="仿宋" w:cs="仿宋"/>
                <w:color w:val="auto"/>
                <w:sz w:val="24"/>
                <w:szCs w:val="24"/>
                <w:highlight w:val="none"/>
              </w:rPr>
            </w:pP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资格审查方式</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7131" w:type="dxa"/>
            <w:vAlign w:val="center"/>
          </w:tcPr>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称：乌鲁木齐市友谊医院</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址：乌鲁木齐市胜利路</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项目联系人：杨再江 </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项目联系方式:0991-2854144 </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称：新疆谱诚项目管理咨询有限公司</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址：乌鲁木齐市水磨沟区龙腾路1118号中央公园二期9栋商务办公楼办公用房503室</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项目联系人：刘婧、齐欢</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项目联系方式：15899126306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预算（最高限价）</w:t>
            </w:r>
          </w:p>
          <w:p>
            <w:pPr>
              <w:pStyle w:val="5"/>
              <w:spacing w:before="0" w:after="0" w:line="44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标项</w:t>
            </w:r>
          </w:p>
        </w:tc>
        <w:tc>
          <w:tcPr>
            <w:tcW w:w="7131" w:type="dxa"/>
            <w:vAlign w:val="center"/>
          </w:tcPr>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预算（最高限价）</w:t>
            </w:r>
            <w:r>
              <w:rPr>
                <w:rFonts w:hint="eastAsia" w:ascii="仿宋" w:hAnsi="仿宋" w:eastAsia="仿宋" w:cs="仿宋"/>
                <w:bCs/>
                <w:color w:val="auto"/>
                <w:sz w:val="24"/>
                <w:szCs w:val="24"/>
                <w:highlight w:val="none"/>
              </w:rPr>
              <w:t>（万元）：</w:t>
            </w:r>
            <w:r>
              <w:rPr>
                <w:rFonts w:hint="eastAsia" w:ascii="仿宋" w:hAnsi="仿宋" w:eastAsia="仿宋" w:cs="仿宋"/>
                <w:color w:val="auto"/>
                <w:sz w:val="24"/>
                <w:szCs w:val="24"/>
                <w:highlight w:val="none"/>
              </w:rPr>
              <w:t>265.00</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标项：本项目分1个标项，不分包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康复诊疗设备（详见采购文件）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产品（或成果）提交要求</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合格（通过采购人组织的项目验收）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供货期</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合同签订后60日内完成供货及配套服务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投标人条件</w:t>
            </w:r>
          </w:p>
        </w:tc>
        <w:tc>
          <w:tcPr>
            <w:tcW w:w="7131" w:type="dxa"/>
            <w:vAlign w:val="center"/>
          </w:tcPr>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2、具有有效营业执照的国内独立法人资格，具有独立承担民事责任的能力；</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进口产品须提供制造商为本项目给予投标人投标产品的制造商授权书（可提供总代理授权）服务承诺函。所有证件必须在有效期内;</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5、本项目不接受联合体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本次开标：线下投标、纸质版投标文件评审。投标人编制、提交的投标文件，须符合本项目采购文件要求的投标文件编制和提交要求。</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投标文件正本一份,，副本三份。</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电子文件一份(U盘,并标注投标人名称)</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开标一览表1份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u w:val="single"/>
              </w:rPr>
              <w:t>2021年11月8日 16:00</w:t>
            </w:r>
            <w:r>
              <w:rPr>
                <w:rFonts w:hint="eastAsia" w:ascii="仿宋" w:hAnsi="仿宋" w:eastAsia="仿宋" w:cs="仿宋"/>
                <w:color w:val="auto"/>
                <w:sz w:val="24"/>
                <w:szCs w:val="24"/>
                <w:highlight w:val="none"/>
              </w:rPr>
              <w:t>（北京时间）</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乌鲁木齐市水磨沟区龙腾路1118号中央公园二期9栋商务办公楼办公用房401室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投标有效期限</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投标截止后90天（日历日）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开标会议</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开启时间：</w:t>
            </w:r>
            <w:r>
              <w:rPr>
                <w:rFonts w:hint="eastAsia" w:ascii="仿宋" w:hAnsi="仿宋" w:eastAsia="仿宋" w:cs="仿宋"/>
                <w:color w:val="auto"/>
                <w:sz w:val="24"/>
                <w:szCs w:val="24"/>
                <w:highlight w:val="none"/>
                <w:u w:val="single"/>
              </w:rPr>
              <w:t>2021年11月8日 16:00</w:t>
            </w:r>
            <w:r>
              <w:rPr>
                <w:rFonts w:hint="eastAsia" w:ascii="仿宋" w:hAnsi="仿宋" w:eastAsia="仿宋" w:cs="仿宋"/>
                <w:color w:val="auto"/>
                <w:sz w:val="24"/>
                <w:szCs w:val="24"/>
                <w:highlight w:val="none"/>
              </w:rPr>
              <w:t>（北京时间）</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乌鲁木齐市水磨沟区龙腾路1118号中央公园二期9栋商务办公楼办公用房401室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评标标准</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4"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投标保证金（人民币）</w:t>
            </w:r>
          </w:p>
        </w:tc>
        <w:tc>
          <w:tcPr>
            <w:tcW w:w="7131" w:type="dxa"/>
            <w:vAlign w:val="center"/>
          </w:tcPr>
          <w:p>
            <w:pPr>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p>
            <w:pPr>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小写：￥33000.00元；     大写：叁万叁仟元整</w:t>
            </w:r>
          </w:p>
          <w:p>
            <w:pPr>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户单位名称：新疆谱诚项目管理咨询有限公司</w:t>
            </w:r>
          </w:p>
          <w:p>
            <w:pPr>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开户行：中国农业银行股份有限公司乌鲁木齐南门国际城支行</w:t>
            </w:r>
          </w:p>
          <w:p>
            <w:pPr>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银行账号：30003101040002928</w:t>
            </w:r>
          </w:p>
          <w:p>
            <w:pPr>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    号：103881000316</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缴纳形式：投标保证金于投标截止时间前（北京时间，以到账时间为准)之前从投标人基本账户以银行电汇或网银形式汇至新疆谱诚项目管理咨询有限公司账户，投标人提交投标保证金应充分考虑资金在途时间。若投标人未按照上述规定缴纳投标保证金,投标文件将被拒绝评审。</w:t>
            </w:r>
          </w:p>
          <w:p>
            <w:pPr>
              <w:spacing w:line="440" w:lineRule="exact"/>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（注：投标人缴纳投标保证金时，须备注注明所投“项目名称、项目编号、投标人简称”）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招标文件售价</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00元/份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履约保证金金额：合同金额的</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履约保证金递交：中标单位收到《中标通知书》，签订合同前缴纳</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履约保证金形式：银行转账形式（中标单位未按采购文件规定缴纳履约保证金的，其投标保证金将不予退还）</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履约保证金（质保金）退还：（1）履约保证金的有效期为该项目</w:t>
            </w:r>
            <w:r>
              <w:rPr>
                <w:rFonts w:hint="eastAsia" w:ascii="仿宋" w:hAnsi="仿宋" w:eastAsia="仿宋" w:cs="仿宋"/>
                <w:color w:val="auto"/>
                <w:sz w:val="24"/>
                <w:szCs w:val="24"/>
                <w:highlight w:val="none"/>
              </w:rPr>
              <w:t>完成供货且通过采购人组织的项目验收</w:t>
            </w:r>
            <w:r>
              <w:rPr>
                <w:rFonts w:hint="eastAsia" w:ascii="仿宋" w:hAnsi="仿宋" w:eastAsia="仿宋" w:cs="仿宋"/>
                <w:color w:val="auto"/>
                <w:sz w:val="24"/>
                <w:szCs w:val="24"/>
                <w:highlight w:val="none"/>
                <w:lang w:val="zh-CN"/>
              </w:rPr>
              <w:t>止。（2）供应商在</w:t>
            </w:r>
            <w:r>
              <w:rPr>
                <w:rFonts w:hint="eastAsia" w:ascii="仿宋" w:hAnsi="仿宋" w:eastAsia="仿宋" w:cs="仿宋"/>
                <w:color w:val="auto"/>
                <w:sz w:val="24"/>
                <w:szCs w:val="24"/>
                <w:highlight w:val="none"/>
              </w:rPr>
              <w:t>产品</w:t>
            </w:r>
            <w:r>
              <w:rPr>
                <w:rFonts w:hint="eastAsia" w:ascii="仿宋" w:hAnsi="仿宋" w:eastAsia="仿宋" w:cs="仿宋"/>
                <w:color w:val="auto"/>
                <w:sz w:val="24"/>
                <w:szCs w:val="24"/>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付款方式及币种</w:t>
            </w:r>
          </w:p>
        </w:tc>
        <w:tc>
          <w:tcPr>
            <w:tcW w:w="7131" w:type="dxa"/>
            <w:vAlign w:val="center"/>
          </w:tcPr>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1、付款币种：</w:t>
            </w:r>
          </w:p>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本次采购所述的项目资金均以人民币支付</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2、付款方式：</w:t>
            </w:r>
            <w:r>
              <w:rPr>
                <w:rFonts w:hint="eastAsia" w:ascii="仿宋" w:hAnsi="仿宋" w:eastAsia="仿宋" w:cs="仿宋"/>
                <w:color w:val="auto"/>
                <w:sz w:val="24"/>
                <w:szCs w:val="24"/>
                <w:highlight w:val="none"/>
              </w:rPr>
              <w:t>按照医院规定执行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7131" w:type="dxa"/>
            <w:vAlign w:val="center"/>
          </w:tcPr>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中标人应提交针对本项目的</w:t>
            </w:r>
            <w:r>
              <w:rPr>
                <w:rFonts w:hint="eastAsia" w:ascii="仿宋" w:hAnsi="仿宋" w:eastAsia="仿宋" w:cs="仿宋"/>
                <w:color w:val="auto"/>
                <w:sz w:val="24"/>
                <w:szCs w:val="24"/>
                <w:highlight w:val="none"/>
              </w:rPr>
              <w:t>2年</w:t>
            </w:r>
            <w:r>
              <w:rPr>
                <w:rFonts w:hint="eastAsia" w:ascii="仿宋" w:hAnsi="仿宋" w:eastAsia="仿宋" w:cs="仿宋"/>
                <w:color w:val="auto"/>
                <w:sz w:val="24"/>
                <w:szCs w:val="24"/>
                <w:highlight w:val="none"/>
                <w:lang w:val="zh-CN"/>
              </w:rPr>
              <w:t>质保承诺书。</w:t>
            </w:r>
          </w:p>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质保期内，在接到</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zh-CN"/>
              </w:rPr>
              <w:t>的退、换、</w:t>
            </w:r>
            <w:r>
              <w:rPr>
                <w:rFonts w:hint="eastAsia" w:ascii="仿宋" w:hAnsi="仿宋" w:eastAsia="仿宋" w:cs="仿宋"/>
                <w:color w:val="auto"/>
                <w:sz w:val="24"/>
                <w:szCs w:val="24"/>
                <w:highlight w:val="none"/>
              </w:rPr>
              <w:t>维修</w:t>
            </w:r>
            <w:r>
              <w:rPr>
                <w:rFonts w:hint="eastAsia" w:ascii="仿宋" w:hAnsi="仿宋" w:eastAsia="仿宋" w:cs="仿宋"/>
                <w:color w:val="auto"/>
                <w:sz w:val="24"/>
                <w:szCs w:val="24"/>
                <w:highlight w:val="none"/>
                <w:lang w:val="zh-CN"/>
              </w:rPr>
              <w:t>通知后，要求</w:t>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lang w:val="zh-CN"/>
              </w:rPr>
              <w:t>个小时内到达现场给予办理，不能在指定时间内完成任务的，必须与采购人进行沟通，说明情况。</w:t>
            </w:r>
          </w:p>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质保期从验收合格后开始计算。质保期内所有上门服务要求免费。</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详见采购需求）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落实政府采购政策</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spacing w:line="440" w:lineRule="exact"/>
              <w:rPr>
                <w:rFonts w:hint="eastAsia" w:ascii="仿宋" w:hAnsi="仿宋" w:eastAsia="仿宋" w:cs="仿宋"/>
                <w:color w:val="auto"/>
                <w:sz w:val="24"/>
                <w:szCs w:val="24"/>
                <w:highlight w:val="none"/>
              </w:rPr>
            </w:pPr>
          </w:p>
        </w:tc>
        <w:tc>
          <w:tcPr>
            <w:tcW w:w="17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低于成本价不正当竞争</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预防措施</w:t>
            </w:r>
          </w:p>
        </w:tc>
        <w:tc>
          <w:tcPr>
            <w:tcW w:w="713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在评标过程中，采购小组认为投标人的报价明显低于其他通过符合性审查投标人的报价，有可能影响产品（成果）和服务质量或者不能诚信履约的，采购小组应当要求其在评标现场合理的时间内提供成本构成书面说明，并提交相关证明材料。供应商书面说明应当按照国家财务会计制度的规定要求，逐项就供应商提供的产品（成果）和服务质量的主营业务成本（应根据供应商企业类型予以区别）、税金及附加、销售费用、管理费用、财务费用等成本构成事项详细陈述。</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供应商提供书面说明后，采购小组应当结合采购项目采购需求、专业实际情况、供应商财务状况报告、与其他供应商比较情况等就供应商书面说明进行审查评价。供应商拒绝或者变相拒绝提供有效书面说明或者书面说明不能证明其报价合理性的，采购小组应当将其响应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507" w:type="dxa"/>
            <w:gridSpan w:val="3"/>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投标人所投产品等同或不得低于采购文件要求的技术要求。任何对采购文件的忽略或误解不能作为响应文件存在缺陷或瑕疵的理由，其风险由投标人承担。投标人应保证所投产品及提供服务完全符合采购文件规定的采购需求。</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注2）本项目设有最高限价，所有投标单位报价均不得高于最高限价，否则做无效标处理。</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注3）投标人应保证，在中华人民共和国境内使用投标成果、服务或其任何一部分时，不会产生因第三方提出侵犯其专利权或其它知识产权而引起的法律和经济纠纷。</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注4）投标总报价须以元为单位，小数点后保留2位。</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5）除非另有特殊说明，若本采购文件中引用了某一品牌、型号或生产投标人名称，均是指参照该品牌、型号或生产投标人的产品或服务，所引用的品牌、型号或生产投标人不构成对投标响应的限制。若采用的外文术语与某一投标人或某一产品使用的术语相同，并非表示指定了该投标人或该产品。</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注</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进口产品须提供制造商为本项目给予投标人投标产品的制造商授权书（可提供总代理授权）服务承诺函。所有证件必须在有效期内;</w:t>
            </w:r>
          </w:p>
        </w:tc>
      </w:tr>
    </w:tbl>
    <w:p>
      <w:pPr>
        <w:snapToGrid w:val="0"/>
        <w:spacing w:line="440" w:lineRule="exac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一、总则</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（一）适用范围</w:t>
      </w:r>
    </w:p>
    <w:p>
      <w:pPr>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本招标文件适用于乌鲁木齐市友谊医院的乌鲁木齐市友谊医院血管内超声系统（含旋磨介入治疗）采购项目的招标、投标、评标、定标、验收、合同履约、付款等行为（法律、法规另有规定的，从其规定）。</w:t>
      </w:r>
    </w:p>
    <w:p>
      <w:pPr>
        <w:snapToGrid w:val="0"/>
        <w:spacing w:line="440" w:lineRule="exact"/>
        <w:ind w:firstLine="354" w:firstLineChars="147"/>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（二）定义</w:t>
      </w:r>
    </w:p>
    <w:p>
      <w:pPr>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1.招标采购单位（“招标人”）系指组织本次招标的代理机构和采购单位。</w:t>
      </w:r>
    </w:p>
    <w:p>
      <w:pPr>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2.“投标人”系指向招标方提交投标文件的单位或个人。</w:t>
      </w:r>
    </w:p>
    <w:p>
      <w:pPr>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3.“产品”系指供方按招标文件规定，须向采购人提供的一切设备、保险、税金、备品备件、工具、手册及其它有关技术资料和材料。</w:t>
      </w:r>
    </w:p>
    <w:p>
      <w:pPr>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4.“服务”系指招标文件规定投标人须承担的安装、调试、技术协助、校准、培训、技术指导以及其他类似的义务。</w:t>
      </w:r>
    </w:p>
    <w:p>
      <w:pPr>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5.“项目”系指投标人按招标文件规定向采购人提供的产品和服务。</w:t>
      </w:r>
    </w:p>
    <w:p>
      <w:pPr>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6.“书面形式”包括信函、传真、电报、电子邮件等。</w:t>
      </w:r>
    </w:p>
    <w:p>
      <w:pPr>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7.带“</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”条款为实质性响应条款，必须响应。</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（三）招标方式</w:t>
      </w:r>
    </w:p>
    <w:p>
      <w:pPr>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本次招标采用公开招标方式进行。</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（四）投标委托</w:t>
      </w:r>
    </w:p>
    <w:p>
      <w:pPr>
        <w:snapToGrid w:val="0"/>
        <w:spacing w:line="440" w:lineRule="exact"/>
        <w:ind w:firstLine="464" w:firstLineChars="200"/>
        <w:jc w:val="lef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投标人代表须携带身份证。如投标人代表不是法定代表人，须有法定代表人出具的授权委托书（正本用原件，副本用复印件，格式见第四部分）。</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（五）投标费用</w:t>
      </w:r>
    </w:p>
    <w:p>
      <w:pPr>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不论投标结果如何，投标人均应自行承担所有与投标有关的全部费用（招标文件有相反规定除外）。</w:t>
      </w:r>
    </w:p>
    <w:p>
      <w:pPr>
        <w:snapToGrid w:val="0"/>
        <w:spacing w:line="440" w:lineRule="exact"/>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（六）联合体投标</w:t>
      </w:r>
    </w:p>
    <w:p>
      <w:pPr>
        <w:snapToGrid w:val="0"/>
        <w:spacing w:line="440" w:lineRule="exact"/>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本项目不接受联合体投标。</w:t>
      </w:r>
    </w:p>
    <w:p>
      <w:pPr>
        <w:snapToGrid w:val="0"/>
        <w:spacing w:line="440" w:lineRule="exact"/>
        <w:ind w:firstLine="472" w:firstLineChars="196"/>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highlight w:val="none"/>
        </w:rPr>
        <w:t>（七）</w:t>
      </w:r>
      <w:r>
        <w:rPr>
          <w:rFonts w:hint="eastAsia" w:ascii="仿宋" w:hAnsi="仿宋" w:eastAsia="仿宋" w:cs="仿宋"/>
          <w:b/>
          <w:color w:val="auto"/>
          <w:kern w:val="0"/>
          <w:sz w:val="24"/>
          <w:szCs w:val="24"/>
          <w:highlight w:val="none"/>
        </w:rPr>
        <w:t>转包与分包</w:t>
      </w:r>
    </w:p>
    <w:p>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1.本项目不允许转包。</w:t>
      </w:r>
    </w:p>
    <w:p>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2.本项目不可以分包。</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（八）特别说明</w:t>
      </w:r>
    </w:p>
    <w:p>
      <w:pPr>
        <w:snapToGrid w:val="0"/>
        <w:spacing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color w:val="auto"/>
          <w:sz w:val="24"/>
          <w:szCs w:val="24"/>
          <w:highlight w:val="none"/>
        </w:rPr>
        <w:t>投标人投标所使用的资格、信誉、荣誉、业绩与企业认证必须为本企业所拥有。在组织商务技术评审或资格性审查时，不得将属于供应商母公司（总机构）或者同一母公司下属的其他子公司（同一总机构下属的其他分支机构）的人员、业绩、荣誉、知识产权、项目案例等，作为该供应商的资信文件予以确认或审查通过。</w:t>
      </w:r>
    </w:p>
    <w:p>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2.投标人应仔细阅读招标文件的所有内容，按照招标文件的要求提交投标文件，并对所提供的全部资料的真实性承担法律责任。</w:t>
      </w:r>
    </w:p>
    <w:p>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3.投标人在投标活动中提供任何虚假材料,其投标无效，并报监管部门查处。中标后发现的,将没收中标人保证金，造成其他损失的须赔偿相应损失，且民事赔偿并不免除违法投标人的行政与刑事责任。</w:t>
      </w:r>
    </w:p>
    <w:p>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根据财政部、国家发展改革委《关于调整公布第二十三期节能产品政府采购清单的通知》的规定，节能清单中的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便器、水嘴等为政府强制采购节能产品（以“★”标注）。采购人需购买的产品属于政府强制采购节能产品范围，但在节能清单中无对应细化分类且节能清单中的产品确实无法满足工作需要的，允许在节能清单之外采购。</w:t>
      </w:r>
    </w:p>
    <w:p>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若投标人所投产品在《第二十三期节能产品政府采购清单》内，则投标人须在投标文件中提供所投产品在《第二十三期节能产品政府采购清单》中所处的页码、截图等证明材料。</w:t>
      </w:r>
    </w:p>
    <w:p>
      <w:pPr>
        <w:snapToGrid w:val="0"/>
        <w:spacing w:line="44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根据《政府采购货物和服务招标投标管理办法》（财政部令第87号）的规定。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44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非单一产品采购项目，采购人应当根据采购项目技术构成、产品价格比重等合理确定核心产品，并在招标文件中载明。多家投标人提供的核心产品品牌相同的，按前两款规定处理。</w:t>
      </w:r>
    </w:p>
    <w:p>
      <w:pPr>
        <w:snapToGrid w:val="0"/>
        <w:spacing w:line="440" w:lineRule="exact"/>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（九）知识产权</w:t>
      </w:r>
    </w:p>
    <w:p>
      <w:pPr>
        <w:snapToGrid w:val="0"/>
        <w:spacing w:line="440" w:lineRule="exact"/>
        <w:ind w:firstLine="480" w:firstLineChars="200"/>
        <w:rPr>
          <w:rFonts w:hint="eastAsia" w:ascii="仿宋" w:hAnsi="仿宋" w:eastAsia="仿宋" w:cs="仿宋"/>
          <w:bCs/>
          <w:color w:val="auto"/>
          <w:sz w:val="24"/>
          <w:szCs w:val="24"/>
          <w:highlight w:val="none"/>
          <w:lang w:val="en-GB"/>
        </w:rPr>
      </w:pPr>
      <w:r>
        <w:rPr>
          <w:rFonts w:hint="eastAsia" w:ascii="仿宋" w:hAnsi="仿宋" w:eastAsia="仿宋" w:cs="仿宋"/>
          <w:bCs/>
          <w:color w:val="auto"/>
          <w:sz w:val="24"/>
          <w:szCs w:val="24"/>
          <w:highlight w:val="none"/>
        </w:rPr>
        <w:t>1.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2.投标报价应包含所有应向所有权人支付的专利权、商标权或其它知识产权的一切相关费用。</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3.系统软件、通用软件必须是具有在中国境内的合法使用权或版权的正版软件，涉及到第三方提出侵权或知识产权的起诉及支付版税等费用由投标人承担所有责任及费用。</w:t>
      </w:r>
    </w:p>
    <w:p>
      <w:pPr>
        <w:snapToGrid w:val="0"/>
        <w:spacing w:line="440" w:lineRule="exact"/>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（十）质疑</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质疑与投诉</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人认为采购文件、采购过程、中标或者成交结果使自己的权益受到损害的，可以在知道或者应知其权益受到损害之日起7个工作日内，向采购人、采购代理机构提出质疑。投标人须在法定质疑期内一次性提出针对同一采购程序环节的质疑。采购人在收到投标人的书面质疑后七个工作日内作出答复，并以书面形式通知质疑投标人和其他有关投标人；作出答复前，将暂停招标投标活动。</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2、质疑函的必备内容</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（1）投标人提交的质疑函必须注明单位名称、地址、邮编、可供查询的单位和法定代表人的电话号码、联系人电话；</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（2）质疑项目的名称、编号；</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（3）具体质疑事项和与质疑事项相关的请求；</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（4）事实依据；</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（5）提起质疑的日期；</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（6）质疑函须加盖单位公章，由法定代表人签章。</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（7）授权代理人递交质疑函的，还须提交委托质疑事项的授权委托书（附法定代表人和被授权人的身份证正反面），加盖单位公章和法定代表人签章和被授权人签字，同时出示被授权人身份证。</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3、质疑应符合下列条件：</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⑴质疑人是参与所质疑项目的采购活动的投标人；</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⑵质疑函内容符合相关的规定；</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⑶在规定的有效期限内提起质疑；</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⑷招投标监管部门规定的其他条件。</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4、采购人在收到投标人的书面质疑后七个工作日内作出答复，并以书面形式通知质疑投标人和其他有关投标人，但答复的内容不涉及商业秘密。</w:t>
      </w:r>
    </w:p>
    <w:p>
      <w:pPr>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提出质疑的投标人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napToGrid w:val="0"/>
        <w:spacing w:line="440" w:lineRule="exact"/>
        <w:ind w:firstLine="482" w:firstLineChars="200"/>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（十一）投标人的资格要求</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2、具有有效营业执照的国内独立法人资格，具有独立承担民事责任的能力；</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进口产品须提供制造商为本项目给予投标人投标产品的制造商授权书（可提供总代理授权）服务承诺函。所有证件必须在有效期内;</w:t>
      </w:r>
    </w:p>
    <w:p>
      <w:pPr>
        <w:pStyle w:val="45"/>
        <w:spacing w:before="0" w:beforeAutospacing="0" w:after="0"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p>
      <w:pPr>
        <w:snapToGrid w:val="0"/>
        <w:spacing w:line="440" w:lineRule="exact"/>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5、本项目不接受联合体</w:t>
      </w:r>
    </w:p>
    <w:p>
      <w:pPr>
        <w:snapToGrid w:val="0"/>
        <w:spacing w:line="440" w:lineRule="exact"/>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二、招标文件</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（一）招标文件的构成。本招标文件由以下部分组成：</w:t>
      </w:r>
    </w:p>
    <w:p>
      <w:pPr>
        <w:snapToGrid w:val="0"/>
        <w:spacing w:line="440" w:lineRule="exact"/>
        <w:ind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 xml:space="preserve">  投标邀请函</w:t>
      </w:r>
    </w:p>
    <w:p>
      <w:pPr>
        <w:snapToGrid w:val="0"/>
        <w:spacing w:line="440" w:lineRule="exact"/>
        <w:ind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 xml:space="preserve">  投标人须知</w:t>
      </w:r>
    </w:p>
    <w:p>
      <w:pPr>
        <w:snapToGrid w:val="0"/>
        <w:spacing w:line="440" w:lineRule="exact"/>
        <w:ind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 xml:space="preserve">  采购需求</w:t>
      </w:r>
    </w:p>
    <w:p>
      <w:pPr>
        <w:snapToGrid w:val="0"/>
        <w:spacing w:line="440" w:lineRule="exact"/>
        <w:ind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 xml:space="preserve">  合同格式（参考）</w:t>
      </w:r>
    </w:p>
    <w:p>
      <w:pPr>
        <w:snapToGrid w:val="0"/>
        <w:spacing w:line="440" w:lineRule="exact"/>
        <w:ind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 xml:space="preserve">  投标文件格式</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（二）投标人的风险</w:t>
      </w:r>
    </w:p>
    <w:p>
      <w:pPr>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投标人没有按照招标文件要求提供全部资料，或者投标人没有对招标文件在各方面作出实质性响应是投标人的风险，并可能导致其投标被拒绝。</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（三）招标文件的澄清与修改</w:t>
      </w:r>
    </w:p>
    <w:p>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投标截止时间前，采购代理机构对已发出的招标文件进行必要澄清或者修改时，将依法在财政部门指定的政府采购信息发布媒体上发布更正公告，并以书面形式通知所有招标文件收受人，除书面答复以外的其他澄清方式及澄清内容均无效。该澄清或者修改的内容为招标文件的组成部分，对所有投标人有约束力。投标人在收到招标文件的澄清修改函后，应以书面形式予以确认。</w:t>
      </w:r>
    </w:p>
    <w:p>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采购代理机构可以视采购具体情况，延长投标截止时间和开标时间，并依法在招标文件要求提交投标文件的截至时间三日前，将变更时间书面通知所有招标文件收受人，并在财政部门指定的政府采购信息发布媒体上发布变更公告。</w:t>
      </w:r>
    </w:p>
    <w:p>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3.招标文件澄清、答复、修改、补充的内容为招标文件的组成部分。当招标文件与招标文件的答复、澄清、修改、补充通知就同一内容的表述不一致时，以最后发出的书面文件为准。</w:t>
      </w:r>
    </w:p>
    <w:p>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4.招标文件的澄清、答复、修改或补充都应该通过本代理机构以法定形式发布，采购人非通过本机构，不得擅自澄清、答复、修改或补充招标文件。</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（四）投标文件的编制</w:t>
      </w:r>
    </w:p>
    <w:p>
      <w:pPr>
        <w:adjustRightInd w:val="0"/>
        <w:snapToGrid w:val="0"/>
        <w:spacing w:line="44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1、投标语言</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投标人提交的投标文件及投标人与采购代理机构就有关投标的所有来往函电均使用中文。投标人可以提交其他它语言的资料，但应附有中文注释，有差异时以中文为准。</w:t>
      </w:r>
    </w:p>
    <w:p>
      <w:pPr>
        <w:adjustRightInd w:val="0"/>
        <w:snapToGrid w:val="0"/>
        <w:spacing w:line="44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2、计量单位</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pPr>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3、投标文件的组成</w:t>
      </w:r>
    </w:p>
    <w:p>
      <w:pPr>
        <w:snapToGrid w:val="0"/>
        <w:spacing w:line="44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注：投标人应保证所提供文件资料的真实性，所有文件资料必须是针对本次投标的。如发现投标人提供了虚假文件资料，其投标将被拒绝，并自行承担相应的法律责任。</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3.1投标文件由商务、技术、经济 两部分组成。内容如下：</w:t>
      </w:r>
    </w:p>
    <w:p>
      <w:pPr>
        <w:spacing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商务技术部分主要包括</w:t>
      </w:r>
      <w:r>
        <w:rPr>
          <w:rFonts w:hint="eastAsia" w:ascii="仿宋" w:hAnsi="仿宋" w:eastAsia="仿宋" w:cs="仿宋"/>
          <w:b/>
          <w:color w:val="auto"/>
          <w:sz w:val="24"/>
          <w:szCs w:val="24"/>
          <w:highlight w:val="none"/>
        </w:rPr>
        <w:t>但不限于以下内容：</w:t>
      </w:r>
    </w:p>
    <w:p>
      <w:pPr>
        <w:spacing w:line="440" w:lineRule="exact"/>
        <w:ind w:left="660" w:leftChars="200" w:hanging="240" w:hangingChars="100"/>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（1）</w:t>
      </w:r>
      <w:r>
        <w:rPr>
          <w:rFonts w:hint="eastAsia" w:ascii="仿宋" w:hAnsi="仿宋" w:eastAsia="仿宋" w:cs="仿宋"/>
          <w:color w:val="auto"/>
          <w:sz w:val="24"/>
          <w:szCs w:val="24"/>
          <w:highlight w:val="none"/>
        </w:rPr>
        <w:t>投</w:t>
      </w:r>
      <w:r>
        <w:rPr>
          <w:rFonts w:hint="eastAsia" w:ascii="仿宋" w:hAnsi="仿宋" w:eastAsia="仿宋" w:cs="仿宋"/>
          <w:color w:val="auto"/>
          <w:kern w:val="0"/>
          <w:sz w:val="24"/>
          <w:szCs w:val="24"/>
          <w:highlight w:val="none"/>
        </w:rPr>
        <w:t>标</w:t>
      </w:r>
      <w:r>
        <w:rPr>
          <w:rFonts w:hint="eastAsia" w:ascii="仿宋" w:hAnsi="仿宋" w:eastAsia="仿宋" w:cs="仿宋"/>
          <w:color w:val="auto"/>
          <w:sz w:val="24"/>
          <w:szCs w:val="24"/>
          <w:highlight w:val="none"/>
        </w:rPr>
        <w:t>人概况及企业综合实力[包括不限于：投标人概况表；依法纳税承诺；投标资格声明；参加政府采购活动前3年内在经营活动中没有重大违法记录的书面声明；信用中国网站（www.creditchina.gov.cn）、中国</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"http://www.caigou2003.com/" \t "_blank"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政府采购网</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（www.ccgp.gov.cn）、中国裁判文书网】网站的信用查询截图；采购文件要求的《中华人民共和国政府采购法》规定的资格条件证明文件复印件；采购文件采</w:t>
      </w:r>
      <w:r>
        <w:rPr>
          <w:rFonts w:hint="eastAsia" w:ascii="仿宋" w:hAnsi="仿宋" w:eastAsia="仿宋" w:cs="仿宋"/>
          <w:color w:val="auto"/>
          <w:kern w:val="0"/>
          <w:sz w:val="24"/>
          <w:szCs w:val="24"/>
          <w:highlight w:val="none"/>
        </w:rPr>
        <w:t>购人根据采购项目的特殊要求规定的特定条件证明文件复印件]；</w:t>
      </w:r>
    </w:p>
    <w:p>
      <w:pPr>
        <w:spacing w:line="440" w:lineRule="exact"/>
        <w:ind w:left="660" w:leftChars="20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（2）投标函；</w:t>
      </w:r>
    </w:p>
    <w:p>
      <w:pPr>
        <w:spacing w:line="440" w:lineRule="exact"/>
        <w:ind w:left="660" w:leftChars="20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（3）投标承诺书；</w:t>
      </w:r>
    </w:p>
    <w:p>
      <w:pPr>
        <w:spacing w:line="440" w:lineRule="exact"/>
        <w:ind w:left="660" w:leftChars="20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（4）法定代表人身份证明书和法定代表人身份证（复印件）或者法定代表人授权委托书及被授权人身份证（复印件）；</w:t>
      </w:r>
    </w:p>
    <w:p>
      <w:pPr>
        <w:spacing w:line="440" w:lineRule="exact"/>
        <w:ind w:left="660" w:leftChars="20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（5）投标保证金缴纳凭证（复印件加盖单位公章）；近三年财务状况表；</w:t>
      </w:r>
    </w:p>
    <w:p>
      <w:pPr>
        <w:autoSpaceDE w:val="0"/>
        <w:autoSpaceDN w:val="0"/>
        <w:adjustRightInd w:val="0"/>
        <w:spacing w:line="440" w:lineRule="exact"/>
        <w:ind w:left="1110" w:leftChars="228" w:hanging="631" w:hangingChars="263"/>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sz w:val="24"/>
          <w:szCs w:val="24"/>
          <w:highlight w:val="none"/>
          <w:lang w:val="zh-CN"/>
        </w:rPr>
        <w:t>）关于资格声明函</w:t>
      </w:r>
      <w:r>
        <w:rPr>
          <w:rFonts w:hint="eastAsia" w:ascii="仿宋" w:hAnsi="仿宋" w:eastAsia="仿宋" w:cs="仿宋"/>
          <w:color w:val="auto"/>
          <w:sz w:val="24"/>
          <w:szCs w:val="24"/>
          <w:highlight w:val="none"/>
        </w:rPr>
        <w:t>属于中小企业的相关证明资料： 1)《中小企业声明函》；2) 供应商工商行政注册地管理部门出具的小微企业证明文件；</w:t>
      </w:r>
    </w:p>
    <w:p>
      <w:pPr>
        <w:autoSpaceDE w:val="0"/>
        <w:autoSpaceDN w:val="0"/>
        <w:adjustRightInd w:val="0"/>
        <w:spacing w:line="440" w:lineRule="exact"/>
        <w:ind w:firstLine="480" w:firstLineChars="200"/>
        <w:jc w:val="lef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sz w:val="24"/>
          <w:szCs w:val="24"/>
          <w:highlight w:val="none"/>
          <w:lang w:val="zh-CN"/>
        </w:rPr>
        <w:t>投标人投标的优惠条件、</w:t>
      </w:r>
      <w:r>
        <w:rPr>
          <w:rFonts w:hint="eastAsia" w:ascii="仿宋" w:hAnsi="仿宋" w:eastAsia="仿宋" w:cs="仿宋"/>
          <w:color w:val="auto"/>
          <w:kern w:val="0"/>
          <w:sz w:val="24"/>
          <w:szCs w:val="24"/>
          <w:highlight w:val="none"/>
        </w:rPr>
        <w:t>质量承诺、进度承诺、服务承诺、维保承诺、</w:t>
      </w:r>
      <w:r>
        <w:rPr>
          <w:rFonts w:hint="eastAsia" w:ascii="仿宋" w:hAnsi="仿宋" w:eastAsia="仿宋" w:cs="仿宋"/>
          <w:color w:val="auto"/>
          <w:sz w:val="24"/>
          <w:szCs w:val="24"/>
          <w:highlight w:val="none"/>
          <w:lang w:val="zh-CN"/>
        </w:rPr>
        <w:t>供货期间所提供的服务范围。</w:t>
      </w:r>
    </w:p>
    <w:p>
      <w:pPr>
        <w:autoSpaceDE w:val="0"/>
        <w:autoSpaceDN w:val="0"/>
        <w:adjustRightInd w:val="0"/>
        <w:spacing w:line="440" w:lineRule="exact"/>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zh-CN"/>
        </w:rPr>
        <w:t>）近三年的业绩（提供相关证明文件复印件）</w:t>
      </w:r>
    </w:p>
    <w:p>
      <w:pPr>
        <w:autoSpaceDE w:val="0"/>
        <w:autoSpaceDN w:val="0"/>
        <w:adjustRightInd w:val="0"/>
        <w:spacing w:line="440" w:lineRule="exact"/>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zh-CN"/>
        </w:rPr>
        <w:t>）投标单位（供应商）反商业贿赂承诺书</w:t>
      </w:r>
    </w:p>
    <w:p>
      <w:pPr>
        <w:autoSpaceDE w:val="0"/>
        <w:autoSpaceDN w:val="0"/>
        <w:adjustRightInd w:val="0"/>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r>
        <w:rPr>
          <w:rFonts w:hint="eastAsia" w:ascii="仿宋" w:hAnsi="仿宋" w:eastAsia="仿宋" w:cs="仿宋"/>
          <w:color w:val="auto"/>
          <w:sz w:val="24"/>
          <w:szCs w:val="24"/>
          <w:highlight w:val="none"/>
        </w:rPr>
        <w:t>投标产品执行的制造、合格标准；</w:t>
      </w:r>
      <w:r>
        <w:rPr>
          <w:rFonts w:hint="eastAsia" w:ascii="仿宋" w:hAnsi="仿宋" w:eastAsia="仿宋" w:cs="仿宋"/>
          <w:color w:val="auto"/>
          <w:kern w:val="0"/>
          <w:sz w:val="24"/>
          <w:szCs w:val="24"/>
          <w:highlight w:val="none"/>
        </w:rPr>
        <w:t>投入产品情况及相关材料；</w:t>
      </w:r>
      <w:r>
        <w:rPr>
          <w:rFonts w:hint="eastAsia" w:ascii="仿宋" w:hAnsi="仿宋" w:eastAsia="仿宋" w:cs="仿宋"/>
          <w:color w:val="auto"/>
          <w:sz w:val="24"/>
          <w:szCs w:val="24"/>
          <w:highlight w:val="none"/>
        </w:rPr>
        <w:t>投标产品的检测报告或合格证明材料（复印件）；投标产品性能、技术参数详述；</w:t>
      </w:r>
    </w:p>
    <w:p>
      <w:pPr>
        <w:autoSpaceDE w:val="0"/>
        <w:autoSpaceDN w:val="0"/>
        <w:adjustRightInd w:val="0"/>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（11）商务条款偏离表；技术条款偏离表；</w:t>
      </w:r>
    </w:p>
    <w:p>
      <w:pPr>
        <w:autoSpaceDE w:val="0"/>
        <w:autoSpaceDN w:val="0"/>
        <w:adjustRightIn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sz w:val="24"/>
          <w:szCs w:val="24"/>
          <w:highlight w:val="none"/>
        </w:rPr>
        <w:t>投标人认为有必要提供的其他资格证明文件和商务相关资料以及技术部分资料。</w:t>
      </w:r>
    </w:p>
    <w:p>
      <w:pPr>
        <w:autoSpaceDE w:val="0"/>
        <w:autoSpaceDN w:val="0"/>
        <w:adjustRightInd w:val="0"/>
        <w:spacing w:line="440" w:lineRule="exact"/>
        <w:ind w:firstLine="482" w:firstLineChars="200"/>
        <w:jc w:val="left"/>
        <w:rPr>
          <w:rFonts w:hint="eastAsia" w:ascii="仿宋" w:hAnsi="仿宋" w:eastAsia="仿宋" w:cs="仿宋"/>
          <w:bCs/>
          <w:color w:val="auto"/>
          <w:kern w:val="0"/>
          <w:sz w:val="24"/>
          <w:szCs w:val="24"/>
          <w:highlight w:val="none"/>
        </w:rPr>
      </w:pPr>
      <w:r>
        <w:rPr>
          <w:rFonts w:hint="eastAsia" w:ascii="仿宋" w:hAnsi="仿宋" w:eastAsia="仿宋" w:cs="仿宋"/>
          <w:b/>
          <w:bCs/>
          <w:color w:val="auto"/>
          <w:kern w:val="0"/>
          <w:sz w:val="24"/>
          <w:szCs w:val="24"/>
          <w:highlight w:val="none"/>
        </w:rPr>
        <w:t>经济部分主要包括</w:t>
      </w:r>
      <w:r>
        <w:rPr>
          <w:rFonts w:hint="eastAsia" w:ascii="仿宋" w:hAnsi="仿宋" w:eastAsia="仿宋" w:cs="仿宋"/>
          <w:b/>
          <w:color w:val="auto"/>
          <w:sz w:val="24"/>
          <w:szCs w:val="24"/>
          <w:highlight w:val="none"/>
        </w:rPr>
        <w:t>但不限于以下内容：</w:t>
      </w:r>
      <w:r>
        <w:rPr>
          <w:rFonts w:hint="eastAsia" w:ascii="仿宋" w:hAnsi="仿宋" w:eastAsia="仿宋" w:cs="仿宋"/>
          <w:bCs/>
          <w:color w:val="auto"/>
          <w:kern w:val="0"/>
          <w:sz w:val="24"/>
          <w:szCs w:val="24"/>
          <w:highlight w:val="none"/>
        </w:rPr>
        <w:tab/>
      </w:r>
    </w:p>
    <w:p>
      <w:pPr>
        <w:autoSpaceDE w:val="0"/>
        <w:autoSpaceDN w:val="0"/>
        <w:adjustRightIn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（1）投标报价表；</w:t>
      </w:r>
    </w:p>
    <w:p>
      <w:pPr>
        <w:autoSpaceDE w:val="0"/>
        <w:autoSpaceDN w:val="0"/>
        <w:adjustRightIn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（2）明细报价；</w:t>
      </w:r>
    </w:p>
    <w:p>
      <w:pPr>
        <w:autoSpaceDE w:val="0"/>
        <w:autoSpaceDN w:val="0"/>
        <w:adjustRightIn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（3）报价说明；</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（4）报价需要的其他资料。</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投标文件内容及题目的编排顺序和编号按本章第3.1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要求的结构。</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根据《政府采购法》第四十二条的规定，投标人无论中标与否，其投标文件不予退还。</w:t>
      </w:r>
    </w:p>
    <w:p>
      <w:pPr>
        <w:adjustRightInd w:val="0"/>
        <w:snapToGrid w:val="0"/>
        <w:spacing w:line="440" w:lineRule="exact"/>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3.4投标人如有投标优惠，涉及价格的，应当直接在开标一览表的投标报价中给出(即投标报价中己包含价格折扣)；涉及商务、技术内容的，应当在商务条款响应/偏离表或技术规格、参数响应/偏离表中填写。</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（五）投标报价</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1、本采购项目使用的货币为人民币 ，实施时亦以人民币支付。</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2、投标报价为本采购文件所确定的采购范围内的全部工作内容的价格体现。任何有选择的报价将不予接受（除非采购人另有约定），否则，在评标时将其视为无效投标。</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投标价格应包括：</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3.1投标报价包括投标人为实施提供投标产品、服务内容所包括的全部含税价格的体现。采购文件如没有特别说明的话，对每一项货物及服务仅接受一个价格。</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3.2投标报价为含税价，报价应包含完成本采购项目发生的所有含税费用、支付给员工的工资和国家强制缴纳的各种社会保障资金、以及投标人认为需要的其他费用等。</w:t>
      </w:r>
    </w:p>
    <w:p>
      <w:pPr>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投标人应充分考虑到市场价格变动，以及项目实施过程中的不可预见因素，一旦中标，总价格不变。如果有漏项，视同让利。</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w:t>
      </w:r>
      <w:r>
        <w:rPr>
          <w:rFonts w:hint="eastAsia" w:ascii="仿宋" w:hAnsi="仿宋" w:eastAsia="仿宋" w:cs="仿宋"/>
          <w:b/>
          <w:color w:val="auto"/>
          <w:sz w:val="24"/>
          <w:szCs w:val="24"/>
          <w:highlight w:val="none"/>
        </w:rPr>
        <w:t>投标人的任何错漏、优惠、竞争性报价不得作为减轻责任、减少服务、增加收费、降低质量的理由。投标人必须自行考虑本项目在实施期间的一切可能产生的费用。在合同执行过程中，采购人将不再另行支付与本项目相关的任何费用（非本项目要求的其它内容除外）</w:t>
      </w:r>
      <w:r>
        <w:rPr>
          <w:rFonts w:hint="eastAsia" w:ascii="仿宋" w:hAnsi="仿宋" w:eastAsia="仿宋" w:cs="仿宋"/>
          <w:color w:val="auto"/>
          <w:sz w:val="24"/>
          <w:szCs w:val="24"/>
          <w:highlight w:val="none"/>
        </w:rPr>
        <w:t>。</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3.4投标人应在《开标一览表》、《投标报价一览表》等标明投标人报价；《明细报价清单》提供明细报价。</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4.4投标文件报价出现前后不一致的，除采购文件另有规定外，按照下列规定修正：</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（一）投标文件中开标一览表（报价表）内容与投标文件中相应内容不一致的，以开标一览表（报价表）为准；</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（二）大写金额和小写金额不一致的，以大写金额为准；</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（三）单价金额小数点或者百分比有明显错位的，以开标一览表的总价为准，并修改单价；</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（四）总价金额与按单价汇总金额不一致的，以单价金额计算结果为准。</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同时出现两种以上不一致的，按照前款规定的顺序修正。</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（六）投标人的资格证明文件</w:t>
      </w:r>
    </w:p>
    <w:p>
      <w:pPr>
        <w:tabs>
          <w:tab w:val="left" w:pos="7560"/>
          <w:tab w:val="left" w:pos="7740"/>
          <w:tab w:val="left" w:pos="7920"/>
        </w:tabs>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1、投标人应提交满足本章第3.1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规定的资格条件要求的证明文件,该证明文件作为投标文件的一部分。</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2、如果投标人为联合体，则应提交联合体各方资格证明文件、联合体协议。否则，在评标时将其视为无效投标。</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另有规定外，投标人提供的货物及服务不是投标人制造或拥有的,则应当提供经销、或代理投标货物、或为投标货物提供售后服务的证明文件。否则，在评标时将其视为无效投标。</w:t>
      </w:r>
    </w:p>
    <w:p>
      <w:pPr>
        <w:adjustRightInd w:val="0"/>
        <w:snapToGrid w:val="0"/>
        <w:spacing w:line="440" w:lineRule="exact"/>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（七）</w:t>
      </w:r>
      <w:r>
        <w:rPr>
          <w:rFonts w:hint="eastAsia" w:ascii="仿宋" w:hAnsi="仿宋" w:eastAsia="仿宋" w:cs="仿宋"/>
          <w:b/>
          <w:bCs/>
          <w:color w:val="auto"/>
          <w:sz w:val="24"/>
          <w:szCs w:val="24"/>
          <w:highlight w:val="none"/>
        </w:rPr>
        <w:t>投标货物符合招标文件规定的证明文件</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投标人应当提交其拟供的合同项下货物及其服务符合招标文件规定的证明文件,该证明文件作为投标文件的一部分。</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投标人在货物说明一览表中应当说明货物的品牌型号、规格参数、制造商及原产地等，交货时应出具原产地证明及出厂合格证明。</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3、上述证明文件可以是文字资料、图纸和数据，并须提供：</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（1）货物主要性能和参数的详细说明； </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（2）对照招标文件技术规格，逐条说明所提供货物和服务对招标文件的技术规格条文的响应与偏离。对有具体参数要求的指标，投标人应提供具体参数值。</w:t>
      </w:r>
    </w:p>
    <w:p>
      <w:pPr>
        <w:adjustRightInd w:val="0"/>
        <w:snapToGrid w:val="0"/>
        <w:spacing w:line="4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4、投标人须知前附表</w:t>
      </w:r>
      <w:r>
        <w:rPr>
          <w:rFonts w:hint="eastAsia" w:ascii="仿宋" w:hAnsi="仿宋" w:eastAsia="仿宋" w:cs="仿宋"/>
          <w:color w:val="auto"/>
          <w:sz w:val="24"/>
          <w:szCs w:val="24"/>
          <w:highlight w:val="none"/>
        </w:rPr>
        <w:t>规定投标人在投标时提供样品的，投标人有以下情形之一的，在评标时将其视为无效投标。</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（1）未在</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规定的提交时间、地点提交的；</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（2）投标人提供的样品与投标文件提供样品的规格、型号不一致的。</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（八）投标保证金</w:t>
      </w:r>
    </w:p>
    <w:p>
      <w:pPr>
        <w:adjustRightInd w:val="0"/>
        <w:snapToGrid w:val="0"/>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规定缴纳</w:t>
      </w:r>
      <w:r>
        <w:rPr>
          <w:rFonts w:hint="eastAsia" w:ascii="仿宋" w:hAnsi="仿宋" w:eastAsia="仿宋" w:cs="仿宋"/>
          <w:bCs/>
          <w:color w:val="auto"/>
          <w:sz w:val="24"/>
          <w:szCs w:val="24"/>
          <w:highlight w:val="none"/>
        </w:rPr>
        <w:t>投标保证金的</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投标人应按</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规定的要求</w:t>
      </w:r>
      <w:r>
        <w:rPr>
          <w:rFonts w:hint="eastAsia" w:ascii="仿宋" w:hAnsi="仿宋" w:eastAsia="仿宋" w:cs="仿宋"/>
          <w:bCs/>
          <w:color w:val="auto"/>
          <w:sz w:val="24"/>
          <w:szCs w:val="24"/>
          <w:highlight w:val="none"/>
        </w:rPr>
        <w:t>提交保证金</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投标保证金有效期应与</w:t>
      </w:r>
      <w:r>
        <w:rPr>
          <w:rFonts w:hint="eastAsia" w:ascii="仿宋" w:hAnsi="仿宋" w:eastAsia="仿宋" w:cs="仿宋"/>
          <w:color w:val="auto"/>
          <w:sz w:val="24"/>
          <w:szCs w:val="24"/>
          <w:highlight w:val="none"/>
        </w:rPr>
        <w:t>本章第6.1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w:t>
      </w:r>
      <w:r>
        <w:rPr>
          <w:rFonts w:hint="eastAsia" w:ascii="仿宋" w:hAnsi="仿宋" w:eastAsia="仿宋" w:cs="仿宋"/>
          <w:bCs/>
          <w:color w:val="auto"/>
          <w:sz w:val="24"/>
          <w:szCs w:val="24"/>
          <w:highlight w:val="none"/>
        </w:rPr>
        <w:t>的投标有效期一致。投标人</w:t>
      </w:r>
      <w:r>
        <w:rPr>
          <w:rFonts w:hint="eastAsia" w:ascii="仿宋" w:hAnsi="仿宋" w:eastAsia="仿宋" w:cs="仿宋"/>
          <w:color w:val="auto"/>
          <w:sz w:val="24"/>
          <w:szCs w:val="24"/>
          <w:highlight w:val="none"/>
        </w:rPr>
        <w:t>未按照招标文件要求提交投标保证金的，</w:t>
      </w:r>
      <w:r>
        <w:rPr>
          <w:rFonts w:hint="eastAsia" w:ascii="仿宋" w:hAnsi="仿宋" w:eastAsia="仿宋" w:cs="仿宋"/>
          <w:bCs/>
          <w:color w:val="auto"/>
          <w:sz w:val="24"/>
          <w:szCs w:val="24"/>
          <w:highlight w:val="none"/>
        </w:rPr>
        <w:t>采购代理机构</w:t>
      </w:r>
      <w:r>
        <w:rPr>
          <w:rFonts w:hint="eastAsia" w:ascii="仿宋" w:hAnsi="仿宋" w:eastAsia="仿宋" w:cs="仿宋"/>
          <w:color w:val="auto"/>
          <w:sz w:val="24"/>
          <w:szCs w:val="24"/>
          <w:highlight w:val="none"/>
        </w:rPr>
        <w:t>应当拒绝接收投标人的投标文件或评标委员会在评标时将其视为无效投标。</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联合体投标的，由联合体牵头方提交投标保证金。以牵头方提交投标保证金的，对联合体各方均具有约束力。</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3、未中标的投标人的投标保证金，将在中标通知书发出后五个工作日内无息退还。</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中标的投标人的投标保证金，将在政府采购合同签订后五个工作日内无息退还。</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5、有以下情形之一的，投标保证金将不予退还：</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（1）投标人在本章第21.1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sz w:val="24"/>
          <w:szCs w:val="24"/>
          <w:highlight w:val="none"/>
        </w:rPr>
        <w:t xml:space="preserve">投标有效期内撤回或修改投标文件； </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（2）投标提供虚假材料谋取中标的；</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（3）确定为中标供应商后，中标人无正当理由放弃中标资格的；</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（4）中标后，无正当理由不签订合同或转让、分包项目以及拒绝履行合同义务的；</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（5）法律法规或招标文件规定的其他情形。</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（九）投标有效期</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1、投标有效期见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，在此期间投标文件对投标人具有法律约束力，以保证采购人有足够的时间完成评标、定标以及签订合同。投标有效期从本章规定的投标截止之日起计算。投标有效期不足的，在评标时将其视为无效投标。</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（十）投标文件的签署</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1、投标文件正本一份,电子文件一份(U盘,并标注投标人名称)，副本</w:t>
      </w:r>
      <w:r>
        <w:rPr>
          <w:rFonts w:hint="eastAsia" w:ascii="仿宋" w:hAnsi="仿宋" w:eastAsia="仿宋" w:cs="仿宋"/>
          <w:color w:val="auto"/>
          <w:sz w:val="24"/>
          <w:szCs w:val="24"/>
          <w:highlight w:val="none"/>
          <w:lang w:eastAsia="zh-CN"/>
        </w:rPr>
        <w:t>叁</w:t>
      </w:r>
      <w:r>
        <w:rPr>
          <w:rFonts w:hint="eastAsia" w:ascii="仿宋" w:hAnsi="仿宋" w:eastAsia="仿宋" w:cs="仿宋"/>
          <w:color w:val="auto"/>
          <w:sz w:val="24"/>
          <w:szCs w:val="24"/>
          <w:highlight w:val="none"/>
        </w:rPr>
        <w:t>份</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正本和副本的封面应注明“正本”或“副本”的字样，当正本和副本不一致时，以正本为准。</w:t>
      </w:r>
    </w:p>
    <w:p>
      <w:pPr>
        <w:tabs>
          <w:tab w:val="left" w:pos="570"/>
          <w:tab w:val="left" w:pos="8280"/>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2、投标文件应用不褪色的材料打印或书写，并在</w:t>
      </w:r>
      <w:r>
        <w:rPr>
          <w:rFonts w:hint="eastAsia" w:ascii="仿宋" w:hAnsi="仿宋" w:eastAsia="仿宋" w:cs="仿宋"/>
          <w:bCs/>
          <w:color w:val="auto"/>
          <w:sz w:val="24"/>
          <w:szCs w:val="24"/>
          <w:highlight w:val="none"/>
        </w:rPr>
        <w:t>招标</w:t>
      </w:r>
      <w:r>
        <w:rPr>
          <w:rFonts w:hint="eastAsia" w:ascii="仿宋" w:hAnsi="仿宋" w:eastAsia="仿宋" w:cs="仿宋"/>
          <w:color w:val="auto"/>
          <w:sz w:val="24"/>
          <w:szCs w:val="24"/>
          <w:highlight w:val="none"/>
        </w:rPr>
        <w:t>文件要求签字、盖章处盖投标单位行政公章和由法定代表人或其委托代理人签字。投标文件中的任何行间插字、涂改和增删，改动之处应加盖单位行政公章或由投标人的法定代表人或其授权的代理人签字确认。不按上述要求盖章和签字的，在评标时将其视为无效投标。</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（十一）投标文件的递交</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1、投标文件的密封和标记</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按正本和副本分别密封包装(电子文件装入投标文件正本密封袋中)，注明“正本”或“副本”，在封套两端折叠封口处加贴封条，标明“正本”或“副本”、“项目名称、项目编号、投标人、授权代理人、联系电话”、标注“    年   月   日   时   分（开标时间）开标前不得开启”，并在启封处加盖公章、法定代表人印章，并应确保密封完好。不按此规定装订、密封的按无效标处理。</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2）投标文件封套或外包装上应载明的内容见</w:t>
      </w:r>
      <w:r>
        <w:rPr>
          <w:rFonts w:hint="eastAsia" w:ascii="仿宋" w:hAnsi="仿宋" w:eastAsia="仿宋" w:cs="仿宋"/>
          <w:b/>
          <w:color w:val="auto"/>
          <w:sz w:val="24"/>
          <w:szCs w:val="24"/>
          <w:highlight w:val="none"/>
        </w:rPr>
        <w:t>投标人须知前附表。</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3）投标文件如果未按上述规定密封和标记，采购代理机构应当拒绝接收。</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2、投标文件的递交</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1）投标文件应在本章第11.2</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规定的投标截止时间之前送达</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指定的地点。</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2）逾期送达或未送达指定地点的投标文件，采购代理机构应当拒绝接收。</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3）投标人应将招标文件中第五章投标文件的组成“政府采购招标文件（商务文件）二、</w:t>
      </w:r>
      <w:r>
        <w:rPr>
          <w:rFonts w:hint="eastAsia" w:ascii="仿宋" w:hAnsi="仿宋" w:eastAsia="仿宋" w:cs="仿宋"/>
          <w:b/>
          <w:color w:val="auto"/>
          <w:sz w:val="24"/>
          <w:szCs w:val="24"/>
          <w:highlight w:val="none"/>
        </w:rPr>
        <w:t>《开标一览表》</w:t>
      </w:r>
      <w:r>
        <w:rPr>
          <w:rFonts w:hint="eastAsia" w:ascii="仿宋" w:hAnsi="仿宋" w:eastAsia="仿宋" w:cs="仿宋"/>
          <w:color w:val="auto"/>
          <w:sz w:val="24"/>
          <w:szCs w:val="24"/>
          <w:highlight w:val="none"/>
        </w:rPr>
        <w:t>和三、</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明细报价单</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另备一份单独密封，与项目投标文件同时递交，否则视为自动放弃投标；单独密封递交的</w:t>
      </w:r>
      <w:r>
        <w:rPr>
          <w:rFonts w:hint="eastAsia" w:ascii="仿宋" w:hAnsi="仿宋" w:eastAsia="仿宋" w:cs="仿宋"/>
          <w:b/>
          <w:color w:val="auto"/>
          <w:sz w:val="24"/>
          <w:szCs w:val="24"/>
          <w:highlight w:val="none"/>
        </w:rPr>
        <w:t>《开标一览表》和《明细报价单》与投标文件中的表格内容不一致的，视为无效投标。</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3、投标文件的修改和撤回</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1）在本章第11.2</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规定的投标截止时间前，投标人可以书面形式修改、补充或撤回己递交的投标文件，但应以书面形式通知采购代理机构。</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2）修改、补充的内容为投标文件的组成部分。修改、补充的投标文件应按本章第</w:t>
      </w:r>
      <w:r>
        <w:rPr>
          <w:rFonts w:hint="eastAsia" w:ascii="仿宋" w:hAnsi="仿宋" w:eastAsia="仿宋" w:cs="仿宋"/>
          <w:bCs/>
          <w:color w:val="auto"/>
          <w:sz w:val="24"/>
          <w:szCs w:val="24"/>
          <w:highlight w:val="none"/>
        </w:rPr>
        <w:t>22、23、24项</w:t>
      </w:r>
      <w:r>
        <w:rPr>
          <w:rFonts w:hint="eastAsia" w:ascii="仿宋" w:hAnsi="仿宋" w:eastAsia="仿宋" w:cs="仿宋"/>
          <w:color w:val="auto"/>
          <w:sz w:val="24"/>
          <w:szCs w:val="24"/>
          <w:highlight w:val="none"/>
        </w:rPr>
        <w:t>规定编制、</w:t>
      </w:r>
      <w:r>
        <w:rPr>
          <w:rFonts w:hint="eastAsia" w:ascii="仿宋" w:hAnsi="仿宋" w:eastAsia="仿宋" w:cs="仿宋"/>
          <w:bCs/>
          <w:color w:val="auto"/>
          <w:sz w:val="24"/>
          <w:szCs w:val="24"/>
          <w:highlight w:val="none"/>
        </w:rPr>
        <w:t>签署、</w:t>
      </w:r>
      <w:r>
        <w:rPr>
          <w:rFonts w:hint="eastAsia" w:ascii="仿宋" w:hAnsi="仿宋" w:eastAsia="仿宋" w:cs="仿宋"/>
          <w:color w:val="auto"/>
          <w:sz w:val="24"/>
          <w:szCs w:val="24"/>
          <w:highlight w:val="none"/>
        </w:rPr>
        <w:t>密封、标记和递交，并标明“修改、补充”字样。</w:t>
      </w:r>
    </w:p>
    <w:p>
      <w:pPr>
        <w:snapToGrid w:val="0"/>
        <w:spacing w:line="440" w:lineRule="exact"/>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3）投标人撤回投标文件的，采购代理机构自收到投标人书面撤回通知之日起五日内退还已收取的</w:t>
      </w:r>
      <w:r>
        <w:rPr>
          <w:rFonts w:hint="eastAsia" w:ascii="仿宋" w:hAnsi="仿宋" w:eastAsia="仿宋" w:cs="仿宋"/>
          <w:bCs/>
          <w:color w:val="auto"/>
          <w:sz w:val="24"/>
          <w:szCs w:val="24"/>
          <w:highlight w:val="none"/>
        </w:rPr>
        <w:t>投标保证金。</w:t>
      </w:r>
    </w:p>
    <w:p>
      <w:pPr>
        <w:snapToGrid w:val="0"/>
        <w:spacing w:line="440" w:lineRule="exact"/>
        <w:ind w:firstLine="472" w:firstLineChars="196"/>
        <w:jc w:val="left"/>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（十二）串通投标行为</w:t>
      </w:r>
    </w:p>
    <w:p>
      <w:pPr>
        <w:snapToGrid w:val="0"/>
        <w:spacing w:line="440" w:lineRule="exact"/>
        <w:ind w:firstLine="446"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12.1</w:t>
      </w:r>
      <w:r>
        <w:rPr>
          <w:rFonts w:hint="eastAsia" w:ascii="仿宋" w:hAnsi="仿宋" w:eastAsia="仿宋" w:cs="仿宋"/>
          <w:color w:val="auto"/>
          <w:sz w:val="24"/>
          <w:szCs w:val="24"/>
          <w:highlight w:val="none"/>
        </w:rPr>
        <w:t>投标人有以下情形之一的，可认定其有串通投标行为，中标无效：</w:t>
      </w:r>
    </w:p>
    <w:p>
      <w:pPr>
        <w:pStyle w:val="45"/>
        <w:adjustRightInd w:val="0"/>
        <w:snapToGrid w:val="0"/>
        <w:spacing w:before="0" w:beforeAutospacing="0" w:after="0" w:afterAutospacing="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（1）投标人之间协商投标报价等投标文件的实质性内容；</w:t>
      </w:r>
    </w:p>
    <w:p>
      <w:pPr>
        <w:pStyle w:val="45"/>
        <w:adjustRightInd w:val="0"/>
        <w:snapToGrid w:val="0"/>
        <w:spacing w:before="0" w:beforeAutospacing="0" w:after="0" w:afterAutospacing="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（2）投标人之间约定中标人；</w:t>
      </w:r>
    </w:p>
    <w:p>
      <w:pPr>
        <w:pStyle w:val="45"/>
        <w:adjustRightInd w:val="0"/>
        <w:snapToGrid w:val="0"/>
        <w:spacing w:before="0" w:beforeAutospacing="0" w:after="0" w:afterAutospacing="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（3）投标人之间约定部分投标人放弃投标或者中标；</w:t>
      </w:r>
    </w:p>
    <w:p>
      <w:pPr>
        <w:pStyle w:val="45"/>
        <w:adjustRightInd w:val="0"/>
        <w:snapToGrid w:val="0"/>
        <w:spacing w:before="0" w:beforeAutospacing="0" w:after="0" w:afterAutospacing="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（4）属于同一集团、协会、商会等组织成员的投标人按照该组织要求协同投标；</w:t>
      </w:r>
    </w:p>
    <w:p>
      <w:pPr>
        <w:pStyle w:val="45"/>
        <w:adjustRightInd w:val="0"/>
        <w:snapToGrid w:val="0"/>
        <w:spacing w:before="0" w:beforeAutospacing="0" w:after="0" w:afterAutospacing="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（5）投标人之间为谋取中标或者排斥特定投标人而采取的其他联合行动；</w:t>
      </w:r>
    </w:p>
    <w:p>
      <w:pPr>
        <w:pStyle w:val="45"/>
        <w:adjustRightInd w:val="0"/>
        <w:snapToGrid w:val="0"/>
        <w:spacing w:before="0" w:beforeAutospacing="0" w:after="0" w:afterAutospacing="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（6）不同投标人的投标文件由同一单位或者个人编制；</w:t>
      </w:r>
    </w:p>
    <w:p>
      <w:pPr>
        <w:pStyle w:val="45"/>
        <w:adjustRightInd w:val="0"/>
        <w:snapToGrid w:val="0"/>
        <w:spacing w:before="0" w:beforeAutospacing="0" w:after="0" w:afterAutospacing="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（7）不同投标人委托同一单位或者个人办理投标事宜；</w:t>
      </w:r>
    </w:p>
    <w:p>
      <w:pPr>
        <w:pStyle w:val="45"/>
        <w:adjustRightInd w:val="0"/>
        <w:snapToGrid w:val="0"/>
        <w:spacing w:before="0" w:beforeAutospacing="0" w:after="0" w:afterAutospacing="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（8）不同投标人的投标文件载明的项目管理成员为同一人；</w:t>
      </w:r>
    </w:p>
    <w:p>
      <w:pPr>
        <w:pStyle w:val="45"/>
        <w:adjustRightInd w:val="0"/>
        <w:snapToGrid w:val="0"/>
        <w:spacing w:before="0" w:beforeAutospacing="0" w:after="0" w:afterAutospacing="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（9）不同投标人的投标文件异常一致或者投标报价呈规律性差异；</w:t>
      </w:r>
    </w:p>
    <w:p>
      <w:pPr>
        <w:pStyle w:val="45"/>
        <w:adjustRightInd w:val="0"/>
        <w:snapToGrid w:val="0"/>
        <w:spacing w:before="0" w:beforeAutospacing="0" w:after="0" w:afterAutospacing="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（10）不同投标人的投标文件相互混装；</w:t>
      </w:r>
    </w:p>
    <w:p>
      <w:pPr>
        <w:pStyle w:val="45"/>
        <w:adjustRightInd w:val="0"/>
        <w:snapToGrid w:val="0"/>
        <w:spacing w:before="0" w:beforeAutospacing="0" w:after="0" w:afterAutospacing="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（11）不同投标人的投标保证金从同一单位或者个人的账户转出；</w:t>
      </w:r>
    </w:p>
    <w:p>
      <w:pPr>
        <w:pStyle w:val="45"/>
        <w:adjustRightInd w:val="0"/>
        <w:snapToGrid w:val="0"/>
        <w:spacing w:before="0" w:beforeAutospacing="0" w:after="0" w:afterAutospacing="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（12）法律、法规或规章规定的其他串通投标行为。</w:t>
      </w:r>
    </w:p>
    <w:p>
      <w:pPr>
        <w:pStyle w:val="45"/>
        <w:adjustRightInd w:val="0"/>
        <w:snapToGrid w:val="0"/>
        <w:spacing w:before="0" w:beforeAutospacing="0" w:after="0" w:afterAutospacing="0" w:line="440" w:lineRule="exact"/>
        <w:outlineLvl w:val="1"/>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（十三）开标</w:t>
      </w:r>
    </w:p>
    <w:p>
      <w:pPr>
        <w:pStyle w:val="45"/>
        <w:adjustRightInd w:val="0"/>
        <w:snapToGrid w:val="0"/>
        <w:spacing w:before="0" w:beforeAutospacing="0" w:after="0" w:afterAutospacing="0" w:line="440" w:lineRule="exact"/>
        <w:rPr>
          <w:rStyle w:val="56"/>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13、开标</w:t>
      </w:r>
    </w:p>
    <w:p>
      <w:pPr>
        <w:spacing w:line="440" w:lineRule="exac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13.1</w:t>
      </w:r>
      <w:r>
        <w:rPr>
          <w:rFonts w:hint="eastAsia" w:ascii="仿宋" w:hAnsi="仿宋" w:eastAsia="仿宋" w:cs="仿宋"/>
          <w:b/>
          <w:bCs/>
          <w:color w:val="auto"/>
          <w:sz w:val="24"/>
          <w:szCs w:val="24"/>
          <w:highlight w:val="none"/>
        </w:rPr>
        <w:t>开标仪式由招标代理机构组织，采购人代表(需提供单位授权函)、监管代表、投标人代表等参加。有关行政监督部门的工作人员将对投标人进行资格审查，如缺项将导致失去投标资格或废标。开标现场提供资格查验资料齐全、满足采购文件封装、标识、签章要求的投标人为合格有效投标人。</w:t>
      </w:r>
    </w:p>
    <w:p>
      <w:pP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资格审查：</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开标时，投标委派的开标代表携带身份证原件并按如下要求提供有效证明材料进行资格审查。</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资格查验资料：</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（1）营业执照复印件加盖公章；</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（2）法定代表人身份证明书原件并附法定代表人身份证复印件（如委托授权代表的，仅需提供法定代表人授权委托书原件并附代理人身份证复印件）；</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（3）投标保证金缴款证明复印件加盖单位公章。</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所投货物若属于医疗器械管理范畴，按照国家《医疗器械监督管理条例》，应符合以下标准：①投标人为制造商的，须提供《医疗器械生产企业许可证》（进口产品除外）；投标人为经销商的，投标货物若属于三类医疗器械，须提供 《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5）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p>
      <w:pPr>
        <w:adjustRightInd w:val="0"/>
        <w:snapToGrid w:val="0"/>
        <w:spacing w:line="440" w:lineRule="exact"/>
        <w:ind w:firstLine="482" w:firstLineChars="200"/>
        <w:jc w:val="left"/>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rPr>
        <w:t>以上内容需单独封装、标识后提交</w:t>
      </w:r>
      <w:r>
        <w:rPr>
          <w:rFonts w:hint="eastAsia" w:ascii="仿宋" w:hAnsi="仿宋" w:eastAsia="仿宋" w:cs="仿宋"/>
          <w:color w:val="auto"/>
          <w:sz w:val="24"/>
          <w:szCs w:val="24"/>
          <w:highlight w:val="none"/>
        </w:rPr>
        <w:t>。在外封套表面加贴封条：注明“资格审查”、“项目名称、项目编号、投标人、授权代理人、联系电话”、标注“    年   月   日   时   分（开标时间）开标前不得开启”，并在启封处加盖公章、法定代表人印章，并应确保密封完好。</w:t>
      </w:r>
    </w:p>
    <w:p>
      <w:pPr>
        <w:adjustRightInd w:val="0"/>
        <w:snapToGrid w:val="0"/>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13.2本次招标按招标文件中投标邀请规定的时间地点进行开标，将邀请投标商的法定代表人或其授权委托人准时参加开标会。</w:t>
      </w:r>
    </w:p>
    <w:p>
      <w:pPr>
        <w:adjustRightInd w:val="0"/>
        <w:snapToGrid w:val="0"/>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13.3宣布投标文件开启顺序。</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13.4开标时检查投标文件密封情况，确认无误后拆封唱标，唱正本</w:t>
      </w:r>
      <w:r>
        <w:rPr>
          <w:rFonts w:hint="eastAsia" w:ascii="仿宋" w:hAnsi="仿宋" w:eastAsia="仿宋" w:cs="仿宋"/>
          <w:color w:val="auto"/>
          <w:sz w:val="24"/>
          <w:szCs w:val="24"/>
          <w:highlight w:val="none"/>
        </w:rPr>
        <w:t>“开标一览表”内容，以及招标代理机构认为合适的其他内容并记录。</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13.5评标原则在开标会议上宣布。</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 对招标人的纪律要求</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招标人不得泄露招标投标活动中应当保密的情况和资料，不得与投标人串通损害国家利益、社会公共利益或者他人合法权益。</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13.7对投标人的纪律要求</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投标人不得互相串通投标或者与招标人串通投标，不得向招标人或者评标委员会成员行贿谋取中标，不得以他人名义投标或者以其他方式弄虚作假骗取中标；投标人不得以任何方式干扰、影响评标工作。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13.8 对与评标活动有关的工作人员的纪律要求</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13.9对评标委员会成员要求评标纪律</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13.9.1评委会应当依照有关法律法规的规定，按照招标文件确定的评标标准和办法客观、公正的对投标文件提出评审意见。招标文件设有规定的评标标准和方法不得作为评标依据。</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13.9.2评标委员会成员不得私下接触投标人，不得收受投标人给予的财务或者其他好处，不得向招标人征询确定中标人意向。</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13.9.3不得接受任何单位或个人明示或暗示提出的倾向或排斥特定投标人的要求。</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13.9.4不得有其他不客观，不公正履行职务的行为。</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13.10无效投标条款和废标条款</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13.10.1无效投标条款</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13.10.2未按要求交纳投标保证金的；</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13.10.3未按照招标文件规定要求密封、签署、盖章的；</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13.10.4投标人在报价时采用选择性报价；</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13.10.5投标人不具备招标文件中规定资格要求的；</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13.10.6投标人的报价超过了采购预算的；</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13.10.7未通过符合性检查的；</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13.10.8不符合招标文件中规定的其他实质性要求和条件的；</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13.10.9投标人串通投标；</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13.10.10其他法律、法规及本招标文件规定的属无效投标的情形。</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13.11废标条款：                                                                                                                                                                                                                                                                                                                                                                                                                                                                                                                                                                                                                                                                                                                                                                                                                                                                                                                                                                                                                                                                                                                                                                                                                                                                                                                                                                                                                                                                         </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13.11.1符合专业条件的供应商或者对招标文件作实质响应的供应商不足三家的；30.2.2出现影响采购公正的违法、违规行为的；</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13.11.2因重大变故，采购任务取消的；</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13.11.3评标委员会认定招标文件存在歧义、 重大缺陷导致评审工作无法进行。</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13.11.4 投标截止时间结束后参加投标的供应商不足三家的处理：</w:t>
      </w:r>
    </w:p>
    <w:p>
      <w:pPr>
        <w:pStyle w:val="278"/>
        <w:adjustRightInd w:val="0"/>
        <w:snapToGrid w:val="0"/>
        <w:spacing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13.11.5如出现投标截止时间结束后参加投标的供应商或者在评标期间对招标文件做出实质响应的供应商不足三家情况，按财政部第八十七号令第四十三条的规定执行。</w:t>
      </w:r>
    </w:p>
    <w:p>
      <w:pPr>
        <w:pStyle w:val="278"/>
        <w:adjustRightInd w:val="0"/>
        <w:snapToGrid w:val="0"/>
        <w:spacing w:line="440" w:lineRule="exact"/>
        <w:ind w:firstLineChars="0"/>
        <w:rPr>
          <w:rFonts w:hint="eastAsia" w:ascii="仿宋" w:hAnsi="仿宋" w:eastAsia="仿宋" w:cs="仿宋"/>
          <w:color w:val="auto"/>
          <w:sz w:val="24"/>
          <w:szCs w:val="24"/>
          <w:highlight w:val="none"/>
        </w:rPr>
      </w:pPr>
    </w:p>
    <w:p>
      <w:pPr>
        <w:pStyle w:val="45"/>
        <w:adjustRightInd w:val="0"/>
        <w:snapToGrid w:val="0"/>
        <w:spacing w:before="0" w:beforeAutospacing="0" w:after="0" w:afterAutospacing="0" w:line="440" w:lineRule="exact"/>
        <w:outlineLvl w:val="1"/>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（十四）中标信息公布与投标人质疑</w:t>
      </w:r>
    </w:p>
    <w:p>
      <w:pPr>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14.中标信息公布</w:t>
      </w:r>
    </w:p>
    <w:p>
      <w:pPr>
        <w:autoSpaceDE w:val="0"/>
        <w:autoSpaceDN w:val="0"/>
        <w:adjustRightInd w:val="0"/>
        <w:snapToGrid w:val="0"/>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14.1确定中标供应商后，中标信息将在本章指定的媒体上同步发布。</w:t>
      </w:r>
    </w:p>
    <w:p>
      <w:pPr>
        <w:adjustRightInd w:val="0"/>
        <w:snapToGrid w:val="0"/>
        <w:spacing w:line="440" w:lineRule="exact"/>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15.投标人质疑</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15.1投标人对政府采购活动事项有疑问的，可以向采购人或采购代理机构提出询问。采购人或采购代理机构将在三个工作日内做出答复。</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2投标人若认为采购过程和中标结果使自己的权益受到损害，应当在下列时间内以书面形式向采购人或采购代理机构提出：</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（1）关于采购过程的质疑，应当在采购程序环节结束之日起七个工作日内提出。</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（2）关于中标结果的质疑，应当在知道或者应知其权益受到损害之日起7个工作日内提出。</w:t>
      </w:r>
    </w:p>
    <w:p>
      <w:pPr>
        <w:pStyle w:val="29"/>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15.3投标人提出质疑的，应提供质疑书原件。采购人或采购代理机构应当向质疑供应商签收回执。</w:t>
      </w:r>
    </w:p>
    <w:p>
      <w:pPr>
        <w:pStyle w:val="29"/>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15.4质疑书应当包括下列内容：</w:t>
      </w:r>
    </w:p>
    <w:p>
      <w:pPr>
        <w:pStyle w:val="29"/>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（1）质疑供应商的名称、地址及有效联系方式；</w:t>
      </w:r>
    </w:p>
    <w:p>
      <w:pPr>
        <w:pStyle w:val="29"/>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（2）质疑事项；</w:t>
      </w:r>
    </w:p>
    <w:p>
      <w:pPr>
        <w:pStyle w:val="29"/>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（3）事实依据及相关证明材料；</w:t>
      </w:r>
    </w:p>
    <w:p>
      <w:pPr>
        <w:pStyle w:val="29"/>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（4）相关请求及主张。</w:t>
      </w:r>
    </w:p>
    <w:p>
      <w:pPr>
        <w:pStyle w:val="29"/>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 质疑书应当由投标人法定代表人或其授权的代理人签字并加盖投标人单位行政公章，质疑书由授权的代理人签字的应附投标人法定代表人授权委托书。</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15.6 采购人或采购代理机构将在签收回执之日起七个工作日内做出书面答复，并以书面形式通知质疑投标人和其他有关的投标人。</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15.7 投标人对采购人或采购代理机构无正当理由拒绝受理质疑的，投标人可书面向政府采购行政监管部门反映情况；投标人对采购人或采购代理机构的答复不满意，或采购人或采购代理机构未在规定的期限做出答复的，可在答复期满后十五个工作日内，按政府采购相关法律法规规章的规定及程序，向同级财政部门提出投诉。</w:t>
      </w:r>
    </w:p>
    <w:p>
      <w:pPr>
        <w:pStyle w:val="45"/>
        <w:adjustRightInd w:val="0"/>
        <w:snapToGrid w:val="0"/>
        <w:spacing w:before="0" w:beforeAutospacing="0" w:after="0" w:afterAutospacing="0" w:line="440" w:lineRule="exact"/>
        <w:outlineLvl w:val="1"/>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（十五）合同签订</w:t>
      </w:r>
    </w:p>
    <w:p>
      <w:pPr>
        <w:adjustRightInd w:val="0"/>
        <w:snapToGrid w:val="0"/>
        <w:spacing w:line="44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16.中标结果通知</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16.1 在本章规定的投标有效期内，采购代理机构将以书面形式向中标供应商发出《中标通知书》。中标通知书对采购人和中标供应商具有同等法律效力。  </w:t>
      </w:r>
    </w:p>
    <w:p>
      <w:pPr>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17、履约担保</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17.1</w:t>
      </w:r>
      <w:r>
        <w:rPr>
          <w:rFonts w:hint="eastAsia" w:ascii="仿宋" w:hAnsi="仿宋" w:eastAsia="仿宋" w:cs="仿宋"/>
          <w:color w:val="auto"/>
          <w:sz w:val="24"/>
          <w:szCs w:val="24"/>
          <w:highlight w:val="none"/>
        </w:rPr>
        <w:t>中标供应商在收到采购代理机构的《中标通知书》后十日内，需向采购人提交履约担保的，应按照</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的规定提交。联合体中标的，履约担保由联合体各方或联合体中牵头人的名义提交。</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中标供应商</w:t>
      </w:r>
      <w:r>
        <w:rPr>
          <w:rFonts w:hint="eastAsia" w:ascii="仿宋" w:hAnsi="仿宋" w:eastAsia="仿宋" w:cs="仿宋"/>
          <w:color w:val="auto"/>
          <w:spacing w:val="4"/>
          <w:sz w:val="24"/>
          <w:szCs w:val="24"/>
          <w:highlight w:val="none"/>
        </w:rPr>
        <w:t>没有按照本章第33.1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pacing w:val="4"/>
          <w:sz w:val="24"/>
          <w:szCs w:val="24"/>
          <w:highlight w:val="none"/>
        </w:rPr>
        <w:t>规定</w:t>
      </w:r>
      <w:r>
        <w:rPr>
          <w:rFonts w:hint="eastAsia" w:ascii="仿宋" w:hAnsi="仿宋" w:eastAsia="仿宋" w:cs="仿宋"/>
          <w:color w:val="auto"/>
          <w:sz w:val="24"/>
          <w:szCs w:val="24"/>
          <w:highlight w:val="none"/>
        </w:rPr>
        <w:t>提交履约担保的</w:t>
      </w:r>
      <w:r>
        <w:rPr>
          <w:rFonts w:hint="eastAsia" w:ascii="仿宋" w:hAnsi="仿宋" w:eastAsia="仿宋" w:cs="仿宋"/>
          <w:color w:val="auto"/>
          <w:spacing w:val="4"/>
          <w:sz w:val="24"/>
          <w:szCs w:val="24"/>
          <w:highlight w:val="none"/>
        </w:rPr>
        <w:t>，视为放弃中标，</w:t>
      </w:r>
      <w:r>
        <w:rPr>
          <w:rFonts w:hint="eastAsia" w:ascii="仿宋" w:hAnsi="仿宋" w:eastAsia="仿宋" w:cs="仿宋"/>
          <w:color w:val="auto"/>
          <w:spacing w:val="2"/>
          <w:sz w:val="24"/>
          <w:szCs w:val="24"/>
          <w:highlight w:val="none"/>
        </w:rPr>
        <w:t>其投标保证金不予退还。</w:t>
      </w:r>
    </w:p>
    <w:p>
      <w:pPr>
        <w:adjustRightInd w:val="0"/>
        <w:snapToGrid w:val="0"/>
        <w:spacing w:line="44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18、签订合同</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采购人应自中标通知书发出之日起七日内，按指定的时间、地点与中标供应商签订政府采购合同。</w:t>
      </w:r>
    </w:p>
    <w:p>
      <w:pPr>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招标文件、中标供应商的投标文件均为签订合同的依据。</w:t>
      </w:r>
    </w:p>
    <w:p>
      <w:pPr>
        <w:adjustRightInd w:val="0"/>
        <w:snapToGrid w:val="0"/>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18.3 中标供应商</w:t>
      </w:r>
      <w:r>
        <w:rPr>
          <w:rFonts w:hint="eastAsia" w:ascii="仿宋" w:hAnsi="仿宋" w:eastAsia="仿宋" w:cs="仿宋"/>
          <w:bCs/>
          <w:color w:val="auto"/>
          <w:sz w:val="24"/>
          <w:szCs w:val="24"/>
          <w:highlight w:val="none"/>
        </w:rPr>
        <w:t>应当按照合同约定履行义务。</w:t>
      </w:r>
      <w:r>
        <w:rPr>
          <w:rFonts w:hint="eastAsia" w:ascii="仿宋" w:hAnsi="仿宋" w:eastAsia="仿宋" w:cs="仿宋"/>
          <w:color w:val="auto"/>
          <w:sz w:val="24"/>
          <w:szCs w:val="24"/>
          <w:highlight w:val="none"/>
        </w:rPr>
        <w:t>中标人</w:t>
      </w:r>
      <w:r>
        <w:rPr>
          <w:rFonts w:hint="eastAsia" w:ascii="仿宋" w:hAnsi="仿宋" w:eastAsia="仿宋" w:cs="仿宋"/>
          <w:bCs/>
          <w:color w:val="auto"/>
          <w:sz w:val="24"/>
          <w:szCs w:val="24"/>
          <w:highlight w:val="none"/>
        </w:rPr>
        <w:t>不得向他人分包中标项目（</w:t>
      </w:r>
      <w:r>
        <w:rPr>
          <w:rFonts w:hint="eastAsia" w:ascii="仿宋" w:hAnsi="仿宋" w:eastAsia="仿宋" w:cs="仿宋"/>
          <w:color w:val="auto"/>
          <w:sz w:val="24"/>
          <w:szCs w:val="24"/>
          <w:highlight w:val="none"/>
        </w:rPr>
        <w:t>政府采购支持中小企业发展等政策规定的除外</w:t>
      </w:r>
      <w:r>
        <w:rPr>
          <w:rFonts w:hint="eastAsia" w:ascii="仿宋" w:hAnsi="仿宋" w:eastAsia="仿宋" w:cs="仿宋"/>
          <w:bCs/>
          <w:color w:val="auto"/>
          <w:sz w:val="24"/>
          <w:szCs w:val="24"/>
          <w:highlight w:val="none"/>
        </w:rPr>
        <w:t>）。</w:t>
      </w:r>
    </w:p>
    <w:p>
      <w:pPr>
        <w:adjustRightInd w:val="0"/>
        <w:snapToGrid w:val="0"/>
        <w:spacing w:line="44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w:t>
      </w:r>
      <w:r>
        <w:rPr>
          <w:rFonts w:hint="eastAsia" w:ascii="仿宋" w:hAnsi="仿宋" w:eastAsia="仿宋" w:cs="仿宋"/>
          <w:b/>
          <w:color w:val="auto"/>
          <w:sz w:val="24"/>
          <w:szCs w:val="24"/>
          <w:highlight w:val="none"/>
        </w:rPr>
        <w:t xml:space="preserve"> 政府采购合同履行中</w:t>
      </w:r>
      <w:r>
        <w:rPr>
          <w:rFonts w:hint="eastAsia" w:ascii="仿宋" w:hAnsi="仿宋" w:eastAsia="仿宋" w:cs="仿宋"/>
          <w:b/>
          <w:bCs/>
          <w:color w:val="auto"/>
          <w:sz w:val="24"/>
          <w:szCs w:val="24"/>
          <w:highlight w:val="none"/>
        </w:rPr>
        <w:t>数量的变更</w:t>
      </w:r>
    </w:p>
    <w:p>
      <w:pPr>
        <w:pStyle w:val="29"/>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19.1政府采购合同履行中，采购人需追加与合同标的相同的货物服务的，在不改变合同其他条款的前提下，可以与中标供应商协商签订补充合同，但所有补充合同的采购金额不得超过原合同采购金额的百分之十。</w:t>
      </w:r>
    </w:p>
    <w:p>
      <w:pPr>
        <w:pStyle w:val="45"/>
        <w:adjustRightInd w:val="0"/>
        <w:snapToGrid w:val="0"/>
        <w:spacing w:before="0" w:beforeAutospacing="0" w:after="0" w:afterAutospacing="0" w:line="440" w:lineRule="exact"/>
        <w:outlineLvl w:val="1"/>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（十六）其他规定</w:t>
      </w:r>
    </w:p>
    <w:p>
      <w:pPr>
        <w:tabs>
          <w:tab w:val="left" w:pos="690"/>
          <w:tab w:val="left" w:pos="7560"/>
          <w:tab w:val="left" w:pos="7740"/>
          <w:tab w:val="left" w:pos="7920"/>
        </w:tabs>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1、招标代理服务费</w:t>
      </w:r>
    </w:p>
    <w:p>
      <w:pPr>
        <w:tabs>
          <w:tab w:val="left" w:pos="420"/>
          <w:tab w:val="left" w:pos="7560"/>
          <w:tab w:val="left" w:pos="7740"/>
          <w:tab w:val="left" w:pos="7920"/>
        </w:tabs>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1.1参照原国家计委《招标代理服务收费管理暂行办法的通知》（计价格［2002］1980号）文件、《国家发展改革委办公厅关于招标代理服务收费有关问题的通知》（发改办价格[2003]857号 ）中规定的收费标准下浮计取。</w:t>
      </w:r>
    </w:p>
    <w:p>
      <w:pPr>
        <w:tabs>
          <w:tab w:val="left" w:pos="420"/>
          <w:tab w:val="left" w:pos="7560"/>
          <w:tab w:val="left" w:pos="7740"/>
          <w:tab w:val="left" w:pos="7920"/>
        </w:tabs>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其他规定</w:t>
      </w:r>
    </w:p>
    <w:p>
      <w:pPr>
        <w:pStyle w:val="29"/>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2.1招标文件的其他规定见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p>
    <w:p>
      <w:pPr>
        <w:pStyle w:val="29"/>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采购人或采购代理机构可在中标人签订采购合同前通过“信用中国”网站、中国政府采购网、国家企业信用信息公示等渠道查询相关中标人及其主体的信用记录，对中标人被列入失信被执行人、重大税收违法案件当事人名单、政府采购严重违法失信行为记录名单及其他不符合《中华人民共和国政府采购法》第二十二条规定条件的供应商，采购人有权随时取消其中标资格和终止其合同签订及其履行。</w:t>
      </w:r>
    </w:p>
    <w:p>
      <w:pPr>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w:t>
      </w:r>
    </w:p>
    <w:p>
      <w:pPr>
        <w:spacing w:line="44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政府采购货物和服务招标投标管理办法》（财政部令第18号）》及有关规定，评标坚持公正、公平、公开及科学、择优的原则。采用百分制记分方法，根据排名先后确定中标供应商。</w:t>
      </w:r>
    </w:p>
    <w:p>
      <w:pPr>
        <w:pStyle w:val="278"/>
        <w:adjustRightInd w:val="0"/>
        <w:snapToGrid w:val="0"/>
        <w:spacing w:line="440" w:lineRule="exact"/>
        <w:ind w:firstLine="426" w:firstLineChars="177"/>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采用最低评标价法的采购项目</w:t>
      </w:r>
      <w:r>
        <w:rPr>
          <w:rFonts w:hint="eastAsia" w:ascii="仿宋" w:hAnsi="仿宋" w:eastAsia="仿宋" w:cs="仿宋"/>
          <w:bCs/>
          <w:color w:val="auto"/>
          <w:sz w:val="24"/>
          <w:szCs w:val="24"/>
          <w:highlight w:val="none"/>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78"/>
        <w:adjustRightInd w:val="0"/>
        <w:snapToGrid w:val="0"/>
        <w:spacing w:line="440" w:lineRule="exact"/>
        <w:ind w:firstLine="426" w:firstLineChars="177"/>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使用综合评分法的采购项目</w:t>
      </w:r>
      <w:r>
        <w:rPr>
          <w:rFonts w:hint="eastAsia" w:ascii="仿宋" w:hAnsi="仿宋" w:eastAsia="仿宋" w:cs="仿宋"/>
          <w:bCs/>
          <w:color w:val="auto"/>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78"/>
        <w:adjustRightInd w:val="0"/>
        <w:snapToGrid w:val="0"/>
        <w:spacing w:line="440" w:lineRule="exact"/>
        <w:ind w:firstLine="426" w:firstLineChars="177"/>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非单一产品采购项目</w:t>
      </w:r>
      <w:r>
        <w:rPr>
          <w:rFonts w:hint="eastAsia" w:ascii="仿宋" w:hAnsi="仿宋" w:eastAsia="仿宋" w:cs="仿宋"/>
          <w:bCs/>
          <w:color w:val="auto"/>
          <w:sz w:val="24"/>
          <w:szCs w:val="24"/>
          <w:highlight w:val="none"/>
        </w:rPr>
        <w:t>，采购人应当根据采购项目技术构成、产品价格比重等合理确定核心产品，并在招标文件中载明。多家投标人提供的核心产品品牌相同的，按前两款规定处理。(87号令第31条)</w:t>
      </w:r>
    </w:p>
    <w:p>
      <w:pPr>
        <w:pStyle w:val="278"/>
        <w:adjustRightInd w:val="0"/>
        <w:snapToGrid w:val="0"/>
        <w:spacing w:line="440" w:lineRule="exact"/>
        <w:ind w:firstLine="424" w:firstLineChars="17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pPr>
        <w:pStyle w:val="45"/>
        <w:adjustRightInd w:val="0"/>
        <w:snapToGrid w:val="0"/>
        <w:spacing w:before="0" w:beforeAutospacing="0" w:after="0" w:afterAutospacing="0" w:line="440" w:lineRule="exact"/>
        <w:jc w:val="both"/>
        <w:outlineLvl w:val="1"/>
        <w:rPr>
          <w:rFonts w:hint="eastAsia" w:ascii="仿宋" w:hAnsi="仿宋" w:eastAsia="仿宋" w:cs="仿宋"/>
          <w:b/>
          <w:bCs/>
          <w:color w:val="auto"/>
          <w:sz w:val="24"/>
          <w:szCs w:val="24"/>
          <w:highlight w:val="none"/>
        </w:rPr>
      </w:pPr>
      <w:bookmarkStart w:id="2" w:name="_Toc13139"/>
      <w:r>
        <w:rPr>
          <w:rFonts w:hint="eastAsia" w:ascii="仿宋" w:hAnsi="仿宋" w:eastAsia="仿宋" w:cs="仿宋"/>
          <w:b/>
          <w:color w:val="auto"/>
          <w:kern w:val="2"/>
          <w:sz w:val="24"/>
          <w:szCs w:val="24"/>
          <w:highlight w:val="none"/>
        </w:rPr>
        <w:t>（十七）</w:t>
      </w:r>
      <w:r>
        <w:rPr>
          <w:rFonts w:hint="eastAsia" w:ascii="仿宋" w:hAnsi="仿宋" w:eastAsia="仿宋" w:cs="仿宋"/>
          <w:b/>
          <w:bCs/>
          <w:color w:val="auto"/>
          <w:sz w:val="24"/>
          <w:szCs w:val="24"/>
          <w:highlight w:val="none"/>
        </w:rPr>
        <w:t>评标办法及评分标准</w:t>
      </w:r>
      <w:bookmarkEnd w:id="2"/>
    </w:p>
    <w:p>
      <w:pPr>
        <w:spacing w:line="440" w:lineRule="exact"/>
        <w:ind w:left="450" w:hanging="600" w:hangingChars="2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组建评审委员会</w:t>
      </w:r>
    </w:p>
    <w:p>
      <w:pPr>
        <w:pStyle w:val="29"/>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评标由依法组成的评标委员会负责。</w:t>
      </w:r>
    </w:p>
    <w:p>
      <w:pPr>
        <w:numPr>
          <w:ilvl w:val="0"/>
          <w:numId w:val="10"/>
        </w:numPr>
        <w:spacing w:line="44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评标的依据为招标文件和投标文件。</w:t>
      </w:r>
    </w:p>
    <w:p>
      <w:pPr>
        <w:numPr>
          <w:ilvl w:val="0"/>
          <w:numId w:val="10"/>
        </w:numPr>
        <w:spacing w:line="44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开标后评委会将组织审查投标文件是否完整，是否有计算错误，要求的保证金是否提供，文件是否恰当地签署。</w:t>
      </w:r>
    </w:p>
    <w:p>
      <w:pPr>
        <w:numPr>
          <w:ilvl w:val="0"/>
          <w:numId w:val="10"/>
        </w:numPr>
        <w:spacing w:line="44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在对投标文件进行详细评估之前，评委会将依据投标商提供的资格证明文件审查投标商的财务、技术和生产能力。如果确定投标商无资格履行合同，其投标将被拒绝。</w:t>
      </w:r>
    </w:p>
    <w:p>
      <w:pPr>
        <w:spacing w:line="440" w:lineRule="exact"/>
        <w:ind w:firstLine="3012" w:firstLineChars="125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投标文件符合性审查表</w:t>
      </w:r>
    </w:p>
    <w:tbl>
      <w:tblPr>
        <w:tblStyle w:val="51"/>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567"/>
        <w:gridCol w:w="5951"/>
        <w:gridCol w:w="709"/>
        <w:gridCol w:w="709"/>
        <w:gridCol w:w="708"/>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520"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  审  内  容</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投标人1</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投标人2</w:t>
            </w: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投标人3</w:t>
            </w: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34" w:type="dxa"/>
            <w:vMerge w:val="restart"/>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初</w:t>
            </w:r>
          </w:p>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步</w:t>
            </w:r>
          </w:p>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w:t>
            </w:r>
          </w:p>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w:t>
            </w:r>
          </w:p>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符</w:t>
            </w:r>
          </w:p>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w:t>
            </w:r>
          </w:p>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性</w:t>
            </w:r>
          </w:p>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w:t>
            </w:r>
          </w:p>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查</w:t>
            </w:r>
          </w:p>
          <w:p>
            <w:pPr>
              <w:shd w:val="clear" w:color="auto" w:fill="FFFFFF"/>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表</w:t>
            </w:r>
          </w:p>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w:t>
            </w: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投标文件是否按采购文件要求签字盖章；</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投标报价是否高于本项目的最高限价；</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投标人是否对同一招标项目做出两个以上报价且未明确效力的；</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投标文件的供货期是否满足采购文件要求；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投标保证金的缴纳主体是否与投标人一致、提供投标担保或者所提供的投标担保不符合采购文件要求；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项目负责人是否符合采购文件要求、并按采购文件要求提供相关资料；</w:t>
            </w:r>
            <w:r>
              <w:rPr>
                <w:rFonts w:hint="eastAsia" w:ascii="仿宋" w:hAnsi="仿宋" w:eastAsia="仿宋" w:cs="仿宋"/>
                <w:color w:val="auto"/>
                <w:sz w:val="24"/>
                <w:szCs w:val="24"/>
                <w:highlight w:val="none"/>
                <w:lang w:eastAsia="zh-CN"/>
              </w:rPr>
              <w:t>产品</w:t>
            </w:r>
            <w:r>
              <w:rPr>
                <w:rFonts w:hint="eastAsia" w:ascii="仿宋" w:hAnsi="仿宋" w:eastAsia="仿宋" w:cs="仿宋"/>
                <w:color w:val="auto"/>
                <w:sz w:val="24"/>
                <w:szCs w:val="24"/>
                <w:highlight w:val="none"/>
              </w:rPr>
              <w:t>授权书</w:t>
            </w:r>
            <w:r>
              <w:rPr>
                <w:rFonts w:hint="eastAsia" w:ascii="仿宋" w:hAnsi="仿宋" w:eastAsia="仿宋" w:cs="仿宋"/>
                <w:bCs/>
                <w:color w:val="auto"/>
                <w:sz w:val="24"/>
                <w:szCs w:val="24"/>
                <w:highlight w:val="none"/>
              </w:rPr>
              <w:t>是否符合采购文件要求</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并按采购文件要求提供相关资料；</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投标文件封面右上角是否注明“正本”或“副本”字样；</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投标承诺书是否按采购文件规定格式完整提供、且按采购文件要求签字或盖章；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法定代表人身份证明书及法定代表人授权委托书是否按采购文件规定格式完整提供、并按采购文件要求签字或盖章。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企业信誉是否满足采购文件的要求</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投标文件是否附有采购人不能接受的条件</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技术服务等是否满足采购文件要求；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是否满足采购文件实质性要求的其他情形</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结论：是否通过初步评审</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初步评审合格后方可进入详细评审阶段</w:t>
            </w:r>
            <w:r>
              <w:rPr>
                <w:rFonts w:hint="eastAsia" w:ascii="仿宋" w:hAnsi="仿宋" w:eastAsia="仿宋" w:cs="仿宋"/>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9831" w:type="dxa"/>
            <w:gridSpan w:val="7"/>
            <w:tcBorders>
              <w:top w:val="single" w:color="auto" w:sz="4" w:space="0"/>
              <w:left w:val="single" w:color="auto" w:sz="4" w:space="0"/>
              <w:bottom w:val="single" w:color="auto" w:sz="4" w:space="0"/>
              <w:right w:val="single" w:color="auto" w:sz="4" w:space="0"/>
            </w:tcBorders>
          </w:tcPr>
          <w:p>
            <w:pPr>
              <w:shd w:val="clear" w:color="auto" w:fill="FFFFFF"/>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评标委员会成员签名：</w:t>
            </w:r>
          </w:p>
          <w:p>
            <w:pPr>
              <w:shd w:val="clear" w:color="auto" w:fill="FFFFFF"/>
              <w:spacing w:line="44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44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numPr>
          <w:ilvl w:val="0"/>
          <w:numId w:val="10"/>
        </w:numPr>
        <w:spacing w:line="44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利和投标商的义务的规定，而纠正这些偏离将影响到其他提交实质性响应投标的投标商的公平竞争地位。其中，供应商的报价超出采购预算的、供应商未按招标文件要求提供完整资料的，均视为未实质性响应招标文件的要求，其投标文件可能被拒绝或导致废标。</w:t>
      </w:r>
    </w:p>
    <w:p>
      <w:pPr>
        <w:numPr>
          <w:ilvl w:val="0"/>
          <w:numId w:val="10"/>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对投标文件的评估和比较</w:t>
      </w:r>
    </w:p>
    <w:p>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投标文件的评估和比较分为两步进行，评标委员会按照招标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评价指标及权重：</w:t>
      </w:r>
    </w:p>
    <w:tbl>
      <w:tblPr>
        <w:tblStyle w:val="51"/>
        <w:tblW w:w="9212" w:type="dxa"/>
        <w:jc w:val="center"/>
        <w:tblLayout w:type="fixed"/>
        <w:tblCellMar>
          <w:top w:w="0" w:type="dxa"/>
          <w:left w:w="0" w:type="dxa"/>
          <w:bottom w:w="0" w:type="dxa"/>
          <w:right w:w="0" w:type="dxa"/>
        </w:tblCellMar>
      </w:tblPr>
      <w:tblGrid>
        <w:gridCol w:w="2537"/>
        <w:gridCol w:w="2614"/>
        <w:gridCol w:w="1728"/>
        <w:gridCol w:w="2333"/>
      </w:tblGrid>
      <w:tr>
        <w:tblPrEx>
          <w:tblCellMar>
            <w:top w:w="0" w:type="dxa"/>
            <w:left w:w="0" w:type="dxa"/>
            <w:bottom w:w="0" w:type="dxa"/>
            <w:right w:w="0" w:type="dxa"/>
          </w:tblCellMar>
        </w:tblPrEx>
        <w:trPr>
          <w:trHeight w:val="382" w:hRule="atLeast"/>
          <w:jc w:val="center"/>
        </w:trPr>
        <w:tc>
          <w:tcPr>
            <w:tcW w:w="25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4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评分项目</w:t>
            </w:r>
          </w:p>
        </w:tc>
        <w:tc>
          <w:tcPr>
            <w:tcW w:w="2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4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技术评分</w:t>
            </w:r>
          </w:p>
        </w:tc>
        <w:tc>
          <w:tcPr>
            <w:tcW w:w="17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4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商务评分</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4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价格评分</w:t>
            </w:r>
          </w:p>
        </w:tc>
      </w:tr>
      <w:tr>
        <w:tblPrEx>
          <w:tblCellMar>
            <w:top w:w="0" w:type="dxa"/>
            <w:left w:w="0" w:type="dxa"/>
            <w:bottom w:w="0" w:type="dxa"/>
            <w:right w:w="0" w:type="dxa"/>
          </w:tblCellMar>
        </w:tblPrEx>
        <w:trPr>
          <w:trHeight w:val="402" w:hRule="atLeast"/>
          <w:jc w:val="center"/>
        </w:trPr>
        <w:tc>
          <w:tcPr>
            <w:tcW w:w="25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4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c>
          <w:tcPr>
            <w:tcW w:w="2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4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55分</w:t>
            </w:r>
          </w:p>
        </w:tc>
        <w:tc>
          <w:tcPr>
            <w:tcW w:w="17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4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15分</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4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30分</w:t>
            </w:r>
          </w:p>
        </w:tc>
      </w:tr>
    </w:tbl>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价格部分（30分）</w:t>
      </w:r>
    </w:p>
    <w:p>
      <w:p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投标报价的初步评审：</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依据《中华人民共和国招投标法》第33条、第41条及财政部令第87号（以下简称87号令）第六十条、《反不正当竞争法》中相关法律条款的内容规定。投标人须积极响应相关法律条文规定。</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当投标报价明显低于其他投标报价时，评标委员会将对其进行重点评审。评标委员会认为低于成本价的，应当要求该投标</w:t>
      </w:r>
      <w:bookmarkStart w:id="34" w:name="_GoBack"/>
      <w:bookmarkEnd w:id="34"/>
      <w:r>
        <w:rPr>
          <w:rFonts w:hint="eastAsia" w:ascii="仿宋" w:hAnsi="仿宋" w:eastAsia="仿宋" w:cs="仿宋"/>
          <w:color w:val="auto"/>
          <w:sz w:val="24"/>
          <w:szCs w:val="24"/>
          <w:highlight w:val="none"/>
        </w:rPr>
        <w:t>人作出书面说明并提供证明不低于其研发、生产、制造成本的证明材料（要求：①证明材料必须能符合或优于本项目所采购货物的实际情况；②证明材料必须以扫描件的形式插入投标文件相关章节中；③证明材料的原件开标时须携带备查；④提供证明材料的期限为竞标当日评标开始至评标结束，逾期不作任何解释；⑤证明材料的真实性必须有依据，以备当场核查）。投标人不能合理说明或者不能提供相关证明材料的，由评标委员会认定该投标人以低于成本报价竞价，应当否决其投标。</w:t>
      </w:r>
    </w:p>
    <w:p>
      <w:p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投标报价得分的评分方法：</w:t>
      </w:r>
    </w:p>
    <w:p>
      <w:pPr>
        <w:widowControl/>
        <w:spacing w:line="440" w:lineRule="exact"/>
        <w:ind w:firstLine="544" w:firstLineChars="2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只对通过评标委员会对投标报价的初步评审的投标企业进入价格得分计算；</w:t>
      </w:r>
    </w:p>
    <w:p>
      <w:pPr>
        <w:widowControl/>
        <w:spacing w:line="440" w:lineRule="exact"/>
        <w:ind w:firstLine="544" w:firstLineChars="2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低价优先法计算，即满足招标文件要求且经评审的投标价格最低的投标报价为评标基准价，其价格得分为满分。其他投标人的价格得分统一按照下列公式计算：价格得分=（评标基准价/投标报价）×30%×100，如此类推，算出所有投标供应商的价格得分。</w:t>
      </w:r>
    </w:p>
    <w:p>
      <w:pPr>
        <w:widowControl/>
        <w:spacing w:line="440" w:lineRule="exact"/>
        <w:ind w:firstLine="544" w:firstLineChars="227"/>
        <w:jc w:val="left"/>
        <w:rPr>
          <w:rFonts w:hint="eastAsia" w:ascii="仿宋" w:hAnsi="仿宋" w:eastAsia="仿宋" w:cs="仿宋"/>
          <w:color w:val="auto"/>
          <w:sz w:val="24"/>
          <w:szCs w:val="24"/>
          <w:highlight w:val="none"/>
        </w:rPr>
      </w:pPr>
    </w:p>
    <w:p>
      <w:pPr>
        <w:widowControl/>
        <w:spacing w:line="440" w:lineRule="exact"/>
        <w:ind w:firstLine="544" w:firstLineChars="2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法律、法规、规章和省级以上财政部门涉及政府采购政策功能及其他规定，见投标人须知前附表。评委会应根据招标文件规定，优先推荐节能环保产品，优先考虑中小企业。</w:t>
      </w:r>
    </w:p>
    <w:p>
      <w:pPr>
        <w:widowControl/>
        <w:spacing w:line="440" w:lineRule="exact"/>
        <w:ind w:firstLine="544" w:firstLineChars="2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投标人获得相应政府采购政策优惠的，应提供相关证明材料。</w:t>
      </w:r>
    </w:p>
    <w:p>
      <w:pPr>
        <w:widowControl/>
        <w:spacing w:line="440" w:lineRule="exact"/>
        <w:ind w:firstLine="544" w:firstLineChars="2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对中小微企业执行财库〔2011〕181号文件的规定，对其投标报价按6%扣除后的价格作为其评标价。不符合财库〔2011〕181号文件的规定企业的产品价格不予扣除，其投标报价即为评标价。</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评分细则</w:t>
      </w:r>
    </w:p>
    <w:p>
      <w:pPr>
        <w:spacing w:line="440" w:lineRule="exact"/>
        <w:rPr>
          <w:rFonts w:hint="eastAsia" w:ascii="仿宋" w:hAnsi="仿宋" w:eastAsia="仿宋" w:cs="仿宋"/>
          <w:color w:val="auto"/>
          <w:sz w:val="24"/>
          <w:szCs w:val="24"/>
          <w:highlight w:val="none"/>
        </w:rPr>
      </w:pPr>
    </w:p>
    <w:tbl>
      <w:tblPr>
        <w:tblStyle w:val="51"/>
        <w:tblW w:w="935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001"/>
        <w:gridCol w:w="2212"/>
        <w:gridCol w:w="61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31" w:hRule="atLeast"/>
          <w:jc w:val="center"/>
        </w:trPr>
        <w:tc>
          <w:tcPr>
            <w:tcW w:w="1001"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评审项目</w:t>
            </w:r>
          </w:p>
        </w:tc>
        <w:tc>
          <w:tcPr>
            <w:tcW w:w="2212"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标准分</w:t>
            </w:r>
          </w:p>
        </w:tc>
        <w:tc>
          <w:tcPr>
            <w:tcW w:w="6137"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  分  标  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474" w:hRule="atLeast"/>
          <w:jc w:val="center"/>
        </w:trPr>
        <w:tc>
          <w:tcPr>
            <w:tcW w:w="1001"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报价部分</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2212"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评标价格（30分）</w:t>
            </w:r>
          </w:p>
        </w:tc>
        <w:tc>
          <w:tcPr>
            <w:tcW w:w="6137"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（1）确定评审基准价：自所有投标人的有效报价中，满足招标文件要求且投标价格最低的投标报价为评标基准价。</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（2）各投标人的报价得分=（评标基准价/各投标人的投标报价）×30</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若投标人投标报价超出采购预算的，作为无效投标处理。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92" w:hRule="atLeast"/>
          <w:jc w:val="center"/>
        </w:trPr>
        <w:tc>
          <w:tcPr>
            <w:tcW w:w="9350" w:type="dxa"/>
            <w:gridSpan w:val="3"/>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商务部分（15分）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00" w:hRule="atLeast"/>
          <w:jc w:val="center"/>
        </w:trPr>
        <w:tc>
          <w:tcPr>
            <w:tcW w:w="1001" w:type="dxa"/>
            <w:vMerge w:val="restart"/>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（15分）</w:t>
            </w:r>
          </w:p>
        </w:tc>
        <w:tc>
          <w:tcPr>
            <w:tcW w:w="2212" w:type="dxa"/>
            <w:tcBorders>
              <w:bottom w:val="single" w:color="auto" w:sz="4" w:space="0"/>
            </w:tcBorders>
            <w:vAlign w:val="center"/>
          </w:tcPr>
          <w:p>
            <w:pPr>
              <w:adjustRightInd w:val="0"/>
              <w:snapToGrid w:val="0"/>
              <w:spacing w:line="44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近三年业绩（6分）</w:t>
            </w:r>
          </w:p>
        </w:tc>
        <w:tc>
          <w:tcPr>
            <w:tcW w:w="6137" w:type="dxa"/>
            <w:tcBorders>
              <w:bottom w:val="single" w:color="auto" w:sz="4" w:space="0"/>
            </w:tcBorders>
            <w:vAlign w:val="center"/>
          </w:tcPr>
          <w:p>
            <w:pPr>
              <w:adjustRightInd w:val="0"/>
              <w:snapToGrid w:val="0"/>
              <w:spacing w:line="44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提供近三年投标产品业绩，需提供中标通知书和合同或协议，不提供不得分，（2018年6月至今，以合同或协议签字日期为准）在中国境内的销售业绩进行评价，有1项业绩得1分，最高得6分。</w:t>
            </w:r>
          </w:p>
          <w:p>
            <w:pPr>
              <w:adjustRightInd w:val="0"/>
              <w:snapToGrid w:val="0"/>
              <w:spacing w:line="44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注：1、投标人需提供中标通知书（中标通知书）、采购合同或协议（含首页、采购设备品牌型号页，签字和盖章页）复印件，否则业绩不予认可。</w:t>
            </w:r>
          </w:p>
          <w:p>
            <w:pPr>
              <w:adjustRightInd w:val="0"/>
              <w:snapToGrid w:val="0"/>
              <w:spacing w:line="44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2、投标产品销售给经销商或代理商的销售业绩不予认可。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001" w:type="dxa"/>
            <w:vMerge w:val="continue"/>
            <w:vAlign w:val="center"/>
          </w:tcPr>
          <w:p>
            <w:pPr>
              <w:spacing w:line="440" w:lineRule="exact"/>
              <w:jc w:val="center"/>
              <w:rPr>
                <w:rFonts w:hint="eastAsia" w:ascii="仿宋" w:hAnsi="仿宋" w:eastAsia="仿宋" w:cs="仿宋"/>
                <w:color w:val="auto"/>
                <w:sz w:val="24"/>
                <w:szCs w:val="24"/>
                <w:highlight w:val="none"/>
              </w:rPr>
            </w:pPr>
          </w:p>
        </w:tc>
        <w:tc>
          <w:tcPr>
            <w:tcW w:w="2212" w:type="dxa"/>
            <w:tcBorders>
              <w:top w:val="single" w:color="auto" w:sz="4" w:space="0"/>
            </w:tcBorders>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对招标文件商务条款的响应程度（2分）</w:t>
            </w:r>
          </w:p>
        </w:tc>
        <w:tc>
          <w:tcPr>
            <w:tcW w:w="6137" w:type="dxa"/>
            <w:tcBorders>
              <w:top w:val="single" w:color="auto" w:sz="4" w:space="0"/>
            </w:tcBorders>
            <w:vAlign w:val="center"/>
          </w:tcPr>
          <w:p>
            <w:pPr>
              <w:adjustRightInd w:val="0"/>
              <w:snapToGrid w:val="0"/>
              <w:spacing w:line="44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响应全面，全部符合，得2分，响应不全面或有不符合的情况适当减分，最低分为0分。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001" w:type="dxa"/>
            <w:vMerge w:val="continue"/>
            <w:vAlign w:val="center"/>
          </w:tcPr>
          <w:p>
            <w:pPr>
              <w:spacing w:line="440" w:lineRule="exact"/>
              <w:jc w:val="center"/>
              <w:rPr>
                <w:rFonts w:hint="eastAsia" w:ascii="仿宋" w:hAnsi="仿宋" w:eastAsia="仿宋" w:cs="仿宋"/>
                <w:color w:val="auto"/>
                <w:sz w:val="24"/>
                <w:szCs w:val="24"/>
                <w:highlight w:val="none"/>
              </w:rPr>
            </w:pPr>
          </w:p>
        </w:tc>
        <w:tc>
          <w:tcPr>
            <w:tcW w:w="2212" w:type="dxa"/>
            <w:tcBorders>
              <w:top w:val="single" w:color="auto" w:sz="4" w:space="0"/>
            </w:tcBorders>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政府采购节约能源、环境保护评分（1分）</w:t>
            </w:r>
          </w:p>
        </w:tc>
        <w:tc>
          <w:tcPr>
            <w:tcW w:w="6137" w:type="dxa"/>
            <w:tcBorders>
              <w:top w:val="single" w:color="auto" w:sz="4" w:space="0"/>
            </w:tcBorders>
            <w:vAlign w:val="center"/>
          </w:tcPr>
          <w:p>
            <w:pPr>
              <w:adjustRightInd w:val="0"/>
              <w:snapToGrid w:val="0"/>
              <w:spacing w:line="44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政府采购的强制采购产品除外：（1）投标产品属于财政部、发展改革委公布的“节能产品政府采购品目清单”范围的，且投标人出具了国家确定的认证机构出具的、处于有效期之内的节能产品认证证书的得0.5分；不是的为0分；</w:t>
            </w:r>
          </w:p>
          <w:p>
            <w:pPr>
              <w:adjustRightInd w:val="0"/>
              <w:snapToGrid w:val="0"/>
              <w:spacing w:line="44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（2）投标产品属于财政部、生态环境部公布的“环境标志产品政府采购品目清单”范围的，且投标人出具了国家确定的认证机构出具的、处于有效期之内的节能产品认证证书的得0.5分；不是的为0分；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001" w:type="dxa"/>
            <w:vMerge w:val="continue"/>
            <w:vAlign w:val="center"/>
          </w:tcPr>
          <w:p>
            <w:pPr>
              <w:spacing w:line="440" w:lineRule="exact"/>
              <w:jc w:val="center"/>
              <w:rPr>
                <w:rFonts w:hint="eastAsia" w:ascii="仿宋" w:hAnsi="仿宋" w:eastAsia="仿宋" w:cs="仿宋"/>
                <w:color w:val="auto"/>
                <w:sz w:val="24"/>
                <w:szCs w:val="24"/>
                <w:highlight w:val="none"/>
              </w:rPr>
            </w:pPr>
          </w:p>
        </w:tc>
        <w:tc>
          <w:tcPr>
            <w:tcW w:w="2212" w:type="dxa"/>
            <w:tcBorders>
              <w:top w:val="single" w:color="auto" w:sz="4" w:space="0"/>
            </w:tcBorders>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售后服务体系（5分）</w:t>
            </w:r>
          </w:p>
          <w:p>
            <w:pPr>
              <w:spacing w:line="440" w:lineRule="exact"/>
              <w:jc w:val="center"/>
              <w:rPr>
                <w:rFonts w:hint="eastAsia" w:ascii="仿宋" w:hAnsi="仿宋" w:eastAsia="仿宋" w:cs="仿宋"/>
                <w:color w:val="auto"/>
                <w:sz w:val="24"/>
                <w:szCs w:val="24"/>
                <w:highlight w:val="none"/>
              </w:rPr>
            </w:pPr>
          </w:p>
        </w:tc>
        <w:tc>
          <w:tcPr>
            <w:tcW w:w="6137" w:type="dxa"/>
            <w:tcBorders>
              <w:top w:val="single" w:color="auto" w:sz="4" w:space="0"/>
            </w:tcBorders>
            <w:vAlign w:val="center"/>
          </w:tcPr>
          <w:p>
            <w:pPr>
              <w:pStyle w:val="399"/>
              <w:spacing w:line="44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1.具有多名专职维修工程师，保证设备的日常维护及故障排除（2分）；</w:t>
            </w:r>
          </w:p>
          <w:p>
            <w:pPr>
              <w:pStyle w:val="399"/>
              <w:spacing w:line="44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2.生产厂家在疆内设有售后服务机构（1分），拥有完善的售后服务保障体系（1分），设有常驻专业维修工程师以提供技术服务支持（1分）</w:t>
            </w:r>
          </w:p>
          <w:p>
            <w:pPr>
              <w:adjustRightInd w:val="0"/>
              <w:snapToGrid w:val="0"/>
              <w:spacing w:line="44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附相应证明材料，否则不得分。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001" w:type="dxa"/>
            <w:vMerge w:val="continue"/>
            <w:vAlign w:val="center"/>
          </w:tcPr>
          <w:p>
            <w:pPr>
              <w:spacing w:line="440" w:lineRule="exact"/>
              <w:jc w:val="center"/>
              <w:rPr>
                <w:rFonts w:hint="eastAsia" w:ascii="仿宋" w:hAnsi="仿宋" w:eastAsia="仿宋" w:cs="仿宋"/>
                <w:color w:val="auto"/>
                <w:sz w:val="24"/>
                <w:szCs w:val="24"/>
                <w:highlight w:val="none"/>
              </w:rPr>
            </w:pPr>
          </w:p>
        </w:tc>
        <w:tc>
          <w:tcPr>
            <w:tcW w:w="2212" w:type="dxa"/>
            <w:tcBorders>
              <w:top w:val="single" w:color="auto" w:sz="4" w:space="0"/>
            </w:tcBorders>
            <w:vAlign w:val="center"/>
          </w:tcPr>
          <w:p>
            <w:pPr>
              <w:pStyle w:val="399"/>
              <w:spacing w:line="44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服务承诺（1分）</w:t>
            </w:r>
          </w:p>
        </w:tc>
        <w:tc>
          <w:tcPr>
            <w:tcW w:w="6137" w:type="dxa"/>
            <w:tcBorders>
              <w:top w:val="single" w:color="auto" w:sz="4" w:space="0"/>
            </w:tcBorders>
            <w:vAlign w:val="center"/>
          </w:tcPr>
          <w:p>
            <w:pPr>
              <w:pStyle w:val="399"/>
              <w:spacing w:line="44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投标人提供的设备满足本项目质保期要求，质保期每增加1年加1分。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9350" w:type="dxa"/>
            <w:gridSpan w:val="3"/>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技术部分（55分）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1001" w:type="dxa"/>
            <w:vMerge w:val="restart"/>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（55分）</w:t>
            </w:r>
          </w:p>
        </w:tc>
        <w:tc>
          <w:tcPr>
            <w:tcW w:w="2212" w:type="dxa"/>
            <w:vAlign w:val="center"/>
          </w:tcPr>
          <w:p>
            <w:pPr>
              <w:adjustRightInd w:val="0"/>
              <w:snapToGrid w:val="0"/>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对招标文件技术规格要求的响应程度（35分）</w:t>
            </w:r>
          </w:p>
        </w:tc>
        <w:tc>
          <w:tcPr>
            <w:tcW w:w="6137" w:type="dxa"/>
            <w:vAlign w:val="center"/>
          </w:tcPr>
          <w:p>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技术规格响应全部满足招标要求的为35分，*条款不满足的扣5分，非*条款不满足的扣3分，扣完为止。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1001" w:type="dxa"/>
            <w:vMerge w:val="continue"/>
            <w:vAlign w:val="center"/>
          </w:tcPr>
          <w:p>
            <w:pPr>
              <w:adjustRightInd w:val="0"/>
              <w:snapToGrid w:val="0"/>
              <w:spacing w:line="440" w:lineRule="exact"/>
              <w:jc w:val="center"/>
              <w:rPr>
                <w:rFonts w:hint="eastAsia" w:ascii="仿宋" w:hAnsi="仿宋" w:eastAsia="仿宋" w:cs="仿宋"/>
                <w:bCs/>
                <w:color w:val="auto"/>
                <w:sz w:val="24"/>
                <w:szCs w:val="24"/>
                <w:highlight w:val="none"/>
              </w:rPr>
            </w:pPr>
          </w:p>
        </w:tc>
        <w:tc>
          <w:tcPr>
            <w:tcW w:w="2212" w:type="dxa"/>
            <w:vAlign w:val="center"/>
          </w:tcPr>
          <w:p>
            <w:pPr>
              <w:adjustRightInd w:val="0"/>
              <w:snapToGrid w:val="0"/>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技术先进性（5分）</w:t>
            </w:r>
          </w:p>
        </w:tc>
        <w:tc>
          <w:tcPr>
            <w:tcW w:w="6137" w:type="dxa"/>
            <w:vAlign w:val="center"/>
          </w:tcPr>
          <w:p>
            <w:pPr>
              <w:spacing w:line="4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以利于医疗工作需要为前提，关键性参数高于招标要求的，每项1分，加满为止；否则不得分，有负偏离者，正偏离项不加分。</w:t>
            </w:r>
          </w:p>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其他有利于临床工作需求的优惠条件，有得2分，没有不得分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304" w:hRule="atLeast"/>
          <w:jc w:val="center"/>
        </w:trPr>
        <w:tc>
          <w:tcPr>
            <w:tcW w:w="1001" w:type="dxa"/>
            <w:vMerge w:val="continue"/>
            <w:vAlign w:val="center"/>
          </w:tcPr>
          <w:p>
            <w:pPr>
              <w:spacing w:line="440" w:lineRule="exact"/>
              <w:jc w:val="center"/>
              <w:rPr>
                <w:rFonts w:hint="eastAsia" w:ascii="仿宋" w:hAnsi="仿宋" w:eastAsia="仿宋" w:cs="仿宋"/>
                <w:color w:val="auto"/>
                <w:sz w:val="24"/>
                <w:szCs w:val="24"/>
                <w:highlight w:val="none"/>
              </w:rPr>
            </w:pPr>
          </w:p>
        </w:tc>
        <w:tc>
          <w:tcPr>
            <w:tcW w:w="2212"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产品性能（10分）</w:t>
            </w:r>
          </w:p>
        </w:tc>
        <w:tc>
          <w:tcPr>
            <w:tcW w:w="6137"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根据所投产品在日常使用中的情况进行评分，科学合理、详细完整,技术指标配置提供齐全，能够详细说明投标货物的计10分。配置欠合理、不详，技术参数不清，缺漏项的，每处扣1分,扣完为止。有偏离的,每项扣1分,扣完为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377" w:hRule="atLeast"/>
          <w:jc w:val="center"/>
        </w:trPr>
        <w:tc>
          <w:tcPr>
            <w:tcW w:w="1001" w:type="dxa"/>
            <w:vMerge w:val="continue"/>
            <w:vAlign w:val="center"/>
          </w:tcPr>
          <w:p>
            <w:pPr>
              <w:spacing w:line="440" w:lineRule="exact"/>
              <w:jc w:val="center"/>
              <w:rPr>
                <w:rFonts w:hint="eastAsia" w:ascii="仿宋" w:hAnsi="仿宋" w:eastAsia="仿宋" w:cs="仿宋"/>
                <w:color w:val="auto"/>
                <w:sz w:val="24"/>
                <w:szCs w:val="24"/>
                <w:highlight w:val="none"/>
              </w:rPr>
            </w:pPr>
          </w:p>
        </w:tc>
        <w:tc>
          <w:tcPr>
            <w:tcW w:w="2212" w:type="dxa"/>
            <w:vAlign w:val="center"/>
          </w:tcPr>
          <w:p>
            <w:pPr>
              <w:pStyle w:val="397"/>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整体配置（5分）</w:t>
            </w:r>
          </w:p>
        </w:tc>
        <w:tc>
          <w:tcPr>
            <w:tcW w:w="6137" w:type="dxa"/>
            <w:vAlign w:val="center"/>
          </w:tcPr>
          <w:p>
            <w:pPr>
              <w:spacing w:line="4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投货物配置科学合理、详细完整,技术指标配置提供齐全，安装调试计划及实施各阶段的人员配备情况。详细计5分。配置欠合理、不详，技术参数不清，缺漏项的，每处扣1分,扣完为止。有偏离的,每项扣1分,扣完为止</w:t>
            </w:r>
          </w:p>
        </w:tc>
      </w:tr>
    </w:tbl>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6、评标过程的保密性</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spacing w:line="440" w:lineRule="exact"/>
        <w:ind w:left="414" w:hanging="552" w:hangingChars="2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7、投标商在评标过程中，所进行的力图影响评标结果的不符合《招投标法》、《政府采购法》及本次招标中有关规定的活动，将被取消其中标资格。</w:t>
      </w:r>
    </w:p>
    <w:p>
      <w:pPr>
        <w:adjustRightInd w:val="0"/>
        <w:snapToGrid w:val="0"/>
        <w:spacing w:line="440" w:lineRule="exact"/>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22澄清有关问题</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对投标文件中含义不明确、同类问题表述不一致或者有明显文字和计算错误的内容，评标委员会将以书面形式通知投标人做出必要的澄清、说明，但不得超出投标文件的范围或对投标文件做实质性的修改（计算错误修正除外）。评标委员会不接受投标人主动提出的澄清、说明。</w:t>
      </w:r>
    </w:p>
    <w:p>
      <w:pPr>
        <w:tabs>
          <w:tab w:val="left" w:pos="0"/>
        </w:tabs>
        <w:adjustRightInd w:val="0"/>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22.2投标人不得对下列内容</w:t>
      </w:r>
      <w:r>
        <w:rPr>
          <w:rFonts w:hint="eastAsia" w:ascii="仿宋" w:hAnsi="仿宋" w:eastAsia="仿宋" w:cs="仿宋"/>
          <w:bCs/>
          <w:color w:val="auto"/>
          <w:sz w:val="24"/>
          <w:szCs w:val="24"/>
          <w:highlight w:val="none"/>
        </w:rPr>
        <w:t>其进行澄清或补充：</w:t>
      </w:r>
    </w:p>
    <w:p>
      <w:pPr>
        <w:tabs>
          <w:tab w:val="left" w:pos="0"/>
        </w:tabs>
        <w:adjustRightInd w:val="0"/>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（1）开标时，</w:t>
      </w:r>
      <w:r>
        <w:rPr>
          <w:rFonts w:hint="eastAsia" w:ascii="仿宋" w:hAnsi="仿宋" w:eastAsia="仿宋" w:cs="仿宋"/>
          <w:bCs/>
          <w:color w:val="auto"/>
          <w:sz w:val="24"/>
          <w:szCs w:val="24"/>
          <w:highlight w:val="none"/>
        </w:rPr>
        <w:t>未宣读的投标价格、价格折扣和</w:t>
      </w:r>
      <w:r>
        <w:rPr>
          <w:rFonts w:hint="eastAsia" w:ascii="仿宋" w:hAnsi="仿宋" w:eastAsia="仿宋" w:cs="仿宋"/>
          <w:color w:val="auto"/>
          <w:sz w:val="24"/>
          <w:szCs w:val="24"/>
          <w:highlight w:val="none"/>
        </w:rPr>
        <w:t>第一章“投标须知”第16.3</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允许提</w:t>
      </w:r>
      <w:r>
        <w:rPr>
          <w:rFonts w:hint="eastAsia" w:ascii="仿宋" w:hAnsi="仿宋" w:eastAsia="仿宋" w:cs="仿宋"/>
          <w:color w:val="auto"/>
          <w:sz w:val="24"/>
          <w:szCs w:val="24"/>
          <w:highlight w:val="none"/>
        </w:rPr>
        <w:t>交</w:t>
      </w:r>
      <w:r>
        <w:rPr>
          <w:rFonts w:hint="eastAsia" w:ascii="仿宋" w:hAnsi="仿宋" w:eastAsia="仿宋" w:cs="仿宋"/>
          <w:bCs/>
          <w:color w:val="auto"/>
          <w:sz w:val="24"/>
          <w:szCs w:val="24"/>
          <w:highlight w:val="none"/>
        </w:rPr>
        <w:t>的备选方案等实质性内容。</w:t>
      </w:r>
    </w:p>
    <w:p>
      <w:pPr>
        <w:tabs>
          <w:tab w:val="left" w:pos="0"/>
        </w:tabs>
        <w:adjustRightInd w:val="0"/>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（2）不满足第一章投标须知第10.2</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sz w:val="24"/>
          <w:szCs w:val="24"/>
          <w:highlight w:val="none"/>
        </w:rPr>
        <w:t>实质性要求的</w:t>
      </w:r>
      <w:r>
        <w:rPr>
          <w:rFonts w:hint="eastAsia" w:ascii="仿宋" w:hAnsi="仿宋" w:eastAsia="仿宋" w:cs="仿宋"/>
          <w:bCs/>
          <w:color w:val="auto"/>
          <w:sz w:val="24"/>
          <w:szCs w:val="24"/>
          <w:highlight w:val="none"/>
        </w:rPr>
        <w:t>投标文件内容</w:t>
      </w:r>
      <w:r>
        <w:rPr>
          <w:rFonts w:hint="eastAsia" w:ascii="仿宋" w:hAnsi="仿宋" w:eastAsia="仿宋" w:cs="仿宋"/>
          <w:color w:val="auto"/>
          <w:sz w:val="24"/>
          <w:szCs w:val="24"/>
          <w:highlight w:val="none"/>
        </w:rPr>
        <w:t>，</w:t>
      </w:r>
    </w:p>
    <w:p>
      <w:pPr>
        <w:tabs>
          <w:tab w:val="left" w:pos="0"/>
        </w:tabs>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 计算错误将按以下方法修正：如果投标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投标人拒绝接受上述修正，在评标时将其视为无效投标。</w:t>
      </w:r>
    </w:p>
    <w:p>
      <w:pPr>
        <w:tabs>
          <w:tab w:val="left" w:pos="0"/>
        </w:tabs>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 投标人的澄清、说明或者补正应该采用书面形式，由法定代表人或其授权的代理人签字，并按评标委员会的通知要求递交。</w:t>
      </w:r>
    </w:p>
    <w:p>
      <w:pPr>
        <w:tabs>
          <w:tab w:val="left" w:pos="0"/>
        </w:tabs>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 有效的书面澄清材料，是投标文件的补充材料，成为投标文件的组成部分。</w:t>
      </w:r>
    </w:p>
    <w:p>
      <w:pPr>
        <w:widowControl/>
        <w:adjustRightInd w:val="0"/>
        <w:snapToGrid w:val="0"/>
        <w:spacing w:line="44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推荐中标候选人名单</w:t>
      </w:r>
    </w:p>
    <w:p>
      <w:pPr>
        <w:tabs>
          <w:tab w:val="left" w:pos="0"/>
        </w:tabs>
        <w:adjustRightInd w:val="0"/>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bCs/>
          <w:color w:val="auto"/>
          <w:sz w:val="24"/>
          <w:szCs w:val="24"/>
          <w:highlight w:val="none"/>
        </w:rPr>
        <w:t>按评审后得分由高到低顺序排列。得分相同的，按投标报价由低到高顺序排列。得分且投标报价相同的，按技术指标优劣顺序排列。</w:t>
      </w:r>
    </w:p>
    <w:p>
      <w:pPr>
        <w:tabs>
          <w:tab w:val="left" w:pos="0"/>
        </w:tabs>
        <w:adjustRightInd w:val="0"/>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23.2</w:t>
      </w:r>
      <w:r>
        <w:rPr>
          <w:rFonts w:hint="eastAsia" w:ascii="仿宋" w:hAnsi="仿宋" w:eastAsia="仿宋" w:cs="仿宋"/>
          <w:color w:val="auto"/>
          <w:sz w:val="24"/>
          <w:szCs w:val="24"/>
          <w:highlight w:val="none"/>
        </w:rPr>
        <w:t>中标候选人数量为1-3名，本次招标采购推荐的中标候选人数量见</w:t>
      </w:r>
      <w:r>
        <w:rPr>
          <w:rFonts w:hint="eastAsia" w:ascii="仿宋" w:hAnsi="仿宋" w:eastAsia="仿宋" w:cs="仿宋"/>
          <w:b/>
          <w:color w:val="auto"/>
          <w:sz w:val="24"/>
          <w:szCs w:val="24"/>
          <w:highlight w:val="none"/>
        </w:rPr>
        <w:t>投标人须知前附表。</w:t>
      </w:r>
    </w:p>
    <w:p>
      <w:pPr>
        <w:tabs>
          <w:tab w:val="left" w:pos="0"/>
        </w:tabs>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编写评标报告</w:t>
      </w:r>
    </w:p>
    <w:p>
      <w:pPr>
        <w:tabs>
          <w:tab w:val="left" w:pos="0"/>
        </w:tabs>
        <w:adjustRightInd w:val="0"/>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24.1评标委员会根据全体评标成员签字的原始评标记录和评标结果编写评标报告</w:t>
      </w:r>
    </w:p>
    <w:p>
      <w:pPr>
        <w:tabs>
          <w:tab w:val="left" w:pos="0"/>
        </w:tabs>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九、合同授予</w:t>
      </w:r>
    </w:p>
    <w:p>
      <w:pPr>
        <w:tabs>
          <w:tab w:val="left" w:pos="8820"/>
          <w:tab w:val="left" w:pos="9345"/>
          <w:tab w:val="left" w:pos="9765"/>
        </w:tabs>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bCs/>
          <w:color w:val="auto"/>
          <w:sz w:val="24"/>
          <w:szCs w:val="24"/>
          <w:highlight w:val="none"/>
        </w:rPr>
        <w:t>定义</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（1）采购人(以下称甲方)是指使用财政性资金，通过政府采购程序向供应商购买货物、服务的国家机关、事业单位、团体组织。本次采购的甲方名称、地址见</w:t>
      </w:r>
      <w:r>
        <w:rPr>
          <w:rFonts w:hint="eastAsia" w:ascii="仿宋" w:hAnsi="仿宋" w:eastAsia="仿宋" w:cs="仿宋"/>
          <w:b/>
          <w:color w:val="auto"/>
          <w:sz w:val="24"/>
          <w:szCs w:val="24"/>
          <w:highlight w:val="none"/>
        </w:rPr>
        <w:t>投标人须知前附表。</w:t>
      </w:r>
    </w:p>
    <w:p>
      <w:pPr>
        <w:autoSpaceDE w:val="0"/>
        <w:autoSpaceDN w:val="0"/>
        <w:adjustRightInd w:val="0"/>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（2）供应商(以下称乙方)是指参加政府采购活动而取得中标或中标结果，并向采购人提供货物、服务的法人、其他组织或者自然人。</w:t>
      </w:r>
    </w:p>
    <w:p>
      <w:pPr>
        <w:tabs>
          <w:tab w:val="left" w:pos="570"/>
          <w:tab w:val="left" w:pos="9240"/>
          <w:tab w:val="left" w:pos="9555"/>
        </w:tabs>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pPr>
        <w:tabs>
          <w:tab w:val="left" w:pos="570"/>
          <w:tab w:val="left" w:pos="9240"/>
          <w:tab w:val="left" w:pos="9555"/>
        </w:tabs>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（1）“合同”系指甲乙双方签署的、政府采购合同协议书中载明的甲乙双方所达成的协议，包括所有的附件、附录和上述文件所提到的构成合同的所有文件。</w:t>
      </w:r>
    </w:p>
    <w:p>
      <w:pPr>
        <w:tabs>
          <w:tab w:val="left" w:pos="570"/>
          <w:tab w:val="left" w:pos="9240"/>
          <w:tab w:val="left" w:pos="9555"/>
        </w:tabs>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（2）“合同价”系指根据本合同规定乙方在正确地完全履行合同义务后甲方应支付给乙方的价款。</w:t>
      </w:r>
    </w:p>
    <w:p>
      <w:pPr>
        <w:tabs>
          <w:tab w:val="left" w:pos="570"/>
          <w:tab w:val="left" w:pos="9240"/>
          <w:tab w:val="left" w:pos="9555"/>
        </w:tabs>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（3）“货物”系指乙方根据本合同规定须向甲方提供的各种形态和种类的物品，包括原材料、设备、产品(包括软件)及相关的其备品备件、工具、手册及其他技术资料和材料。</w:t>
      </w:r>
    </w:p>
    <w:p>
      <w:pPr>
        <w:tabs>
          <w:tab w:val="left" w:pos="570"/>
          <w:tab w:val="left" w:pos="8880"/>
          <w:tab w:val="left" w:pos="9555"/>
        </w:tabs>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（4）“伴随服务”系指根据本合同规定乙方承担与供货有关的辅助服务，如运输、保</w:t>
      </w:r>
      <w:r>
        <w:rPr>
          <w:rFonts w:hint="eastAsia" w:ascii="仿宋" w:hAnsi="仿宋" w:eastAsia="仿宋" w:cs="仿宋"/>
          <w:color w:val="auto"/>
          <w:spacing w:val="2"/>
          <w:sz w:val="24"/>
          <w:szCs w:val="24"/>
          <w:highlight w:val="none"/>
        </w:rPr>
        <w:t>险以及其他的伴随服务，例如安装、调试、提供技术</w:t>
      </w:r>
      <w:r>
        <w:rPr>
          <w:rFonts w:hint="eastAsia" w:ascii="仿宋" w:hAnsi="仿宋" w:eastAsia="仿宋" w:cs="仿宋"/>
          <w:color w:val="auto"/>
          <w:sz w:val="24"/>
          <w:szCs w:val="24"/>
          <w:highlight w:val="none"/>
        </w:rPr>
        <w:t>协</w:t>
      </w:r>
      <w:r>
        <w:rPr>
          <w:rFonts w:hint="eastAsia" w:ascii="仿宋" w:hAnsi="仿宋" w:eastAsia="仿宋" w:cs="仿宋"/>
          <w:color w:val="auto"/>
          <w:spacing w:val="2"/>
          <w:sz w:val="24"/>
          <w:szCs w:val="24"/>
          <w:highlight w:val="none"/>
        </w:rPr>
        <w:t>助、培训和合同中规定</w:t>
      </w:r>
      <w:r>
        <w:rPr>
          <w:rFonts w:hint="eastAsia" w:ascii="仿宋" w:hAnsi="仿宋" w:eastAsia="仿宋" w:cs="仿宋"/>
          <w:color w:val="auto"/>
          <w:sz w:val="24"/>
          <w:szCs w:val="24"/>
          <w:highlight w:val="none"/>
        </w:rPr>
        <w:t>乙方应承担的其他义务。</w:t>
      </w:r>
    </w:p>
    <w:p>
      <w:pPr>
        <w:tabs>
          <w:tab w:val="left" w:pos="570"/>
          <w:tab w:val="left" w:pos="9240"/>
          <w:tab w:val="left" w:pos="9555"/>
        </w:tabs>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（5）“合同条款”系指本合同条款。</w:t>
      </w:r>
    </w:p>
    <w:p>
      <w:pPr>
        <w:tabs>
          <w:tab w:val="left" w:pos="570"/>
          <w:tab w:val="left" w:pos="9240"/>
          <w:tab w:val="left" w:pos="9555"/>
        </w:tabs>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（6）“项目现场”系指本合同项下货物安装、运行的现场，其名称在</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指明。</w:t>
      </w:r>
    </w:p>
    <w:p>
      <w:pPr>
        <w:autoSpaceDE w:val="0"/>
        <w:autoSpaceDN w:val="0"/>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2.合同的适用范围</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本合同条款适用于没有被本合同其他部分的条款所取代的范围。</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合同内容根据招标文件、投标文件而确定。</w:t>
      </w:r>
    </w:p>
    <w:p>
      <w:pPr>
        <w:autoSpaceDE w:val="0"/>
        <w:autoSpaceDN w:val="0"/>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color w:val="auto"/>
          <w:sz w:val="24"/>
          <w:szCs w:val="24"/>
          <w:highlight w:val="none"/>
        </w:rPr>
        <w:t>合同标的及金额</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合同标的及金额应与中标或中标结果一致。</w:t>
      </w:r>
    </w:p>
    <w:p>
      <w:pPr>
        <w:autoSpaceDE w:val="0"/>
        <w:autoSpaceDN w:val="0"/>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color w:val="auto"/>
          <w:sz w:val="24"/>
          <w:szCs w:val="24"/>
          <w:highlight w:val="none"/>
        </w:rPr>
        <w:t>合同价款</w:t>
      </w:r>
    </w:p>
    <w:p>
      <w:pPr>
        <w:adjustRightInd w:val="0"/>
        <w:snapToGrid w:val="0"/>
        <w:spacing w:line="440" w:lineRule="exact"/>
        <w:ind w:firstLine="560"/>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rPr>
        <w:t>4.1具体合同价款见本合同第3.1条。乙方为履行本合同而发生的所有费用均应包含在合同价款中</w:t>
      </w:r>
      <w:r>
        <w:rPr>
          <w:rFonts w:hint="eastAsia" w:ascii="仿宋" w:hAnsi="仿宋" w:eastAsia="仿宋" w:cs="仿宋"/>
          <w:b/>
          <w:color w:val="auto"/>
          <w:sz w:val="24"/>
          <w:szCs w:val="24"/>
          <w:highlight w:val="none"/>
        </w:rPr>
        <w:t>(固定总价合同)</w:t>
      </w:r>
      <w:r>
        <w:rPr>
          <w:rFonts w:hint="eastAsia" w:ascii="仿宋" w:hAnsi="仿宋" w:eastAsia="仿宋" w:cs="仿宋"/>
          <w:color w:val="auto"/>
          <w:sz w:val="24"/>
          <w:szCs w:val="24"/>
          <w:highlight w:val="none"/>
        </w:rPr>
        <w:t>，甲方不再另行支付其他任何费用。</w:t>
      </w:r>
    </w:p>
    <w:p>
      <w:pPr>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5.履行合同的时间、地点和方式</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乙方应当在甲方确定的时间、指定的地点履行合同，具体的交货时间、地点和方式见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乙方提供服务的应当在甲方指定的地点完成服务项目。</w:t>
      </w:r>
    </w:p>
    <w:p>
      <w:pPr>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w:t>
      </w:r>
      <w:r>
        <w:rPr>
          <w:rFonts w:hint="eastAsia" w:ascii="仿宋" w:hAnsi="仿宋" w:eastAsia="仿宋" w:cs="仿宋"/>
          <w:b/>
          <w:color w:val="auto"/>
          <w:sz w:val="24"/>
          <w:szCs w:val="24"/>
          <w:highlight w:val="none"/>
        </w:rPr>
        <w:t>货物的验收</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甲方在收到乙方交付的货物后应当及时组织验收。</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货物的表面瑕疵，甲方应在验收时当面提出；对质量问题有异议的应在安装调试后十个工作日内提出。</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 在验收过程中发现数量不足或有质量、技术等问题，乙方应负责按照甲方的要求采取补足、更换或退货等处理措施，并承担由此发生的一切费用和损失。</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 甲方在乙方按合同规定交货或安装、调试后，无正当理由而拖延接收、验收或拒绝接收、验收的，应承担因此给乙方造成的直接损失。</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6.5 甲方对货物进行检查验收合格后，应当收取发票并在《交货验收单》上签署验收意见及加盖单位印章。</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6.6 大型或者复杂的货物采购项目，甲方可以邀请国家认可的质量检测机构参加验收工作，并由其出具验收报告单。</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6.7 乙方提供的进口产品，乙方应出示中华人民共和国进出口商品检验部门出具的检验证书（招标文件第三章“采购需求”另有约定的除外）。</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6.8</w:t>
      </w:r>
      <w:r>
        <w:rPr>
          <w:rFonts w:hint="eastAsia" w:ascii="仿宋" w:hAnsi="仿宋" w:eastAsia="仿宋" w:cs="仿宋"/>
          <w:color w:val="auto"/>
          <w:kern w:val="0"/>
          <w:sz w:val="24"/>
          <w:szCs w:val="24"/>
          <w:highlight w:val="none"/>
        </w:rPr>
        <w:t>政府采购当事人在合同履约和验收工作中，应当自觉接受财政部门和对政府采购负有行政监督职责的政府其他有关部门的监督检查,</w:t>
      </w:r>
      <w:r>
        <w:rPr>
          <w:rFonts w:hint="eastAsia" w:ascii="仿宋" w:hAnsi="仿宋" w:eastAsia="仿宋" w:cs="仿宋"/>
          <w:color w:val="auto"/>
          <w:sz w:val="24"/>
          <w:szCs w:val="24"/>
          <w:highlight w:val="none"/>
        </w:rPr>
        <w:t>在合同履约验收工作中合同当事人有下列情形的，将追究相关违法、违纪责任：</w:t>
      </w:r>
    </w:p>
    <w:p>
      <w:pPr>
        <w:spacing w:line="440" w:lineRule="exact"/>
        <w:ind w:firstLine="552" w:firstLineChars="2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（1）甲方无正当理由推迟项目验收时间的；</w:t>
      </w:r>
    </w:p>
    <w:p>
      <w:pPr>
        <w:spacing w:line="440" w:lineRule="exact"/>
        <w:ind w:firstLine="552" w:firstLineChars="2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（2）甲乙双方相互串通通过减少货物数量、调换物品、更改配置、降低服务标准或虚开发票等手段，套取财政资金的；</w:t>
      </w:r>
    </w:p>
    <w:p>
      <w:pPr>
        <w:spacing w:line="440" w:lineRule="exact"/>
        <w:ind w:firstLine="348" w:firstLineChars="1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0"/>
          <w:sz w:val="24"/>
          <w:szCs w:val="24"/>
          <w:highlight w:val="none"/>
        </w:rPr>
        <w:t>发现问题未向财政部门反映，私自与对方协商改变中标、中标结果的；</w:t>
      </w:r>
    </w:p>
    <w:p>
      <w:pPr>
        <w:spacing w:line="440" w:lineRule="exact"/>
        <w:ind w:firstLine="348" w:firstLineChars="1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（4）行贿、受贿或谋取不正当利益的；</w:t>
      </w:r>
    </w:p>
    <w:p>
      <w:pPr>
        <w:spacing w:line="440" w:lineRule="exact"/>
        <w:ind w:firstLine="348" w:firstLineChars="145"/>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（5）拒绝有关部门依法实施监督检查的。</w:t>
      </w:r>
    </w:p>
    <w:p>
      <w:pPr>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7.货物包装要求</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每一个包装箱内应附一份详细装箱单、质量证书和保修保养证书。</w:t>
      </w:r>
    </w:p>
    <w:p>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8.运输和保险</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8.1乙方负责办理将货物运抵本合同第5.1条规定的交货地点的一切运输事项，相关费用应包括在合同总价中。</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8.2乙方应向保险公司投保以甲方为受益人的发运合同货物发票金额的110％运输一切险。</w:t>
      </w:r>
    </w:p>
    <w:p>
      <w:pPr>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9.质量标准和保证</w:t>
      </w:r>
    </w:p>
    <w:p>
      <w:pPr>
        <w:pStyle w:val="29"/>
        <w:adjustRightInd w:val="0"/>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9.1 质量标准</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（1）本合同下交付的货物应符合第三章“采购需求”所述的标准。如果没有提及适用标准，则应符合中华人民共和国有关机构发布的最新版本的标准。</w:t>
      </w:r>
    </w:p>
    <w:p>
      <w:pPr>
        <w:pStyle w:val="29"/>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（3）乙方所出售的货物还应符合国家有关安全、环保、卫生之规定。</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保证</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规定或乙方承诺（两者以较长的为准）的质量保证期内，本保证保持有效。</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（3）乙方收到通知后应在</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规定的响应时间内以合理的速度免费维修或更换有缺陷的货物或部件。</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pPr>
        <w:adjustRightInd w:val="0"/>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（5）乙方在约定的时间内未能弥补缺陷，甲方可采取必要的补救措施，但其风险和费用将由乙方承担，甲方根据合同规定对乙方行使的其他权利不受影响。</w:t>
      </w:r>
    </w:p>
    <w:p>
      <w:pPr>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10.权利瑕疵担保</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乙方保证对其出售的货物享有合法的权利。</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 乙方保证在其出售的货物上不存在任何未曾向甲方透露的担保物权，如抵押权、质押权、留置权等。</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如甲方使用该货物构成上述侵权的，则由乙方承担全部责任。</w:t>
      </w:r>
    </w:p>
    <w:p>
      <w:pPr>
        <w:autoSpaceDE w:val="0"/>
        <w:autoSpaceDN w:val="0"/>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11.知识产权保护</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乙方对其所销售的货物应当享有知识产权或经权利人合法授权，保证没有侵犯任何第三人的知识产权和商业秘密等权利。</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甲方使用乙方提供的货物对第三人构成侵权的，应当由乙方承担全部法律责任，给甲方造成损害的，乙方应当承担赔偿责任。</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甲方委托乙方开发的产品，甲方享有知识产权，未经甲方许可不得转让任何第三人。</w:t>
      </w:r>
    </w:p>
    <w:p>
      <w:pPr>
        <w:autoSpaceDE w:val="0"/>
        <w:autoSpaceDN w:val="0"/>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12.保密义务</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甲、乙双方在采购和履行合同过程中所获悉的对方属于保密的内容，双方均有保密义务。</w:t>
      </w:r>
    </w:p>
    <w:p>
      <w:pPr>
        <w:autoSpaceDE w:val="0"/>
        <w:autoSpaceDN w:val="0"/>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13.合同价款支付</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13.1验收合格后，乙方出具正规发票给甲方，凭甲方开具的《政府采购合同验收报告单》办理合同价</w:t>
      </w:r>
      <w:r>
        <w:rPr>
          <w:rFonts w:hint="eastAsia" w:ascii="仿宋" w:hAnsi="仿宋" w:eastAsia="仿宋" w:cs="仿宋"/>
          <w:bCs/>
          <w:color w:val="auto"/>
          <w:sz w:val="24"/>
          <w:szCs w:val="24"/>
          <w:highlight w:val="none"/>
        </w:rPr>
        <w:t>款</w:t>
      </w:r>
      <w:r>
        <w:rPr>
          <w:rFonts w:hint="eastAsia" w:ascii="仿宋" w:hAnsi="仿宋" w:eastAsia="仿宋" w:cs="仿宋"/>
          <w:color w:val="auto"/>
          <w:sz w:val="24"/>
          <w:szCs w:val="24"/>
          <w:highlight w:val="none"/>
        </w:rPr>
        <w:t>结算手续。</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合同价款构成中应当由财政支付的部分，甲方应当在货物验收合格后的十五个工作日内向国库管理部门申请支付，经国库管理部门审核后直接支付给乙方。</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合同价款构成中应当由甲方自行支付的部分，甲方应当在货物验收合格后十五个工作内支付。</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13.4支付合同价</w:t>
      </w:r>
      <w:r>
        <w:rPr>
          <w:rFonts w:hint="eastAsia" w:ascii="仿宋" w:hAnsi="仿宋" w:eastAsia="仿宋" w:cs="仿宋"/>
          <w:bCs/>
          <w:color w:val="auto"/>
          <w:sz w:val="24"/>
          <w:szCs w:val="24"/>
          <w:highlight w:val="none"/>
        </w:rPr>
        <w:t>款</w:t>
      </w:r>
      <w:r>
        <w:rPr>
          <w:rFonts w:hint="eastAsia" w:ascii="仿宋" w:hAnsi="仿宋" w:eastAsia="仿宋" w:cs="仿宋"/>
          <w:color w:val="auto"/>
          <w:sz w:val="24"/>
          <w:szCs w:val="24"/>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合同价款支付方式</w:t>
      </w:r>
      <w:r>
        <w:rPr>
          <w:rFonts w:hint="eastAsia" w:ascii="仿宋" w:hAnsi="仿宋" w:eastAsia="仿宋" w:cs="仿宋"/>
          <w:bCs/>
          <w:color w:val="auto"/>
          <w:sz w:val="24"/>
          <w:szCs w:val="24"/>
          <w:highlight w:val="none"/>
        </w:rPr>
        <w:t>和条件在</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中另有规定。</w:t>
      </w:r>
    </w:p>
    <w:p>
      <w:pPr>
        <w:autoSpaceDE w:val="0"/>
        <w:autoSpaceDN w:val="0"/>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color w:val="auto"/>
          <w:sz w:val="24"/>
          <w:szCs w:val="24"/>
          <w:highlight w:val="none"/>
        </w:rPr>
        <w:t>伴随服务</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乙方应向甲方提交所提供货物的技术文件，包括相应的中文技术文件，如：产品目录、图纸、操作手册、使用说明、维护手册或服务指南。这些文件应包装好随同货物一起发运。</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乙方还应提供下列服务：</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（3）在合同各方商定的一定期限内对所有的货物实施运行监督、维修，但前提条件是该服务并不能免除乙方在质量保证期内所承担的义务；</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（4）在制造商或项目现场就货物的安装、启动、运营、维护对甲方操作人员进行培训。</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与第三章“采购需求”规定的其他伴随服务</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乙方提供的伴随服务的费用应包含在合同价款中，甲方不再另行支付。</w:t>
      </w:r>
    </w:p>
    <w:p>
      <w:pPr>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15.违约责任</w:t>
      </w:r>
    </w:p>
    <w:p>
      <w:pPr>
        <w:adjustRightInd w:val="0"/>
        <w:snapToGrid w:val="0"/>
        <w:spacing w:line="44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15.1质量瑕疵的补救措施和索赔</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①乙方同意退货并将货款退还给甲方，由此发生的一切费用和损失由乙方承担。</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②根据货物的质量状况以及甲方所遭受的损失，经过甲乙双方商定降低货物的价格。</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autoSpaceDE w:val="0"/>
        <w:autoSpaceDN w:val="0"/>
        <w:adjustRightInd w:val="0"/>
        <w:snapToGrid w:val="0"/>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 迟延交货的违约责任</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（2）除本合同</w:t>
      </w:r>
      <w:r>
        <w:rPr>
          <w:rFonts w:hint="eastAsia" w:ascii="仿宋" w:hAnsi="仿宋" w:eastAsia="仿宋" w:cs="仿宋"/>
          <w:bCs/>
          <w:color w:val="auto"/>
          <w:sz w:val="24"/>
          <w:szCs w:val="24"/>
          <w:highlight w:val="none"/>
        </w:rPr>
        <w:t>第20条</w:t>
      </w:r>
      <w:r>
        <w:rPr>
          <w:rFonts w:hint="eastAsia" w:ascii="仿宋" w:hAnsi="仿宋" w:eastAsia="仿宋" w:cs="仿宋"/>
          <w:color w:val="auto"/>
          <w:sz w:val="24"/>
          <w:szCs w:val="24"/>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autoSpaceDE w:val="0"/>
        <w:autoSpaceDN w:val="0"/>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16.合同的变更</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在合同履行过程中，甲、乙双方可就合同履行的时间、地点和方式等协商进行变更。协商一致后，双方应签订书面的补充协议。</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在不改变合同其他条款的前提下，甲方有权在合同价款百分之十的范围内追加与合同标的相同的货物或服务，并就此与乙方签订补充合同，乙方不得拒绝。</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 除双方签署书面协议，并成为合同不可分割的一部分外，本合同条件不得有任何变更。</w:t>
      </w:r>
    </w:p>
    <w:p>
      <w:pPr>
        <w:autoSpaceDE w:val="0"/>
        <w:autoSpaceDN w:val="0"/>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17.合同中止与终止</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17.1合同的中止</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（1）合同在履行过程中，因采购计划调整，甲方可以要求中止履行，待计划确定后继续履行；</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（2）合同履行过程中因供应商就采购过程或结果提起投诉的，甲方认为有必要或财政部门责令中止的，应当中止合同的履行。</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17.2合同的终止</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（2）乙方未能依照本合同约定条件履行合同，已构成根本性违约的，甲方有权终止本合同，并追究乙方的违约责任。</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（3）如果乙方丧失履约能力或被宣告破产，甲方可在任何时候以书面形式通知乙方终止合同而不给乙方补偿。</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（4）如果乙方在履行合同过程中有不正当竞争行为，甲方有权解除合同，并按《中华人民共和国反不正当竞争法》规定由有关部门追究其法律责任。</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（5）如果合同的履行将损害国家利益或社会公共利益，甲方有权终止合同的履行，给乙方造成损失的予以相应补偿。</w:t>
      </w:r>
    </w:p>
    <w:p>
      <w:pPr>
        <w:autoSpaceDE w:val="0"/>
        <w:autoSpaceDN w:val="0"/>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18.合同转让和分包</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乙方不得以任何形式将合同约定的乙方义务转包。</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乙方未在投标文件中说明，不得将</w:t>
      </w:r>
      <w:r>
        <w:rPr>
          <w:rFonts w:hint="eastAsia" w:ascii="仿宋" w:hAnsi="仿宋" w:eastAsia="仿宋" w:cs="仿宋"/>
          <w:bCs/>
          <w:color w:val="auto"/>
          <w:sz w:val="24"/>
          <w:szCs w:val="24"/>
          <w:highlight w:val="none"/>
        </w:rPr>
        <w:t>合同约定的乙方义务</w:t>
      </w:r>
      <w:r>
        <w:rPr>
          <w:rFonts w:hint="eastAsia" w:ascii="仿宋" w:hAnsi="仿宋" w:eastAsia="仿宋" w:cs="仿宋"/>
          <w:color w:val="auto"/>
          <w:sz w:val="24"/>
          <w:szCs w:val="24"/>
          <w:highlight w:val="none"/>
        </w:rPr>
        <w:t>分包给他人。</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根据政府采购</w:t>
      </w:r>
      <w:r>
        <w:rPr>
          <w:rFonts w:hint="eastAsia" w:ascii="仿宋" w:hAnsi="仿宋" w:eastAsia="仿宋" w:cs="仿宋"/>
          <w:bCs/>
          <w:color w:val="auto"/>
          <w:kern w:val="0"/>
          <w:sz w:val="24"/>
          <w:szCs w:val="24"/>
          <w:highlight w:val="none"/>
        </w:rPr>
        <w:t>支持</w:t>
      </w:r>
      <w:r>
        <w:rPr>
          <w:rFonts w:hint="eastAsia" w:ascii="仿宋" w:hAnsi="仿宋" w:eastAsia="仿宋" w:cs="仿宋"/>
          <w:color w:val="auto"/>
          <w:sz w:val="24"/>
          <w:szCs w:val="24"/>
          <w:highlight w:val="none"/>
        </w:rPr>
        <w:t>中小企业发展政策规定，经甲方同意，获得政府采购合同的大型企业可依法向中小企业分包。</w:t>
      </w:r>
    </w:p>
    <w:p>
      <w:pPr>
        <w:autoSpaceDE w:val="0"/>
        <w:autoSpaceDN w:val="0"/>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19.供应商的广告或宣传</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未经甲方事先书面许可，乙方不得以履行本政府采购合同为由，以广告或其他形式宣称其是政府采购指定供应商或其产品是政府采购指定产品。</w:t>
      </w:r>
    </w:p>
    <w:p>
      <w:pPr>
        <w:autoSpaceDE w:val="0"/>
        <w:autoSpaceDN w:val="0"/>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20.不可抗力</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不可抗力是指合同双方不可预见、不可避免、不可克服的自然灾害和社会事件。</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任何一方对由于不可抗力造成的部分或全部不能履行合同不承担违约责任。但迟延履行后发生不可抗力的，不能免除责任。</w:t>
      </w:r>
    </w:p>
    <w:p>
      <w:pPr>
        <w:pStyle w:val="278"/>
        <w:adjustRightInd w:val="0"/>
        <w:snapToGrid w:val="0"/>
        <w:spacing w:line="44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遇有不可抗力的一方，应在三日内将事件的情况以书面形式通知另一方，并在事件发生后十日内，向另一方提交合同不能履行或部分不能履行或需要延期履行理由的报告。</w:t>
      </w:r>
    </w:p>
    <w:p>
      <w:pPr>
        <w:autoSpaceDE w:val="0"/>
        <w:autoSpaceDN w:val="0"/>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21.解决争议的方法</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合同各方应通过友好协商，解决在执行合同过程中所发生的或与合同有关的一切争端。如从协商开始后十日内仍不能解决，可以向财政部门提请调解。</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调解不成可以按</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中规定下列方式之一提起仲裁或诉讼：</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（1）向甲方所在地仲裁机构提起仲裁；</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（2）向甲方所在地人民法院提起诉讼。</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如仲裁或诉讼事项不影响合同其他部分的履行，则在仲裁或诉讼期间，除正在进行仲裁或诉讼的部分外，合同的其他部分应继续执行。</w:t>
      </w:r>
    </w:p>
    <w:p>
      <w:pPr>
        <w:autoSpaceDE w:val="0"/>
        <w:autoSpaceDN w:val="0"/>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22.法律适用</w:t>
      </w:r>
    </w:p>
    <w:p>
      <w:pPr>
        <w:autoSpaceDE w:val="0"/>
        <w:autoSpaceDN w:val="0"/>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本合同适用中华人民共和国现行法律、行政法规和规章，如合同条款与法律、行政法规和规章不一致的，按照法律、行政法规和规章修改本合同。</w:t>
      </w:r>
    </w:p>
    <w:p>
      <w:pPr>
        <w:autoSpaceDE w:val="0"/>
        <w:autoSpaceDN w:val="0"/>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23.</w:t>
      </w:r>
      <w:r>
        <w:rPr>
          <w:rFonts w:hint="eastAsia" w:ascii="仿宋" w:hAnsi="仿宋" w:eastAsia="仿宋" w:cs="仿宋"/>
          <w:b/>
          <w:color w:val="auto"/>
          <w:sz w:val="24"/>
          <w:szCs w:val="24"/>
          <w:highlight w:val="none"/>
        </w:rPr>
        <w:t>通知</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23.1本合同一方给另一方的通知均应采用书面形式，传真或快递送到本合同中规定的对方的地址和办理签收手续，</w:t>
      </w:r>
    </w:p>
    <w:p>
      <w:pPr>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23.2通知以送到之日或通知书中规定的生效之日起生效，两者中以较迟之日为准。</w:t>
      </w:r>
    </w:p>
    <w:p>
      <w:pPr>
        <w:adjustRightInd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24.合同未尽事项</w:t>
      </w:r>
    </w:p>
    <w:p>
      <w:pPr>
        <w:adjustRightInd w:val="0"/>
        <w:snapToGrid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24.1合同未尽事项见</w:t>
      </w:r>
      <w:r>
        <w:rPr>
          <w:rFonts w:hint="eastAsia" w:ascii="仿宋" w:hAnsi="仿宋" w:eastAsia="仿宋" w:cs="仿宋"/>
          <w:b/>
          <w:color w:val="auto"/>
          <w:sz w:val="24"/>
          <w:szCs w:val="24"/>
          <w:highlight w:val="none"/>
        </w:rPr>
        <w:t>投标人须知前附表。</w:t>
      </w:r>
    </w:p>
    <w:p>
      <w:pPr>
        <w:adjustRightInd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25.合同份数及生效</w:t>
      </w:r>
    </w:p>
    <w:p>
      <w:pPr>
        <w:adjustRightInd w:val="0"/>
        <w:snapToGrid w:val="0"/>
        <w:spacing w:line="44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25.1合同份数见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p>
    <w:p>
      <w:pPr>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25.2合同自甲乙双方法定代表人或授权代表签字并加盖单位公章之日起生效。</w:t>
      </w:r>
    </w:p>
    <w:p>
      <w:pPr>
        <w:snapToGrid w:val="0"/>
        <w:spacing w:line="440" w:lineRule="exact"/>
        <w:jc w:val="center"/>
        <w:rPr>
          <w:rFonts w:hint="eastAsia" w:ascii="仿宋" w:hAnsi="仿宋" w:eastAsia="仿宋" w:cs="仿宋"/>
          <w:b/>
          <w:color w:val="auto"/>
          <w:sz w:val="24"/>
          <w:szCs w:val="24"/>
          <w:highlight w:val="none"/>
        </w:rPr>
      </w:pPr>
    </w:p>
    <w:p>
      <w:pPr>
        <w:snapToGrid w:val="0"/>
        <w:spacing w:line="440" w:lineRule="exact"/>
        <w:jc w:val="center"/>
        <w:rPr>
          <w:rFonts w:hint="eastAsia" w:ascii="仿宋" w:hAnsi="仿宋" w:eastAsia="仿宋" w:cs="仿宋"/>
          <w:b/>
          <w:color w:val="auto"/>
          <w:sz w:val="24"/>
          <w:szCs w:val="24"/>
          <w:highlight w:val="none"/>
        </w:rPr>
      </w:pPr>
    </w:p>
    <w:p>
      <w:pPr>
        <w:snapToGrid w:val="0"/>
        <w:spacing w:line="440" w:lineRule="exact"/>
        <w:jc w:val="center"/>
        <w:rPr>
          <w:rFonts w:hint="eastAsia" w:ascii="仿宋" w:hAnsi="仿宋" w:eastAsia="仿宋" w:cs="仿宋"/>
          <w:b/>
          <w:color w:val="auto"/>
          <w:sz w:val="24"/>
          <w:szCs w:val="24"/>
          <w:highlight w:val="none"/>
        </w:rPr>
      </w:pPr>
    </w:p>
    <w:p>
      <w:pPr>
        <w:snapToGrid w:val="0"/>
        <w:spacing w:line="440" w:lineRule="exact"/>
        <w:jc w:val="center"/>
        <w:rPr>
          <w:rFonts w:hint="eastAsia" w:ascii="仿宋" w:hAnsi="仿宋" w:eastAsia="仿宋" w:cs="仿宋"/>
          <w:b/>
          <w:color w:val="auto"/>
          <w:sz w:val="24"/>
          <w:szCs w:val="24"/>
          <w:highlight w:val="none"/>
        </w:rPr>
      </w:pPr>
    </w:p>
    <w:p>
      <w:pPr>
        <w:snapToGrid w:val="0"/>
        <w:spacing w:line="440" w:lineRule="exact"/>
        <w:jc w:val="center"/>
        <w:rPr>
          <w:rFonts w:hint="eastAsia" w:ascii="仿宋" w:hAnsi="仿宋" w:eastAsia="仿宋" w:cs="仿宋"/>
          <w:b/>
          <w:color w:val="auto"/>
          <w:sz w:val="24"/>
          <w:szCs w:val="24"/>
          <w:highlight w:val="none"/>
        </w:rPr>
      </w:pPr>
    </w:p>
    <w:p>
      <w:pPr>
        <w:snapToGrid w:val="0"/>
        <w:spacing w:line="440" w:lineRule="exact"/>
        <w:jc w:val="center"/>
        <w:rPr>
          <w:rFonts w:hint="eastAsia" w:ascii="仿宋" w:hAnsi="仿宋" w:eastAsia="仿宋" w:cs="仿宋"/>
          <w:b/>
          <w:color w:val="auto"/>
          <w:sz w:val="24"/>
          <w:szCs w:val="24"/>
          <w:highlight w:val="none"/>
        </w:rPr>
      </w:pPr>
    </w:p>
    <w:p>
      <w:pPr>
        <w:snapToGrid w:val="0"/>
        <w:spacing w:line="440" w:lineRule="exact"/>
        <w:jc w:val="center"/>
        <w:rPr>
          <w:rFonts w:hint="eastAsia" w:ascii="仿宋" w:hAnsi="仿宋" w:eastAsia="仿宋" w:cs="仿宋"/>
          <w:b/>
          <w:color w:val="auto"/>
          <w:sz w:val="24"/>
          <w:szCs w:val="24"/>
          <w:highlight w:val="none"/>
        </w:rPr>
      </w:pPr>
    </w:p>
    <w:p>
      <w:pPr>
        <w:snapToGrid w:val="0"/>
        <w:spacing w:line="440" w:lineRule="exact"/>
        <w:jc w:val="center"/>
        <w:rPr>
          <w:rFonts w:hint="eastAsia" w:ascii="仿宋" w:hAnsi="仿宋" w:eastAsia="仿宋" w:cs="仿宋"/>
          <w:b/>
          <w:color w:val="auto"/>
          <w:sz w:val="24"/>
          <w:szCs w:val="24"/>
          <w:highlight w:val="none"/>
        </w:rPr>
      </w:pPr>
    </w:p>
    <w:p>
      <w:p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idowControl/>
        <w:numPr>
          <w:ilvl w:val="0"/>
          <w:numId w:val="11"/>
        </w:numPr>
        <w:spacing w:line="440" w:lineRule="exact"/>
        <w:jc w:val="center"/>
        <w:outlineLvl w:val="0"/>
        <w:rPr>
          <w:rFonts w:hint="eastAsia" w:ascii="仿宋" w:hAnsi="仿宋" w:eastAsia="仿宋" w:cs="仿宋"/>
          <w:b/>
          <w:color w:val="auto"/>
          <w:sz w:val="24"/>
          <w:szCs w:val="24"/>
          <w:highlight w:val="none"/>
        </w:rPr>
      </w:pPr>
      <w:bookmarkStart w:id="3" w:name="_Toc10316"/>
      <w:r>
        <w:rPr>
          <w:rFonts w:hint="eastAsia" w:ascii="仿宋" w:hAnsi="仿宋" w:eastAsia="仿宋" w:cs="仿宋"/>
          <w:b/>
          <w:color w:val="auto"/>
          <w:sz w:val="24"/>
          <w:szCs w:val="24"/>
          <w:highlight w:val="none"/>
        </w:rPr>
        <w:t>采购需求</w:t>
      </w:r>
      <w:bookmarkEnd w:id="3"/>
    </w:p>
    <w:tbl>
      <w:tblPr>
        <w:tblStyle w:val="51"/>
        <w:tblW w:w="8892"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92" w:type="dxa"/>
            <w:gridSpan w:val="2"/>
            <w:shd w:val="clear" w:color="auto" w:fill="auto"/>
            <w:noWrap/>
            <w:vAlign w:val="center"/>
          </w:tcPr>
          <w:p>
            <w:pPr>
              <w:spacing w:line="240" w:lineRule="exact"/>
              <w:textAlignment w:val="baseline"/>
              <w:rPr>
                <w:rFonts w:hint="eastAsia" w:ascii="仿宋" w:hAnsi="仿宋" w:eastAsia="仿宋" w:cs="仿宋"/>
                <w:b/>
                <w:color w:val="auto"/>
                <w:sz w:val="24"/>
                <w:szCs w:val="24"/>
                <w:highlight w:val="none"/>
              </w:rPr>
            </w:pPr>
            <w:bookmarkStart w:id="4" w:name="_Toc11193"/>
            <w:r>
              <w:rPr>
                <w:rFonts w:hint="eastAsia" w:ascii="仿宋" w:hAnsi="仿宋" w:eastAsia="仿宋" w:cs="仿宋"/>
                <w:b/>
                <w:color w:val="auto"/>
                <w:sz w:val="24"/>
                <w:szCs w:val="24"/>
                <w:highlight w:val="none"/>
              </w:rPr>
              <w:t>一、设备参数（硬件）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多功能介入超声诊断平台，支持9MHz~60MHz机械旋转式超声导管技术，可用于冠状动脉和心腔内介入治疗。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触摸屏式控制面板，可以显示所有按钮，界面直观简洁，流程式菜单避免操作失误。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vMerge w:val="restart"/>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配备鼠标，通过鼠标进行操作，描绘图像，符合用户习惯。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46" w:type="dxa"/>
            <w:vMerge w:val="continue"/>
            <w:vAlign w:val="center"/>
          </w:tcPr>
          <w:p>
            <w:pPr>
              <w:spacing w:line="240" w:lineRule="exact"/>
              <w:textAlignment w:val="baseline"/>
              <w:rPr>
                <w:rFonts w:hint="eastAsia" w:ascii="仿宋" w:hAnsi="仿宋" w:eastAsia="仿宋" w:cs="仿宋"/>
                <w:bCs/>
                <w:color w:val="auto"/>
                <w:sz w:val="24"/>
                <w:szCs w:val="24"/>
                <w:highlight w:val="none"/>
              </w:rPr>
            </w:pP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可以通过鼠标滚轮在不同的菜单之间切换。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内置高速硬盘，可存储≥200个病人数据。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DICOM 3.0标准存储影像。存储方式：上传PACS系统、光盘、USB或移动硬盘。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bookmarkStart w:id="5" w:name="RANGE!B8"/>
            <w:r>
              <w:rPr>
                <w:rFonts w:hint="eastAsia" w:ascii="仿宋" w:hAnsi="仿宋" w:eastAsia="仿宋" w:cs="仿宋"/>
                <w:bCs/>
                <w:color w:val="auto"/>
                <w:sz w:val="24"/>
                <w:szCs w:val="24"/>
                <w:highlight w:val="none"/>
              </w:rPr>
              <w:t>≥19英寸高分辨率≥1280*1024，彩色LCD显示器(含内置式麦克风和扬声器)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实时的高清数字化视频通信传输系统,轻松连接导播系统，术中超声影像实时转播，满足各种国际学术交流、远程会诊、示教、指导等。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热敏优质打印机，分辨率大于300dpi，灰度等级大于等于8位，图像元素最大支持4096*1280点。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vMerge w:val="restart"/>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驱动马达兼具自动回撤和手动回撤功能，可显示回撤距离。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6" w:type="dxa"/>
            <w:vMerge w:val="continue"/>
            <w:vAlign w:val="center"/>
          </w:tcPr>
          <w:p>
            <w:pPr>
              <w:spacing w:line="240" w:lineRule="exact"/>
              <w:textAlignment w:val="baseline"/>
              <w:rPr>
                <w:rFonts w:hint="eastAsia" w:ascii="仿宋" w:hAnsi="仿宋" w:eastAsia="仿宋" w:cs="仿宋"/>
                <w:bCs/>
                <w:color w:val="auto"/>
                <w:sz w:val="24"/>
                <w:szCs w:val="24"/>
                <w:highlight w:val="none"/>
              </w:rPr>
            </w:pP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自动回撤，回撤速度有0.5mm/s和1mm/s两种模式，自动回撤距离不低于10cm，最大采集数约6000帧图像。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6" w:type="dxa"/>
            <w:vMerge w:val="continue"/>
            <w:vAlign w:val="center"/>
          </w:tcPr>
          <w:p>
            <w:pPr>
              <w:spacing w:line="240" w:lineRule="exact"/>
              <w:textAlignment w:val="baseline"/>
              <w:rPr>
                <w:rFonts w:hint="eastAsia" w:ascii="仿宋" w:hAnsi="仿宋" w:eastAsia="仿宋" w:cs="仿宋"/>
                <w:bCs/>
                <w:color w:val="auto"/>
                <w:sz w:val="24"/>
                <w:szCs w:val="24"/>
                <w:highlight w:val="none"/>
              </w:rPr>
            </w:pP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手动回撤，最大采集数≥6000帧图像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1.10</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呈现血管横截面长轴影像，长轴影像可以进行360度旋转观测。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92" w:type="dxa"/>
            <w:gridSpan w:val="2"/>
            <w:shd w:val="clear" w:color="auto" w:fill="auto"/>
            <w:noWrap/>
            <w:vAlign w:val="center"/>
          </w:tcPr>
          <w:p>
            <w:pPr>
              <w:spacing w:line="240" w:lineRule="exac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二、设备参数（软件）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具有自动化血管壁和血管内腔测量功能的计算软件，该功能可通过计算机图像分析功能自动检测和识别截面管腔和血管边界。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具有图像动态回顾功能，反复播放当前位置前后一定帧数范围的图像，组成动态影像，以清晰确定血管腔及血流边界；帧数范围可在3~15范围内调节。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具有双图功能：主显示屏上同时显示来自同一回撤不同帧的两幅截面图像。 通过双图，可以查看血管的多个部分，并比较远端和近端图像及病变，它还可以自动显示图像之间的距离。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根据数据处理控件，提供图像处理以帮助除去图像中因血细胞移动反射而形成的“血斑”，使图像更清晰。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支持书签功能：可在任意位置添加书签，数量不限，便于记录并快速查看书签图像。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具备书签缩略图功能：将书签的帧的缩略图显示在截面视图之下，允许您快速地识别并导航到加书签的帧，同时显示相应的截面图像。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2.8</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具备自动书签距离测量功能：可自动测量书签间距离、当前位置到各书签的距离或者当前位置到参考位置的距离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2.9</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支持注释:可在图像中任意位置添加注释，注释可自定义，可保存或修改。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2.10</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具备长轴标尺功能：长轴图像下显示距离标尺，以便于进行测量。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*2.11</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对于图像的任意帧可以进行多次面积和距离测量：最多可进行3次面积测量和9次距离测量。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2.12</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可提供图像直接以Windows兼容的.wmv视频输出格式及PNG或者JPG格式的静态图片。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2.13</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DICOM 3.0格式病例存档，并提供五种大小的压缩格式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2.14</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长轴标签功能：开启该功能后，长轴远端和近端自动标记，利于术中快速识别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2.15</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Demo转换功能：主机上任意病例转换为Demo Case，并可对ID及名字等进行编辑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2.16</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界面扁平化：功能键扁平化设置，快速直接访问/切P换软件功能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892" w:type="dxa"/>
            <w:gridSpan w:val="2"/>
            <w:shd w:val="clear" w:color="auto" w:fill="auto"/>
            <w:noWrap/>
            <w:vAlign w:val="center"/>
          </w:tcPr>
          <w:p>
            <w:pPr>
              <w:spacing w:line="240" w:lineRule="exac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三、超声导管参数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vMerge w:val="restart"/>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用于冠脉血管的超声导管：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6" w:type="dxa"/>
            <w:vMerge w:val="continue"/>
            <w:vAlign w:val="center"/>
          </w:tcPr>
          <w:p>
            <w:pPr>
              <w:spacing w:line="240" w:lineRule="exact"/>
              <w:textAlignment w:val="baseline"/>
              <w:rPr>
                <w:rFonts w:hint="eastAsia" w:ascii="仿宋" w:hAnsi="仿宋" w:eastAsia="仿宋" w:cs="仿宋"/>
                <w:bCs/>
                <w:color w:val="auto"/>
                <w:sz w:val="24"/>
                <w:szCs w:val="24"/>
                <w:highlight w:val="none"/>
              </w:rPr>
            </w:pP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具有宽带技术的机械旋转式超声导管，频率≥60MHz,轴向分辨率达到≤30μm。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6" w:type="dxa"/>
            <w:vMerge w:val="continue"/>
            <w:vAlign w:val="center"/>
          </w:tcPr>
          <w:p>
            <w:pPr>
              <w:spacing w:line="240" w:lineRule="exact"/>
              <w:textAlignment w:val="baseline"/>
              <w:rPr>
                <w:rFonts w:hint="eastAsia" w:ascii="仿宋" w:hAnsi="仿宋" w:eastAsia="仿宋" w:cs="仿宋"/>
                <w:bCs/>
                <w:color w:val="auto"/>
                <w:sz w:val="24"/>
                <w:szCs w:val="24"/>
                <w:highlight w:val="none"/>
              </w:rPr>
            </w:pP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进入外廓≤2F，最大外廓≤3.2F，可兼容5F指引导管。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vMerge w:val="restart"/>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用于心腔内的超声导管：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6" w:type="dxa"/>
            <w:vMerge w:val="continue"/>
            <w:vAlign w:val="center"/>
          </w:tcPr>
          <w:p>
            <w:pPr>
              <w:spacing w:line="240" w:lineRule="exact"/>
              <w:textAlignment w:val="baseline"/>
              <w:rPr>
                <w:rFonts w:hint="eastAsia" w:ascii="仿宋" w:hAnsi="仿宋" w:eastAsia="仿宋" w:cs="仿宋"/>
                <w:bCs/>
                <w:color w:val="auto"/>
                <w:sz w:val="24"/>
                <w:szCs w:val="24"/>
                <w:highlight w:val="none"/>
              </w:rPr>
            </w:pP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工作频率≤9MHz，可以探测心脏腔内各组织成分的形态、比重和质地。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892" w:type="dxa"/>
            <w:gridSpan w:val="2"/>
            <w:shd w:val="clear" w:color="auto" w:fill="auto"/>
            <w:noWrap/>
            <w:vAlign w:val="center"/>
          </w:tcPr>
          <w:p>
            <w:pPr>
              <w:spacing w:line="240" w:lineRule="exac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四、售后服务及其他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具有完善的培训体系，提供临床指导服务。包含：原理和操作；基础读图，常见病变应用；复杂图像及复杂病变中应用。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厂家在国内有分公司，有备件库，有备用样机，保证产品生命周期内正常使用。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备件更换：提供保修期内损坏备件免费更换（耗材及第三方产品除外），损坏的备件须退还。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设有可受理售后服务的全国统一的免费服务专线电话。提供每周7*10小时的售后服务，确保有专人受理。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受理现场维修请求后的工程师抵达现场响应时间≤24小时，48小时内修复。48小时内无法修复的，免费提供相应配置的备用样机，保证正常的工作。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4.6</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配备同品牌的影像数据管理平台系统，便于对病例进行存档、编辑、调用、分类、检索、分析，可存储上千例病例。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4.7</w:t>
            </w:r>
          </w:p>
        </w:tc>
        <w:tc>
          <w:tcPr>
            <w:tcW w:w="80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配备远程技术支持系统，可进行远程呼叫，将实时血管内超声图像通过视频方式传输至厂家技术人员的终端，并进行实时通话，厂家技术人员可通过远程终端对现场超声图像进行调取、标注和操作，支持实时远程读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4.8</w:t>
            </w:r>
          </w:p>
        </w:tc>
        <w:tc>
          <w:tcPr>
            <w:tcW w:w="8046" w:type="dxa"/>
            <w:shd w:val="clear" w:color="auto" w:fill="auto"/>
            <w:noWrap/>
          </w:tcPr>
          <w:p>
            <w:pPr>
              <w:spacing w:line="2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支持冠脉血流储备分数检测技术FFR升级，便于评估心外膜下冠状动脉血流功能，指导PCI。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4.9</w:t>
            </w:r>
          </w:p>
        </w:tc>
        <w:tc>
          <w:tcPr>
            <w:tcW w:w="8046" w:type="dxa"/>
            <w:shd w:val="clear" w:color="auto" w:fill="auto"/>
            <w:noWrap/>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配备旋磨介入治疗系统,适用于冠状动脉内膜高速旋磨术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46" w:type="dxa"/>
            <w:shd w:val="clear" w:color="auto" w:fill="auto"/>
            <w:noWrap/>
            <w:vAlign w:val="center"/>
          </w:tcPr>
          <w:p>
            <w:pPr>
              <w:spacing w:line="240" w:lineRule="exac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*4.10</w:t>
            </w:r>
          </w:p>
        </w:tc>
        <w:tc>
          <w:tcPr>
            <w:tcW w:w="8046" w:type="dxa"/>
            <w:shd w:val="clear" w:color="auto" w:fill="auto"/>
            <w:noWrap/>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具有低速≤60,000转/分和高速≤180,000转/分两种控制速度的转换键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6" w:type="dxa"/>
            <w:shd w:val="clear" w:color="auto" w:fill="auto"/>
            <w:noWrap/>
            <w:vAlign w:val="center"/>
          </w:tcPr>
          <w:p>
            <w:pPr>
              <w:spacing w:line="2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4.11</w:t>
            </w:r>
          </w:p>
        </w:tc>
        <w:tc>
          <w:tcPr>
            <w:tcW w:w="8046" w:type="dxa"/>
            <w:shd w:val="clear" w:color="auto" w:fill="auto"/>
            <w:noWrap/>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旋磨磨头采用黄铜材质，表面有镍涂层，远段覆盖微钻石</w:t>
            </w:r>
          </w:p>
        </w:tc>
      </w:tr>
    </w:tbl>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pacing w:line="440" w:lineRule="exact"/>
        <w:jc w:val="center"/>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w:t>
      </w:r>
      <w:r>
        <w:rPr>
          <w:rFonts w:hint="eastAsia" w:ascii="仿宋" w:hAnsi="仿宋" w:eastAsia="仿宋" w:cs="仿宋"/>
          <w:b/>
          <w:bCs/>
          <w:color w:val="auto"/>
          <w:sz w:val="24"/>
          <w:szCs w:val="24"/>
          <w:highlight w:val="none"/>
          <w:lang w:eastAsia="zh-CN"/>
        </w:rPr>
        <w:t>章</w:t>
      </w:r>
      <w:r>
        <w:rPr>
          <w:rFonts w:hint="eastAsia" w:ascii="仿宋" w:hAnsi="仿宋" w:eastAsia="仿宋" w:cs="仿宋"/>
          <w:b/>
          <w:bCs/>
          <w:color w:val="auto"/>
          <w:sz w:val="24"/>
          <w:szCs w:val="24"/>
          <w:highlight w:val="none"/>
        </w:rPr>
        <w:t xml:space="preserve">  合同格式（参考）</w:t>
      </w:r>
      <w:bookmarkEnd w:id="4"/>
    </w:p>
    <w:p>
      <w:pPr>
        <w:spacing w:line="440" w:lineRule="exact"/>
        <w:jc w:val="center"/>
        <w:rPr>
          <w:rFonts w:hint="eastAsia" w:ascii="仿宋" w:hAnsi="仿宋" w:eastAsia="仿宋" w:cs="仿宋"/>
          <w:b/>
          <w:bCs/>
          <w:color w:val="auto"/>
          <w:sz w:val="24"/>
          <w:szCs w:val="24"/>
          <w:highlight w:val="none"/>
        </w:rPr>
      </w:pPr>
      <w:bookmarkStart w:id="6" w:name="_Toc29447"/>
      <w:r>
        <w:rPr>
          <w:rFonts w:hint="eastAsia" w:ascii="仿宋" w:hAnsi="仿宋" w:eastAsia="仿宋" w:cs="仿宋"/>
          <w:b/>
          <w:bCs/>
          <w:color w:val="auto"/>
          <w:sz w:val="24"/>
          <w:szCs w:val="24"/>
          <w:highlight w:val="none"/>
        </w:rPr>
        <w:t>设备采购合同</w:t>
      </w:r>
      <w:bookmarkEnd w:id="6"/>
    </w:p>
    <w:p>
      <w:pPr>
        <w:spacing w:line="440" w:lineRule="exact"/>
        <w:ind w:right="168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合同编号： </w:t>
      </w:r>
    </w:p>
    <w:p>
      <w:pPr>
        <w:spacing w:line="440" w:lineRule="exact"/>
        <w:ind w:right="1680"/>
        <w:rPr>
          <w:rFonts w:hint="eastAsia" w:ascii="仿宋" w:hAnsi="仿宋" w:eastAsia="仿宋" w:cs="仿宋"/>
          <w:color w:val="auto"/>
          <w:sz w:val="24"/>
          <w:szCs w:val="24"/>
          <w:highlight w:val="none"/>
          <w:u w:val="single"/>
        </w:rPr>
      </w:pPr>
      <w:bookmarkStart w:id="7" w:name="_Toc21707"/>
      <w:r>
        <w:rPr>
          <w:rFonts w:hint="eastAsia" w:ascii="仿宋" w:hAnsi="仿宋" w:eastAsia="仿宋" w:cs="仿宋"/>
          <w:color w:val="auto"/>
          <w:sz w:val="24"/>
          <w:szCs w:val="24"/>
          <w:highlight w:val="none"/>
        </w:rPr>
        <w:t>签约地点： 乌鲁木齐市</w:t>
      </w:r>
      <w:bookmarkEnd w:id="7"/>
      <w:r>
        <w:rPr>
          <w:rFonts w:hint="eastAsia" w:ascii="仿宋" w:hAnsi="仿宋" w:eastAsia="仿宋" w:cs="仿宋"/>
          <w:color w:val="auto"/>
          <w:sz w:val="24"/>
          <w:szCs w:val="24"/>
          <w:highlight w:val="none"/>
        </w:rPr>
        <w:t xml:space="preserve">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甲方（买方）：乌鲁木齐市友谊医院</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乙方（卖方）：</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甲乙双方根据«中华人民共和国合同法»，在平等互利、协商一致的基础上，就乙方向甲方出售及授权以下设备（以下设备器械均简称设备）一事达成如下条款，并承诺共同遵守：</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购买设备清单及价款：</w:t>
      </w:r>
    </w:p>
    <w:tbl>
      <w:tblPr>
        <w:tblStyle w:val="51"/>
        <w:tblpPr w:leftFromText="180" w:rightFromText="180" w:vertAnchor="text" w:horzAnchor="margin" w:tblpXSpec="center" w:tblpY="45"/>
        <w:tblW w:w="9228" w:type="dxa"/>
        <w:tblInd w:w="-7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003"/>
        <w:gridCol w:w="1671"/>
        <w:gridCol w:w="1005"/>
        <w:gridCol w:w="1201"/>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3" w:type="dxa"/>
            <w:vAlign w:val="center"/>
          </w:tcPr>
          <w:p>
            <w:pPr>
              <w:spacing w:before="100" w:beforeAutospacing="1"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设备名称</w:t>
            </w:r>
          </w:p>
        </w:tc>
        <w:tc>
          <w:tcPr>
            <w:tcW w:w="2003" w:type="dxa"/>
            <w:vAlign w:val="center"/>
          </w:tcPr>
          <w:p>
            <w:pPr>
              <w:spacing w:before="100" w:beforeAutospacing="1"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规格型号</w:t>
            </w:r>
          </w:p>
        </w:tc>
        <w:tc>
          <w:tcPr>
            <w:tcW w:w="1671" w:type="dxa"/>
            <w:vAlign w:val="center"/>
          </w:tcPr>
          <w:p>
            <w:pPr>
              <w:spacing w:before="100" w:beforeAutospacing="1"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厂家</w:t>
            </w:r>
          </w:p>
        </w:tc>
        <w:tc>
          <w:tcPr>
            <w:tcW w:w="1005" w:type="dxa"/>
            <w:vAlign w:val="center"/>
          </w:tcPr>
          <w:p>
            <w:pPr>
              <w:spacing w:before="100" w:beforeAutospacing="1"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1201" w:type="dxa"/>
            <w:vAlign w:val="center"/>
          </w:tcPr>
          <w:p>
            <w:pPr>
              <w:spacing w:before="100" w:beforeAutospacing="1"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金额（元）</w:t>
            </w:r>
          </w:p>
        </w:tc>
        <w:tc>
          <w:tcPr>
            <w:tcW w:w="1635" w:type="dxa"/>
            <w:vAlign w:val="center"/>
          </w:tcPr>
          <w:p>
            <w:pPr>
              <w:spacing w:before="100" w:beforeAutospacing="1"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成交金额（元）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13" w:type="dxa"/>
            <w:vAlign w:val="center"/>
          </w:tcPr>
          <w:p>
            <w:pPr>
              <w:spacing w:line="440" w:lineRule="exact"/>
              <w:jc w:val="center"/>
              <w:rPr>
                <w:rFonts w:hint="eastAsia" w:ascii="仿宋" w:hAnsi="仿宋" w:eastAsia="仿宋" w:cs="仿宋"/>
                <w:color w:val="auto"/>
                <w:sz w:val="24"/>
                <w:szCs w:val="24"/>
                <w:highlight w:val="none"/>
              </w:rPr>
            </w:pPr>
          </w:p>
        </w:tc>
        <w:tc>
          <w:tcPr>
            <w:tcW w:w="2003" w:type="dxa"/>
          </w:tcPr>
          <w:p>
            <w:pPr>
              <w:spacing w:line="440" w:lineRule="exact"/>
              <w:jc w:val="center"/>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p>
        </w:tc>
        <w:tc>
          <w:tcPr>
            <w:tcW w:w="1671" w:type="dxa"/>
            <w:vAlign w:val="center"/>
          </w:tcPr>
          <w:p>
            <w:pPr>
              <w:spacing w:before="100" w:beforeAutospacing="1" w:line="440" w:lineRule="exact"/>
              <w:jc w:val="center"/>
              <w:rPr>
                <w:rFonts w:hint="eastAsia" w:ascii="仿宋" w:hAnsi="仿宋" w:eastAsia="仿宋" w:cs="仿宋"/>
                <w:color w:val="auto"/>
                <w:sz w:val="24"/>
                <w:szCs w:val="24"/>
                <w:highlight w:val="none"/>
              </w:rPr>
            </w:pPr>
          </w:p>
        </w:tc>
        <w:tc>
          <w:tcPr>
            <w:tcW w:w="1005" w:type="dxa"/>
            <w:vAlign w:val="center"/>
          </w:tcPr>
          <w:p>
            <w:pPr>
              <w:spacing w:before="100" w:beforeAutospacing="1" w:line="440" w:lineRule="exact"/>
              <w:jc w:val="center"/>
              <w:rPr>
                <w:rFonts w:hint="eastAsia" w:ascii="仿宋" w:hAnsi="仿宋" w:eastAsia="仿宋" w:cs="仿宋"/>
                <w:color w:val="auto"/>
                <w:sz w:val="24"/>
                <w:szCs w:val="24"/>
                <w:highlight w:val="none"/>
              </w:rPr>
            </w:pPr>
          </w:p>
        </w:tc>
        <w:tc>
          <w:tcPr>
            <w:tcW w:w="1201" w:type="dxa"/>
            <w:vAlign w:val="center"/>
          </w:tcPr>
          <w:p>
            <w:pPr>
              <w:spacing w:before="100" w:beforeAutospacing="1" w:line="440" w:lineRule="exact"/>
              <w:jc w:val="center"/>
              <w:rPr>
                <w:rFonts w:hint="eastAsia" w:ascii="仿宋" w:hAnsi="仿宋" w:eastAsia="仿宋" w:cs="仿宋"/>
                <w:color w:val="auto"/>
                <w:sz w:val="24"/>
                <w:szCs w:val="24"/>
                <w:highlight w:val="none"/>
              </w:rPr>
            </w:pPr>
          </w:p>
        </w:tc>
        <w:tc>
          <w:tcPr>
            <w:tcW w:w="1635" w:type="dxa"/>
            <w:vAlign w:val="center"/>
          </w:tcPr>
          <w:p>
            <w:pPr>
              <w:spacing w:before="100" w:beforeAutospacing="1" w:line="44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228" w:type="dxa"/>
            <w:gridSpan w:val="6"/>
            <w:vAlign w:val="center"/>
          </w:tcPr>
          <w:p>
            <w:pPr>
              <w:spacing w:before="100" w:beforeAutospacing="1"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合计成交金额人民币（大写）：</w:t>
            </w:r>
          </w:p>
          <w:p>
            <w:pPr>
              <w:spacing w:before="100" w:beforeAutospacing="1"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该价款为含税价。</w:t>
            </w:r>
          </w:p>
        </w:tc>
      </w:tr>
    </w:tbl>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乙方保证所提供的所有设备完全符合乙方投标文件所承诺的品牌名称、生产厂家、质量标准、规格、型号、性能参数、数量、单价、金额等条件，并全面响应标书及答疑文件，合同附件应包括所售产品配置清单。</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本合同若有详细的双方签字的配置清单，请详见附件。</w:t>
      </w:r>
    </w:p>
    <w:p>
      <w:pPr>
        <w:numPr>
          <w:ilvl w:val="0"/>
          <w:numId w:val="12"/>
        </w:numPr>
        <w:spacing w:line="44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设备的交付期</w:t>
      </w:r>
    </w:p>
    <w:p>
      <w:pPr>
        <w:spacing w:line="440" w:lineRule="exact"/>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乙方在合同生效后，按甲方指定时间交付全部设备。</w:t>
      </w:r>
    </w:p>
    <w:p>
      <w:pPr>
        <w:numPr>
          <w:ilvl w:val="0"/>
          <w:numId w:val="12"/>
        </w:numPr>
        <w:spacing w:line="44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设备运输、安装和验收  </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（1）乙方确保设备安全无损地运抵甲方指定现场，并承担设备增常使用前的包装、运费、装卸费、保险、安装调试等所有费用。</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设备全部到达现场后，乙方提前一个工作日告知甲方设备处及使用科室，以便甲方安排接收。经甲乙双方共同对设备进行开箱清点、外观检查验收，如果发现数量不足、与装箱清单信息不符或外观毁损等问题，乙方应在</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天内，按照甲方的要求，采取补足、更换或退货等处理措施。</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甲方不接受部分交付。设备部分到场或乙方补足、调换部分设备期间，已到场的设备由乙方自行保管并承担由此发生的一切责任和损失及费用。</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甲方收货时对产品的外观检查或开箱清点，不能免除乙方对产品内在质量的责任。</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（3）设备全部到货外观检验合格，乙方接到甲方通知后，一般设备在</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天内，特大型设备在</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天内安装调试完成。</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（4）安装调试完毕，甲、乙双方根据国家相关技术标准和技术验收条件、流程（合同的技术标准见附表）在90日内进行技术验收，验收合格后，双方在甲方«技术验收合格单»上签字确认。</w:t>
      </w:r>
    </w:p>
    <w:p>
      <w:pPr>
        <w:spacing w:line="440" w:lineRule="exact"/>
        <w:ind w:left="210" w:leftChars="100"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4、伴随服务</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（1）乙方应提供设备的技术文件，包括相应的图纸、操作手册、维护手册、质量保证文件、服务指南等，这些文件应随同设备一起交付给甲方。</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（2）乙方还应免费提供下列服务：</w:t>
      </w:r>
    </w:p>
    <w:p>
      <w:pPr>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A、设备的现场安装和调试.乙方负责联系质检部门对特种设备进行安全检验检定，承担检定费，提供本合同特种设备相关部门认可使用的检定合格证。</w:t>
      </w:r>
    </w:p>
    <w:p>
      <w:pPr>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B、提供设备安装和维修所需的专用工具和辅助材料</w:t>
      </w:r>
    </w:p>
    <w:p>
      <w:pPr>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C、乙方应派专业技术人员在项目现场对甲方使用人员进行培训或指导，在使用一段时间后可根据甲方的要求另行安排培训计划。</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5、质量保证及售后服务</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（1）乙方应保证所供的是在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月）后生产的全新、未使用过，并符合合同约定技术标准要求的设备。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质量保证期。</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（2）乙方应提供主机质保期</w:t>
      </w:r>
      <w:r>
        <w:rPr>
          <w:rFonts w:hint="eastAsia" w:ascii="仿宋" w:hAnsi="仿宋" w:eastAsia="仿宋" w:cs="仿宋"/>
          <w:color w:val="auto"/>
          <w:sz w:val="24"/>
          <w:szCs w:val="24"/>
          <w:highlight w:val="none"/>
          <w:u w:val="single"/>
        </w:rPr>
        <w:t xml:space="preserve">    个</w:t>
      </w:r>
      <w:r>
        <w:rPr>
          <w:rFonts w:hint="eastAsia" w:ascii="仿宋" w:hAnsi="仿宋" w:eastAsia="仿宋" w:cs="仿宋"/>
          <w:color w:val="auto"/>
          <w:sz w:val="24"/>
          <w:szCs w:val="24"/>
          <w:highlight w:val="none"/>
        </w:rPr>
        <w:t>月，自甲乙双方的技术验收合格之日起计算，质保期内免费更换零配件及工时费。设备质保期内发生短时间内无法修复的故障时，甲乙双方应协商由乙方免费提供备用机以保证甲方医疗工作的正常开展。</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（3）报修响应时间</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小时，到场时间</w:t>
      </w:r>
      <w:r>
        <w:rPr>
          <w:rFonts w:hint="eastAsia" w:ascii="仿宋" w:hAnsi="仿宋" w:eastAsia="仿宋" w:cs="仿宋"/>
          <w:color w:val="auto"/>
          <w:sz w:val="24"/>
          <w:szCs w:val="24"/>
          <w:highlight w:val="none"/>
          <w:u w:val="single"/>
        </w:rPr>
        <w:t xml:space="preserve">  8  </w:t>
      </w:r>
      <w:r>
        <w:rPr>
          <w:rFonts w:hint="eastAsia" w:ascii="仿宋" w:hAnsi="仿宋" w:eastAsia="仿宋" w:cs="仿宋"/>
          <w:color w:val="auto"/>
          <w:sz w:val="24"/>
          <w:szCs w:val="24"/>
          <w:highlight w:val="none"/>
        </w:rPr>
        <w:t>小时（不可抗拒力量下除外）。</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（4）年度定期预防性维护保养次数，不少于</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次。</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（5）乙方负责设备的终身免费维修并应继续提供优质的服务，储备足够的零配件备库，质保期满后，以厂家批发价格供应维修零配件，消耗品的供应由双方另设协议决定。</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（6）乙方对设备的维护保养须告知甲方设备处维修人员到场，否则所实施的售后行为不计入年度预防性维护保养次数，乙方自行承担发生的一切费用。</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6、索赔条款</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（1）如经检验确认货物不符合本合同约定，买方有权选择下列方式之一要求卖方进行补救；</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A、接受买方退货，并将全额货款偿还买方，并负担因退货而发生的一切直接损失和费用。</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B、按照货物的疵劣程度、损坏的范围和买方所遭受的损失，将货物贬值，情节严重，甲方有权终止合同。</w:t>
      </w:r>
    </w:p>
    <w:p>
      <w:pPr>
        <w:spacing w:line="44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C、调换有瑕疵的货物，换货必须全新并符合本合同规定的规格，质量标准和性能，卖方同时负责因此而产生和一切费用和买方的一切直接损失。</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乙方没有按照合同规定的时间交货和提供服务，甲方应从货款或质保金中扣除误期赔偿费而不影响合同项下的其他补救方法，延期交货和延期服务的赔偿费按每日迟交仪器的合同价的百分之零点五（0.5%）计收，直至交货、提供服务或甲方解除合同为止。延期交货十天以上，甲方有权解除合同。</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（3）乙方应保证甲方和使用单位在使用该设备或其任何一部分时免受第三方提出侵犯其专利权、商标权或工业产权的起诉。</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7、争端的解决</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双方如在履行合同中发生纠纷，首先应友好协商，协商不成，双方均应向甲方所在地人民法院起诉。</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8、合同生效</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（1）本合同在甲、乙双方签字盖章后生效。</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（2）本合同一式肆份，签约双方甲方执二份，乙方执二份，具有相同的法律效应。</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9、合同附件   合同附件是合同的不可分割的组成部分，与合同具有同等法律效力。</w:t>
      </w:r>
    </w:p>
    <w:p>
      <w:pPr>
        <w:spacing w:line="440" w:lineRule="exact"/>
        <w:ind w:firstLine="480" w:firstLineChars="200"/>
        <w:rPr>
          <w:rFonts w:hint="eastAsia" w:ascii="仿宋" w:hAnsi="仿宋" w:eastAsia="仿宋" w:cs="仿宋"/>
          <w:color w:val="auto"/>
          <w:sz w:val="24"/>
          <w:szCs w:val="24"/>
          <w:highlight w:val="none"/>
        </w:rPr>
      </w:pPr>
      <w:bookmarkStart w:id="8" w:name="_Toc27875"/>
      <w:r>
        <w:rPr>
          <w:rFonts w:hint="eastAsia" w:ascii="仿宋" w:hAnsi="仿宋" w:eastAsia="仿宋" w:cs="仿宋"/>
          <w:color w:val="auto"/>
          <w:sz w:val="24"/>
          <w:szCs w:val="24"/>
          <w:highlight w:val="none"/>
        </w:rPr>
        <w:t>（1）配置清单     □设备的配置清单</w:t>
      </w:r>
      <w:bookmarkEnd w:id="8"/>
    </w:p>
    <w:p>
      <w:pPr>
        <w:spacing w:line="440" w:lineRule="exact"/>
        <w:ind w:firstLine="480" w:firstLineChars="200"/>
        <w:rPr>
          <w:rFonts w:hint="eastAsia" w:ascii="仿宋" w:hAnsi="仿宋" w:eastAsia="仿宋" w:cs="仿宋"/>
          <w:color w:val="auto"/>
          <w:sz w:val="24"/>
          <w:szCs w:val="24"/>
          <w:highlight w:val="none"/>
        </w:rPr>
      </w:pPr>
      <w:bookmarkStart w:id="9" w:name="_Toc32541"/>
      <w:r>
        <w:rPr>
          <w:rFonts w:hint="eastAsia" w:ascii="仿宋" w:hAnsi="仿宋" w:eastAsia="仿宋" w:cs="仿宋"/>
          <w:color w:val="auto"/>
          <w:sz w:val="24"/>
          <w:szCs w:val="24"/>
          <w:highlight w:val="none"/>
        </w:rPr>
        <w:t>（2）技术标准     □投标文件的技术响应  □设备技术说明</w:t>
      </w:r>
      <w:bookmarkEnd w:id="9"/>
    </w:p>
    <w:p>
      <w:pPr>
        <w:numPr>
          <w:ilvl w:val="0"/>
          <w:numId w:val="13"/>
        </w:num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特别约定：                                </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甲方：乌鲁木齐市友谊医院             乙方：</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甲方工作电子邮箱：              乙方工作电子邮箱：    </w:t>
      </w:r>
    </w:p>
    <w:p>
      <w:pPr>
        <w:spacing w:line="440" w:lineRule="exact"/>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                                       （盖章）</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甲方法定代表人或授权委托人：             乙方法定代表人或授权委托人：</w:t>
      </w:r>
    </w:p>
    <w:p>
      <w:pPr>
        <w:spacing w:line="4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p>
    <w:p>
      <w:pPr>
        <w:spacing w:line="440" w:lineRule="exact"/>
        <w:ind w:firstLine="480" w:firstLineChars="200"/>
        <w:jc w:val="right"/>
        <w:rPr>
          <w:rFonts w:hint="eastAsia" w:ascii="仿宋" w:hAnsi="仿宋" w:eastAsia="仿宋" w:cs="仿宋"/>
          <w:color w:val="auto"/>
          <w:sz w:val="24"/>
          <w:szCs w:val="24"/>
          <w:highlight w:val="none"/>
        </w:rPr>
      </w:pPr>
    </w:p>
    <w:p>
      <w:pP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widowControl/>
        <w:spacing w:line="440" w:lineRule="exact"/>
        <w:jc w:val="center"/>
        <w:outlineLvl w:val="0"/>
        <w:rPr>
          <w:rFonts w:hint="eastAsia" w:ascii="仿宋" w:hAnsi="仿宋" w:eastAsia="仿宋" w:cs="仿宋"/>
          <w:b/>
          <w:bCs/>
          <w:color w:val="auto"/>
          <w:sz w:val="24"/>
          <w:szCs w:val="24"/>
          <w:highlight w:val="none"/>
        </w:rPr>
      </w:pPr>
      <w:bookmarkStart w:id="10" w:name="_Toc16604"/>
      <w:r>
        <w:rPr>
          <w:rFonts w:hint="eastAsia" w:ascii="仿宋" w:hAnsi="仿宋" w:eastAsia="仿宋" w:cs="仿宋"/>
          <w:b/>
          <w:bCs/>
          <w:color w:val="auto"/>
          <w:sz w:val="24"/>
          <w:szCs w:val="24"/>
          <w:highlight w:val="none"/>
        </w:rPr>
        <w:t>第五</w:t>
      </w:r>
      <w:r>
        <w:rPr>
          <w:rFonts w:hint="eastAsia" w:ascii="仿宋" w:hAnsi="仿宋" w:eastAsia="仿宋" w:cs="仿宋"/>
          <w:b/>
          <w:bCs/>
          <w:color w:val="auto"/>
          <w:sz w:val="24"/>
          <w:szCs w:val="24"/>
          <w:highlight w:val="none"/>
          <w:lang w:eastAsia="zh-CN"/>
        </w:rPr>
        <w:t>章</w:t>
      </w:r>
      <w:r>
        <w:rPr>
          <w:rFonts w:hint="eastAsia" w:ascii="仿宋" w:hAnsi="仿宋" w:eastAsia="仿宋" w:cs="仿宋"/>
          <w:b/>
          <w:bCs/>
          <w:color w:val="auto"/>
          <w:sz w:val="24"/>
          <w:szCs w:val="24"/>
          <w:highlight w:val="none"/>
        </w:rPr>
        <w:t xml:space="preserve">  投标文件格式</w:t>
      </w:r>
      <w:bookmarkEnd w:id="10"/>
    </w:p>
    <w:p>
      <w:pPr>
        <w:widowControl/>
        <w:spacing w:line="440" w:lineRule="exact"/>
        <w:jc w:val="left"/>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bookmarkStart w:id="11" w:name="_Toc14986"/>
      <w:r>
        <w:rPr>
          <w:rFonts w:hint="eastAsia" w:ascii="仿宋" w:hAnsi="仿宋" w:eastAsia="仿宋" w:cs="仿宋"/>
          <w:color w:val="auto"/>
          <w:sz w:val="24"/>
          <w:szCs w:val="24"/>
          <w:highlight w:val="none"/>
        </w:rPr>
        <w:t>开标一览表</w:t>
      </w:r>
      <w:bookmarkEnd w:id="11"/>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项目编号：</w:t>
      </w:r>
    </w:p>
    <w:tbl>
      <w:tblPr>
        <w:tblStyle w:val="5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9"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供货期</w:t>
            </w:r>
          </w:p>
        </w:tc>
        <w:tc>
          <w:tcPr>
            <w:tcW w:w="6801" w:type="dxa"/>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418"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6801" w:type="dxa"/>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418"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spacing w:line="440" w:lineRule="exact"/>
              <w:rPr>
                <w:rFonts w:hint="eastAsia" w:ascii="仿宋" w:hAnsi="仿宋" w:eastAsia="仿宋" w:cs="仿宋"/>
                <w:color w:val="auto"/>
                <w:sz w:val="24"/>
                <w:szCs w:val="24"/>
                <w:highlight w:val="none"/>
              </w:rPr>
            </w:pPr>
          </w:p>
        </w:tc>
      </w:tr>
    </w:tbl>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1、投标总价应为各分项报价之和。报价须以元为单位，小数点后保留2位。</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2、投标报价包括投标人为实施本项目提供投标产品及服务内容所包括的全部含税价格的体现。</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3、投标人必须自行考虑本项目在实施期间的一切可能产生的费用。在合同执行过程中，采购人将不再另行支付与本项目相关的任何费用（非本项目要求的其它内容除外）。</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4、本表须按采购文件要求，单独封装、标识后提交。中小学</w:t>
      </w:r>
    </w:p>
    <w:p>
      <w:pPr>
        <w:spacing w:line="440" w:lineRule="exact"/>
        <w:jc w:val="center"/>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widowControl/>
        <w:spacing w:line="440" w:lineRule="exact"/>
        <w:jc w:val="lef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封面示例</w:t>
      </w:r>
      <w:r>
        <w:rPr>
          <w:rFonts w:hint="eastAsia" w:ascii="仿宋" w:hAnsi="仿宋" w:eastAsia="仿宋" w:cs="仿宋"/>
          <w:color w:val="auto"/>
          <w:sz w:val="24"/>
          <w:szCs w:val="24"/>
          <w:highlight w:val="none"/>
        </w:rPr>
        <w:t>）</w:t>
      </w:r>
    </w:p>
    <w:p>
      <w:pPr>
        <w:spacing w:line="440" w:lineRule="exact"/>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正本</w:t>
      </w:r>
    </w:p>
    <w:p>
      <w:pPr>
        <w:spacing w:line="440" w:lineRule="exact"/>
        <w:rPr>
          <w:rFonts w:hint="eastAsia" w:ascii="仿宋" w:hAnsi="仿宋" w:eastAsia="仿宋" w:cs="仿宋"/>
          <w:color w:val="auto"/>
          <w:sz w:val="24"/>
          <w:szCs w:val="24"/>
          <w:highlight w:val="none"/>
          <w:lang w:val="zh-CN"/>
        </w:rPr>
      </w:pPr>
    </w:p>
    <w:p>
      <w:pPr>
        <w:spacing w:line="440" w:lineRule="exact"/>
        <w:jc w:val="center"/>
        <w:rPr>
          <w:rFonts w:hint="eastAsia" w:ascii="仿宋" w:hAnsi="仿宋" w:eastAsia="仿宋" w:cs="仿宋"/>
          <w:color w:val="auto"/>
          <w:sz w:val="24"/>
          <w:szCs w:val="24"/>
          <w:highlight w:val="none"/>
          <w:lang w:val="zh-CN"/>
        </w:rPr>
      </w:pPr>
      <w:bookmarkStart w:id="12" w:name="_Toc22576"/>
      <w:r>
        <w:rPr>
          <w:rFonts w:hint="eastAsia" w:ascii="仿宋" w:hAnsi="仿宋" w:eastAsia="仿宋" w:cs="仿宋"/>
          <w:color w:val="auto"/>
          <w:sz w:val="24"/>
          <w:szCs w:val="24"/>
          <w:highlight w:val="none"/>
          <w:lang w:val="zh-CN"/>
        </w:rPr>
        <w:t>投 标 文 件</w:t>
      </w:r>
      <w:bookmarkEnd w:id="12"/>
    </w:p>
    <w:p>
      <w:pPr>
        <w:spacing w:line="440" w:lineRule="exact"/>
        <w:jc w:val="center"/>
        <w:rPr>
          <w:rFonts w:hint="eastAsia" w:ascii="仿宋" w:hAnsi="仿宋" w:eastAsia="仿宋" w:cs="仿宋"/>
          <w:color w:val="auto"/>
          <w:sz w:val="24"/>
          <w:szCs w:val="24"/>
          <w:highlight w:val="none"/>
          <w:lang w:val="zh-CN"/>
        </w:rPr>
      </w:pPr>
    </w:p>
    <w:p>
      <w:pPr>
        <w:spacing w:line="440" w:lineRule="exact"/>
        <w:rPr>
          <w:rFonts w:hint="eastAsia" w:ascii="仿宋" w:hAnsi="仿宋" w:eastAsia="仿宋" w:cs="仿宋"/>
          <w:color w:val="auto"/>
          <w:sz w:val="24"/>
          <w:szCs w:val="24"/>
          <w:highlight w:val="none"/>
          <w:lang w:val="zh-CN"/>
        </w:rPr>
      </w:pPr>
    </w:p>
    <w:p>
      <w:pPr>
        <w:spacing w:line="440" w:lineRule="exact"/>
        <w:rPr>
          <w:rFonts w:hint="eastAsia" w:ascii="仿宋" w:hAnsi="仿宋" w:eastAsia="仿宋" w:cs="仿宋"/>
          <w:color w:val="auto"/>
          <w:sz w:val="24"/>
          <w:szCs w:val="24"/>
          <w:highlight w:val="none"/>
          <w:lang w:val="zh-CN"/>
        </w:rPr>
      </w:pPr>
    </w:p>
    <w:p>
      <w:pPr>
        <w:spacing w:line="440" w:lineRule="exact"/>
        <w:rPr>
          <w:rFonts w:hint="eastAsia" w:ascii="仿宋" w:hAnsi="仿宋" w:eastAsia="仿宋" w:cs="仿宋"/>
          <w:color w:val="auto"/>
          <w:sz w:val="24"/>
          <w:szCs w:val="24"/>
          <w:highlight w:val="none"/>
          <w:lang w:val="zh-CN"/>
        </w:rPr>
      </w:pPr>
    </w:p>
    <w:p>
      <w:pPr>
        <w:spacing w:line="440" w:lineRule="exact"/>
        <w:rPr>
          <w:rFonts w:hint="eastAsia" w:ascii="仿宋" w:hAnsi="仿宋" w:eastAsia="仿宋" w:cs="仿宋"/>
          <w:color w:val="auto"/>
          <w:sz w:val="24"/>
          <w:szCs w:val="24"/>
          <w:highlight w:val="none"/>
          <w:lang w:val="zh-CN"/>
        </w:rPr>
      </w:pPr>
    </w:p>
    <w:p>
      <w:pPr>
        <w:spacing w:line="440" w:lineRule="exact"/>
        <w:rPr>
          <w:rFonts w:hint="eastAsia" w:ascii="仿宋" w:hAnsi="仿宋" w:eastAsia="仿宋" w:cs="仿宋"/>
          <w:color w:val="auto"/>
          <w:sz w:val="24"/>
          <w:szCs w:val="24"/>
          <w:highlight w:val="none"/>
          <w:lang w:val="zh-CN"/>
        </w:rPr>
      </w:pPr>
    </w:p>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项目名称：</w:t>
      </w:r>
    </w:p>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项目编号：</w:t>
      </w:r>
    </w:p>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投标人（盖公章）：×××公司</w:t>
      </w:r>
    </w:p>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法定代表人（签字或盖章）:</w:t>
      </w:r>
    </w:p>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授权代理人（签字）:</w:t>
      </w:r>
    </w:p>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地址：</w:t>
      </w:r>
    </w:p>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联系人：</w:t>
      </w:r>
    </w:p>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联系电话：</w:t>
      </w:r>
    </w:p>
    <w:p>
      <w:pPr>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编制时间：×年×月×日</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br w:type="page"/>
      </w:r>
    </w:p>
    <w:p>
      <w:p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投标文件主要包括但不限于以下内容：</w:t>
      </w:r>
    </w:p>
    <w:p>
      <w:pPr>
        <w:spacing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商务技术部分主要包括</w:t>
      </w:r>
      <w:r>
        <w:rPr>
          <w:rFonts w:hint="eastAsia" w:ascii="仿宋" w:hAnsi="仿宋" w:eastAsia="仿宋" w:cs="仿宋"/>
          <w:b/>
          <w:color w:val="auto"/>
          <w:sz w:val="24"/>
          <w:szCs w:val="24"/>
          <w:highlight w:val="none"/>
        </w:rPr>
        <w:t>但不限于以下内容：</w:t>
      </w:r>
    </w:p>
    <w:p>
      <w:pPr>
        <w:spacing w:line="440" w:lineRule="exact"/>
        <w:ind w:left="660" w:leftChars="200" w:hanging="240" w:hangingChars="100"/>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（1）</w:t>
      </w:r>
      <w:r>
        <w:rPr>
          <w:rFonts w:hint="eastAsia" w:ascii="仿宋" w:hAnsi="仿宋" w:eastAsia="仿宋" w:cs="仿宋"/>
          <w:color w:val="auto"/>
          <w:sz w:val="24"/>
          <w:szCs w:val="24"/>
          <w:highlight w:val="none"/>
        </w:rPr>
        <w:t>投</w:t>
      </w:r>
      <w:r>
        <w:rPr>
          <w:rFonts w:hint="eastAsia" w:ascii="仿宋" w:hAnsi="仿宋" w:eastAsia="仿宋" w:cs="仿宋"/>
          <w:color w:val="auto"/>
          <w:kern w:val="0"/>
          <w:sz w:val="24"/>
          <w:szCs w:val="24"/>
          <w:highlight w:val="none"/>
        </w:rPr>
        <w:t>标</w:t>
      </w:r>
      <w:r>
        <w:rPr>
          <w:rFonts w:hint="eastAsia" w:ascii="仿宋" w:hAnsi="仿宋" w:eastAsia="仿宋" w:cs="仿宋"/>
          <w:color w:val="auto"/>
          <w:sz w:val="24"/>
          <w:szCs w:val="24"/>
          <w:highlight w:val="none"/>
        </w:rPr>
        <w:t>人概况及企业综合实力[包括不限于：投标人概况表；依法纳税承诺；投标资格声明；参加政府采购活动前3年内在经营活动中没有重大违法记录的书面声明；信用中国网站（www.creditchina.gov.cn）、中国</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"http://www.caigou2003.com/" \t "_blank"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政府采购网</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（www.ccgp.gov.cn）、中国裁判文书网】网站的信用查询截图；采购文件要求的《中华人民共和国政府采购法》规定的资格条件证明文件复印件；采购文件采</w:t>
      </w:r>
      <w:r>
        <w:rPr>
          <w:rFonts w:hint="eastAsia" w:ascii="仿宋" w:hAnsi="仿宋" w:eastAsia="仿宋" w:cs="仿宋"/>
          <w:color w:val="auto"/>
          <w:kern w:val="0"/>
          <w:sz w:val="24"/>
          <w:szCs w:val="24"/>
          <w:highlight w:val="none"/>
        </w:rPr>
        <w:t>购人根据采购项目的特殊要求规定的特定条件证明文件复印件]；</w:t>
      </w:r>
    </w:p>
    <w:p>
      <w:pPr>
        <w:spacing w:line="440" w:lineRule="exact"/>
        <w:ind w:left="660" w:leftChars="20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（2）投标函；</w:t>
      </w:r>
    </w:p>
    <w:p>
      <w:pPr>
        <w:spacing w:line="440" w:lineRule="exact"/>
        <w:ind w:left="660" w:leftChars="20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（3）投标承诺书；</w:t>
      </w:r>
    </w:p>
    <w:p>
      <w:pPr>
        <w:spacing w:line="440" w:lineRule="exact"/>
        <w:ind w:left="660" w:leftChars="20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（4）法定代表人身份证明书和法定代表人身份证（复印件）或者法定代表人授权委托书及被授权人身份证（复印件）；</w:t>
      </w:r>
    </w:p>
    <w:p>
      <w:pPr>
        <w:spacing w:line="440" w:lineRule="exact"/>
        <w:ind w:left="660" w:leftChars="20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（5）投标保证金缴纳凭证（复印件加盖单位公章）；近三年财务状况表；</w:t>
      </w:r>
    </w:p>
    <w:p>
      <w:pPr>
        <w:autoSpaceDE w:val="0"/>
        <w:autoSpaceDN w:val="0"/>
        <w:adjustRightInd w:val="0"/>
        <w:spacing w:line="440" w:lineRule="exact"/>
        <w:ind w:left="1110" w:leftChars="228" w:hanging="631" w:hangingChars="263"/>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sz w:val="24"/>
          <w:szCs w:val="24"/>
          <w:highlight w:val="none"/>
          <w:lang w:val="zh-CN"/>
        </w:rPr>
        <w:t>）关于资格声明函</w:t>
      </w:r>
      <w:r>
        <w:rPr>
          <w:rFonts w:hint="eastAsia" w:ascii="仿宋" w:hAnsi="仿宋" w:eastAsia="仿宋" w:cs="仿宋"/>
          <w:color w:val="auto"/>
          <w:sz w:val="24"/>
          <w:szCs w:val="24"/>
          <w:highlight w:val="none"/>
        </w:rPr>
        <w:t>属于中小企业的相关证明资料： 1)《中小企业声明函》；2) 供应商工商行政注册地管理部门出具的小微企业证明文件；</w:t>
      </w:r>
    </w:p>
    <w:p>
      <w:pPr>
        <w:autoSpaceDE w:val="0"/>
        <w:autoSpaceDN w:val="0"/>
        <w:adjustRightInd w:val="0"/>
        <w:spacing w:line="440" w:lineRule="exact"/>
        <w:ind w:firstLine="480" w:firstLineChars="200"/>
        <w:jc w:val="lef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sz w:val="24"/>
          <w:szCs w:val="24"/>
          <w:highlight w:val="none"/>
          <w:lang w:val="zh-CN"/>
        </w:rPr>
        <w:t>投标人投标的优惠条件、</w:t>
      </w:r>
      <w:r>
        <w:rPr>
          <w:rFonts w:hint="eastAsia" w:ascii="仿宋" w:hAnsi="仿宋" w:eastAsia="仿宋" w:cs="仿宋"/>
          <w:color w:val="auto"/>
          <w:kern w:val="0"/>
          <w:sz w:val="24"/>
          <w:szCs w:val="24"/>
          <w:highlight w:val="none"/>
        </w:rPr>
        <w:t>质量承诺、进度承诺、服务承诺、维保承诺、</w:t>
      </w:r>
      <w:r>
        <w:rPr>
          <w:rFonts w:hint="eastAsia" w:ascii="仿宋" w:hAnsi="仿宋" w:eastAsia="仿宋" w:cs="仿宋"/>
          <w:color w:val="auto"/>
          <w:sz w:val="24"/>
          <w:szCs w:val="24"/>
          <w:highlight w:val="none"/>
          <w:lang w:val="zh-CN"/>
        </w:rPr>
        <w:t>供货期间所提供的服务范围。</w:t>
      </w:r>
    </w:p>
    <w:p>
      <w:pPr>
        <w:autoSpaceDE w:val="0"/>
        <w:autoSpaceDN w:val="0"/>
        <w:adjustRightInd w:val="0"/>
        <w:spacing w:line="440" w:lineRule="exact"/>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zh-CN"/>
        </w:rPr>
        <w:t>）近三年的业绩（提供相关证明文件复印件）</w:t>
      </w:r>
    </w:p>
    <w:p>
      <w:pPr>
        <w:autoSpaceDE w:val="0"/>
        <w:autoSpaceDN w:val="0"/>
        <w:adjustRightInd w:val="0"/>
        <w:spacing w:line="440" w:lineRule="exact"/>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zh-CN"/>
        </w:rPr>
        <w:t>）投标单位（供应商）反商业贿赂承诺书</w:t>
      </w:r>
    </w:p>
    <w:p>
      <w:pPr>
        <w:autoSpaceDE w:val="0"/>
        <w:autoSpaceDN w:val="0"/>
        <w:adjustRightInd w:val="0"/>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r>
        <w:rPr>
          <w:rFonts w:hint="eastAsia" w:ascii="仿宋" w:hAnsi="仿宋" w:eastAsia="仿宋" w:cs="仿宋"/>
          <w:color w:val="auto"/>
          <w:sz w:val="24"/>
          <w:szCs w:val="24"/>
          <w:highlight w:val="none"/>
        </w:rPr>
        <w:t>投标产品执行的制造、合格标准；</w:t>
      </w:r>
      <w:r>
        <w:rPr>
          <w:rFonts w:hint="eastAsia" w:ascii="仿宋" w:hAnsi="仿宋" w:eastAsia="仿宋" w:cs="仿宋"/>
          <w:color w:val="auto"/>
          <w:kern w:val="0"/>
          <w:sz w:val="24"/>
          <w:szCs w:val="24"/>
          <w:highlight w:val="none"/>
        </w:rPr>
        <w:t>投入产品情况及相关材料；</w:t>
      </w:r>
      <w:r>
        <w:rPr>
          <w:rFonts w:hint="eastAsia" w:ascii="仿宋" w:hAnsi="仿宋" w:eastAsia="仿宋" w:cs="仿宋"/>
          <w:color w:val="auto"/>
          <w:sz w:val="24"/>
          <w:szCs w:val="24"/>
          <w:highlight w:val="none"/>
        </w:rPr>
        <w:t>投标产品的检测报告或合格证明材料（复印件）；投标产品性能、技术参数详述；</w:t>
      </w:r>
    </w:p>
    <w:p>
      <w:pPr>
        <w:autoSpaceDE w:val="0"/>
        <w:autoSpaceDN w:val="0"/>
        <w:adjustRightInd w:val="0"/>
        <w:spacing w:line="4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（11）商务条款偏离表；技术条款偏离表；</w:t>
      </w:r>
    </w:p>
    <w:p>
      <w:pPr>
        <w:autoSpaceDE w:val="0"/>
        <w:autoSpaceDN w:val="0"/>
        <w:adjustRightIn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sz w:val="24"/>
          <w:szCs w:val="24"/>
          <w:highlight w:val="none"/>
        </w:rPr>
        <w:t>投标人认为有必要提供的其他资格证明文件和商务相关资料以及技术部分资料。</w:t>
      </w:r>
    </w:p>
    <w:p>
      <w:pPr>
        <w:autoSpaceDE w:val="0"/>
        <w:autoSpaceDN w:val="0"/>
        <w:adjustRightInd w:val="0"/>
        <w:spacing w:line="440" w:lineRule="exact"/>
        <w:ind w:firstLine="482" w:firstLineChars="200"/>
        <w:jc w:val="left"/>
        <w:rPr>
          <w:rFonts w:hint="eastAsia" w:ascii="仿宋" w:hAnsi="仿宋" w:eastAsia="仿宋" w:cs="仿宋"/>
          <w:bCs/>
          <w:color w:val="auto"/>
          <w:kern w:val="0"/>
          <w:sz w:val="24"/>
          <w:szCs w:val="24"/>
          <w:highlight w:val="none"/>
        </w:rPr>
      </w:pPr>
      <w:r>
        <w:rPr>
          <w:rFonts w:hint="eastAsia" w:ascii="仿宋" w:hAnsi="仿宋" w:eastAsia="仿宋" w:cs="仿宋"/>
          <w:b/>
          <w:bCs/>
          <w:color w:val="auto"/>
          <w:kern w:val="0"/>
          <w:sz w:val="24"/>
          <w:szCs w:val="24"/>
          <w:highlight w:val="none"/>
        </w:rPr>
        <w:t>经济部分主要包括</w:t>
      </w:r>
      <w:r>
        <w:rPr>
          <w:rFonts w:hint="eastAsia" w:ascii="仿宋" w:hAnsi="仿宋" w:eastAsia="仿宋" w:cs="仿宋"/>
          <w:b/>
          <w:color w:val="auto"/>
          <w:sz w:val="24"/>
          <w:szCs w:val="24"/>
          <w:highlight w:val="none"/>
        </w:rPr>
        <w:t>但不限于以下内容：</w:t>
      </w:r>
      <w:r>
        <w:rPr>
          <w:rFonts w:hint="eastAsia" w:ascii="仿宋" w:hAnsi="仿宋" w:eastAsia="仿宋" w:cs="仿宋"/>
          <w:bCs/>
          <w:color w:val="auto"/>
          <w:kern w:val="0"/>
          <w:sz w:val="24"/>
          <w:szCs w:val="24"/>
          <w:highlight w:val="none"/>
        </w:rPr>
        <w:tab/>
      </w:r>
    </w:p>
    <w:p>
      <w:pPr>
        <w:autoSpaceDE w:val="0"/>
        <w:autoSpaceDN w:val="0"/>
        <w:adjustRightInd w:val="0"/>
        <w:spacing w:line="440" w:lineRule="exact"/>
        <w:ind w:firstLine="480" w:firstLineChars="200"/>
        <w:jc w:val="left"/>
        <w:rPr>
          <w:rFonts w:hint="eastAsia" w:ascii="仿宋" w:hAnsi="仿宋" w:eastAsia="仿宋" w:cs="仿宋"/>
          <w:color w:val="auto"/>
          <w:sz w:val="24"/>
          <w:szCs w:val="24"/>
          <w:highlight w:val="none"/>
        </w:rPr>
      </w:pPr>
      <w:bookmarkStart w:id="13" w:name="_Toc18658"/>
      <w:r>
        <w:rPr>
          <w:rFonts w:hint="eastAsia" w:ascii="仿宋" w:hAnsi="仿宋" w:eastAsia="仿宋" w:cs="仿宋"/>
          <w:color w:val="auto"/>
          <w:sz w:val="24"/>
          <w:szCs w:val="24"/>
          <w:highlight w:val="none"/>
        </w:rPr>
        <w:t>（1）投标报价表；</w:t>
      </w:r>
      <w:bookmarkEnd w:id="13"/>
    </w:p>
    <w:p>
      <w:pPr>
        <w:autoSpaceDE w:val="0"/>
        <w:autoSpaceDN w:val="0"/>
        <w:adjustRightInd w:val="0"/>
        <w:spacing w:line="440" w:lineRule="exact"/>
        <w:ind w:firstLine="480" w:firstLineChars="200"/>
        <w:jc w:val="left"/>
        <w:rPr>
          <w:rFonts w:hint="eastAsia" w:ascii="仿宋" w:hAnsi="仿宋" w:eastAsia="仿宋" w:cs="仿宋"/>
          <w:color w:val="auto"/>
          <w:sz w:val="24"/>
          <w:szCs w:val="24"/>
          <w:highlight w:val="none"/>
        </w:rPr>
      </w:pPr>
      <w:bookmarkStart w:id="14" w:name="_Toc7374"/>
      <w:r>
        <w:rPr>
          <w:rFonts w:hint="eastAsia" w:ascii="仿宋" w:hAnsi="仿宋" w:eastAsia="仿宋" w:cs="仿宋"/>
          <w:color w:val="auto"/>
          <w:sz w:val="24"/>
          <w:szCs w:val="24"/>
          <w:highlight w:val="none"/>
        </w:rPr>
        <w:t>（2）明细报价；</w:t>
      </w:r>
      <w:bookmarkEnd w:id="14"/>
    </w:p>
    <w:p>
      <w:pPr>
        <w:autoSpaceDE w:val="0"/>
        <w:autoSpaceDN w:val="0"/>
        <w:adjustRightInd w:val="0"/>
        <w:spacing w:line="440" w:lineRule="exact"/>
        <w:ind w:firstLine="480" w:firstLineChars="200"/>
        <w:jc w:val="left"/>
        <w:rPr>
          <w:rFonts w:hint="eastAsia" w:ascii="仿宋" w:hAnsi="仿宋" w:eastAsia="仿宋" w:cs="仿宋"/>
          <w:color w:val="auto"/>
          <w:sz w:val="24"/>
          <w:szCs w:val="24"/>
          <w:highlight w:val="none"/>
        </w:rPr>
      </w:pPr>
      <w:bookmarkStart w:id="15" w:name="_Toc26158"/>
      <w:r>
        <w:rPr>
          <w:rFonts w:hint="eastAsia" w:ascii="仿宋" w:hAnsi="仿宋" w:eastAsia="仿宋" w:cs="仿宋"/>
          <w:color w:val="auto"/>
          <w:sz w:val="24"/>
          <w:szCs w:val="24"/>
          <w:highlight w:val="none"/>
        </w:rPr>
        <w:t>（3）报价说明；</w:t>
      </w:r>
      <w:bookmarkEnd w:id="15"/>
    </w:p>
    <w:p>
      <w:pPr>
        <w:spacing w:line="440" w:lineRule="exact"/>
        <w:ind w:firstLine="480" w:firstLineChars="200"/>
        <w:rPr>
          <w:rFonts w:hint="eastAsia" w:ascii="仿宋" w:hAnsi="仿宋" w:eastAsia="仿宋" w:cs="仿宋"/>
          <w:color w:val="auto"/>
          <w:sz w:val="24"/>
          <w:szCs w:val="24"/>
          <w:highlight w:val="none"/>
        </w:rPr>
      </w:pPr>
      <w:bookmarkStart w:id="16" w:name="_Toc21778"/>
      <w:r>
        <w:rPr>
          <w:rFonts w:hint="eastAsia" w:ascii="仿宋" w:hAnsi="仿宋" w:eastAsia="仿宋" w:cs="仿宋"/>
          <w:color w:val="auto"/>
          <w:sz w:val="24"/>
          <w:szCs w:val="24"/>
          <w:highlight w:val="none"/>
        </w:rPr>
        <w:t>（4）报价需要的其他资料。</w:t>
      </w:r>
      <w:bookmarkEnd w:id="16"/>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（注：投标人提供的投标文件应当使用采购文件所提供投标文件格式（表格可按照同样格式扩展）。未提供格式的，需要时由投标人用文字或者表格、图片等其它形式提供。）</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附</w:t>
      </w:r>
      <w:r>
        <w:rPr>
          <w:rFonts w:hint="eastAsia" w:ascii="仿宋" w:hAnsi="仿宋" w:eastAsia="仿宋" w:cs="仿宋"/>
          <w:color w:val="auto"/>
          <w:sz w:val="24"/>
          <w:szCs w:val="24"/>
          <w:highlight w:val="none"/>
        </w:rPr>
        <w:t>件：</w:t>
      </w:r>
    </w:p>
    <w:p>
      <w:pPr>
        <w:spacing w:line="440" w:lineRule="exact"/>
        <w:jc w:val="center"/>
        <w:rPr>
          <w:rFonts w:hint="eastAsia" w:ascii="仿宋" w:hAnsi="仿宋" w:eastAsia="仿宋" w:cs="仿宋"/>
          <w:color w:val="auto"/>
          <w:sz w:val="24"/>
          <w:szCs w:val="24"/>
          <w:highlight w:val="none"/>
        </w:rPr>
      </w:pPr>
      <w:bookmarkStart w:id="17" w:name="_Toc6154"/>
      <w:r>
        <w:rPr>
          <w:rFonts w:hint="eastAsia" w:ascii="仿宋" w:hAnsi="仿宋" w:eastAsia="仿宋" w:cs="仿宋"/>
          <w:color w:val="auto"/>
          <w:sz w:val="24"/>
          <w:szCs w:val="24"/>
          <w:highlight w:val="none"/>
        </w:rPr>
        <w:t>投标报价一览表</w:t>
      </w:r>
      <w:bookmarkEnd w:id="17"/>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项目编号：</w:t>
      </w:r>
    </w:p>
    <w:tbl>
      <w:tblPr>
        <w:tblStyle w:val="5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9"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p>
        </w:tc>
        <w:tc>
          <w:tcPr>
            <w:tcW w:w="6801" w:type="dxa"/>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418"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6801" w:type="dxa"/>
            <w:vAlign w:val="center"/>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418" w:type="dxa"/>
            <w:vAlign w:val="center"/>
          </w:tcPr>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spacing w:line="440" w:lineRule="exact"/>
              <w:rPr>
                <w:rFonts w:hint="eastAsia" w:ascii="仿宋" w:hAnsi="仿宋" w:eastAsia="仿宋" w:cs="仿宋"/>
                <w:color w:val="auto"/>
                <w:sz w:val="24"/>
                <w:szCs w:val="24"/>
                <w:highlight w:val="none"/>
              </w:rPr>
            </w:pPr>
          </w:p>
        </w:tc>
      </w:tr>
    </w:tbl>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1、投标总价应为各分项报价之和。报价须以元为单位，小数点后保留2位。</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2、投标报价包括投标人为实施本项目提供投标产品及服务内容所包括的全部含税价格的体现。</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3、投标人必须自行考虑本项目在实施期间的一切可能产生的费用。在合同执行过程中，招标人将不再另行支付与本项目相关的任何费用（非本项目要求的其它内容除外）。</w:t>
      </w:r>
    </w:p>
    <w:p>
      <w:pPr>
        <w:spacing w:line="440" w:lineRule="exact"/>
        <w:jc w:val="center"/>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法定代表人或授权代理人（签字或盖章）：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spacing w:line="440" w:lineRule="exact"/>
        <w:jc w:val="righ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spacing w:line="440" w:lineRule="exact"/>
        <w:jc w:val="center"/>
        <w:rPr>
          <w:rFonts w:hint="eastAsia" w:ascii="仿宋" w:hAnsi="仿宋" w:eastAsia="仿宋" w:cs="仿宋"/>
          <w:color w:val="auto"/>
          <w:sz w:val="24"/>
          <w:szCs w:val="24"/>
          <w:highlight w:val="none"/>
        </w:rPr>
      </w:pPr>
      <w:bookmarkStart w:id="18" w:name="_Toc3627"/>
      <w:r>
        <w:rPr>
          <w:rFonts w:hint="eastAsia" w:ascii="仿宋" w:hAnsi="仿宋" w:eastAsia="仿宋" w:cs="仿宋"/>
          <w:color w:val="auto"/>
          <w:sz w:val="24"/>
          <w:szCs w:val="24"/>
          <w:highlight w:val="none"/>
        </w:rPr>
        <w:t>明细报价单</w:t>
      </w:r>
      <w:bookmarkEnd w:id="18"/>
    </w:p>
    <w:tbl>
      <w:tblPr>
        <w:tblStyle w:val="51"/>
        <w:tblpPr w:leftFromText="180" w:rightFromText="180" w:vertAnchor="page" w:horzAnchor="page" w:tblpX="1539" w:tblpY="2555"/>
        <w:tblOverlap w:val="never"/>
        <w:tblW w:w="9946" w:type="dxa"/>
        <w:tblInd w:w="0" w:type="dxa"/>
        <w:tblLayout w:type="fixed"/>
        <w:tblCellMar>
          <w:top w:w="0" w:type="dxa"/>
          <w:left w:w="108" w:type="dxa"/>
          <w:bottom w:w="0" w:type="dxa"/>
          <w:right w:w="108" w:type="dxa"/>
        </w:tblCellMar>
      </w:tblPr>
      <w:tblGrid>
        <w:gridCol w:w="929"/>
        <w:gridCol w:w="897"/>
        <w:gridCol w:w="848"/>
        <w:gridCol w:w="848"/>
        <w:gridCol w:w="1027"/>
        <w:gridCol w:w="1733"/>
        <w:gridCol w:w="1320"/>
        <w:gridCol w:w="1320"/>
        <w:gridCol w:w="1024"/>
      </w:tblGrid>
      <w:tr>
        <w:tblPrEx>
          <w:tblCellMar>
            <w:top w:w="0" w:type="dxa"/>
            <w:left w:w="108" w:type="dxa"/>
            <w:bottom w:w="0" w:type="dxa"/>
            <w:right w:w="108" w:type="dxa"/>
          </w:tblCellMar>
        </w:tblPrEx>
        <w:trPr>
          <w:trHeight w:val="9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序号</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产品名称</w:t>
            </w: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厂家</w:t>
            </w: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规格参数</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数量</w:t>
            </w: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单位</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单价（元）</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合计</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备注</w:t>
            </w:r>
          </w:p>
        </w:tc>
      </w:tr>
      <w:tr>
        <w:tblPrEx>
          <w:tblCellMar>
            <w:top w:w="0" w:type="dxa"/>
            <w:left w:w="108" w:type="dxa"/>
            <w:bottom w:w="0" w:type="dxa"/>
            <w:right w:w="108" w:type="dxa"/>
          </w:tblCellMar>
        </w:tblPrEx>
        <w:trPr>
          <w:trHeight w:val="562"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1</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2</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3</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4</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5</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6</w:t>
            </w:r>
          </w:p>
        </w:tc>
        <w:tc>
          <w:tcPr>
            <w:tcW w:w="897"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7</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8</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7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 w:hAnsi="仿宋" w:eastAsia="仿宋" w:cs="仿宋"/>
                <w:b/>
                <w:bCs/>
                <w:color w:val="auto"/>
                <w:kern w:val="0"/>
                <w:sz w:val="24"/>
                <w:szCs w:val="24"/>
                <w:highlight w:val="none"/>
                <w:lang w:bidi="ar"/>
              </w:rPr>
            </w:pPr>
          </w:p>
        </w:tc>
      </w:tr>
    </w:tbl>
    <w:p>
      <w:pPr>
        <w:spacing w:line="440" w:lineRule="exact"/>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注：本供货及服务范围如有任何漏项，但确实是采购人采购范围中应该有的，是满足技术规范及国家或行业有关标准要求所必须的，均应由投标人负责将漏项补齐并填报在对应分项的“其它”栏中，在备注栏中予以说明。合同签订后如发现仍有遗漏，仍由投标人无偿提供补齐。</w:t>
      </w:r>
    </w:p>
    <w:p>
      <w:pPr>
        <w:spacing w:line="440" w:lineRule="exact"/>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法定代表人或授权代理人（签字或盖章）：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spacing w:line="440" w:lineRule="exact"/>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bookmarkStart w:id="19" w:name="_Toc25825"/>
      <w:r>
        <w:rPr>
          <w:rFonts w:hint="eastAsia" w:ascii="仿宋" w:hAnsi="仿宋" w:eastAsia="仿宋" w:cs="仿宋"/>
          <w:color w:val="auto"/>
          <w:sz w:val="24"/>
          <w:szCs w:val="24"/>
          <w:highlight w:val="none"/>
        </w:rPr>
        <w:t>投  标  人  企  业  简  介</w:t>
      </w:r>
      <w:bookmarkEnd w:id="19"/>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bookmarkStart w:id="20" w:name="_Toc4836"/>
      <w:r>
        <w:rPr>
          <w:rFonts w:hint="eastAsia" w:ascii="仿宋" w:hAnsi="仿宋" w:eastAsia="仿宋" w:cs="仿宋"/>
          <w:color w:val="auto"/>
          <w:sz w:val="24"/>
          <w:szCs w:val="24"/>
          <w:highlight w:val="none"/>
        </w:rPr>
        <w:t>1、投标人(盖公章)：</w:t>
      </w:r>
      <w:bookmarkEnd w:id="20"/>
    </w:p>
    <w:p>
      <w:pPr>
        <w:spacing w:line="440" w:lineRule="exact"/>
        <w:rPr>
          <w:rFonts w:hint="eastAsia" w:ascii="仿宋" w:hAnsi="仿宋" w:eastAsia="仿宋" w:cs="仿宋"/>
          <w:color w:val="auto"/>
          <w:sz w:val="24"/>
          <w:szCs w:val="24"/>
          <w:highlight w:val="none"/>
        </w:rPr>
      </w:pPr>
      <w:bookmarkStart w:id="21" w:name="_Toc6678"/>
      <w:r>
        <w:rPr>
          <w:rFonts w:hint="eastAsia" w:ascii="仿宋" w:hAnsi="仿宋" w:eastAsia="仿宋" w:cs="仿宋"/>
          <w:color w:val="auto"/>
          <w:sz w:val="24"/>
          <w:szCs w:val="24"/>
          <w:highlight w:val="none"/>
        </w:rPr>
        <w:t>2、投标单位地址：</w:t>
      </w:r>
      <w:bookmarkEnd w:id="21"/>
      <w:r>
        <w:rPr>
          <w:rFonts w:hint="eastAsia" w:ascii="仿宋" w:hAnsi="仿宋" w:eastAsia="仿宋" w:cs="仿宋"/>
          <w:color w:val="auto"/>
          <w:sz w:val="24"/>
          <w:szCs w:val="24"/>
          <w:highlight w:val="none"/>
        </w:rPr>
        <w:tab/>
      </w:r>
    </w:p>
    <w:p>
      <w:pPr>
        <w:spacing w:line="440" w:lineRule="exact"/>
        <w:rPr>
          <w:rFonts w:hint="eastAsia" w:ascii="仿宋" w:hAnsi="仿宋" w:eastAsia="仿宋" w:cs="仿宋"/>
          <w:color w:val="auto"/>
          <w:sz w:val="24"/>
          <w:szCs w:val="24"/>
          <w:highlight w:val="none"/>
        </w:rPr>
      </w:pPr>
      <w:bookmarkStart w:id="22" w:name="_Toc6584"/>
      <w:r>
        <w:rPr>
          <w:rFonts w:hint="eastAsia" w:ascii="仿宋" w:hAnsi="仿宋" w:eastAsia="仿宋" w:cs="仿宋"/>
          <w:color w:val="auto"/>
          <w:sz w:val="24"/>
          <w:szCs w:val="24"/>
          <w:highlight w:val="none"/>
        </w:rPr>
        <w:t>3、经营范围：</w:t>
      </w:r>
      <w:bookmarkEnd w:id="22"/>
      <w:r>
        <w:rPr>
          <w:rFonts w:hint="eastAsia" w:ascii="仿宋" w:hAnsi="仿宋" w:eastAsia="仿宋" w:cs="仿宋"/>
          <w:color w:val="auto"/>
          <w:sz w:val="24"/>
          <w:szCs w:val="24"/>
          <w:highlight w:val="none"/>
        </w:rPr>
        <w:tab/>
      </w:r>
    </w:p>
    <w:p>
      <w:pPr>
        <w:spacing w:line="440" w:lineRule="exact"/>
        <w:rPr>
          <w:rFonts w:hint="eastAsia" w:ascii="仿宋" w:hAnsi="仿宋" w:eastAsia="仿宋" w:cs="仿宋"/>
          <w:color w:val="auto"/>
          <w:sz w:val="24"/>
          <w:szCs w:val="24"/>
          <w:highlight w:val="none"/>
        </w:rPr>
      </w:pPr>
      <w:bookmarkStart w:id="23" w:name="_Toc16476"/>
      <w:r>
        <w:rPr>
          <w:rFonts w:hint="eastAsia" w:ascii="仿宋" w:hAnsi="仿宋" w:eastAsia="仿宋" w:cs="仿宋"/>
          <w:color w:val="auto"/>
          <w:sz w:val="24"/>
          <w:szCs w:val="24"/>
          <w:highlight w:val="none"/>
        </w:rPr>
        <w:t>4、投标人自我介绍：</w:t>
      </w:r>
      <w:bookmarkEnd w:id="23"/>
      <w:r>
        <w:rPr>
          <w:rFonts w:hint="eastAsia" w:ascii="仿宋" w:hAnsi="仿宋" w:eastAsia="仿宋" w:cs="仿宋"/>
          <w:color w:val="auto"/>
          <w:sz w:val="24"/>
          <w:szCs w:val="24"/>
          <w:highlight w:val="none"/>
        </w:rPr>
        <w:tab/>
      </w: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pacing w:line="440" w:lineRule="exact"/>
        <w:jc w:val="center"/>
        <w:rPr>
          <w:rFonts w:hint="eastAsia" w:ascii="仿宋" w:hAnsi="仿宋" w:eastAsia="仿宋" w:cs="仿宋"/>
          <w:color w:val="auto"/>
          <w:sz w:val="24"/>
          <w:szCs w:val="24"/>
          <w:highlight w:val="none"/>
        </w:rPr>
      </w:pPr>
      <w:bookmarkStart w:id="24" w:name="_Toc27716"/>
      <w:r>
        <w:rPr>
          <w:rFonts w:hint="eastAsia" w:ascii="仿宋" w:hAnsi="仿宋" w:eastAsia="仿宋" w:cs="仿宋"/>
          <w:color w:val="auto"/>
          <w:sz w:val="24"/>
          <w:szCs w:val="24"/>
          <w:highlight w:val="none"/>
        </w:rPr>
        <w:t>投标函</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致____________(采购人或采购代理机构)：</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根据________(项目名称)(项目编号：________)的投标邀请，________(姓名、职务)代表供应商________(供应商名称、地址)参加本项目招标的有关活动。据此函，作如下承诺：</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1.同意在本项目招标文件中规定的开标日起______天遵守本投标文件中的承诺，且在期满之前均具有约束力。</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2.具备政府采购相关法律法规规定的参加政府采购活动的供应商应当具备的条件：</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(5)参加此项采购活动前3年内，在经营活动中没有重大违法记录。</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3.具备本项目招标文件中规定的其他资格条件。</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4.提供供应商须知规定的全部投标文件，包括投标文件正本______份，副本______份，电子文档______份，开标一览表(投标报价表)______份。</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5.已详细审阅全部招标文件(包括招标文件澄清函)，理解供应商须知的所有条款。</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6.接受招标文件中全部合同条款，且无任何异议；保证忠实地执行双方所签订的合同，并承担合同规定的责任和义务。</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7.完全满足和响应招标文件中的各项商务和技术要求，若有偏差，已在投标文件中明确说明。</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8.如果在开标后规定的投标有效期内撤回投标，贵方可不予退还我方的投标保证金。</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9.愿意提供任何与投标有关的数据、情况和技术资料等。</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10.我方已详细审核全部投标文件、参考资料及有关附件，确认无误。</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11.对本次招标内容及与本项目有关的知识产权、技术资料、商业秘密及相关信息保密。</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12.与采购人和采购代理机构无任何的隶属关系或者其他利害关系。</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投标承诺书（一）</w:t>
      </w:r>
      <w:bookmarkEnd w:id="24"/>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我方收到并研究了贵方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（项目名称、项目编号）项目的采购文件，愿意按照采购文件规定的内容承担该项目的投标任务，严格执行我方所承诺的责任和义务。为此，我方郑重声明以下诸点，并负法律责任。</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1、我方按采购要求提交投标文件；我方愿按《中华人民共和国政府采购法》及其他有关法律、法规的规定，自觉履行自己的全部责任。</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2、我方同意在投标有效期内遵守本投标文件，在此期限期满前的任何时间，本投标文件一直对我们具有约束力；</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3、如果我方投标文件被接受，我方将按照采购文件的规定，我方保证将按招标要求和投标文件中的承诺按期、按质、按量交付使用方；</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4、如果我方中标，我方将在采购文件规定的时间内签订委托合同并按招标要求提供履约担保。如果我方违约，除投标保证金不予退还外，贵方有权终止我方成交并选择其它中标人。</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果我方中标，我方将在采购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6、一旦我方成交，我方愿意按采购要求承担招标代理服务费。</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7、贵方的中标通知书和本投标文件将构成约束双方的合同。</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8、如果我方未成交，贵方没有必要对我方做出任何解释和说明，我方将充分尊重和理解贵方的选择。</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9、我方的投标响应文件自提交投标文件截止之日起有效期为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spacing w:line="440" w:lineRule="exact"/>
        <w:jc w:val="center"/>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法定代表人或授权代理人（签字或盖章）：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spacing w:line="440" w:lineRule="exact"/>
        <w:jc w:val="righ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ageBreakBefore/>
        <w:autoSpaceDE w:val="0"/>
        <w:autoSpaceDN w:val="0"/>
        <w:adjustRightInd w:val="0"/>
        <w:spacing w:line="440" w:lineRule="exact"/>
        <w:ind w:firstLine="482" w:firstLineChars="200"/>
        <w:jc w:val="center"/>
        <w:rPr>
          <w:rFonts w:hint="eastAsia" w:ascii="仿宋" w:hAnsi="仿宋" w:eastAsia="仿宋" w:cs="仿宋"/>
          <w:b/>
          <w:bCs/>
          <w:color w:val="auto"/>
          <w:sz w:val="24"/>
          <w:szCs w:val="24"/>
          <w:highlight w:val="none"/>
          <w:lang w:val="zh-CN"/>
        </w:rPr>
      </w:pPr>
      <w:bookmarkStart w:id="25" w:name="_Toc6082"/>
      <w:r>
        <w:rPr>
          <w:rFonts w:hint="eastAsia" w:ascii="仿宋" w:hAnsi="仿宋" w:eastAsia="仿宋" w:cs="仿宋"/>
          <w:b/>
          <w:bCs/>
          <w:color w:val="auto"/>
          <w:sz w:val="24"/>
          <w:szCs w:val="24"/>
          <w:highlight w:val="none"/>
          <w:lang w:val="zh-CN"/>
        </w:rPr>
        <w:t>法定代表人身份证明书</w:t>
      </w:r>
      <w:bookmarkEnd w:id="25"/>
    </w:p>
    <w:p>
      <w:pPr>
        <w:spacing w:line="440" w:lineRule="exact"/>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企业名称：</w:t>
      </w:r>
    </w:p>
    <w:p>
      <w:pPr>
        <w:spacing w:line="440" w:lineRule="exact"/>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企业类型：</w:t>
      </w:r>
    </w:p>
    <w:p>
      <w:pPr>
        <w:spacing w:line="440" w:lineRule="exact"/>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p>
    <w:p>
      <w:pPr>
        <w:spacing w:line="440" w:lineRule="exact"/>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营业期限：</w:t>
      </w:r>
    </w:p>
    <w:p>
      <w:pPr>
        <w:spacing w:line="440" w:lineRule="exact"/>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成立时间：</w:t>
      </w:r>
    </w:p>
    <w:p>
      <w:pPr>
        <w:spacing w:line="440" w:lineRule="exact"/>
        <w:ind w:firstLine="720" w:firstLineChars="300"/>
        <w:rPr>
          <w:rFonts w:hint="eastAsia" w:ascii="仿宋" w:hAnsi="仿宋" w:eastAsia="仿宋" w:cs="仿宋"/>
          <w:color w:val="auto"/>
          <w:sz w:val="24"/>
          <w:szCs w:val="24"/>
          <w:highlight w:val="none"/>
          <w:u w:val="single"/>
        </w:rPr>
      </w:pPr>
    </w:p>
    <w:p>
      <w:p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    性别：   年龄：  职务：</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系 </w:t>
      </w:r>
      <w:r>
        <w:rPr>
          <w:rFonts w:hint="eastAsia" w:ascii="仿宋" w:hAnsi="仿宋" w:eastAsia="仿宋" w:cs="仿宋"/>
          <w:color w:val="auto"/>
          <w:sz w:val="24"/>
          <w:szCs w:val="24"/>
          <w:highlight w:val="none"/>
          <w:u w:val="single"/>
        </w:rPr>
        <w:t xml:space="preserve">         （投标人名称）               </w:t>
      </w:r>
      <w:r>
        <w:rPr>
          <w:rFonts w:hint="eastAsia" w:ascii="仿宋" w:hAnsi="仿宋" w:eastAsia="仿宋" w:cs="仿宋"/>
          <w:color w:val="auto"/>
          <w:sz w:val="24"/>
          <w:szCs w:val="24"/>
          <w:highlight w:val="none"/>
        </w:rPr>
        <w:t>的法定代表人。</w:t>
      </w: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pStyle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3089275</wp:posOffset>
                </wp:positionH>
                <wp:positionV relativeFrom="paragraph">
                  <wp:posOffset>191135</wp:posOffset>
                </wp:positionV>
                <wp:extent cx="2971800" cy="1895475"/>
                <wp:effectExtent l="4445" t="4445" r="14605" b="5080"/>
                <wp:wrapNone/>
                <wp:docPr id="7"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3.25pt;margin-top:15.05pt;height:149.25pt;width:234pt;z-index:251666432;mso-width-relative:page;mso-height-relative:page;" fillcolor="#FFFFFF" filled="t" stroked="t" coordsize="21600,21600" o:gfxdata="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XeyVzaAAAACgEAAA8AAAAAAAAA&#10;AQAgAAAAIgAAAGRycy9kb3ducmV2LnhtbFBLAQIUABQAAAAIAIdO4kAmtitC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-46355</wp:posOffset>
                </wp:positionH>
                <wp:positionV relativeFrom="paragraph">
                  <wp:posOffset>172720</wp:posOffset>
                </wp:positionV>
                <wp:extent cx="2971800" cy="1895475"/>
                <wp:effectExtent l="4445" t="4445" r="14605" b="5080"/>
                <wp:wrapNone/>
                <wp:docPr id="6"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3.65pt;margin-top:13.6pt;height:149.25pt;width:234pt;z-index:251665408;mso-width-relative:page;mso-height-relative:page;" fillcolor="#FFFFFF" filled="t" stroked="t" coordsize="21600,21600" o:gfxdata="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DTr9jaAAAACQEAAA8AAAAAAAAA&#10;AQAgAAAAIgAAAGRycy9kb3ducmV2LnhtbFBLAQIUABQAAAAIAIdO4kAZu1EL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tabs>
          <w:tab w:val="left" w:pos="1648"/>
        </w:tabs>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法定代表人或授权代理人（签字或盖章）：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rPr>
          <w:rFonts w:hint="eastAsia" w:ascii="仿宋" w:hAnsi="仿宋" w:eastAsia="仿宋" w:cs="仿宋"/>
          <w:b/>
          <w:color w:val="auto"/>
          <w:sz w:val="24"/>
          <w:szCs w:val="24"/>
          <w:highlight w:val="none"/>
        </w:rPr>
      </w:pPr>
      <w:bookmarkStart w:id="26" w:name="_Toc7067"/>
      <w:r>
        <w:rPr>
          <w:rFonts w:hint="eastAsia" w:ascii="仿宋" w:hAnsi="仿宋" w:eastAsia="仿宋" w:cs="仿宋"/>
          <w:b/>
          <w:color w:val="auto"/>
          <w:sz w:val="24"/>
          <w:szCs w:val="24"/>
          <w:highlight w:val="none"/>
        </w:rPr>
        <w:br w:type="page"/>
      </w:r>
    </w:p>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法人代表授权书格式</w:t>
      </w:r>
      <w:bookmarkEnd w:id="26"/>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（地区的名称）的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（公司名称），现授权委托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为我的代理人，以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（投标人名称）的名义参加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（项目名称和项目编号）采购项目的投标活动。代理人在参加整个招标投标活动所签署的一切文件和处理与之相关的一切事物，我均予承认。</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   性别：  年龄：</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  门：   职务：</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AGWmR2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SZXpe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5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SZXpeU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D5ZKyn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pacing w:line="440" w:lineRule="exact"/>
        <w:jc w:val="center"/>
        <w:rPr>
          <w:rFonts w:hint="eastAsia" w:ascii="仿宋" w:hAnsi="仿宋" w:eastAsia="仿宋" w:cs="仿宋"/>
          <w:b/>
          <w:color w:val="auto"/>
          <w:sz w:val="24"/>
          <w:szCs w:val="24"/>
          <w:highlight w:val="none"/>
        </w:rPr>
      </w:pPr>
      <w:bookmarkStart w:id="27" w:name="_Toc15073"/>
      <w:bookmarkStart w:id="28" w:name="_Toc294186060"/>
      <w:bookmarkStart w:id="29" w:name="_Toc294206743"/>
      <w:bookmarkStart w:id="30" w:name="_Toc12308"/>
      <w:r>
        <w:rPr>
          <w:rFonts w:hint="eastAsia" w:ascii="仿宋" w:hAnsi="仿宋" w:eastAsia="仿宋" w:cs="仿宋"/>
          <w:b/>
          <w:color w:val="auto"/>
          <w:sz w:val="24"/>
          <w:szCs w:val="24"/>
          <w:highlight w:val="none"/>
        </w:rPr>
        <w:t>近三年的业绩</w:t>
      </w:r>
      <w:bookmarkEnd w:id="27"/>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w:t>
      </w:r>
    </w:p>
    <w:tbl>
      <w:tblPr>
        <w:tblStyle w:val="51"/>
        <w:tblW w:w="901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197"/>
        <w:gridCol w:w="1936"/>
        <w:gridCol w:w="162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03" w:type="dxa"/>
            <w:tcBorders>
              <w:top w:val="single" w:color="auto" w:sz="4" w:space="0"/>
              <w:left w:val="single" w:color="auto" w:sz="4" w:space="0"/>
              <w:bottom w:val="single" w:color="auto" w:sz="4" w:space="0"/>
              <w:right w:val="single" w:color="auto" w:sz="4" w:space="0"/>
            </w:tcBorders>
            <w:vAlign w:val="center"/>
          </w:tcPr>
          <w:p>
            <w:pPr>
              <w:pStyle w:val="397"/>
              <w:spacing w:line="44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地　　区</w:t>
            </w:r>
          </w:p>
        </w:tc>
        <w:tc>
          <w:tcPr>
            <w:tcW w:w="2197" w:type="dxa"/>
            <w:tcBorders>
              <w:top w:val="single" w:color="auto" w:sz="4" w:space="0"/>
              <w:left w:val="single" w:color="auto" w:sz="4" w:space="0"/>
              <w:bottom w:val="single" w:color="auto" w:sz="4" w:space="0"/>
              <w:right w:val="single" w:color="auto" w:sz="4" w:space="0"/>
            </w:tcBorders>
            <w:vAlign w:val="center"/>
          </w:tcPr>
          <w:p>
            <w:pPr>
              <w:pStyle w:val="397"/>
              <w:spacing w:line="44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产品名称</w:t>
            </w:r>
          </w:p>
        </w:tc>
        <w:tc>
          <w:tcPr>
            <w:tcW w:w="1936" w:type="dxa"/>
            <w:tcBorders>
              <w:top w:val="single" w:color="auto" w:sz="4" w:space="0"/>
              <w:left w:val="single" w:color="auto" w:sz="4" w:space="0"/>
              <w:bottom w:val="single" w:color="auto" w:sz="4" w:space="0"/>
              <w:right w:val="single" w:color="auto" w:sz="4" w:space="0"/>
            </w:tcBorders>
            <w:vAlign w:val="center"/>
          </w:tcPr>
          <w:p>
            <w:pPr>
              <w:pStyle w:val="397"/>
              <w:spacing w:line="440" w:lineRule="exact"/>
              <w:ind w:firstLine="720" w:firstLineChars="30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类型</w:t>
            </w:r>
          </w:p>
        </w:tc>
        <w:tc>
          <w:tcPr>
            <w:tcW w:w="1628" w:type="dxa"/>
            <w:tcBorders>
              <w:top w:val="single" w:color="auto" w:sz="4" w:space="0"/>
              <w:left w:val="single" w:color="auto" w:sz="4" w:space="0"/>
              <w:bottom w:val="single" w:color="auto" w:sz="4" w:space="0"/>
              <w:right w:val="single" w:color="auto" w:sz="4" w:space="0"/>
            </w:tcBorders>
            <w:vAlign w:val="center"/>
          </w:tcPr>
          <w:p>
            <w:pPr>
              <w:pStyle w:val="397"/>
              <w:spacing w:line="44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 量</w:t>
            </w:r>
          </w:p>
        </w:tc>
        <w:tc>
          <w:tcPr>
            <w:tcW w:w="1753" w:type="dxa"/>
            <w:tcBorders>
              <w:top w:val="single" w:color="auto" w:sz="4" w:space="0"/>
              <w:left w:val="single" w:color="auto" w:sz="4" w:space="0"/>
              <w:bottom w:val="single" w:color="auto" w:sz="4" w:space="0"/>
              <w:right w:val="single" w:color="auto" w:sz="4" w:space="0"/>
            </w:tcBorders>
            <w:vAlign w:val="center"/>
          </w:tcPr>
          <w:p>
            <w:pPr>
              <w:pStyle w:val="397"/>
              <w:spacing w:line="44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03"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03"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03"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03"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 w:hAnsi="仿宋" w:eastAsia="仿宋" w:cs="仿宋"/>
                <w:color w:val="auto"/>
                <w:sz w:val="24"/>
                <w:szCs w:val="24"/>
                <w:highlight w:val="none"/>
              </w:rPr>
            </w:pPr>
          </w:p>
        </w:tc>
      </w:tr>
    </w:tbl>
    <w:p>
      <w:pPr>
        <w:spacing w:line="440" w:lineRule="exact"/>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法定代表人或授权代理人（签字盖章）：</w:t>
      </w:r>
    </w:p>
    <w:p>
      <w:pPr>
        <w:spacing w:line="440" w:lineRule="exact"/>
        <w:ind w:firstLine="4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pPr>
        <w:pStyle w:val="2"/>
        <w:spacing w:line="440" w:lineRule="exact"/>
        <w:ind w:firstLine="480"/>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注：须附投标人需提供中标通知书（成交通知书）、采购合同或协议（含首页、采购设备品牌型号页、配置清单、售后服务及数量页、签字盖章页）复印件，否则业绩不予认可。等证明材料。</w:t>
      </w:r>
    </w:p>
    <w:bookmarkEnd w:id="28"/>
    <w:bookmarkEnd w:id="29"/>
    <w:p>
      <w:pPr>
        <w:spacing w:line="440" w:lineRule="exact"/>
        <w:rPr>
          <w:rFonts w:hint="eastAsia" w:ascii="仿宋" w:hAnsi="仿宋" w:eastAsia="仿宋" w:cs="仿宋"/>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adjustRightInd w:val="0"/>
        <w:snapToGrid w:val="0"/>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属于中小企业的相关证明资料</w:t>
      </w:r>
      <w:bookmarkEnd w:id="30"/>
    </w:p>
    <w:p>
      <w:pPr>
        <w:pBdr>
          <w:top w:val="single" w:color="auto" w:sz="4" w:space="0"/>
          <w:left w:val="single" w:color="auto" w:sz="4" w:space="0"/>
          <w:bottom w:val="single" w:color="auto" w:sz="4" w:space="0"/>
          <w:right w:val="single" w:color="auto" w:sz="4" w:space="0"/>
        </w:pBdr>
        <w:adjustRightInd w:val="0"/>
        <w:snapToGrid w:val="0"/>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中小企业声明函</w:t>
      </w:r>
    </w:p>
    <w:p>
      <w:pPr>
        <w:pBdr>
          <w:top w:val="single" w:color="auto" w:sz="4" w:space="0"/>
          <w:left w:val="single" w:color="auto" w:sz="4" w:space="0"/>
          <w:bottom w:val="single" w:color="auto" w:sz="4" w:space="0"/>
          <w:right w:val="single" w:color="auto" w:sz="4" w:space="0"/>
        </w:pBdr>
        <w:adjustRightInd w:val="0"/>
        <w:snapToGrid w:val="0"/>
        <w:spacing w:line="440" w:lineRule="exact"/>
        <w:ind w:firstLine="504"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本公司郑重声明，根据《政府采购促进中小企业发展暂行办法》（财库[2011]181号）的规定，本公司为（请填写：中型、小型、微型）企业。即，本公司同时满足以下条件：</w:t>
      </w:r>
    </w:p>
    <w:p>
      <w:pPr>
        <w:pBdr>
          <w:top w:val="single" w:color="auto" w:sz="4" w:space="0"/>
          <w:left w:val="single" w:color="auto" w:sz="4" w:space="0"/>
          <w:bottom w:val="single" w:color="auto" w:sz="4" w:space="0"/>
          <w:right w:val="single" w:color="auto" w:sz="4" w:space="0"/>
        </w:pBdr>
        <w:adjustRightInd w:val="0"/>
        <w:snapToGrid w:val="0"/>
        <w:spacing w:line="440" w:lineRule="exact"/>
        <w:ind w:firstLine="504"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1.根据《工业和信息化部、国家统计局、国家发展和改革委员会、财政部关于印发中小企业划型标准规定的通知》（工信部联企业[2011]300号）规定的划分标准，本公司为（请填写：中型、小型、微型）企业。</w:t>
      </w:r>
    </w:p>
    <w:p>
      <w:pPr>
        <w:pBdr>
          <w:top w:val="single" w:color="auto" w:sz="4" w:space="0"/>
          <w:left w:val="single" w:color="auto" w:sz="4" w:space="0"/>
          <w:bottom w:val="single" w:color="auto" w:sz="4" w:space="0"/>
          <w:right w:val="single" w:color="auto" w:sz="4" w:space="0"/>
        </w:pBdr>
        <w:adjustRightInd w:val="0"/>
        <w:snapToGrid w:val="0"/>
        <w:spacing w:line="440" w:lineRule="exact"/>
        <w:ind w:firstLine="504"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2.本公司参加单位的 项目采购活动提供本企业制造的货物，由本企业承担工程、提供服务，或者提供其他（请填写：中型、小型、微型）企业制造的货物。本条所称货物不包括使用大型企业注册商标的货物。</w:t>
      </w:r>
    </w:p>
    <w:p>
      <w:pPr>
        <w:pBdr>
          <w:top w:val="single" w:color="auto" w:sz="4" w:space="0"/>
          <w:left w:val="single" w:color="auto" w:sz="4" w:space="0"/>
          <w:bottom w:val="single" w:color="auto" w:sz="4" w:space="0"/>
          <w:right w:val="single" w:color="auto" w:sz="4" w:space="0"/>
        </w:pBdr>
        <w:adjustRightInd w:val="0"/>
        <w:snapToGrid w:val="0"/>
        <w:spacing w:line="440" w:lineRule="exact"/>
        <w:ind w:firstLine="504"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本公司对上述声明的真实性负责。如有虚假，将依法承担相应责任。</w:t>
      </w:r>
    </w:p>
    <w:p>
      <w:pPr>
        <w:pBdr>
          <w:top w:val="single" w:color="auto" w:sz="4" w:space="0"/>
          <w:left w:val="single" w:color="auto" w:sz="4" w:space="0"/>
          <w:bottom w:val="single" w:color="auto" w:sz="4" w:space="0"/>
          <w:right w:val="single" w:color="auto" w:sz="4" w:space="0"/>
        </w:pBdr>
        <w:adjustRightInd w:val="0"/>
        <w:snapToGrid w:val="0"/>
        <w:spacing w:line="440" w:lineRule="exact"/>
        <w:ind w:firstLine="480" w:firstLineChars="200"/>
        <w:jc w:val="left"/>
        <w:rPr>
          <w:rFonts w:hint="eastAsia" w:ascii="仿宋" w:hAnsi="仿宋" w:eastAsia="仿宋" w:cs="仿宋"/>
          <w:color w:val="auto"/>
          <w:sz w:val="24"/>
          <w:szCs w:val="24"/>
          <w:highlight w:val="none"/>
        </w:rPr>
      </w:pPr>
    </w:p>
    <w:p>
      <w:pPr>
        <w:pBdr>
          <w:top w:val="single" w:color="auto" w:sz="4" w:space="0"/>
          <w:left w:val="single" w:color="auto" w:sz="4" w:space="0"/>
          <w:bottom w:val="single" w:color="auto" w:sz="4" w:space="0"/>
          <w:right w:val="single" w:color="auto" w:sz="4" w:space="0"/>
        </w:pBdr>
        <w:adjustRightInd w:val="0"/>
        <w:snapToGrid w:val="0"/>
        <w:spacing w:line="440" w:lineRule="exact"/>
        <w:ind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投标人名称（盖单位章）： </w:t>
      </w:r>
    </w:p>
    <w:p>
      <w:pPr>
        <w:pBdr>
          <w:top w:val="single" w:color="auto" w:sz="4" w:space="0"/>
          <w:left w:val="single" w:color="auto" w:sz="4" w:space="0"/>
          <w:bottom w:val="single" w:color="auto" w:sz="4" w:space="0"/>
          <w:right w:val="single" w:color="auto" w:sz="4" w:space="0"/>
        </w:pBdr>
        <w:adjustRightInd w:val="0"/>
        <w:snapToGrid w:val="0"/>
        <w:spacing w:line="440" w:lineRule="exact"/>
        <w:ind w:firstLine="504"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             日期：</w:t>
      </w:r>
      <w:r>
        <w:rPr>
          <w:rFonts w:hint="eastAsia" w:ascii="仿宋" w:hAnsi="仿宋" w:eastAsia="仿宋" w:cs="仿宋"/>
          <w:color w:val="auto"/>
          <w:sz w:val="24"/>
          <w:szCs w:val="24"/>
          <w:highlight w:val="none"/>
        </w:rPr>
        <w:t>年月日</w:t>
      </w:r>
    </w:p>
    <w:p>
      <w:pPr>
        <w:pBdr>
          <w:top w:val="single" w:color="auto" w:sz="4" w:space="0"/>
          <w:left w:val="single" w:color="auto" w:sz="4" w:space="0"/>
          <w:bottom w:val="single" w:color="auto" w:sz="4" w:space="0"/>
          <w:right w:val="single" w:color="auto" w:sz="4" w:space="0"/>
        </w:pBdr>
        <w:adjustRightInd w:val="0"/>
        <w:snapToGrid w:val="0"/>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说明：1、填写前请认真阅读</w:t>
      </w:r>
      <w:r>
        <w:rPr>
          <w:rFonts w:hint="eastAsia" w:ascii="仿宋" w:hAnsi="仿宋" w:eastAsia="仿宋" w:cs="仿宋"/>
          <w:color w:val="auto"/>
          <w:spacing w:val="6"/>
          <w:sz w:val="24"/>
          <w:szCs w:val="24"/>
          <w:highlight w:val="none"/>
        </w:rPr>
        <w:t>《工业和信息化部、国家统计局、国家发展和改革委员会、财政部关于印发中小企业划型标准规定的通知》（工信部联企业[2011]300号）和《财政部工业和信息化部</w:t>
      </w:r>
      <w:r>
        <w:rPr>
          <w:rFonts w:hint="eastAsia" w:ascii="仿宋" w:hAnsi="仿宋" w:eastAsia="仿宋" w:cs="仿宋"/>
          <w:bCs/>
          <w:color w:val="auto"/>
          <w:sz w:val="24"/>
          <w:szCs w:val="24"/>
          <w:highlight w:val="none"/>
        </w:rPr>
        <w:t>关于印发＜政府采购促进中小企业发展暂行办法＞的通知》(</w:t>
      </w:r>
      <w:r>
        <w:rPr>
          <w:rFonts w:hint="eastAsia" w:ascii="仿宋" w:hAnsi="仿宋" w:eastAsia="仿宋" w:cs="仿宋"/>
          <w:color w:val="auto"/>
          <w:sz w:val="24"/>
          <w:szCs w:val="24"/>
          <w:highlight w:val="none"/>
        </w:rPr>
        <w:t>财库[2011]181号)相关规定。</w:t>
      </w:r>
    </w:p>
    <w:p>
      <w:pPr>
        <w:pBdr>
          <w:top w:val="single" w:color="auto" w:sz="4" w:space="0"/>
          <w:left w:val="single" w:color="auto" w:sz="4" w:space="0"/>
          <w:bottom w:val="single" w:color="auto" w:sz="4" w:space="0"/>
          <w:right w:val="single" w:color="auto" w:sz="4" w:space="0"/>
        </w:pBdr>
        <w:adjustRightInd w:val="0"/>
        <w:snapToGrid w:val="0"/>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2、中小企业部分提供其他中小企业制造货物的应另附说明，并与后面的报价一栏表保持一致。</w:t>
      </w:r>
    </w:p>
    <w:p>
      <w:pPr>
        <w:pBdr>
          <w:top w:val="single" w:color="auto" w:sz="4" w:space="0"/>
          <w:left w:val="single" w:color="auto" w:sz="4" w:space="0"/>
          <w:bottom w:val="single" w:color="auto" w:sz="4" w:space="0"/>
          <w:right w:val="single" w:color="auto" w:sz="4" w:space="0"/>
        </w:pBdr>
        <w:adjustRightInd w:val="0"/>
        <w:snapToGrid w:val="0"/>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3、未按上述要求提供、填写的，评审时不予以考虑。</w:t>
      </w:r>
    </w:p>
    <w:p>
      <w:pPr>
        <w:pBdr>
          <w:top w:val="single" w:color="auto" w:sz="4" w:space="0"/>
          <w:left w:val="single" w:color="auto" w:sz="4" w:space="0"/>
          <w:bottom w:val="single" w:color="auto" w:sz="4" w:space="0"/>
          <w:right w:val="single" w:color="auto" w:sz="4" w:space="0"/>
        </w:pBdr>
        <w:adjustRightInd w:val="0"/>
        <w:snapToGrid w:val="0"/>
        <w:spacing w:line="440" w:lineRule="exact"/>
        <w:jc w:val="center"/>
        <w:rPr>
          <w:rFonts w:hint="eastAsia" w:ascii="仿宋" w:hAnsi="仿宋" w:eastAsia="仿宋" w:cs="仿宋"/>
          <w:b/>
          <w:color w:val="auto"/>
          <w:sz w:val="24"/>
          <w:szCs w:val="24"/>
          <w:highlight w:val="none"/>
        </w:rPr>
      </w:pPr>
    </w:p>
    <w:p>
      <w:pPr>
        <w:pBdr>
          <w:top w:val="single" w:color="auto" w:sz="4" w:space="0"/>
          <w:left w:val="single" w:color="auto" w:sz="4" w:space="0"/>
          <w:bottom w:val="single" w:color="auto" w:sz="4" w:space="0"/>
          <w:right w:val="single" w:color="auto" w:sz="4" w:space="0"/>
        </w:pBdr>
        <w:adjustRightInd w:val="0"/>
        <w:snapToGrid w:val="0"/>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中小企业证明材料</w:t>
      </w:r>
    </w:p>
    <w:p>
      <w:pPr>
        <w:pBdr>
          <w:top w:val="single" w:color="auto" w:sz="4" w:space="0"/>
          <w:left w:val="single" w:color="auto" w:sz="4" w:space="0"/>
          <w:bottom w:val="single" w:color="auto" w:sz="4" w:space="0"/>
          <w:right w:val="single" w:color="auto" w:sz="4" w:space="0"/>
        </w:pBdr>
        <w:adjustRightInd w:val="0"/>
        <w:snapToGrid w:val="0"/>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1.投标人工商行政注册地管理部门出具的小微企业证明材料；</w:t>
      </w:r>
    </w:p>
    <w:p>
      <w:pPr>
        <w:pBdr>
          <w:top w:val="single" w:color="auto" w:sz="4" w:space="0"/>
          <w:left w:val="single" w:color="auto" w:sz="4" w:space="0"/>
          <w:bottom w:val="single" w:color="auto" w:sz="4" w:space="0"/>
          <w:right w:val="single" w:color="auto" w:sz="4" w:space="0"/>
        </w:pBdr>
        <w:adjustRightInd w:val="0"/>
        <w:snapToGrid w:val="0"/>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2.如属于监狱和戒毒企业，需提供由省级以上监狱管理局、戒毒管理局（含新疆生产建设兵团）出具的属于监狱企业的证明文件.</w:t>
      </w:r>
    </w:p>
    <w:p>
      <w:pPr>
        <w:pBdr>
          <w:top w:val="single" w:color="auto" w:sz="4" w:space="0"/>
          <w:left w:val="single" w:color="auto" w:sz="4" w:space="0"/>
          <w:bottom w:val="single" w:color="auto" w:sz="4" w:space="0"/>
          <w:right w:val="single" w:color="auto" w:sz="4" w:space="0"/>
        </w:pBdr>
        <w:adjustRightInd w:val="0"/>
        <w:snapToGrid w:val="0"/>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3.证明材料加盖投标人公章。</w:t>
      </w:r>
    </w:p>
    <w:p>
      <w:pPr>
        <w:spacing w:line="440" w:lineRule="exact"/>
        <w:jc w:val="center"/>
        <w:rPr>
          <w:rFonts w:hint="eastAsia" w:ascii="仿宋" w:hAnsi="仿宋" w:eastAsia="仿宋" w:cs="仿宋"/>
          <w:b/>
          <w:color w:val="auto"/>
          <w:sz w:val="24"/>
          <w:szCs w:val="24"/>
          <w:highlight w:val="none"/>
        </w:rPr>
      </w:pPr>
    </w:p>
    <w:p>
      <w:pPr>
        <w:spacing w:line="440" w:lineRule="exact"/>
        <w:jc w:val="center"/>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p>
    <w:p>
      <w:pPr>
        <w:spacing w:line="440" w:lineRule="exact"/>
        <w:jc w:val="center"/>
        <w:rPr>
          <w:rFonts w:hint="eastAsia" w:ascii="仿宋" w:hAnsi="仿宋" w:eastAsia="仿宋" w:cs="仿宋"/>
          <w:b/>
          <w:color w:val="auto"/>
          <w:sz w:val="24"/>
          <w:szCs w:val="24"/>
          <w:highlight w:val="none"/>
        </w:rPr>
      </w:pPr>
      <w:bookmarkStart w:id="31" w:name="_Toc10735"/>
      <w:r>
        <w:rPr>
          <w:rFonts w:hint="eastAsia" w:ascii="仿宋" w:hAnsi="仿宋" w:eastAsia="仿宋" w:cs="仿宋"/>
          <w:b/>
          <w:color w:val="auto"/>
          <w:sz w:val="24"/>
          <w:szCs w:val="24"/>
          <w:highlight w:val="none"/>
        </w:rPr>
        <w:t>质量认证（有关部门出具的合格证）</w:t>
      </w:r>
      <w:bookmarkEnd w:id="31"/>
    </w:p>
    <w:p>
      <w:pPr>
        <w:numPr>
          <w:ilvl w:val="0"/>
          <w:numId w:val="14"/>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有关投标产品的合格证复印件（加盖公章）</w:t>
      </w:r>
    </w:p>
    <w:p>
      <w:pPr>
        <w:pStyle w:val="2"/>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b/>
          <w:color w:val="auto"/>
          <w:sz w:val="24"/>
          <w:szCs w:val="24"/>
          <w:highlight w:val="none"/>
        </w:rPr>
      </w:pPr>
      <w:bookmarkStart w:id="32" w:name="_Toc30840"/>
      <w:r>
        <w:rPr>
          <w:rFonts w:hint="eastAsia" w:ascii="仿宋" w:hAnsi="仿宋" w:eastAsia="仿宋" w:cs="仿宋"/>
          <w:b/>
          <w:color w:val="auto"/>
          <w:sz w:val="24"/>
          <w:szCs w:val="24"/>
          <w:highlight w:val="none"/>
        </w:rPr>
        <w:t>关于资格的声明函</w:t>
      </w:r>
      <w:bookmarkEnd w:id="32"/>
    </w:p>
    <w:p>
      <w:pPr>
        <w:topLinePunct/>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（招标代理机构）</w:t>
      </w:r>
    </w:p>
    <w:p>
      <w:pPr>
        <w:topLinePunct/>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关于贵方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（招标编号）招标公告关于“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”的招标项目，本签字人愿意参加投标，并有能力完成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 ，并保证我单位与采购人无政府采购实施条例第九条应回避的关系，在投标报名及投标全过程中提供的企业证明文件、证件、签章及有关附件等资料的原件及复印件是真实、有效的，无伪造、编造、变造、篡改和隐瞒等虚假内容，且复印件与原件一致，若提供虚假内容，我单位将承担全部责任，并承担由此造成的全部损失。</w:t>
      </w:r>
    </w:p>
    <w:p>
      <w:pPr>
        <w:topLinePunct/>
        <w:spacing w:line="440" w:lineRule="exact"/>
        <w:ind w:firstLine="480" w:firstLineChars="200"/>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color w:val="auto"/>
          <w:sz w:val="24"/>
          <w:szCs w:val="24"/>
          <w:highlight w:val="none"/>
        </w:rPr>
      </w:pPr>
      <w:bookmarkStart w:id="33" w:name="_Toc11196"/>
      <w:r>
        <w:rPr>
          <w:rFonts w:hint="eastAsia" w:ascii="仿宋" w:hAnsi="仿宋" w:eastAsia="仿宋" w:cs="仿宋"/>
          <w:color w:val="auto"/>
          <w:sz w:val="24"/>
          <w:szCs w:val="24"/>
          <w:highlight w:val="none"/>
        </w:rPr>
        <w:t>投标人（盖章）：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法定代表人或授权代理人（签字盖章）：</w:t>
      </w:r>
    </w:p>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pPr>
        <w:spacing w:line="440" w:lineRule="exact"/>
        <w:jc w:val="center"/>
        <w:rPr>
          <w:rFonts w:hint="eastAsia" w:ascii="仿宋" w:hAnsi="仿宋" w:eastAsia="仿宋" w:cs="仿宋"/>
          <w:b/>
          <w:color w:val="auto"/>
          <w:sz w:val="24"/>
          <w:szCs w:val="24"/>
          <w:highlight w:val="none"/>
        </w:rPr>
      </w:pPr>
    </w:p>
    <w:p>
      <w:pPr>
        <w:spacing w:line="440" w:lineRule="exact"/>
        <w:jc w:val="center"/>
        <w:rPr>
          <w:rFonts w:hint="eastAsia" w:ascii="仿宋" w:hAnsi="仿宋" w:eastAsia="仿宋" w:cs="仿宋"/>
          <w:b/>
          <w:color w:val="auto"/>
          <w:sz w:val="24"/>
          <w:szCs w:val="24"/>
          <w:highlight w:val="none"/>
        </w:rPr>
      </w:pPr>
    </w:p>
    <w:p>
      <w:pPr>
        <w:spacing w:line="440" w:lineRule="exact"/>
        <w:jc w:val="center"/>
        <w:rPr>
          <w:rFonts w:hint="eastAsia" w:ascii="仿宋" w:hAnsi="仿宋" w:eastAsia="仿宋" w:cs="仿宋"/>
          <w:b/>
          <w:color w:val="auto"/>
          <w:sz w:val="24"/>
          <w:szCs w:val="24"/>
          <w:highlight w:val="none"/>
        </w:rPr>
      </w:pPr>
    </w:p>
    <w:p>
      <w:pPr>
        <w:spacing w:line="440" w:lineRule="exact"/>
        <w:jc w:val="center"/>
        <w:rPr>
          <w:rFonts w:hint="eastAsia" w:ascii="仿宋" w:hAnsi="仿宋" w:eastAsia="仿宋" w:cs="仿宋"/>
          <w:b/>
          <w:color w:val="auto"/>
          <w:sz w:val="24"/>
          <w:szCs w:val="24"/>
          <w:highlight w:val="none"/>
        </w:rPr>
      </w:pPr>
    </w:p>
    <w:p>
      <w:pPr>
        <w:spacing w:line="440" w:lineRule="exact"/>
        <w:jc w:val="center"/>
        <w:rPr>
          <w:rFonts w:hint="eastAsia" w:ascii="仿宋" w:hAnsi="仿宋" w:eastAsia="仿宋" w:cs="仿宋"/>
          <w:b/>
          <w:color w:val="auto"/>
          <w:sz w:val="24"/>
          <w:szCs w:val="24"/>
          <w:highlight w:val="none"/>
        </w:rPr>
      </w:pPr>
    </w:p>
    <w:p>
      <w:pPr>
        <w:spacing w:line="440" w:lineRule="exact"/>
        <w:jc w:val="center"/>
        <w:rPr>
          <w:rFonts w:hint="eastAsia" w:ascii="仿宋" w:hAnsi="仿宋" w:eastAsia="仿宋" w:cs="仿宋"/>
          <w:b/>
          <w:color w:val="auto"/>
          <w:sz w:val="24"/>
          <w:szCs w:val="24"/>
          <w:highlight w:val="none"/>
        </w:rPr>
      </w:pPr>
    </w:p>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缴纳投标保证金证明的复印件</w:t>
      </w:r>
      <w:bookmarkEnd w:id="33"/>
    </w:p>
    <w:p>
      <w:pPr>
        <w:spacing w:line="440" w:lineRule="exact"/>
        <w:rPr>
          <w:rFonts w:hint="eastAsia" w:ascii="仿宋" w:hAnsi="仿宋" w:eastAsia="仿宋" w:cs="仿宋"/>
          <w:color w:val="auto"/>
          <w:sz w:val="24"/>
          <w:szCs w:val="24"/>
          <w:highlight w:val="none"/>
        </w:rPr>
      </w:pPr>
    </w:p>
    <w:p>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此处应附缴纳投标保证金证明的复印件（加盖公章）</w:t>
      </w:r>
    </w:p>
    <w:p>
      <w:pPr>
        <w:adjustRightInd w:val="0"/>
        <w:snapToGrid w:val="0"/>
        <w:spacing w:line="440" w:lineRule="exact"/>
        <w:rPr>
          <w:rFonts w:hint="eastAsia" w:ascii="仿宋" w:hAnsi="仿宋" w:eastAsia="仿宋" w:cs="仿宋"/>
          <w:bCs/>
          <w:color w:val="auto"/>
          <w:sz w:val="24"/>
          <w:szCs w:val="24"/>
          <w:highlight w:val="none"/>
        </w:rPr>
      </w:pPr>
    </w:p>
    <w:p>
      <w:pPr>
        <w:adjustRightInd w:val="0"/>
        <w:snapToGrid w:val="0"/>
        <w:spacing w:line="440" w:lineRule="exact"/>
        <w:jc w:val="center"/>
        <w:rPr>
          <w:rFonts w:hint="eastAsia" w:ascii="仿宋" w:hAnsi="仿宋" w:eastAsia="仿宋" w:cs="仿宋"/>
          <w:bCs/>
          <w:color w:val="auto"/>
          <w:sz w:val="24"/>
          <w:szCs w:val="24"/>
          <w:highlight w:val="none"/>
        </w:rPr>
      </w:pPr>
    </w:p>
    <w:p>
      <w:pPr>
        <w:adjustRightInd w:val="0"/>
        <w:snapToGrid w:val="0"/>
        <w:spacing w:line="440" w:lineRule="exact"/>
        <w:jc w:val="center"/>
        <w:rPr>
          <w:rFonts w:hint="eastAsia" w:ascii="仿宋" w:hAnsi="仿宋" w:eastAsia="仿宋" w:cs="仿宋"/>
          <w:bCs/>
          <w:color w:val="auto"/>
          <w:sz w:val="24"/>
          <w:szCs w:val="24"/>
          <w:highlight w:val="none"/>
        </w:rPr>
      </w:pPr>
    </w:p>
    <w:p>
      <w:pPr>
        <w:adjustRightInd w:val="0"/>
        <w:snapToGrid w:val="0"/>
        <w:spacing w:line="440" w:lineRule="exact"/>
        <w:jc w:val="center"/>
        <w:rPr>
          <w:rFonts w:hint="eastAsia" w:ascii="仿宋" w:hAnsi="仿宋" w:eastAsia="仿宋" w:cs="仿宋"/>
          <w:bCs/>
          <w:color w:val="auto"/>
          <w:sz w:val="24"/>
          <w:szCs w:val="24"/>
          <w:highlight w:val="none"/>
        </w:rPr>
      </w:pPr>
    </w:p>
    <w:p>
      <w:pPr>
        <w:adjustRightInd w:val="0"/>
        <w:snapToGrid w:val="0"/>
        <w:spacing w:line="440" w:lineRule="exact"/>
        <w:jc w:val="center"/>
        <w:rPr>
          <w:rFonts w:hint="eastAsia" w:ascii="仿宋" w:hAnsi="仿宋" w:eastAsia="仿宋" w:cs="仿宋"/>
          <w:bCs/>
          <w:color w:val="auto"/>
          <w:sz w:val="24"/>
          <w:szCs w:val="24"/>
          <w:highlight w:val="none"/>
        </w:rPr>
      </w:pPr>
    </w:p>
    <w:p>
      <w:pPr>
        <w:adjustRightInd w:val="0"/>
        <w:snapToGrid w:val="0"/>
        <w:spacing w:line="440" w:lineRule="exact"/>
        <w:jc w:val="center"/>
        <w:rPr>
          <w:rFonts w:hint="eastAsia" w:ascii="仿宋" w:hAnsi="仿宋" w:eastAsia="仿宋" w:cs="仿宋"/>
          <w:bCs/>
          <w:color w:val="auto"/>
          <w:sz w:val="24"/>
          <w:szCs w:val="24"/>
          <w:highlight w:val="none"/>
        </w:rPr>
      </w:pPr>
    </w:p>
    <w:p>
      <w:pPr>
        <w:adjustRightInd w:val="0"/>
        <w:snapToGrid w:val="0"/>
        <w:spacing w:line="440" w:lineRule="exact"/>
        <w:jc w:val="center"/>
        <w:rPr>
          <w:rFonts w:hint="eastAsia" w:ascii="仿宋" w:hAnsi="仿宋" w:eastAsia="仿宋" w:cs="仿宋"/>
          <w:bCs/>
          <w:color w:val="auto"/>
          <w:sz w:val="24"/>
          <w:szCs w:val="24"/>
          <w:highlight w:val="none"/>
        </w:rPr>
      </w:pPr>
    </w:p>
    <w:p>
      <w:pPr>
        <w:adjustRightInd w:val="0"/>
        <w:snapToGrid w:val="0"/>
        <w:spacing w:line="440" w:lineRule="exact"/>
        <w:jc w:val="center"/>
        <w:rPr>
          <w:rFonts w:hint="eastAsia" w:ascii="仿宋" w:hAnsi="仿宋" w:eastAsia="仿宋" w:cs="仿宋"/>
          <w:bCs/>
          <w:color w:val="auto"/>
          <w:sz w:val="24"/>
          <w:szCs w:val="24"/>
          <w:highlight w:val="none"/>
        </w:rPr>
      </w:pPr>
    </w:p>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商务条款偏离表</w:t>
      </w:r>
    </w:p>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p>
      <w:pPr>
        <w:shd w:val="clear" w:color="auto" w:fill="FFFFFF"/>
        <w:spacing w:line="360" w:lineRule="exact"/>
        <w:ind w:firstLine="480" w:firstLineChars="20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项目名称：                                 项目编号：</w:t>
      </w:r>
    </w:p>
    <w:tbl>
      <w:tblPr>
        <w:tblStyle w:val="51"/>
        <w:tblW w:w="8955" w:type="dxa"/>
        <w:tblInd w:w="468" w:type="dxa"/>
        <w:tblLayout w:type="fixed"/>
        <w:tblCellMar>
          <w:top w:w="0" w:type="dxa"/>
          <w:left w:w="108" w:type="dxa"/>
          <w:bottom w:w="0" w:type="dxa"/>
          <w:right w:w="108" w:type="dxa"/>
        </w:tblCellMar>
      </w:tblPr>
      <w:tblGrid>
        <w:gridCol w:w="901"/>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序号</w:t>
            </w:r>
          </w:p>
        </w:tc>
        <w:tc>
          <w:tcPr>
            <w:tcW w:w="1725"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条款序号</w:t>
            </w:r>
          </w:p>
        </w:tc>
        <w:tc>
          <w:tcPr>
            <w:tcW w:w="1941"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采购条款</w:t>
            </w:r>
          </w:p>
        </w:tc>
        <w:tc>
          <w:tcPr>
            <w:tcW w:w="205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投标条款</w:t>
            </w:r>
          </w:p>
        </w:tc>
        <w:tc>
          <w:tcPr>
            <w:tcW w:w="2338"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备   注</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1725"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1941"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205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2338"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1725"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1941"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205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2338"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1725"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1941"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205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2338"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r>
    </w:tbl>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p>
      <w:pPr>
        <w:pStyle w:val="45"/>
        <w:widowControl w:val="0"/>
        <w:shd w:val="clear" w:color="auto" w:fill="FFFFFF"/>
        <w:autoSpaceDE w:val="0"/>
        <w:autoSpaceDN w:val="0"/>
        <w:adjustRightInd w:val="0"/>
        <w:snapToGrid w:val="0"/>
        <w:spacing w:before="0" w:beforeAutospacing="0" w:after="0" w:afterAutospacing="0" w:line="36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投标人（盖公章）：</w:t>
      </w:r>
    </w:p>
    <w:p>
      <w:pPr>
        <w:shd w:val="clear" w:color="auto" w:fill="FFFFFF"/>
        <w:spacing w:line="360" w:lineRule="exact"/>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法定代表人或授权代理人（签字或盖章）：</w:t>
      </w:r>
    </w:p>
    <w:p>
      <w:pPr>
        <w:shd w:val="clear" w:color="auto" w:fill="FFFFFF"/>
        <w:adjustRightInd w:val="0"/>
        <w:snapToGrid w:val="0"/>
        <w:spacing w:line="360" w:lineRule="exact"/>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日期：  年  月  日</w:t>
      </w:r>
    </w:p>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p>
      <w:pPr>
        <w:pStyle w:val="2"/>
        <w:rPr>
          <w:rFonts w:hint="eastAsia" w:ascii="仿宋" w:hAnsi="仿宋" w:eastAsia="仿宋" w:cs="仿宋"/>
          <w:color w:val="auto"/>
          <w:sz w:val="24"/>
          <w:szCs w:val="24"/>
          <w:highlight w:val="none"/>
          <w:shd w:val="clear" w:color="auto" w:fill="FFFFFF"/>
        </w:rPr>
      </w:pPr>
    </w:p>
    <w:p>
      <w:pPr>
        <w:rPr>
          <w:rFonts w:hint="eastAsia" w:ascii="仿宋" w:hAnsi="仿宋" w:eastAsia="仿宋" w:cs="仿宋"/>
          <w:color w:val="auto"/>
          <w:sz w:val="24"/>
          <w:szCs w:val="24"/>
          <w:highlight w:val="none"/>
        </w:rPr>
      </w:pPr>
    </w:p>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技术偏离表</w:t>
      </w:r>
    </w:p>
    <w:p>
      <w:pPr>
        <w:shd w:val="clear" w:color="auto" w:fill="FFFFFF"/>
        <w:spacing w:line="360" w:lineRule="exact"/>
        <w:ind w:firstLine="120" w:firstLineChars="5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项目名称：                                   项目编号：</w:t>
      </w:r>
    </w:p>
    <w:tbl>
      <w:tblPr>
        <w:tblStyle w:val="51"/>
        <w:tblW w:w="9210" w:type="dxa"/>
        <w:jc w:val="center"/>
        <w:tblLayout w:type="fixed"/>
        <w:tblCellMar>
          <w:top w:w="0" w:type="dxa"/>
          <w:left w:w="108" w:type="dxa"/>
          <w:bottom w:w="0" w:type="dxa"/>
          <w:right w:w="108" w:type="dxa"/>
        </w:tblCellMar>
      </w:tblPr>
      <w:tblGrid>
        <w:gridCol w:w="1180"/>
        <w:gridCol w:w="1654"/>
        <w:gridCol w:w="2126"/>
        <w:gridCol w:w="2125"/>
        <w:gridCol w:w="2125"/>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序 号</w:t>
            </w:r>
          </w:p>
        </w:tc>
        <w:tc>
          <w:tcPr>
            <w:tcW w:w="1655"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采购需求</w:t>
            </w:r>
          </w:p>
        </w:tc>
        <w:tc>
          <w:tcPr>
            <w:tcW w:w="2127"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采购要求</w:t>
            </w: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投标响应</w:t>
            </w: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1</w:t>
            </w:r>
          </w:p>
        </w:tc>
        <w:tc>
          <w:tcPr>
            <w:tcW w:w="165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spacing w:line="360" w:lineRule="exact"/>
              <w:jc w:val="left"/>
              <w:rPr>
                <w:rFonts w:hint="eastAsia" w:ascii="仿宋" w:hAnsi="仿宋" w:eastAsia="仿宋" w:cs="仿宋"/>
                <w:color w:val="auto"/>
                <w:sz w:val="24"/>
                <w:szCs w:val="24"/>
                <w:highlight w:val="none"/>
                <w:shd w:val="clear" w:color="auto" w:fill="FFFFFF"/>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2</w:t>
            </w:r>
          </w:p>
        </w:tc>
        <w:tc>
          <w:tcPr>
            <w:tcW w:w="165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spacing w:line="360" w:lineRule="exact"/>
              <w:jc w:val="left"/>
              <w:rPr>
                <w:rFonts w:hint="eastAsia" w:ascii="仿宋" w:hAnsi="仿宋" w:eastAsia="仿宋" w:cs="仿宋"/>
                <w:color w:val="auto"/>
                <w:sz w:val="24"/>
                <w:szCs w:val="24"/>
                <w:highlight w:val="none"/>
                <w:shd w:val="clear" w:color="auto" w:fill="FFFFFF"/>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w:t>
            </w:r>
          </w:p>
        </w:tc>
        <w:tc>
          <w:tcPr>
            <w:tcW w:w="1655"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spacing w:line="360" w:lineRule="exact"/>
              <w:jc w:val="left"/>
              <w:rPr>
                <w:rFonts w:hint="eastAsia" w:ascii="仿宋" w:hAnsi="仿宋" w:eastAsia="仿宋" w:cs="仿宋"/>
                <w:color w:val="auto"/>
                <w:sz w:val="24"/>
                <w:szCs w:val="24"/>
                <w:highlight w:val="none"/>
                <w:shd w:val="clear" w:color="auto" w:fill="FFFFFF"/>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pPr>
              <w:shd w:val="clear" w:color="auto" w:fill="FFFFFF"/>
              <w:spacing w:line="360" w:lineRule="exact"/>
              <w:ind w:firstLine="99"/>
              <w:jc w:val="left"/>
              <w:rPr>
                <w:rFonts w:hint="eastAsia" w:ascii="仿宋" w:hAnsi="仿宋" w:eastAsia="仿宋" w:cs="仿宋"/>
                <w:color w:val="auto"/>
                <w:sz w:val="24"/>
                <w:szCs w:val="24"/>
                <w:highlight w:val="none"/>
                <w:shd w:val="clear" w:color="auto" w:fill="FFFFFF"/>
              </w:rPr>
            </w:pPr>
          </w:p>
        </w:tc>
      </w:tr>
    </w:tbl>
    <w:p>
      <w:pPr>
        <w:shd w:val="clear" w:color="auto" w:fill="FFFFFF"/>
        <w:spacing w:line="360" w:lineRule="exact"/>
        <w:jc w:val="left"/>
        <w:rPr>
          <w:rFonts w:hint="eastAsia" w:ascii="仿宋" w:hAnsi="仿宋" w:eastAsia="仿宋" w:cs="仿宋"/>
          <w:color w:val="auto"/>
          <w:sz w:val="24"/>
          <w:szCs w:val="24"/>
          <w:highlight w:val="none"/>
          <w:shd w:val="clear" w:color="auto" w:fill="FFFFFF"/>
        </w:rPr>
      </w:pPr>
    </w:p>
    <w:p>
      <w:pPr>
        <w:pStyle w:val="45"/>
        <w:widowControl w:val="0"/>
        <w:shd w:val="clear" w:color="auto" w:fill="FFFFFF"/>
        <w:autoSpaceDE w:val="0"/>
        <w:autoSpaceDN w:val="0"/>
        <w:adjustRightInd w:val="0"/>
        <w:snapToGrid w:val="0"/>
        <w:spacing w:before="0" w:beforeAutospacing="0" w:after="0" w:afterAutospacing="0" w:line="36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投标人（盖公章）：</w:t>
      </w:r>
    </w:p>
    <w:p>
      <w:pPr>
        <w:shd w:val="clear" w:color="auto" w:fill="FFFFFF"/>
        <w:spacing w:line="360" w:lineRule="exact"/>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法定代表人或授权代理人（签字或盖章）：</w:t>
      </w:r>
    </w:p>
    <w:p>
      <w:pPr>
        <w:shd w:val="clear" w:color="auto" w:fill="FFFFFF"/>
        <w:spacing w:line="360" w:lineRule="exact"/>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日期：  年  月  日</w:t>
      </w:r>
    </w:p>
    <w:p>
      <w:pPr>
        <w:widowControl/>
        <w:spacing w:line="360" w:lineRule="exact"/>
        <w:jc w:val="left"/>
        <w:rPr>
          <w:rFonts w:hint="eastAsia" w:ascii="仿宋" w:hAnsi="仿宋" w:eastAsia="仿宋" w:cs="仿宋"/>
          <w:color w:val="auto"/>
          <w:sz w:val="24"/>
          <w:szCs w:val="24"/>
          <w:highlight w:val="none"/>
        </w:rPr>
      </w:pPr>
    </w:p>
    <w:sectPr>
      <w:headerReference r:id="rId5" w:type="first"/>
      <w:footerReference r:id="rId7" w:type="first"/>
      <w:headerReference r:id="rId3" w:type="default"/>
      <w:footerReference r:id="rId6" w:type="default"/>
      <w:headerReference r:id="rId4" w:type="even"/>
      <w:pgSz w:w="11906" w:h="16838"/>
      <w:pgMar w:top="1474" w:right="1457" w:bottom="1247" w:left="174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ind w:firstLine="480"/>
      <w:jc w:val="left"/>
      <w:rPr>
        <w:rFonts w:ascii="宋体"/>
        <w:kern w:val="0"/>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rPr>
                              <w:rStyle w:val="57"/>
                            </w:rPr>
                          </w:pPr>
                          <w:r>
                            <w:fldChar w:fldCharType="begin"/>
                          </w:r>
                          <w:r>
                            <w:rPr>
                              <w:rStyle w:val="57"/>
                            </w:rPr>
                            <w:instrText xml:space="preserve">PAGE  </w:instrText>
                          </w:r>
                          <w:r>
                            <w:fldChar w:fldCharType="separate"/>
                          </w:r>
                          <w:r>
                            <w:rPr>
                              <w:rStyle w:val="57"/>
                            </w:rPr>
                            <w:t>24</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5PnvetgBAACwAwAADgAAAAAAAAABACAA&#10;AAAfAQAAZHJzL2Uyb0RvYy54bWxQSwUGAAAAAAYABgBZAQAAaQUAAAAA&#10;">
              <v:fill on="f" focussize="0,0"/>
              <v:stroke on="f" weight="0.5pt"/>
              <v:imagedata o:title=""/>
              <o:lock v:ext="edit" aspectratio="f"/>
              <v:textbox inset="0mm,0mm,0mm,0mm" style="mso-fit-shape-to-text:t;">
                <w:txbxContent>
                  <w:p>
                    <w:pPr>
                      <w:pStyle w:val="34"/>
                      <w:rPr>
                        <w:rStyle w:val="57"/>
                      </w:rPr>
                    </w:pPr>
                    <w:r>
                      <w:fldChar w:fldCharType="begin"/>
                    </w:r>
                    <w:r>
                      <w:rPr>
                        <w:rStyle w:val="57"/>
                      </w:rPr>
                      <w:instrText xml:space="preserve">PAGE  </w:instrText>
                    </w:r>
                    <w:r>
                      <w:fldChar w:fldCharType="separate"/>
                    </w:r>
                    <w:r>
                      <w:rPr>
                        <w:rStyle w:val="57"/>
                      </w:rP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2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V+SdAAAAADAQAADwAAAAAAAAABACAA&#10;AAAiAAAAZHJzL2Rvd25yZXYueG1sUEsBAhQAFAAAAAgAh07iQOyq/o7cAQAArwMAAA4AAAAAAAAA&#10;AQAgAAAAHwEAAGRycy9lMm9Eb2MueG1sUEsFBgAAAAAGAAYAWQEAAG0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JE3AGt4BAACyAwAADgAAAAAA&#10;AAABACAAAAAfAQAAZHJzL2Uyb0RvYy54bWxQSwUGAAAAAAYABgBZAQAAbw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nThickSmallGap" w:color="auto" w:sz="12" w:space="1"/>
      </w:pBdr>
      <w:ind w:firstLine="360"/>
      <w:jc w:val="both"/>
    </w:pPr>
    <w:r>
      <w:rPr>
        <w:rFonts w:hint="eastAsia" w:ascii="宋体" w:hAnsi="宋体" w:cs="宋体"/>
        <w:sz w:val="18"/>
        <w:szCs w:val="18"/>
      </w:rPr>
      <w:drawing>
        <wp:inline distT="0" distB="0" distL="114300" distR="114300">
          <wp:extent cx="456565" cy="436245"/>
          <wp:effectExtent l="0" t="0" r="635" b="1905"/>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pic:cNvPicPr>
                    <a:picLocks noChangeAspect="1"/>
                  </pic:cNvPicPr>
                </pic:nvPicPr>
                <pic:blipFill>
                  <a:blip r:embed="rId1"/>
                  <a:stretch>
                    <a:fillRect/>
                  </a:stretch>
                </pic:blipFill>
                <pic:spPr>
                  <a:xfrm>
                    <a:off x="0" y="0"/>
                    <a:ext cx="456565" cy="436245"/>
                  </a:xfrm>
                  <a:prstGeom prst="rect">
                    <a:avLst/>
                  </a:prstGeom>
                </pic:spPr>
              </pic:pic>
            </a:graphicData>
          </a:graphic>
        </wp:inline>
      </w:drawing>
    </w:r>
    <w:r>
      <w:rPr>
        <w:rFonts w:hint="eastAsia" w:ascii="宋体" w:hAnsi="宋体" w:cs="宋体"/>
        <w:sz w:val="18"/>
        <w:szCs w:val="18"/>
        <w:lang w:val="en-US" w:eastAsia="zh-CN"/>
      </w:rPr>
      <w:t xml:space="preserve">      </w:t>
    </w:r>
    <w:r>
      <w:rPr>
        <w:rFonts w:hint="eastAsia" w:ascii="宋体" w:hAnsi="宋体" w:cs="宋体"/>
        <w:sz w:val="18"/>
        <w:szCs w:val="18"/>
      </w:rPr>
      <w:t>乌鲁木齐市友谊医院血管内超声系统（含旋磨介入治疗）采购项目</w:t>
    </w:r>
  </w:p>
  <w:p>
    <w:pPr>
      <w:autoSpaceDE w:val="0"/>
      <w:autoSpaceDN w:val="0"/>
      <w:adjustRightInd w:val="0"/>
      <w:ind w:firstLine="752" w:firstLineChars="0"/>
      <w:jc w:val="left"/>
      <w:rPr>
        <w:rFonts w:ascii="宋体"/>
        <w:kern w:val="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nThickSmallGap" w:color="auto" w:sz="12" w:space="1"/>
      </w:pBdr>
      <w:ind w:firstLine="360"/>
      <w:jc w:val="both"/>
    </w:pPr>
    <w:r>
      <w:rPr>
        <w:rFonts w:hint="eastAsia" w:ascii="宋体" w:hAnsi="宋体" w:cs="宋体"/>
        <w:sz w:val="18"/>
        <w:szCs w:val="18"/>
      </w:rPr>
      <w:drawing>
        <wp:inline distT="0" distB="0" distL="114300" distR="114300">
          <wp:extent cx="456565" cy="436245"/>
          <wp:effectExtent l="0" t="0" r="635" b="190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1"/>
                  <a:stretch>
                    <a:fillRect/>
                  </a:stretch>
                </pic:blipFill>
                <pic:spPr>
                  <a:xfrm>
                    <a:off x="0" y="0"/>
                    <a:ext cx="456565" cy="436245"/>
                  </a:xfrm>
                  <a:prstGeom prst="rect">
                    <a:avLst/>
                  </a:prstGeom>
                </pic:spPr>
              </pic:pic>
            </a:graphicData>
          </a:graphic>
        </wp:inline>
      </w:drawing>
    </w:r>
    <w:r>
      <w:rPr>
        <w:rFonts w:hint="eastAsia" w:ascii="宋体" w:hAnsi="宋体" w:cs="宋体"/>
        <w:sz w:val="18"/>
        <w:szCs w:val="18"/>
        <w:lang w:val="en-US" w:eastAsia="zh-CN"/>
      </w:rPr>
      <w:t xml:space="preserve">      </w:t>
    </w:r>
    <w:r>
      <w:rPr>
        <w:rFonts w:hint="eastAsia" w:ascii="宋体" w:hAnsi="宋体" w:cs="宋体"/>
        <w:sz w:val="18"/>
        <w:szCs w:val="18"/>
      </w:rPr>
      <w:t>乌鲁木齐市友谊医院血管内超声系统（含旋磨介入治疗）采购项目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2CFDB"/>
    <w:multiLevelType w:val="singleLevel"/>
    <w:tmpl w:val="9602CFDB"/>
    <w:lvl w:ilvl="0" w:tentative="0">
      <w:start w:val="1"/>
      <w:numFmt w:val="decimal"/>
      <w:suff w:val="nothing"/>
      <w:lvlText w:val="%1．"/>
      <w:lvlJc w:val="left"/>
      <w:pPr>
        <w:ind w:left="0" w:firstLine="400"/>
      </w:pPr>
      <w:rPr>
        <w:rFonts w:hint="default"/>
      </w:rPr>
    </w:lvl>
  </w:abstractNum>
  <w:abstractNum w:abstractNumId="1">
    <w:nsid w:val="9700EEA9"/>
    <w:multiLevelType w:val="singleLevel"/>
    <w:tmpl w:val="9700EEA9"/>
    <w:lvl w:ilvl="0" w:tentative="0">
      <w:start w:val="10"/>
      <w:numFmt w:val="decimal"/>
      <w:suff w:val="nothing"/>
      <w:lvlText w:val="%1、"/>
      <w:lvlJc w:val="left"/>
    </w:lvl>
  </w:abstractNum>
  <w:abstractNum w:abstractNumId="2">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3">
    <w:nsid w:val="0DB639E9"/>
    <w:multiLevelType w:val="multilevel"/>
    <w:tmpl w:val="0DB639E9"/>
    <w:lvl w:ilvl="0" w:tentative="0">
      <w:start w:val="1"/>
      <w:numFmt w:val="decimal"/>
      <w:pStyle w:val="161"/>
      <w:lvlText w:val="%1"/>
      <w:lvlJc w:val="left"/>
      <w:pPr>
        <w:tabs>
          <w:tab w:val="left" w:pos="360"/>
        </w:tabs>
        <w:ind w:left="0" w:firstLine="0"/>
      </w:pPr>
    </w:lvl>
    <w:lvl w:ilvl="1" w:tentative="0">
      <w:start w:val="1"/>
      <w:numFmt w:val="decimal"/>
      <w:pStyle w:val="36"/>
      <w:isLgl/>
      <w:lvlText w:val="%1.%2"/>
      <w:lvlJc w:val="left"/>
      <w:pPr>
        <w:tabs>
          <w:tab w:val="left" w:pos="720"/>
        </w:tabs>
        <w:ind w:left="0" w:firstLine="0"/>
      </w:pPr>
    </w:lvl>
    <w:lvl w:ilvl="2" w:tentative="0">
      <w:start w:val="1"/>
      <w:numFmt w:val="decimal"/>
      <w:isLgl/>
      <w:lvlText w:val="%1.%2.%3"/>
      <w:lvlJc w:val="left"/>
      <w:pPr>
        <w:tabs>
          <w:tab w:val="left" w:pos="1440"/>
        </w:tabs>
        <w:ind w:left="0" w:firstLine="0"/>
      </w:pPr>
    </w:lvl>
    <w:lvl w:ilvl="3" w:tentative="0">
      <w:start w:val="1"/>
      <w:numFmt w:val="decimal"/>
      <w:isLgl/>
      <w:lvlText w:val="%1.%2.%3.%4"/>
      <w:lvlJc w:val="left"/>
      <w:pPr>
        <w:tabs>
          <w:tab w:val="left" w:pos="1800"/>
        </w:tabs>
        <w:ind w:left="0" w:firstLine="0"/>
      </w:pPr>
    </w:lvl>
    <w:lvl w:ilvl="4" w:tentative="0">
      <w:start w:val="1"/>
      <w:numFmt w:val="decimal"/>
      <w:isLgl/>
      <w:lvlText w:val="%1.%2.%3.%4.%5"/>
      <w:lvlJc w:val="left"/>
      <w:pPr>
        <w:tabs>
          <w:tab w:val="left" w:pos="570"/>
        </w:tabs>
        <w:ind w:left="570" w:hanging="570"/>
      </w:pPr>
    </w:lvl>
    <w:lvl w:ilvl="5" w:tentative="0">
      <w:start w:val="1"/>
      <w:numFmt w:val="decimal"/>
      <w:isLgl/>
      <w:lvlText w:val="%1.%2.%3.%4.%5.%6"/>
      <w:lvlJc w:val="left"/>
      <w:pPr>
        <w:tabs>
          <w:tab w:val="left" w:pos="570"/>
        </w:tabs>
        <w:ind w:left="570" w:hanging="570"/>
      </w:pPr>
    </w:lvl>
    <w:lvl w:ilvl="6" w:tentative="0">
      <w:start w:val="1"/>
      <w:numFmt w:val="decimal"/>
      <w:isLgl/>
      <w:lvlText w:val="%1.%2.%3.%4.%5.%6.%7"/>
      <w:lvlJc w:val="left"/>
      <w:pPr>
        <w:tabs>
          <w:tab w:val="left" w:pos="570"/>
        </w:tabs>
        <w:ind w:left="570" w:hanging="570"/>
      </w:pPr>
    </w:lvl>
    <w:lvl w:ilvl="7" w:tentative="0">
      <w:start w:val="1"/>
      <w:numFmt w:val="decimal"/>
      <w:isLgl/>
      <w:lvlText w:val="%1.%2.%3.%4.%5.%6.%7.%8"/>
      <w:lvlJc w:val="left"/>
      <w:pPr>
        <w:tabs>
          <w:tab w:val="left" w:pos="570"/>
        </w:tabs>
        <w:ind w:left="570" w:hanging="570"/>
      </w:pPr>
    </w:lvl>
    <w:lvl w:ilvl="8" w:tentative="0">
      <w:start w:val="1"/>
      <w:numFmt w:val="decimal"/>
      <w:isLgl/>
      <w:lvlText w:val="%1.%2.%3.%4.%5.%6.%7.%8.%9"/>
      <w:lvlJc w:val="left"/>
      <w:pPr>
        <w:tabs>
          <w:tab w:val="left" w:pos="570"/>
        </w:tabs>
        <w:ind w:left="570" w:hanging="570"/>
      </w:pPr>
    </w:lvl>
  </w:abstractNum>
  <w:abstractNum w:abstractNumId="4">
    <w:nsid w:val="10635673"/>
    <w:multiLevelType w:val="multilevel"/>
    <w:tmpl w:val="10635673"/>
    <w:lvl w:ilvl="0" w:tentative="0">
      <w:start w:val="1"/>
      <w:numFmt w:val="decimal"/>
      <w:pStyle w:val="44"/>
      <w:lvlText w:val="%1."/>
      <w:lvlJc w:val="left"/>
      <w:pPr>
        <w:tabs>
          <w:tab w:val="left" w:pos="1000"/>
        </w:tabs>
        <w:ind w:left="1000" w:hanging="36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5">
    <w:nsid w:val="171359DD"/>
    <w:multiLevelType w:val="multilevel"/>
    <w:tmpl w:val="171359D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24"/>
      <w:lvlText w:val=""/>
      <w:lvlJc w:val="left"/>
      <w:pPr>
        <w:tabs>
          <w:tab w:val="left" w:pos="3780"/>
        </w:tabs>
        <w:ind w:left="3780" w:hanging="420"/>
      </w:pPr>
      <w:rPr>
        <w:rFonts w:hint="default" w:ascii="Wingdings" w:hAnsi="Wingdings"/>
      </w:rPr>
    </w:lvl>
  </w:abstractNum>
  <w:abstractNum w:abstractNumId="6">
    <w:nsid w:val="17486058"/>
    <w:multiLevelType w:val="multilevel"/>
    <w:tmpl w:val="17486058"/>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pStyle w:val="291"/>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F1468F9"/>
    <w:multiLevelType w:val="multilevel"/>
    <w:tmpl w:val="1F1468F9"/>
    <w:lvl w:ilvl="0" w:tentative="0">
      <w:start w:val="1"/>
      <w:numFmt w:val="japaneseCounting"/>
      <w:pStyle w:val="210"/>
      <w:lvlText w:val="%1、"/>
      <w:lvlJc w:val="left"/>
      <w:pPr>
        <w:tabs>
          <w:tab w:val="left" w:pos="1360"/>
        </w:tabs>
        <w:ind w:left="1360" w:hanging="720"/>
      </w:pPr>
      <w:rPr>
        <w:rFonts w:hint="default"/>
      </w:rPr>
    </w:lvl>
    <w:lvl w:ilvl="1" w:tentative="0">
      <w:start w:val="1"/>
      <w:numFmt w:val="lowerLetter"/>
      <w:pStyle w:val="217"/>
      <w:lvlText w:val="%2)"/>
      <w:lvlJc w:val="left"/>
      <w:pPr>
        <w:tabs>
          <w:tab w:val="left" w:pos="1480"/>
        </w:tabs>
        <w:ind w:left="1480" w:hanging="420"/>
      </w:pPr>
    </w:lvl>
    <w:lvl w:ilvl="2" w:tentative="0">
      <w:start w:val="1"/>
      <w:numFmt w:val="lowerRoman"/>
      <w:pStyle w:val="207"/>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8">
    <w:nsid w:val="211C7829"/>
    <w:multiLevelType w:val="multilevel"/>
    <w:tmpl w:val="211C7829"/>
    <w:lvl w:ilvl="0" w:tentative="0">
      <w:start w:val="1"/>
      <w:numFmt w:val="decimal"/>
      <w:lvlText w:val="%1、"/>
      <w:lvlJc w:val="left"/>
      <w:pPr>
        <w:tabs>
          <w:tab w:val="left" w:pos="360"/>
        </w:tabs>
        <w:ind w:left="360" w:hanging="360"/>
      </w:pPr>
      <w:rPr>
        <w:rFonts w:hint="eastAsia"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6845082"/>
    <w:multiLevelType w:val="multilevel"/>
    <w:tmpl w:val="26845082"/>
    <w:lvl w:ilvl="0" w:tentative="0">
      <w:start w:val="1"/>
      <w:numFmt w:val="decimal"/>
      <w:pStyle w:val="220"/>
      <w:lvlText w:val="%1."/>
      <w:lvlJc w:val="left"/>
      <w:pPr>
        <w:ind w:left="420" w:hanging="420"/>
      </w:pPr>
    </w:lvl>
    <w:lvl w:ilvl="1" w:tentative="0">
      <w:start w:val="1"/>
      <w:numFmt w:val="decimal"/>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DB9C813"/>
    <w:multiLevelType w:val="singleLevel"/>
    <w:tmpl w:val="2DB9C813"/>
    <w:lvl w:ilvl="0" w:tentative="0">
      <w:start w:val="3"/>
      <w:numFmt w:val="chineseCounting"/>
      <w:suff w:val="space"/>
      <w:lvlText w:val="第%1章"/>
      <w:lvlJc w:val="left"/>
      <w:rPr>
        <w:rFonts w:hint="eastAsia"/>
      </w:rPr>
    </w:lvl>
  </w:abstractNum>
  <w:abstractNum w:abstractNumId="11">
    <w:nsid w:val="5A33DCAB"/>
    <w:multiLevelType w:val="singleLevel"/>
    <w:tmpl w:val="5A33DCAB"/>
    <w:lvl w:ilvl="0" w:tentative="0">
      <w:start w:val="1"/>
      <w:numFmt w:val="decimal"/>
      <w:suff w:val="nothing"/>
      <w:lvlText w:val="%1、"/>
      <w:lvlJc w:val="left"/>
    </w:lvl>
  </w:abstractNum>
  <w:abstractNum w:abstractNumId="12">
    <w:nsid w:val="6A9A5F31"/>
    <w:multiLevelType w:val="multilevel"/>
    <w:tmpl w:val="6A9A5F31"/>
    <w:lvl w:ilvl="0" w:tentative="0">
      <w:start w:val="1"/>
      <w:numFmt w:val="decimal"/>
      <w:pStyle w:val="329"/>
      <w:lvlText w:val="%1."/>
      <w:lvlJc w:val="left"/>
      <w:pPr>
        <w:tabs>
          <w:tab w:val="left" w:pos="1000"/>
        </w:tabs>
        <w:ind w:left="1000" w:hanging="36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pStyle w:val="183"/>
      <w:lvlText w:val="%9."/>
      <w:lvlJc w:val="right"/>
      <w:pPr>
        <w:tabs>
          <w:tab w:val="left" w:pos="4420"/>
        </w:tabs>
        <w:ind w:left="4420" w:hanging="420"/>
      </w:pPr>
    </w:lvl>
  </w:abstractNum>
  <w:abstractNum w:abstractNumId="13">
    <w:nsid w:val="6D9F4248"/>
    <w:multiLevelType w:val="singleLevel"/>
    <w:tmpl w:val="6D9F4248"/>
    <w:lvl w:ilvl="0" w:tentative="0">
      <w:start w:val="1"/>
      <w:numFmt w:val="decimal"/>
      <w:pStyle w:val="364"/>
      <w:lvlText w:val="%1）"/>
      <w:lvlJc w:val="left"/>
      <w:pPr>
        <w:tabs>
          <w:tab w:val="left" w:pos="1050"/>
        </w:tabs>
        <w:ind w:left="1050" w:hanging="450"/>
      </w:pPr>
      <w:rPr>
        <w:rFonts w:hint="eastAsia"/>
      </w:rPr>
    </w:lvl>
  </w:abstractNum>
  <w:num w:numId="1">
    <w:abstractNumId w:val="2"/>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num>
  <w:num w:numId="6">
    <w:abstractNumId w:val="7"/>
  </w:num>
  <w:num w:numId="7">
    <w:abstractNumId w:val="9"/>
  </w:num>
  <w:num w:numId="8">
    <w:abstractNumId w:val="6"/>
  </w:num>
  <w:num w:numId="9">
    <w:abstractNumId w:val="13"/>
  </w:num>
  <w:num w:numId="10">
    <w:abstractNumId w:val="0"/>
  </w:num>
  <w:num w:numId="11">
    <w:abstractNumId w:val="10"/>
  </w:num>
  <w:num w:numId="12">
    <w:abstractNumId w:val="8"/>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CD"/>
    <w:rsid w:val="00000AEA"/>
    <w:rsid w:val="00000DDA"/>
    <w:rsid w:val="00003DF0"/>
    <w:rsid w:val="000102F3"/>
    <w:rsid w:val="000134DD"/>
    <w:rsid w:val="000136D3"/>
    <w:rsid w:val="00014327"/>
    <w:rsid w:val="00015D1E"/>
    <w:rsid w:val="000167E6"/>
    <w:rsid w:val="00020F60"/>
    <w:rsid w:val="00022A20"/>
    <w:rsid w:val="00022D26"/>
    <w:rsid w:val="00024560"/>
    <w:rsid w:val="00030505"/>
    <w:rsid w:val="0003278E"/>
    <w:rsid w:val="00034A43"/>
    <w:rsid w:val="000352C5"/>
    <w:rsid w:val="00035885"/>
    <w:rsid w:val="00036222"/>
    <w:rsid w:val="00043900"/>
    <w:rsid w:val="000449B9"/>
    <w:rsid w:val="00044D2B"/>
    <w:rsid w:val="00047A39"/>
    <w:rsid w:val="000546D5"/>
    <w:rsid w:val="00056544"/>
    <w:rsid w:val="00061101"/>
    <w:rsid w:val="000612C4"/>
    <w:rsid w:val="0006152D"/>
    <w:rsid w:val="000625F2"/>
    <w:rsid w:val="0006428E"/>
    <w:rsid w:val="000656E6"/>
    <w:rsid w:val="000705D3"/>
    <w:rsid w:val="0007163E"/>
    <w:rsid w:val="00075AD1"/>
    <w:rsid w:val="00076211"/>
    <w:rsid w:val="00086AC1"/>
    <w:rsid w:val="00092CBF"/>
    <w:rsid w:val="000A0583"/>
    <w:rsid w:val="000A06AE"/>
    <w:rsid w:val="000A102D"/>
    <w:rsid w:val="000A22E2"/>
    <w:rsid w:val="000A41BE"/>
    <w:rsid w:val="000B11EF"/>
    <w:rsid w:val="000C56DE"/>
    <w:rsid w:val="000D1E04"/>
    <w:rsid w:val="000D3357"/>
    <w:rsid w:val="000D368C"/>
    <w:rsid w:val="000E11DE"/>
    <w:rsid w:val="000E4367"/>
    <w:rsid w:val="000E4CCF"/>
    <w:rsid w:val="000E4D22"/>
    <w:rsid w:val="000E4DA1"/>
    <w:rsid w:val="000E5E87"/>
    <w:rsid w:val="000E7DF6"/>
    <w:rsid w:val="000F0F00"/>
    <w:rsid w:val="000F5E09"/>
    <w:rsid w:val="000F6DD6"/>
    <w:rsid w:val="001003EC"/>
    <w:rsid w:val="00102E7D"/>
    <w:rsid w:val="001048A5"/>
    <w:rsid w:val="00105061"/>
    <w:rsid w:val="001073BD"/>
    <w:rsid w:val="00112CFC"/>
    <w:rsid w:val="00122E6E"/>
    <w:rsid w:val="00125224"/>
    <w:rsid w:val="00126CDC"/>
    <w:rsid w:val="001304E5"/>
    <w:rsid w:val="0013418A"/>
    <w:rsid w:val="00136683"/>
    <w:rsid w:val="00136B1C"/>
    <w:rsid w:val="001405FB"/>
    <w:rsid w:val="00140736"/>
    <w:rsid w:val="001479B2"/>
    <w:rsid w:val="00150B0B"/>
    <w:rsid w:val="0015792D"/>
    <w:rsid w:val="001615CB"/>
    <w:rsid w:val="00165B27"/>
    <w:rsid w:val="00166AAC"/>
    <w:rsid w:val="00167545"/>
    <w:rsid w:val="00170F86"/>
    <w:rsid w:val="001739F4"/>
    <w:rsid w:val="00191086"/>
    <w:rsid w:val="001929EC"/>
    <w:rsid w:val="001944BA"/>
    <w:rsid w:val="00195435"/>
    <w:rsid w:val="001A3269"/>
    <w:rsid w:val="001A432C"/>
    <w:rsid w:val="001B0FD7"/>
    <w:rsid w:val="001B26E8"/>
    <w:rsid w:val="001B3765"/>
    <w:rsid w:val="001B523D"/>
    <w:rsid w:val="001B5C95"/>
    <w:rsid w:val="001C00B2"/>
    <w:rsid w:val="001C03B4"/>
    <w:rsid w:val="001C244E"/>
    <w:rsid w:val="001C42FE"/>
    <w:rsid w:val="001C553D"/>
    <w:rsid w:val="001C5C1A"/>
    <w:rsid w:val="001C6827"/>
    <w:rsid w:val="001E1023"/>
    <w:rsid w:val="001E4953"/>
    <w:rsid w:val="001E7482"/>
    <w:rsid w:val="001F7BE4"/>
    <w:rsid w:val="00200216"/>
    <w:rsid w:val="00200317"/>
    <w:rsid w:val="00203A5E"/>
    <w:rsid w:val="00204228"/>
    <w:rsid w:val="00211E9C"/>
    <w:rsid w:val="00212250"/>
    <w:rsid w:val="00216CED"/>
    <w:rsid w:val="002171EC"/>
    <w:rsid w:val="00217849"/>
    <w:rsid w:val="002207F9"/>
    <w:rsid w:val="00227536"/>
    <w:rsid w:val="00230CA6"/>
    <w:rsid w:val="00235122"/>
    <w:rsid w:val="0023520A"/>
    <w:rsid w:val="00241E50"/>
    <w:rsid w:val="00243DA6"/>
    <w:rsid w:val="00245676"/>
    <w:rsid w:val="00245EF3"/>
    <w:rsid w:val="00247CF6"/>
    <w:rsid w:val="00251FBF"/>
    <w:rsid w:val="0025215D"/>
    <w:rsid w:val="0025498D"/>
    <w:rsid w:val="0026102C"/>
    <w:rsid w:val="00264A32"/>
    <w:rsid w:val="00264F51"/>
    <w:rsid w:val="00271EAD"/>
    <w:rsid w:val="00273E2E"/>
    <w:rsid w:val="0027419C"/>
    <w:rsid w:val="00281F9F"/>
    <w:rsid w:val="0028293E"/>
    <w:rsid w:val="00283C51"/>
    <w:rsid w:val="00290391"/>
    <w:rsid w:val="0029194B"/>
    <w:rsid w:val="00292185"/>
    <w:rsid w:val="0029293F"/>
    <w:rsid w:val="00292DB0"/>
    <w:rsid w:val="002A0E05"/>
    <w:rsid w:val="002A1A24"/>
    <w:rsid w:val="002A4B2D"/>
    <w:rsid w:val="002A53F6"/>
    <w:rsid w:val="002A56D7"/>
    <w:rsid w:val="002A58FF"/>
    <w:rsid w:val="002C2E0E"/>
    <w:rsid w:val="002C5179"/>
    <w:rsid w:val="002C52A3"/>
    <w:rsid w:val="002C56BE"/>
    <w:rsid w:val="002C5E72"/>
    <w:rsid w:val="002C768C"/>
    <w:rsid w:val="002D1385"/>
    <w:rsid w:val="002D16D4"/>
    <w:rsid w:val="002D23E7"/>
    <w:rsid w:val="002D4B10"/>
    <w:rsid w:val="002D546F"/>
    <w:rsid w:val="002E038E"/>
    <w:rsid w:val="002E255C"/>
    <w:rsid w:val="002E40F4"/>
    <w:rsid w:val="002E42C0"/>
    <w:rsid w:val="002E4390"/>
    <w:rsid w:val="002E519F"/>
    <w:rsid w:val="002E5283"/>
    <w:rsid w:val="002F084A"/>
    <w:rsid w:val="002F6610"/>
    <w:rsid w:val="002F6FB9"/>
    <w:rsid w:val="002F7BF0"/>
    <w:rsid w:val="003023DD"/>
    <w:rsid w:val="003042C5"/>
    <w:rsid w:val="00334591"/>
    <w:rsid w:val="003351A8"/>
    <w:rsid w:val="00335618"/>
    <w:rsid w:val="00336405"/>
    <w:rsid w:val="00341F88"/>
    <w:rsid w:val="003426A9"/>
    <w:rsid w:val="0034295F"/>
    <w:rsid w:val="00342B32"/>
    <w:rsid w:val="00344970"/>
    <w:rsid w:val="00346BCF"/>
    <w:rsid w:val="0034724F"/>
    <w:rsid w:val="00347CD0"/>
    <w:rsid w:val="0035602D"/>
    <w:rsid w:val="00361CF9"/>
    <w:rsid w:val="003629E4"/>
    <w:rsid w:val="0036410A"/>
    <w:rsid w:val="003707C8"/>
    <w:rsid w:val="00375776"/>
    <w:rsid w:val="00376997"/>
    <w:rsid w:val="00376BEC"/>
    <w:rsid w:val="00382375"/>
    <w:rsid w:val="00382B8A"/>
    <w:rsid w:val="003834AF"/>
    <w:rsid w:val="00383817"/>
    <w:rsid w:val="0038713F"/>
    <w:rsid w:val="00393790"/>
    <w:rsid w:val="003A41CB"/>
    <w:rsid w:val="003B0DCE"/>
    <w:rsid w:val="003B1831"/>
    <w:rsid w:val="003B38A8"/>
    <w:rsid w:val="003B3B19"/>
    <w:rsid w:val="003B69B0"/>
    <w:rsid w:val="003C16B9"/>
    <w:rsid w:val="003C1FA9"/>
    <w:rsid w:val="003C2723"/>
    <w:rsid w:val="003C555C"/>
    <w:rsid w:val="003C5C65"/>
    <w:rsid w:val="003C759F"/>
    <w:rsid w:val="003C7FDE"/>
    <w:rsid w:val="003D0E6D"/>
    <w:rsid w:val="003D2FC1"/>
    <w:rsid w:val="003E3071"/>
    <w:rsid w:val="003E3DAC"/>
    <w:rsid w:val="003E3F41"/>
    <w:rsid w:val="003E55C2"/>
    <w:rsid w:val="003F71ED"/>
    <w:rsid w:val="003F7D41"/>
    <w:rsid w:val="004004EA"/>
    <w:rsid w:val="0040075F"/>
    <w:rsid w:val="0040537A"/>
    <w:rsid w:val="0040696B"/>
    <w:rsid w:val="0041036E"/>
    <w:rsid w:val="00413A28"/>
    <w:rsid w:val="004201C2"/>
    <w:rsid w:val="00421DE0"/>
    <w:rsid w:val="00422ECF"/>
    <w:rsid w:val="004250E5"/>
    <w:rsid w:val="004307DA"/>
    <w:rsid w:val="00436CD1"/>
    <w:rsid w:val="0043799B"/>
    <w:rsid w:val="00443853"/>
    <w:rsid w:val="00451AC1"/>
    <w:rsid w:val="004572F7"/>
    <w:rsid w:val="004577E0"/>
    <w:rsid w:val="00460766"/>
    <w:rsid w:val="00465C92"/>
    <w:rsid w:val="00466CDE"/>
    <w:rsid w:val="00467BCB"/>
    <w:rsid w:val="00472DCE"/>
    <w:rsid w:val="0047332B"/>
    <w:rsid w:val="004777C0"/>
    <w:rsid w:val="00490378"/>
    <w:rsid w:val="00490EB6"/>
    <w:rsid w:val="00491671"/>
    <w:rsid w:val="004917A2"/>
    <w:rsid w:val="0049544D"/>
    <w:rsid w:val="004A389E"/>
    <w:rsid w:val="004A40E2"/>
    <w:rsid w:val="004A5EE5"/>
    <w:rsid w:val="004B4757"/>
    <w:rsid w:val="004B4F30"/>
    <w:rsid w:val="004B4F5D"/>
    <w:rsid w:val="004B5B6A"/>
    <w:rsid w:val="004B7B78"/>
    <w:rsid w:val="004C1170"/>
    <w:rsid w:val="004C11A4"/>
    <w:rsid w:val="004C209B"/>
    <w:rsid w:val="004C278A"/>
    <w:rsid w:val="004C522A"/>
    <w:rsid w:val="004C6AE5"/>
    <w:rsid w:val="004D3651"/>
    <w:rsid w:val="004D6CBC"/>
    <w:rsid w:val="004D7DA3"/>
    <w:rsid w:val="004E615D"/>
    <w:rsid w:val="004E6914"/>
    <w:rsid w:val="004F0562"/>
    <w:rsid w:val="004F1888"/>
    <w:rsid w:val="004F7549"/>
    <w:rsid w:val="004F7E5B"/>
    <w:rsid w:val="00500D26"/>
    <w:rsid w:val="005024CA"/>
    <w:rsid w:val="005047D8"/>
    <w:rsid w:val="00512955"/>
    <w:rsid w:val="00512B57"/>
    <w:rsid w:val="00514B7C"/>
    <w:rsid w:val="005168A2"/>
    <w:rsid w:val="00517FFA"/>
    <w:rsid w:val="00520252"/>
    <w:rsid w:val="00521633"/>
    <w:rsid w:val="00526058"/>
    <w:rsid w:val="00532C70"/>
    <w:rsid w:val="005332A3"/>
    <w:rsid w:val="00533AD3"/>
    <w:rsid w:val="00534579"/>
    <w:rsid w:val="00534DB3"/>
    <w:rsid w:val="005364E1"/>
    <w:rsid w:val="005404AB"/>
    <w:rsid w:val="00540FFD"/>
    <w:rsid w:val="00541FC4"/>
    <w:rsid w:val="00551AE8"/>
    <w:rsid w:val="005534F2"/>
    <w:rsid w:val="005549B3"/>
    <w:rsid w:val="00555E57"/>
    <w:rsid w:val="00561655"/>
    <w:rsid w:val="0056293B"/>
    <w:rsid w:val="00562BE0"/>
    <w:rsid w:val="00563232"/>
    <w:rsid w:val="00565621"/>
    <w:rsid w:val="00566F13"/>
    <w:rsid w:val="0056796B"/>
    <w:rsid w:val="00570F8D"/>
    <w:rsid w:val="00571CC4"/>
    <w:rsid w:val="00573964"/>
    <w:rsid w:val="00576987"/>
    <w:rsid w:val="00580C33"/>
    <w:rsid w:val="00580C50"/>
    <w:rsid w:val="00581369"/>
    <w:rsid w:val="00583843"/>
    <w:rsid w:val="00585770"/>
    <w:rsid w:val="00590B02"/>
    <w:rsid w:val="00590EAD"/>
    <w:rsid w:val="00594C11"/>
    <w:rsid w:val="0059502F"/>
    <w:rsid w:val="005A6E37"/>
    <w:rsid w:val="005B0E24"/>
    <w:rsid w:val="005B3B7D"/>
    <w:rsid w:val="005B7DE3"/>
    <w:rsid w:val="005C0200"/>
    <w:rsid w:val="005C6264"/>
    <w:rsid w:val="005C7FD4"/>
    <w:rsid w:val="005D15C4"/>
    <w:rsid w:val="005D2471"/>
    <w:rsid w:val="005D28D5"/>
    <w:rsid w:val="005E0521"/>
    <w:rsid w:val="005E3E88"/>
    <w:rsid w:val="005E3EA9"/>
    <w:rsid w:val="005E4FF6"/>
    <w:rsid w:val="005F056E"/>
    <w:rsid w:val="005F1F99"/>
    <w:rsid w:val="005F5405"/>
    <w:rsid w:val="005F6E83"/>
    <w:rsid w:val="006034DD"/>
    <w:rsid w:val="00610574"/>
    <w:rsid w:val="00610D13"/>
    <w:rsid w:val="006132FB"/>
    <w:rsid w:val="00616421"/>
    <w:rsid w:val="00617BFD"/>
    <w:rsid w:val="006212F7"/>
    <w:rsid w:val="006246B9"/>
    <w:rsid w:val="006254B1"/>
    <w:rsid w:val="0062599E"/>
    <w:rsid w:val="00625E54"/>
    <w:rsid w:val="006266E2"/>
    <w:rsid w:val="00630AF0"/>
    <w:rsid w:val="00634877"/>
    <w:rsid w:val="006443CE"/>
    <w:rsid w:val="00645328"/>
    <w:rsid w:val="006457D0"/>
    <w:rsid w:val="00646FC1"/>
    <w:rsid w:val="0064780F"/>
    <w:rsid w:val="006505B8"/>
    <w:rsid w:val="00655E33"/>
    <w:rsid w:val="00660F16"/>
    <w:rsid w:val="006620AF"/>
    <w:rsid w:val="00664F0C"/>
    <w:rsid w:val="006668B6"/>
    <w:rsid w:val="00670A57"/>
    <w:rsid w:val="00670AE4"/>
    <w:rsid w:val="006721C0"/>
    <w:rsid w:val="0067363E"/>
    <w:rsid w:val="00673B9A"/>
    <w:rsid w:val="00675331"/>
    <w:rsid w:val="00676E72"/>
    <w:rsid w:val="00683023"/>
    <w:rsid w:val="0069131F"/>
    <w:rsid w:val="006919B2"/>
    <w:rsid w:val="006926A8"/>
    <w:rsid w:val="00694755"/>
    <w:rsid w:val="006A30E5"/>
    <w:rsid w:val="006A502F"/>
    <w:rsid w:val="006B121E"/>
    <w:rsid w:val="006B18E7"/>
    <w:rsid w:val="006B2B21"/>
    <w:rsid w:val="006B36F6"/>
    <w:rsid w:val="006C1C88"/>
    <w:rsid w:val="006C6E9D"/>
    <w:rsid w:val="006D0F48"/>
    <w:rsid w:val="006D1905"/>
    <w:rsid w:val="006D2865"/>
    <w:rsid w:val="006D5447"/>
    <w:rsid w:val="006D6482"/>
    <w:rsid w:val="006D6CF4"/>
    <w:rsid w:val="006D7196"/>
    <w:rsid w:val="006D7565"/>
    <w:rsid w:val="006E08B3"/>
    <w:rsid w:val="006F267E"/>
    <w:rsid w:val="006F5E01"/>
    <w:rsid w:val="00701ED3"/>
    <w:rsid w:val="00702269"/>
    <w:rsid w:val="007022CE"/>
    <w:rsid w:val="00702F4D"/>
    <w:rsid w:val="0071327B"/>
    <w:rsid w:val="00716D64"/>
    <w:rsid w:val="00717ABF"/>
    <w:rsid w:val="00720121"/>
    <w:rsid w:val="00720758"/>
    <w:rsid w:val="00722EA2"/>
    <w:rsid w:val="007373C0"/>
    <w:rsid w:val="00737833"/>
    <w:rsid w:val="00740BC7"/>
    <w:rsid w:val="00741A91"/>
    <w:rsid w:val="007421E9"/>
    <w:rsid w:val="007422A3"/>
    <w:rsid w:val="007446BA"/>
    <w:rsid w:val="00747D7F"/>
    <w:rsid w:val="00754010"/>
    <w:rsid w:val="00756FAE"/>
    <w:rsid w:val="00757CDD"/>
    <w:rsid w:val="00764E5E"/>
    <w:rsid w:val="00766F7C"/>
    <w:rsid w:val="00770DEC"/>
    <w:rsid w:val="00771411"/>
    <w:rsid w:val="0077384C"/>
    <w:rsid w:val="007771AB"/>
    <w:rsid w:val="007814CD"/>
    <w:rsid w:val="0078669A"/>
    <w:rsid w:val="0079167A"/>
    <w:rsid w:val="007942B8"/>
    <w:rsid w:val="00795068"/>
    <w:rsid w:val="007954DF"/>
    <w:rsid w:val="00795BA6"/>
    <w:rsid w:val="00797539"/>
    <w:rsid w:val="007A00B2"/>
    <w:rsid w:val="007A15F9"/>
    <w:rsid w:val="007A3609"/>
    <w:rsid w:val="007A5C8E"/>
    <w:rsid w:val="007A6ADC"/>
    <w:rsid w:val="007A7A17"/>
    <w:rsid w:val="007B34C7"/>
    <w:rsid w:val="007B4BD3"/>
    <w:rsid w:val="007B725C"/>
    <w:rsid w:val="007C2B26"/>
    <w:rsid w:val="007C52E1"/>
    <w:rsid w:val="007C55EA"/>
    <w:rsid w:val="007C5E07"/>
    <w:rsid w:val="007C62DA"/>
    <w:rsid w:val="007D13E2"/>
    <w:rsid w:val="007D2215"/>
    <w:rsid w:val="007D32C3"/>
    <w:rsid w:val="007D686C"/>
    <w:rsid w:val="007E00DD"/>
    <w:rsid w:val="007E72A9"/>
    <w:rsid w:val="007E7600"/>
    <w:rsid w:val="007F391D"/>
    <w:rsid w:val="007F3B0C"/>
    <w:rsid w:val="007F4559"/>
    <w:rsid w:val="007F4862"/>
    <w:rsid w:val="007F5877"/>
    <w:rsid w:val="007F6F11"/>
    <w:rsid w:val="007F7114"/>
    <w:rsid w:val="007F7139"/>
    <w:rsid w:val="007F71DA"/>
    <w:rsid w:val="0080278D"/>
    <w:rsid w:val="00807932"/>
    <w:rsid w:val="00810D53"/>
    <w:rsid w:val="00816388"/>
    <w:rsid w:val="00817EAB"/>
    <w:rsid w:val="0082048A"/>
    <w:rsid w:val="00830F55"/>
    <w:rsid w:val="00835EDC"/>
    <w:rsid w:val="008413AC"/>
    <w:rsid w:val="00845198"/>
    <w:rsid w:val="0084746C"/>
    <w:rsid w:val="00847BFC"/>
    <w:rsid w:val="00851B27"/>
    <w:rsid w:val="00856503"/>
    <w:rsid w:val="00857A41"/>
    <w:rsid w:val="008601D6"/>
    <w:rsid w:val="00870424"/>
    <w:rsid w:val="0087583B"/>
    <w:rsid w:val="00876777"/>
    <w:rsid w:val="00883400"/>
    <w:rsid w:val="00883CCD"/>
    <w:rsid w:val="00885B3C"/>
    <w:rsid w:val="00885B7C"/>
    <w:rsid w:val="0088652F"/>
    <w:rsid w:val="00891216"/>
    <w:rsid w:val="00893BFB"/>
    <w:rsid w:val="00893F42"/>
    <w:rsid w:val="008941CB"/>
    <w:rsid w:val="00894C19"/>
    <w:rsid w:val="008952CE"/>
    <w:rsid w:val="008A041A"/>
    <w:rsid w:val="008A2299"/>
    <w:rsid w:val="008A38D7"/>
    <w:rsid w:val="008A4C64"/>
    <w:rsid w:val="008B110B"/>
    <w:rsid w:val="008B2F2D"/>
    <w:rsid w:val="008B426E"/>
    <w:rsid w:val="008C30D3"/>
    <w:rsid w:val="008D317E"/>
    <w:rsid w:val="008D71BD"/>
    <w:rsid w:val="008E2A4B"/>
    <w:rsid w:val="008E6152"/>
    <w:rsid w:val="008E65F7"/>
    <w:rsid w:val="008F43DC"/>
    <w:rsid w:val="008F4A93"/>
    <w:rsid w:val="008F6F81"/>
    <w:rsid w:val="009005ED"/>
    <w:rsid w:val="0090616A"/>
    <w:rsid w:val="00911664"/>
    <w:rsid w:val="00917B95"/>
    <w:rsid w:val="009210CF"/>
    <w:rsid w:val="00923682"/>
    <w:rsid w:val="0092654C"/>
    <w:rsid w:val="00930768"/>
    <w:rsid w:val="0093109B"/>
    <w:rsid w:val="00932B76"/>
    <w:rsid w:val="00934356"/>
    <w:rsid w:val="00935971"/>
    <w:rsid w:val="00941969"/>
    <w:rsid w:val="009540EE"/>
    <w:rsid w:val="00955B82"/>
    <w:rsid w:val="00960765"/>
    <w:rsid w:val="00960C00"/>
    <w:rsid w:val="00961CEE"/>
    <w:rsid w:val="00961F1A"/>
    <w:rsid w:val="00964B8C"/>
    <w:rsid w:val="00964C41"/>
    <w:rsid w:val="00965466"/>
    <w:rsid w:val="00965488"/>
    <w:rsid w:val="00966114"/>
    <w:rsid w:val="00970299"/>
    <w:rsid w:val="00970622"/>
    <w:rsid w:val="00971F3C"/>
    <w:rsid w:val="0097270E"/>
    <w:rsid w:val="0097295B"/>
    <w:rsid w:val="00974886"/>
    <w:rsid w:val="0097524E"/>
    <w:rsid w:val="00980606"/>
    <w:rsid w:val="009809B2"/>
    <w:rsid w:val="00985DF9"/>
    <w:rsid w:val="00993F87"/>
    <w:rsid w:val="009953F0"/>
    <w:rsid w:val="00995BB7"/>
    <w:rsid w:val="00997269"/>
    <w:rsid w:val="009A03F2"/>
    <w:rsid w:val="009B573A"/>
    <w:rsid w:val="009C35B0"/>
    <w:rsid w:val="009D0F53"/>
    <w:rsid w:val="009D2478"/>
    <w:rsid w:val="009D5546"/>
    <w:rsid w:val="009E1923"/>
    <w:rsid w:val="009E4564"/>
    <w:rsid w:val="009E4AA0"/>
    <w:rsid w:val="009E505E"/>
    <w:rsid w:val="00A0033A"/>
    <w:rsid w:val="00A01127"/>
    <w:rsid w:val="00A040F7"/>
    <w:rsid w:val="00A04136"/>
    <w:rsid w:val="00A05775"/>
    <w:rsid w:val="00A05BFE"/>
    <w:rsid w:val="00A05DE9"/>
    <w:rsid w:val="00A1208F"/>
    <w:rsid w:val="00A150B4"/>
    <w:rsid w:val="00A15FB3"/>
    <w:rsid w:val="00A22FDE"/>
    <w:rsid w:val="00A24349"/>
    <w:rsid w:val="00A266B4"/>
    <w:rsid w:val="00A363C0"/>
    <w:rsid w:val="00A40E43"/>
    <w:rsid w:val="00A41258"/>
    <w:rsid w:val="00A41DA0"/>
    <w:rsid w:val="00A435BD"/>
    <w:rsid w:val="00A44C17"/>
    <w:rsid w:val="00A47A4E"/>
    <w:rsid w:val="00A54B2B"/>
    <w:rsid w:val="00A57223"/>
    <w:rsid w:val="00A574B7"/>
    <w:rsid w:val="00A61A22"/>
    <w:rsid w:val="00A64F2E"/>
    <w:rsid w:val="00A6590F"/>
    <w:rsid w:val="00A66B5D"/>
    <w:rsid w:val="00A67661"/>
    <w:rsid w:val="00A70A19"/>
    <w:rsid w:val="00A70BDC"/>
    <w:rsid w:val="00A7288C"/>
    <w:rsid w:val="00A73B00"/>
    <w:rsid w:val="00A80A75"/>
    <w:rsid w:val="00A8119B"/>
    <w:rsid w:val="00A82AFE"/>
    <w:rsid w:val="00A84755"/>
    <w:rsid w:val="00A84912"/>
    <w:rsid w:val="00A84D56"/>
    <w:rsid w:val="00A863E1"/>
    <w:rsid w:val="00A86EF4"/>
    <w:rsid w:val="00A87D4D"/>
    <w:rsid w:val="00A906A1"/>
    <w:rsid w:val="00A949F2"/>
    <w:rsid w:val="00AA4907"/>
    <w:rsid w:val="00AA4C88"/>
    <w:rsid w:val="00AA698B"/>
    <w:rsid w:val="00AB1B73"/>
    <w:rsid w:val="00AB2B68"/>
    <w:rsid w:val="00AB5BC7"/>
    <w:rsid w:val="00AB734E"/>
    <w:rsid w:val="00AB764C"/>
    <w:rsid w:val="00AC0293"/>
    <w:rsid w:val="00AC0C3C"/>
    <w:rsid w:val="00AC1DF7"/>
    <w:rsid w:val="00AC30FA"/>
    <w:rsid w:val="00AC55ED"/>
    <w:rsid w:val="00AD2362"/>
    <w:rsid w:val="00AD3B93"/>
    <w:rsid w:val="00AD3C57"/>
    <w:rsid w:val="00AD59A6"/>
    <w:rsid w:val="00AF3D22"/>
    <w:rsid w:val="00AF7C7E"/>
    <w:rsid w:val="00B01220"/>
    <w:rsid w:val="00B01BE4"/>
    <w:rsid w:val="00B03AD3"/>
    <w:rsid w:val="00B07097"/>
    <w:rsid w:val="00B100D9"/>
    <w:rsid w:val="00B1264A"/>
    <w:rsid w:val="00B13213"/>
    <w:rsid w:val="00B13B9C"/>
    <w:rsid w:val="00B16A30"/>
    <w:rsid w:val="00B220DF"/>
    <w:rsid w:val="00B23411"/>
    <w:rsid w:val="00B25BAE"/>
    <w:rsid w:val="00B269C9"/>
    <w:rsid w:val="00B2770C"/>
    <w:rsid w:val="00B30663"/>
    <w:rsid w:val="00B31017"/>
    <w:rsid w:val="00B367E1"/>
    <w:rsid w:val="00B36D03"/>
    <w:rsid w:val="00B41DAF"/>
    <w:rsid w:val="00B41EFC"/>
    <w:rsid w:val="00B43A3C"/>
    <w:rsid w:val="00B50C39"/>
    <w:rsid w:val="00B51C11"/>
    <w:rsid w:val="00B548E6"/>
    <w:rsid w:val="00B57963"/>
    <w:rsid w:val="00B6165F"/>
    <w:rsid w:val="00B61B6B"/>
    <w:rsid w:val="00B622C7"/>
    <w:rsid w:val="00B636EF"/>
    <w:rsid w:val="00B647AB"/>
    <w:rsid w:val="00B6739D"/>
    <w:rsid w:val="00B674A8"/>
    <w:rsid w:val="00B7207A"/>
    <w:rsid w:val="00B72FFF"/>
    <w:rsid w:val="00B76B4F"/>
    <w:rsid w:val="00B80428"/>
    <w:rsid w:val="00B829FF"/>
    <w:rsid w:val="00B82DBD"/>
    <w:rsid w:val="00B82F3A"/>
    <w:rsid w:val="00B85161"/>
    <w:rsid w:val="00B8519C"/>
    <w:rsid w:val="00B90C52"/>
    <w:rsid w:val="00B91888"/>
    <w:rsid w:val="00B91A85"/>
    <w:rsid w:val="00BA146E"/>
    <w:rsid w:val="00BA29A1"/>
    <w:rsid w:val="00BA3078"/>
    <w:rsid w:val="00BA7116"/>
    <w:rsid w:val="00BA7214"/>
    <w:rsid w:val="00BB2C27"/>
    <w:rsid w:val="00BB2CA4"/>
    <w:rsid w:val="00BB557F"/>
    <w:rsid w:val="00BB74D8"/>
    <w:rsid w:val="00BC0687"/>
    <w:rsid w:val="00BC19D9"/>
    <w:rsid w:val="00BC1A74"/>
    <w:rsid w:val="00BC417B"/>
    <w:rsid w:val="00BC42E0"/>
    <w:rsid w:val="00BD54AF"/>
    <w:rsid w:val="00BE5B8F"/>
    <w:rsid w:val="00BF00A6"/>
    <w:rsid w:val="00BF04FF"/>
    <w:rsid w:val="00BF0E3B"/>
    <w:rsid w:val="00BF1518"/>
    <w:rsid w:val="00BF183B"/>
    <w:rsid w:val="00BF4434"/>
    <w:rsid w:val="00C00684"/>
    <w:rsid w:val="00C029C2"/>
    <w:rsid w:val="00C0690B"/>
    <w:rsid w:val="00C12996"/>
    <w:rsid w:val="00C12CF2"/>
    <w:rsid w:val="00C1414E"/>
    <w:rsid w:val="00C14198"/>
    <w:rsid w:val="00C30F9C"/>
    <w:rsid w:val="00C32C62"/>
    <w:rsid w:val="00C330B0"/>
    <w:rsid w:val="00C343B9"/>
    <w:rsid w:val="00C3511C"/>
    <w:rsid w:val="00C377BD"/>
    <w:rsid w:val="00C37B28"/>
    <w:rsid w:val="00C44F36"/>
    <w:rsid w:val="00C44FC5"/>
    <w:rsid w:val="00C46028"/>
    <w:rsid w:val="00C460FC"/>
    <w:rsid w:val="00C50DB0"/>
    <w:rsid w:val="00C50EC9"/>
    <w:rsid w:val="00C529A7"/>
    <w:rsid w:val="00C53F37"/>
    <w:rsid w:val="00C54814"/>
    <w:rsid w:val="00C57F06"/>
    <w:rsid w:val="00C61748"/>
    <w:rsid w:val="00C61FA3"/>
    <w:rsid w:val="00C6206A"/>
    <w:rsid w:val="00C62BEC"/>
    <w:rsid w:val="00C7052C"/>
    <w:rsid w:val="00C70581"/>
    <w:rsid w:val="00C7121C"/>
    <w:rsid w:val="00C73C7E"/>
    <w:rsid w:val="00C7634A"/>
    <w:rsid w:val="00C76FA8"/>
    <w:rsid w:val="00C77AEB"/>
    <w:rsid w:val="00C8055E"/>
    <w:rsid w:val="00C826C2"/>
    <w:rsid w:val="00C83197"/>
    <w:rsid w:val="00C91A7B"/>
    <w:rsid w:val="00C9253B"/>
    <w:rsid w:val="00C9318B"/>
    <w:rsid w:val="00C93278"/>
    <w:rsid w:val="00C9367C"/>
    <w:rsid w:val="00C9467F"/>
    <w:rsid w:val="00C96277"/>
    <w:rsid w:val="00CA1091"/>
    <w:rsid w:val="00CA1C39"/>
    <w:rsid w:val="00CA2668"/>
    <w:rsid w:val="00CA2CC5"/>
    <w:rsid w:val="00CA47A9"/>
    <w:rsid w:val="00CA7A04"/>
    <w:rsid w:val="00CB1BF6"/>
    <w:rsid w:val="00CB2833"/>
    <w:rsid w:val="00CB3496"/>
    <w:rsid w:val="00CB41B1"/>
    <w:rsid w:val="00CB66E6"/>
    <w:rsid w:val="00CB690D"/>
    <w:rsid w:val="00CB74B0"/>
    <w:rsid w:val="00CC359A"/>
    <w:rsid w:val="00CC372B"/>
    <w:rsid w:val="00CC44A2"/>
    <w:rsid w:val="00CC5794"/>
    <w:rsid w:val="00CC6952"/>
    <w:rsid w:val="00CC733D"/>
    <w:rsid w:val="00CC786E"/>
    <w:rsid w:val="00CD0CF2"/>
    <w:rsid w:val="00CD51D0"/>
    <w:rsid w:val="00CD7809"/>
    <w:rsid w:val="00CE3FA2"/>
    <w:rsid w:val="00CE46AB"/>
    <w:rsid w:val="00CE4996"/>
    <w:rsid w:val="00CE53D0"/>
    <w:rsid w:val="00CE651E"/>
    <w:rsid w:val="00CE6B38"/>
    <w:rsid w:val="00CF2C00"/>
    <w:rsid w:val="00CF746D"/>
    <w:rsid w:val="00D034D5"/>
    <w:rsid w:val="00D17C38"/>
    <w:rsid w:val="00D22E91"/>
    <w:rsid w:val="00D22FD6"/>
    <w:rsid w:val="00D25D49"/>
    <w:rsid w:val="00D315FE"/>
    <w:rsid w:val="00D33800"/>
    <w:rsid w:val="00D36B96"/>
    <w:rsid w:val="00D40C5D"/>
    <w:rsid w:val="00D473C2"/>
    <w:rsid w:val="00D52167"/>
    <w:rsid w:val="00D52673"/>
    <w:rsid w:val="00D52A88"/>
    <w:rsid w:val="00D533F2"/>
    <w:rsid w:val="00D565B2"/>
    <w:rsid w:val="00D57BB3"/>
    <w:rsid w:val="00D64159"/>
    <w:rsid w:val="00D65E20"/>
    <w:rsid w:val="00D66C4F"/>
    <w:rsid w:val="00D70994"/>
    <w:rsid w:val="00D71E82"/>
    <w:rsid w:val="00D8376F"/>
    <w:rsid w:val="00D870E4"/>
    <w:rsid w:val="00D92759"/>
    <w:rsid w:val="00D975AC"/>
    <w:rsid w:val="00DA0A93"/>
    <w:rsid w:val="00DA47F5"/>
    <w:rsid w:val="00DB040D"/>
    <w:rsid w:val="00DB36E2"/>
    <w:rsid w:val="00DB4070"/>
    <w:rsid w:val="00DB7C22"/>
    <w:rsid w:val="00DC0E1D"/>
    <w:rsid w:val="00DC1DC6"/>
    <w:rsid w:val="00DC3CCD"/>
    <w:rsid w:val="00DC58F7"/>
    <w:rsid w:val="00DD0A8D"/>
    <w:rsid w:val="00DD2142"/>
    <w:rsid w:val="00DD23B8"/>
    <w:rsid w:val="00DD27EB"/>
    <w:rsid w:val="00DD2C47"/>
    <w:rsid w:val="00DD3EBB"/>
    <w:rsid w:val="00DE1178"/>
    <w:rsid w:val="00DE3B0B"/>
    <w:rsid w:val="00DE5F9B"/>
    <w:rsid w:val="00DF08DE"/>
    <w:rsid w:val="00DF2E1C"/>
    <w:rsid w:val="00DF3540"/>
    <w:rsid w:val="00DF778F"/>
    <w:rsid w:val="00E00C89"/>
    <w:rsid w:val="00E02C6C"/>
    <w:rsid w:val="00E03BC6"/>
    <w:rsid w:val="00E063AE"/>
    <w:rsid w:val="00E11914"/>
    <w:rsid w:val="00E11E6F"/>
    <w:rsid w:val="00E126DC"/>
    <w:rsid w:val="00E1278F"/>
    <w:rsid w:val="00E15292"/>
    <w:rsid w:val="00E168DA"/>
    <w:rsid w:val="00E17A7E"/>
    <w:rsid w:val="00E23450"/>
    <w:rsid w:val="00E34FCD"/>
    <w:rsid w:val="00E3558F"/>
    <w:rsid w:val="00E359DC"/>
    <w:rsid w:val="00E36D47"/>
    <w:rsid w:val="00E37A23"/>
    <w:rsid w:val="00E43A77"/>
    <w:rsid w:val="00E45FF7"/>
    <w:rsid w:val="00E50392"/>
    <w:rsid w:val="00E50A7E"/>
    <w:rsid w:val="00E51A9B"/>
    <w:rsid w:val="00E51D6C"/>
    <w:rsid w:val="00E558A5"/>
    <w:rsid w:val="00E572C4"/>
    <w:rsid w:val="00E6683C"/>
    <w:rsid w:val="00E74A2A"/>
    <w:rsid w:val="00E7625B"/>
    <w:rsid w:val="00E83DCC"/>
    <w:rsid w:val="00E85174"/>
    <w:rsid w:val="00E92DAE"/>
    <w:rsid w:val="00E93BA6"/>
    <w:rsid w:val="00E97D7F"/>
    <w:rsid w:val="00EA1B66"/>
    <w:rsid w:val="00EA2425"/>
    <w:rsid w:val="00EA2BDD"/>
    <w:rsid w:val="00EA5E8D"/>
    <w:rsid w:val="00EB1B58"/>
    <w:rsid w:val="00EB27A6"/>
    <w:rsid w:val="00EB335A"/>
    <w:rsid w:val="00EB34B8"/>
    <w:rsid w:val="00EB6208"/>
    <w:rsid w:val="00EB76A8"/>
    <w:rsid w:val="00EB7B14"/>
    <w:rsid w:val="00EC749E"/>
    <w:rsid w:val="00EC7841"/>
    <w:rsid w:val="00ED0AEE"/>
    <w:rsid w:val="00ED30BC"/>
    <w:rsid w:val="00ED4158"/>
    <w:rsid w:val="00ED5C9D"/>
    <w:rsid w:val="00ED6D53"/>
    <w:rsid w:val="00EF2474"/>
    <w:rsid w:val="00EF28EF"/>
    <w:rsid w:val="00EF36E1"/>
    <w:rsid w:val="00EF3F5A"/>
    <w:rsid w:val="00EF42B2"/>
    <w:rsid w:val="00F06ED6"/>
    <w:rsid w:val="00F079DD"/>
    <w:rsid w:val="00F109AE"/>
    <w:rsid w:val="00F10CC1"/>
    <w:rsid w:val="00F12B25"/>
    <w:rsid w:val="00F155B4"/>
    <w:rsid w:val="00F15F87"/>
    <w:rsid w:val="00F16F41"/>
    <w:rsid w:val="00F2048D"/>
    <w:rsid w:val="00F25837"/>
    <w:rsid w:val="00F25BF7"/>
    <w:rsid w:val="00F32612"/>
    <w:rsid w:val="00F33776"/>
    <w:rsid w:val="00F37180"/>
    <w:rsid w:val="00F42432"/>
    <w:rsid w:val="00F43CFD"/>
    <w:rsid w:val="00F458A2"/>
    <w:rsid w:val="00F52281"/>
    <w:rsid w:val="00F64445"/>
    <w:rsid w:val="00F65CCF"/>
    <w:rsid w:val="00F6704C"/>
    <w:rsid w:val="00F71ACC"/>
    <w:rsid w:val="00F7287D"/>
    <w:rsid w:val="00F83254"/>
    <w:rsid w:val="00F90EE2"/>
    <w:rsid w:val="00F91D16"/>
    <w:rsid w:val="00F95A79"/>
    <w:rsid w:val="00F961E6"/>
    <w:rsid w:val="00FA0B49"/>
    <w:rsid w:val="00FA2214"/>
    <w:rsid w:val="00FA2A21"/>
    <w:rsid w:val="00FA31E4"/>
    <w:rsid w:val="00FA3547"/>
    <w:rsid w:val="00FA6CAB"/>
    <w:rsid w:val="00FA73D6"/>
    <w:rsid w:val="00FB20E9"/>
    <w:rsid w:val="00FB2CEF"/>
    <w:rsid w:val="00FB7981"/>
    <w:rsid w:val="00FC0D0D"/>
    <w:rsid w:val="00FC22F7"/>
    <w:rsid w:val="00FC69EA"/>
    <w:rsid w:val="00FC7A43"/>
    <w:rsid w:val="00FD2C49"/>
    <w:rsid w:val="00FD2E32"/>
    <w:rsid w:val="00FD36C5"/>
    <w:rsid w:val="00FD7644"/>
    <w:rsid w:val="00FD7CBA"/>
    <w:rsid w:val="00FE0BB0"/>
    <w:rsid w:val="00FE38E6"/>
    <w:rsid w:val="00FF0B2D"/>
    <w:rsid w:val="0107000F"/>
    <w:rsid w:val="01CC4DE7"/>
    <w:rsid w:val="026D4E26"/>
    <w:rsid w:val="02A92A79"/>
    <w:rsid w:val="03C33200"/>
    <w:rsid w:val="03EC5701"/>
    <w:rsid w:val="04C27C98"/>
    <w:rsid w:val="04E60AB3"/>
    <w:rsid w:val="04F91BFF"/>
    <w:rsid w:val="04FC7BC9"/>
    <w:rsid w:val="05A92F49"/>
    <w:rsid w:val="061D2AFD"/>
    <w:rsid w:val="064A280D"/>
    <w:rsid w:val="06C92DA5"/>
    <w:rsid w:val="07A20FE4"/>
    <w:rsid w:val="08652EDE"/>
    <w:rsid w:val="0A290583"/>
    <w:rsid w:val="0A7259C6"/>
    <w:rsid w:val="0AAE4AE9"/>
    <w:rsid w:val="0BB72938"/>
    <w:rsid w:val="0BB95138"/>
    <w:rsid w:val="0BE83AA0"/>
    <w:rsid w:val="0C22507E"/>
    <w:rsid w:val="0C515952"/>
    <w:rsid w:val="0C8B0472"/>
    <w:rsid w:val="0D9E3D3D"/>
    <w:rsid w:val="0DF040F7"/>
    <w:rsid w:val="0EDC52DC"/>
    <w:rsid w:val="0F2B556D"/>
    <w:rsid w:val="0F905DBC"/>
    <w:rsid w:val="110F6799"/>
    <w:rsid w:val="114D729E"/>
    <w:rsid w:val="117E083E"/>
    <w:rsid w:val="13DA26B3"/>
    <w:rsid w:val="13F44E24"/>
    <w:rsid w:val="1439311D"/>
    <w:rsid w:val="146B27EE"/>
    <w:rsid w:val="15016D6F"/>
    <w:rsid w:val="15FE100F"/>
    <w:rsid w:val="160D2E2D"/>
    <w:rsid w:val="170C2FA8"/>
    <w:rsid w:val="172D56AC"/>
    <w:rsid w:val="174F4DAE"/>
    <w:rsid w:val="17FA1625"/>
    <w:rsid w:val="183F68B3"/>
    <w:rsid w:val="18B7158F"/>
    <w:rsid w:val="19646885"/>
    <w:rsid w:val="198A52C8"/>
    <w:rsid w:val="1A312889"/>
    <w:rsid w:val="1A5430FD"/>
    <w:rsid w:val="1A865E6B"/>
    <w:rsid w:val="1B6D4BF7"/>
    <w:rsid w:val="1CDC17BD"/>
    <w:rsid w:val="1E554701"/>
    <w:rsid w:val="1EC677CA"/>
    <w:rsid w:val="1F3000C7"/>
    <w:rsid w:val="215A7D54"/>
    <w:rsid w:val="261800A2"/>
    <w:rsid w:val="26560327"/>
    <w:rsid w:val="26B63C78"/>
    <w:rsid w:val="275058EB"/>
    <w:rsid w:val="285E17C7"/>
    <w:rsid w:val="287731A2"/>
    <w:rsid w:val="28A81925"/>
    <w:rsid w:val="29961D8A"/>
    <w:rsid w:val="29DD10B4"/>
    <w:rsid w:val="2A4E7C51"/>
    <w:rsid w:val="2A8A732C"/>
    <w:rsid w:val="2BBD6398"/>
    <w:rsid w:val="2D5F0A48"/>
    <w:rsid w:val="2DB256F9"/>
    <w:rsid w:val="2E995ECC"/>
    <w:rsid w:val="2EBC10D1"/>
    <w:rsid w:val="2F483DFA"/>
    <w:rsid w:val="2F6D304C"/>
    <w:rsid w:val="309E2809"/>
    <w:rsid w:val="30CF12A6"/>
    <w:rsid w:val="33ED1360"/>
    <w:rsid w:val="34EA4FB4"/>
    <w:rsid w:val="34F768F8"/>
    <w:rsid w:val="356345BC"/>
    <w:rsid w:val="356A334D"/>
    <w:rsid w:val="36573B47"/>
    <w:rsid w:val="37B41AB0"/>
    <w:rsid w:val="37B93FC6"/>
    <w:rsid w:val="384F1543"/>
    <w:rsid w:val="386971DF"/>
    <w:rsid w:val="387D7A2E"/>
    <w:rsid w:val="397D305E"/>
    <w:rsid w:val="39BF3D88"/>
    <w:rsid w:val="3A9A47CE"/>
    <w:rsid w:val="3AAE39D9"/>
    <w:rsid w:val="3AC06FC9"/>
    <w:rsid w:val="3AE44EB8"/>
    <w:rsid w:val="3B032217"/>
    <w:rsid w:val="3BE8072D"/>
    <w:rsid w:val="3CC65832"/>
    <w:rsid w:val="3D5D2B67"/>
    <w:rsid w:val="3D6D2828"/>
    <w:rsid w:val="3D9D19C7"/>
    <w:rsid w:val="3E7A4107"/>
    <w:rsid w:val="3EAE3388"/>
    <w:rsid w:val="3F430F65"/>
    <w:rsid w:val="3F685E30"/>
    <w:rsid w:val="3F905757"/>
    <w:rsid w:val="402368D7"/>
    <w:rsid w:val="41053798"/>
    <w:rsid w:val="410604BD"/>
    <w:rsid w:val="417A41E3"/>
    <w:rsid w:val="42BE475E"/>
    <w:rsid w:val="43684640"/>
    <w:rsid w:val="438155C0"/>
    <w:rsid w:val="4396088C"/>
    <w:rsid w:val="447F107A"/>
    <w:rsid w:val="44EA1FB1"/>
    <w:rsid w:val="4529576A"/>
    <w:rsid w:val="45815C74"/>
    <w:rsid w:val="46AB5221"/>
    <w:rsid w:val="46FA4F87"/>
    <w:rsid w:val="472D2E3A"/>
    <w:rsid w:val="48DA7033"/>
    <w:rsid w:val="48DC298A"/>
    <w:rsid w:val="49CD5D7F"/>
    <w:rsid w:val="4A050F74"/>
    <w:rsid w:val="4A1A0AE2"/>
    <w:rsid w:val="4A712068"/>
    <w:rsid w:val="4AD574C8"/>
    <w:rsid w:val="4B140480"/>
    <w:rsid w:val="4B2244CF"/>
    <w:rsid w:val="4B7E3875"/>
    <w:rsid w:val="4BB12D23"/>
    <w:rsid w:val="4BE306CD"/>
    <w:rsid w:val="4C762A25"/>
    <w:rsid w:val="4C791780"/>
    <w:rsid w:val="4C7E15D8"/>
    <w:rsid w:val="4D3D02D8"/>
    <w:rsid w:val="4D8962E0"/>
    <w:rsid w:val="4E061A01"/>
    <w:rsid w:val="4E0D1C98"/>
    <w:rsid w:val="4E6D2E5C"/>
    <w:rsid w:val="4EB53B1E"/>
    <w:rsid w:val="4FCD10E5"/>
    <w:rsid w:val="507575E2"/>
    <w:rsid w:val="50B7530E"/>
    <w:rsid w:val="528A6A9C"/>
    <w:rsid w:val="52D903CE"/>
    <w:rsid w:val="531D1CA7"/>
    <w:rsid w:val="5343550A"/>
    <w:rsid w:val="537E5450"/>
    <w:rsid w:val="53D4279D"/>
    <w:rsid w:val="54C91F96"/>
    <w:rsid w:val="554E0167"/>
    <w:rsid w:val="559713DE"/>
    <w:rsid w:val="56C25FA1"/>
    <w:rsid w:val="56E81357"/>
    <w:rsid w:val="57004BA7"/>
    <w:rsid w:val="571436D6"/>
    <w:rsid w:val="574447B2"/>
    <w:rsid w:val="57E83C0C"/>
    <w:rsid w:val="580A0CA6"/>
    <w:rsid w:val="59C129EA"/>
    <w:rsid w:val="5AC27FFF"/>
    <w:rsid w:val="5BDD6503"/>
    <w:rsid w:val="5C136002"/>
    <w:rsid w:val="5C7850B1"/>
    <w:rsid w:val="5C933046"/>
    <w:rsid w:val="5D163ED3"/>
    <w:rsid w:val="5E7950B1"/>
    <w:rsid w:val="5F895024"/>
    <w:rsid w:val="5FA168E1"/>
    <w:rsid w:val="604C39D3"/>
    <w:rsid w:val="62BC594B"/>
    <w:rsid w:val="630C6E2C"/>
    <w:rsid w:val="6356053C"/>
    <w:rsid w:val="63691224"/>
    <w:rsid w:val="659C10AF"/>
    <w:rsid w:val="65F705B0"/>
    <w:rsid w:val="66C23E51"/>
    <w:rsid w:val="672659B9"/>
    <w:rsid w:val="69171C0A"/>
    <w:rsid w:val="696C09EF"/>
    <w:rsid w:val="69A062F1"/>
    <w:rsid w:val="6A1E1239"/>
    <w:rsid w:val="6A283910"/>
    <w:rsid w:val="6AB15824"/>
    <w:rsid w:val="6B787D2D"/>
    <w:rsid w:val="6C50257B"/>
    <w:rsid w:val="6C8B4DFA"/>
    <w:rsid w:val="6DBA0D5D"/>
    <w:rsid w:val="6E154949"/>
    <w:rsid w:val="6EF64503"/>
    <w:rsid w:val="6F120FC2"/>
    <w:rsid w:val="6F77291C"/>
    <w:rsid w:val="6F7E501F"/>
    <w:rsid w:val="6FCF0299"/>
    <w:rsid w:val="723C47A4"/>
    <w:rsid w:val="73B60A4F"/>
    <w:rsid w:val="73C969CF"/>
    <w:rsid w:val="747B0E41"/>
    <w:rsid w:val="7BF3102E"/>
    <w:rsid w:val="7CF46AAB"/>
    <w:rsid w:val="7D0D2DB0"/>
    <w:rsid w:val="7D9D2930"/>
    <w:rsid w:val="7EB54216"/>
    <w:rsid w:val="7F427B7E"/>
    <w:rsid w:val="7F486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4"/>
    <w:qFormat/>
    <w:uiPriority w:val="0"/>
    <w:pPr>
      <w:keepNext/>
      <w:keepLines/>
      <w:adjustRightInd w:val="0"/>
      <w:spacing w:beforeLines="50" w:afterLines="50"/>
      <w:ind w:firstLine="200" w:firstLineChars="200"/>
      <w:jc w:val="left"/>
      <w:textAlignment w:val="baseline"/>
      <w:outlineLvl w:val="1"/>
    </w:pPr>
    <w:rPr>
      <w:rFonts w:ascii="Arial" w:hAnsi="Arial" w:eastAsia="黑体"/>
      <w:b/>
      <w:kern w:val="0"/>
      <w:sz w:val="24"/>
    </w:rPr>
  </w:style>
  <w:style w:type="paragraph" w:styleId="5">
    <w:name w:val="heading 3"/>
    <w:basedOn w:val="1"/>
    <w:next w:val="1"/>
    <w:link w:val="89"/>
    <w:qFormat/>
    <w:uiPriority w:val="0"/>
    <w:pPr>
      <w:keepNext/>
      <w:keepLines/>
      <w:spacing w:before="260" w:after="260" w:line="415" w:lineRule="auto"/>
      <w:outlineLvl w:val="2"/>
    </w:pPr>
    <w:rPr>
      <w:b/>
      <w:bCs/>
      <w:sz w:val="32"/>
      <w:szCs w:val="32"/>
    </w:rPr>
  </w:style>
  <w:style w:type="paragraph" w:styleId="6">
    <w:name w:val="heading 4"/>
    <w:basedOn w:val="5"/>
    <w:next w:val="1"/>
    <w:link w:val="130"/>
    <w:qFormat/>
    <w:uiPriority w:val="0"/>
    <w:pPr>
      <w:autoSpaceDE w:val="0"/>
      <w:autoSpaceDN w:val="0"/>
      <w:adjustRightInd w:val="0"/>
      <w:spacing w:before="280" w:after="290" w:line="376" w:lineRule="atLeast"/>
      <w:jc w:val="left"/>
      <w:textAlignment w:val="baseline"/>
      <w:outlineLvl w:val="3"/>
    </w:pPr>
    <w:rPr>
      <w:rFonts w:ascii="黑体" w:hAnsi="黑体" w:eastAsia="黑体"/>
      <w:kern w:val="0"/>
      <w:sz w:val="28"/>
      <w:szCs w:val="20"/>
    </w:rPr>
  </w:style>
  <w:style w:type="paragraph" w:styleId="7">
    <w:name w:val="heading 5"/>
    <w:basedOn w:val="1"/>
    <w:next w:val="1"/>
    <w:link w:val="115"/>
    <w:qFormat/>
    <w:uiPriority w:val="0"/>
    <w:pPr>
      <w:spacing w:before="240" w:after="60"/>
      <w:outlineLvl w:val="4"/>
    </w:pPr>
    <w:rPr>
      <w:sz w:val="22"/>
      <w:szCs w:val="20"/>
    </w:rPr>
  </w:style>
  <w:style w:type="paragraph" w:styleId="8">
    <w:name w:val="heading 6"/>
    <w:basedOn w:val="1"/>
    <w:next w:val="1"/>
    <w:link w:val="70"/>
    <w:qFormat/>
    <w:uiPriority w:val="0"/>
    <w:pPr>
      <w:spacing w:before="240" w:after="60"/>
      <w:outlineLvl w:val="5"/>
    </w:pPr>
    <w:rPr>
      <w:i/>
      <w:iCs/>
      <w:sz w:val="22"/>
      <w:szCs w:val="20"/>
    </w:rPr>
  </w:style>
  <w:style w:type="paragraph" w:styleId="9">
    <w:name w:val="heading 7"/>
    <w:basedOn w:val="1"/>
    <w:next w:val="1"/>
    <w:link w:val="105"/>
    <w:qFormat/>
    <w:uiPriority w:val="0"/>
    <w:pPr>
      <w:spacing w:before="240" w:after="60"/>
      <w:outlineLvl w:val="6"/>
    </w:pPr>
    <w:rPr>
      <w:rFonts w:ascii="Arial" w:hAnsi="Arial"/>
      <w:sz w:val="20"/>
      <w:szCs w:val="20"/>
    </w:rPr>
  </w:style>
  <w:style w:type="paragraph" w:styleId="10">
    <w:name w:val="heading 8"/>
    <w:basedOn w:val="1"/>
    <w:next w:val="1"/>
    <w:link w:val="92"/>
    <w:qFormat/>
    <w:uiPriority w:val="0"/>
    <w:pPr>
      <w:spacing w:before="240" w:after="60"/>
      <w:outlineLvl w:val="7"/>
    </w:pPr>
    <w:rPr>
      <w:rFonts w:ascii="Arial" w:hAnsi="Arial"/>
      <w:i/>
      <w:iCs/>
      <w:sz w:val="20"/>
      <w:szCs w:val="20"/>
    </w:rPr>
  </w:style>
  <w:style w:type="paragraph" w:styleId="11">
    <w:name w:val="heading 9"/>
    <w:basedOn w:val="1"/>
    <w:next w:val="1"/>
    <w:link w:val="129"/>
    <w:qFormat/>
    <w:uiPriority w:val="0"/>
    <w:pPr>
      <w:spacing w:before="240" w:after="60"/>
      <w:outlineLvl w:val="8"/>
    </w:pPr>
    <w:rPr>
      <w:rFonts w:ascii="Arial" w:hAnsi="Arial"/>
      <w:b/>
      <w:i/>
      <w:iCs/>
      <w:sz w:val="18"/>
      <w:szCs w:val="20"/>
    </w:rPr>
  </w:style>
  <w:style w:type="character" w:default="1" w:styleId="55">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64"/>
    <w:qFormat/>
    <w:uiPriority w:val="0"/>
    <w:pPr>
      <w:spacing w:line="360" w:lineRule="auto"/>
    </w:pPr>
    <w:rPr>
      <w:sz w:val="24"/>
      <w:szCs w:val="20"/>
    </w:rPr>
  </w:style>
  <w:style w:type="paragraph" w:styleId="12">
    <w:name w:val="toc 7"/>
    <w:basedOn w:val="1"/>
    <w:next w:val="1"/>
    <w:qFormat/>
    <w:uiPriority w:val="0"/>
    <w:pPr>
      <w:ind w:left="1680"/>
      <w:jc w:val="left"/>
    </w:pPr>
    <w:rPr>
      <w:rFonts w:ascii="Calibri" w:hAnsi="Calibri"/>
      <w:sz w:val="18"/>
      <w:szCs w:val="20"/>
    </w:rPr>
  </w:style>
  <w:style w:type="paragraph" w:styleId="13">
    <w:name w:val="List Number"/>
    <w:basedOn w:val="1"/>
    <w:qFormat/>
    <w:uiPriority w:val="0"/>
    <w:pPr>
      <w:spacing w:line="360" w:lineRule="auto"/>
      <w:ind w:firstLine="425"/>
    </w:pPr>
    <w:rPr>
      <w:sz w:val="24"/>
      <w:szCs w:val="20"/>
    </w:rPr>
  </w:style>
  <w:style w:type="paragraph" w:styleId="14">
    <w:name w:val="Normal Indent"/>
    <w:basedOn w:val="1"/>
    <w:link w:val="124"/>
    <w:qFormat/>
    <w:uiPriority w:val="0"/>
    <w:pPr>
      <w:spacing w:line="360" w:lineRule="auto"/>
      <w:ind w:firstLine="420"/>
    </w:pPr>
    <w:rPr>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26"/>
    <w:qFormat/>
    <w:uiPriority w:val="0"/>
    <w:pPr>
      <w:shd w:val="clear" w:color="auto" w:fill="000080"/>
    </w:pPr>
  </w:style>
  <w:style w:type="paragraph" w:styleId="17">
    <w:name w:val="toa heading"/>
    <w:basedOn w:val="1"/>
    <w:next w:val="1"/>
    <w:qFormat/>
    <w:uiPriority w:val="0"/>
    <w:pPr>
      <w:spacing w:before="200"/>
      <w:jc w:val="center"/>
    </w:pPr>
    <w:rPr>
      <w:rFonts w:ascii="Arial" w:hAnsi="Arial" w:eastAsia="黑体"/>
      <w:sz w:val="44"/>
    </w:rPr>
  </w:style>
  <w:style w:type="paragraph" w:styleId="18">
    <w:name w:val="annotation text"/>
    <w:basedOn w:val="1"/>
    <w:link w:val="84"/>
    <w:qFormat/>
    <w:uiPriority w:val="0"/>
    <w:pPr>
      <w:jc w:val="left"/>
    </w:pPr>
  </w:style>
  <w:style w:type="paragraph" w:styleId="19">
    <w:name w:val="Salutation"/>
    <w:basedOn w:val="1"/>
    <w:next w:val="1"/>
    <w:link w:val="121"/>
    <w:qFormat/>
    <w:uiPriority w:val="0"/>
    <w:pPr>
      <w:spacing w:line="520" w:lineRule="exact"/>
    </w:pPr>
    <w:rPr>
      <w:rFonts w:ascii="华文宋体" w:hAnsi="Arial Unicode MS" w:eastAsia="华文宋体"/>
      <w:sz w:val="24"/>
      <w:szCs w:val="20"/>
    </w:rPr>
  </w:style>
  <w:style w:type="paragraph" w:styleId="20">
    <w:name w:val="Body Text 3"/>
    <w:basedOn w:val="1"/>
    <w:link w:val="106"/>
    <w:qFormat/>
    <w:uiPriority w:val="0"/>
    <w:pPr>
      <w:spacing w:after="120"/>
      <w:ind w:left="283"/>
    </w:pPr>
    <w:rPr>
      <w:rFonts w:ascii="Arial" w:hAnsi="Arial"/>
      <w:szCs w:val="20"/>
    </w:rPr>
  </w:style>
  <w:style w:type="paragraph" w:styleId="21">
    <w:name w:val="Body Text Indent"/>
    <w:basedOn w:val="1"/>
    <w:link w:val="123"/>
    <w:qFormat/>
    <w:uiPriority w:val="0"/>
    <w:pPr>
      <w:autoSpaceDE w:val="0"/>
      <w:autoSpaceDN w:val="0"/>
      <w:adjustRightInd w:val="0"/>
      <w:spacing w:line="360" w:lineRule="auto"/>
      <w:ind w:firstLine="480"/>
      <w:jc w:val="left"/>
    </w:pPr>
    <w:rPr>
      <w:rFonts w:eastAsia="仿宋_GB2312"/>
      <w:b/>
      <w:bCs/>
      <w:color w:val="000000"/>
      <w:kern w:val="0"/>
      <w:sz w:val="32"/>
      <w:szCs w:val="28"/>
    </w:rPr>
  </w:style>
  <w:style w:type="paragraph" w:styleId="22">
    <w:name w:val="List Number 3"/>
    <w:basedOn w:val="1"/>
    <w:qFormat/>
    <w:uiPriority w:val="0"/>
    <w:pPr>
      <w:numPr>
        <w:ilvl w:val="0"/>
        <w:numId w:val="1"/>
      </w:numPr>
    </w:pPr>
  </w:style>
  <w:style w:type="paragraph" w:styleId="23">
    <w:name w:val="List 2"/>
    <w:basedOn w:val="1"/>
    <w:qFormat/>
    <w:uiPriority w:val="0"/>
    <w:pPr>
      <w:ind w:left="100" w:leftChars="200" w:hanging="200" w:hangingChars="200"/>
    </w:pPr>
    <w:rPr>
      <w:sz w:val="28"/>
    </w:rPr>
  </w:style>
  <w:style w:type="paragraph" w:styleId="24">
    <w:name w:val="List Continue"/>
    <w:basedOn w:val="1"/>
    <w:qFormat/>
    <w:uiPriority w:val="0"/>
    <w:pPr>
      <w:numPr>
        <w:ilvl w:val="8"/>
        <w:numId w:val="2"/>
      </w:numPr>
      <w:tabs>
        <w:tab w:val="clear" w:pos="3780"/>
      </w:tabs>
      <w:spacing w:after="120"/>
      <w:ind w:left="420" w:leftChars="200" w:firstLine="0"/>
    </w:pPr>
  </w:style>
  <w:style w:type="paragraph" w:styleId="25">
    <w:name w:val="Block Text"/>
    <w:basedOn w:val="1"/>
    <w:qFormat/>
    <w:uiPriority w:val="0"/>
    <w:pPr>
      <w:ind w:left="1200" w:right="-72" w:hanging="30"/>
    </w:pPr>
    <w:rPr>
      <w:rFonts w:ascii="Arial" w:hAnsi="Arial" w:eastAsia="幼圆" w:cs="Arial"/>
      <w:sz w:val="22"/>
      <w:szCs w:val="20"/>
    </w:rPr>
  </w:style>
  <w:style w:type="paragraph" w:styleId="26">
    <w:name w:val="HTML Address"/>
    <w:basedOn w:val="1"/>
    <w:qFormat/>
    <w:uiPriority w:val="0"/>
    <w:rPr>
      <w:sz w:val="24"/>
    </w:rPr>
  </w:style>
  <w:style w:type="paragraph" w:styleId="27">
    <w:name w:val="toc 5"/>
    <w:basedOn w:val="1"/>
    <w:next w:val="1"/>
    <w:qFormat/>
    <w:uiPriority w:val="0"/>
    <w:pPr>
      <w:ind w:left="1120"/>
      <w:jc w:val="left"/>
    </w:pPr>
    <w:rPr>
      <w:rFonts w:ascii="Calibri" w:hAnsi="Calibri"/>
      <w:sz w:val="18"/>
      <w:szCs w:val="20"/>
    </w:rPr>
  </w:style>
  <w:style w:type="paragraph" w:styleId="28">
    <w:name w:val="toc 3"/>
    <w:basedOn w:val="1"/>
    <w:next w:val="1"/>
    <w:qFormat/>
    <w:uiPriority w:val="0"/>
    <w:pPr>
      <w:ind w:left="560"/>
      <w:jc w:val="left"/>
    </w:pPr>
    <w:rPr>
      <w:rFonts w:ascii="Calibri" w:hAnsi="Calibri"/>
      <w:i/>
      <w:sz w:val="20"/>
      <w:szCs w:val="20"/>
    </w:rPr>
  </w:style>
  <w:style w:type="paragraph" w:styleId="29">
    <w:name w:val="Plain Text"/>
    <w:basedOn w:val="1"/>
    <w:link w:val="119"/>
    <w:qFormat/>
    <w:uiPriority w:val="0"/>
    <w:rPr>
      <w:rFonts w:ascii="宋体" w:hAnsi="宋体"/>
      <w:szCs w:val="21"/>
    </w:rPr>
  </w:style>
  <w:style w:type="paragraph" w:styleId="30">
    <w:name w:val="toc 8"/>
    <w:basedOn w:val="1"/>
    <w:next w:val="1"/>
    <w:qFormat/>
    <w:uiPriority w:val="0"/>
    <w:pPr>
      <w:ind w:left="1960"/>
      <w:jc w:val="left"/>
    </w:pPr>
    <w:rPr>
      <w:rFonts w:ascii="Calibri" w:hAnsi="Calibri"/>
      <w:sz w:val="18"/>
      <w:szCs w:val="20"/>
    </w:rPr>
  </w:style>
  <w:style w:type="paragraph" w:styleId="31">
    <w:name w:val="Date"/>
    <w:basedOn w:val="1"/>
    <w:next w:val="1"/>
    <w:link w:val="104"/>
    <w:qFormat/>
    <w:uiPriority w:val="0"/>
    <w:pPr>
      <w:ind w:left="100" w:leftChars="2500"/>
    </w:pPr>
  </w:style>
  <w:style w:type="paragraph" w:styleId="32">
    <w:name w:val="Body Text Indent 2"/>
    <w:basedOn w:val="1"/>
    <w:link w:val="120"/>
    <w:qFormat/>
    <w:uiPriority w:val="0"/>
    <w:pPr>
      <w:autoSpaceDE w:val="0"/>
      <w:autoSpaceDN w:val="0"/>
      <w:adjustRightInd w:val="0"/>
      <w:spacing w:line="620" w:lineRule="exact"/>
      <w:ind w:firstLine="480"/>
    </w:pPr>
    <w:rPr>
      <w:rFonts w:eastAsia="仿宋_GB2312"/>
      <w:color w:val="000000"/>
      <w:kern w:val="0"/>
      <w:sz w:val="32"/>
      <w:szCs w:val="28"/>
    </w:rPr>
  </w:style>
  <w:style w:type="paragraph" w:styleId="33">
    <w:name w:val="Balloon Text"/>
    <w:basedOn w:val="1"/>
    <w:link w:val="111"/>
    <w:qFormat/>
    <w:uiPriority w:val="0"/>
    <w:rPr>
      <w:sz w:val="18"/>
      <w:szCs w:val="18"/>
    </w:rPr>
  </w:style>
  <w:style w:type="paragraph" w:styleId="34">
    <w:name w:val="footer"/>
    <w:basedOn w:val="1"/>
    <w:link w:val="114"/>
    <w:qFormat/>
    <w:uiPriority w:val="99"/>
    <w:pPr>
      <w:tabs>
        <w:tab w:val="center" w:pos="4153"/>
        <w:tab w:val="right" w:pos="8306"/>
      </w:tabs>
      <w:snapToGrid w:val="0"/>
      <w:jc w:val="left"/>
    </w:pPr>
    <w:rPr>
      <w:sz w:val="18"/>
      <w:szCs w:val="18"/>
    </w:rPr>
  </w:style>
  <w:style w:type="paragraph" w:styleId="35">
    <w:name w:val="header"/>
    <w:basedOn w:val="1"/>
    <w:link w:val="85"/>
    <w:qFormat/>
    <w:uiPriority w:val="99"/>
    <w:pPr>
      <w:pBdr>
        <w:bottom w:val="single" w:color="auto" w:sz="6" w:space="1"/>
      </w:pBdr>
      <w:tabs>
        <w:tab w:val="center" w:pos="4153"/>
        <w:tab w:val="right" w:pos="8306"/>
      </w:tabs>
      <w:snapToGrid w:val="0"/>
      <w:ind w:firstLine="200" w:firstLineChars="200"/>
      <w:jc w:val="center"/>
    </w:pPr>
    <w:rPr>
      <w:sz w:val="18"/>
      <w:szCs w:val="21"/>
    </w:rPr>
  </w:style>
  <w:style w:type="paragraph" w:styleId="36">
    <w:name w:val="toc 1"/>
    <w:basedOn w:val="1"/>
    <w:next w:val="1"/>
    <w:qFormat/>
    <w:uiPriority w:val="39"/>
    <w:pPr>
      <w:numPr>
        <w:ilvl w:val="1"/>
        <w:numId w:val="3"/>
      </w:numPr>
      <w:tabs>
        <w:tab w:val="right" w:leader="dot" w:pos="9060"/>
        <w:tab w:val="clear" w:pos="720"/>
      </w:tabs>
      <w:snapToGrid w:val="0"/>
      <w:spacing w:beforeLines="20" w:afterLines="20" w:line="288" w:lineRule="auto"/>
      <w:ind w:firstLine="200" w:firstLineChars="200"/>
      <w:jc w:val="left"/>
    </w:pPr>
    <w:rPr>
      <w:rFonts w:eastAsia="黑体"/>
      <w:caps/>
      <w:szCs w:val="21"/>
    </w:rPr>
  </w:style>
  <w:style w:type="paragraph" w:styleId="37">
    <w:name w:val="toc 4"/>
    <w:basedOn w:val="1"/>
    <w:next w:val="1"/>
    <w:qFormat/>
    <w:uiPriority w:val="0"/>
    <w:pPr>
      <w:ind w:left="840"/>
      <w:jc w:val="left"/>
    </w:pPr>
    <w:rPr>
      <w:rFonts w:ascii="Calibri" w:hAnsi="Calibri"/>
      <w:sz w:val="18"/>
      <w:szCs w:val="20"/>
    </w:rPr>
  </w:style>
  <w:style w:type="paragraph" w:styleId="38">
    <w:name w:val="Subtitle"/>
    <w:basedOn w:val="1"/>
    <w:link w:val="387"/>
    <w:qFormat/>
    <w:uiPriority w:val="0"/>
    <w:pPr>
      <w:spacing w:after="60"/>
      <w:jc w:val="center"/>
    </w:pPr>
    <w:rPr>
      <w:rFonts w:ascii="Arial" w:hAnsi="Arial" w:eastAsia="黑体"/>
      <w:i/>
    </w:rPr>
  </w:style>
  <w:style w:type="paragraph" w:styleId="39">
    <w:name w:val="List"/>
    <w:basedOn w:val="1"/>
    <w:qFormat/>
    <w:uiPriority w:val="0"/>
    <w:pPr>
      <w:ind w:left="200" w:hanging="200" w:hangingChars="200"/>
    </w:pPr>
    <w:rPr>
      <w:sz w:val="28"/>
    </w:rPr>
  </w:style>
  <w:style w:type="paragraph" w:styleId="40">
    <w:name w:val="toc 6"/>
    <w:basedOn w:val="1"/>
    <w:next w:val="1"/>
    <w:qFormat/>
    <w:uiPriority w:val="0"/>
    <w:pPr>
      <w:ind w:left="1400"/>
      <w:jc w:val="left"/>
    </w:pPr>
    <w:rPr>
      <w:rFonts w:ascii="Calibri" w:hAnsi="Calibri"/>
      <w:sz w:val="18"/>
      <w:szCs w:val="20"/>
    </w:rPr>
  </w:style>
  <w:style w:type="paragraph" w:styleId="41">
    <w:name w:val="Body Text Indent 3"/>
    <w:basedOn w:val="1"/>
    <w:link w:val="117"/>
    <w:qFormat/>
    <w:uiPriority w:val="0"/>
    <w:pPr>
      <w:spacing w:line="620" w:lineRule="exact"/>
      <w:ind w:firstLine="640" w:firstLineChars="200"/>
    </w:pPr>
    <w:rPr>
      <w:rFonts w:eastAsia="仿宋_GB2312"/>
      <w:sz w:val="32"/>
    </w:rPr>
  </w:style>
  <w:style w:type="paragraph" w:styleId="42">
    <w:name w:val="toc 2"/>
    <w:basedOn w:val="1"/>
    <w:next w:val="1"/>
    <w:qFormat/>
    <w:uiPriority w:val="39"/>
    <w:pPr>
      <w:tabs>
        <w:tab w:val="right" w:leader="dot" w:pos="9060"/>
      </w:tabs>
      <w:snapToGrid w:val="0"/>
      <w:spacing w:line="288" w:lineRule="auto"/>
      <w:ind w:left="210" w:firstLine="200" w:firstLineChars="200"/>
      <w:jc w:val="left"/>
    </w:pPr>
    <w:rPr>
      <w:smallCaps/>
      <w:sz w:val="20"/>
      <w:szCs w:val="21"/>
    </w:rPr>
  </w:style>
  <w:style w:type="paragraph" w:styleId="43">
    <w:name w:val="toc 9"/>
    <w:basedOn w:val="1"/>
    <w:next w:val="1"/>
    <w:qFormat/>
    <w:uiPriority w:val="0"/>
    <w:pPr>
      <w:ind w:left="2240"/>
      <w:jc w:val="left"/>
    </w:pPr>
    <w:rPr>
      <w:rFonts w:ascii="Calibri" w:hAnsi="Calibri"/>
      <w:sz w:val="18"/>
      <w:szCs w:val="20"/>
    </w:rPr>
  </w:style>
  <w:style w:type="paragraph" w:styleId="44">
    <w:name w:val="Body Text 2"/>
    <w:basedOn w:val="1"/>
    <w:link w:val="107"/>
    <w:qFormat/>
    <w:uiPriority w:val="0"/>
    <w:pPr>
      <w:numPr>
        <w:ilvl w:val="0"/>
        <w:numId w:val="4"/>
      </w:numPr>
      <w:spacing w:line="360" w:lineRule="auto"/>
    </w:pPr>
    <w:rPr>
      <w:sz w:val="24"/>
      <w:szCs w:val="20"/>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0"/>
    <w:pPr>
      <w:spacing w:line="360" w:lineRule="auto"/>
      <w:jc w:val="center"/>
    </w:pPr>
    <w:rPr>
      <w:rFonts w:ascii="宋体" w:hAnsi="宋体"/>
      <w:bCs/>
    </w:rPr>
  </w:style>
  <w:style w:type="paragraph" w:styleId="47">
    <w:name w:val="Title"/>
    <w:basedOn w:val="29"/>
    <w:next w:val="29"/>
    <w:link w:val="73"/>
    <w:qFormat/>
    <w:uiPriority w:val="0"/>
    <w:pPr>
      <w:spacing w:before="240" w:after="60"/>
    </w:pPr>
    <w:rPr>
      <w:rFonts w:ascii="Arial" w:hAnsi="Arial"/>
      <w:b/>
      <w:kern w:val="18"/>
      <w:sz w:val="30"/>
      <w:szCs w:val="20"/>
    </w:rPr>
  </w:style>
  <w:style w:type="paragraph" w:styleId="48">
    <w:name w:val="annotation subject"/>
    <w:basedOn w:val="18"/>
    <w:next w:val="18"/>
    <w:link w:val="108"/>
    <w:qFormat/>
    <w:uiPriority w:val="0"/>
    <w:rPr>
      <w:b/>
      <w:bCs/>
    </w:rPr>
  </w:style>
  <w:style w:type="paragraph" w:styleId="49">
    <w:name w:val="Body Text First Indent"/>
    <w:basedOn w:val="2"/>
    <w:link w:val="79"/>
    <w:qFormat/>
    <w:uiPriority w:val="0"/>
    <w:pPr>
      <w:spacing w:after="120" w:line="520" w:lineRule="exact"/>
      <w:ind w:firstLine="100" w:firstLineChars="100"/>
      <w:jc w:val="left"/>
    </w:pPr>
    <w:rPr>
      <w:sz w:val="28"/>
    </w:rPr>
  </w:style>
  <w:style w:type="paragraph" w:styleId="50">
    <w:name w:val="Body Text First Indent 2"/>
    <w:basedOn w:val="21"/>
    <w:link w:val="383"/>
    <w:qFormat/>
    <w:uiPriority w:val="0"/>
    <w:pPr>
      <w:autoSpaceDE/>
      <w:autoSpaceDN/>
      <w:adjustRightInd/>
      <w:spacing w:after="120" w:line="240" w:lineRule="auto"/>
      <w:ind w:left="420" w:leftChars="200" w:firstLine="420" w:firstLineChars="200"/>
      <w:jc w:val="both"/>
    </w:pPr>
    <w:rPr>
      <w:rFonts w:eastAsia="宋体"/>
      <w:b w:val="0"/>
      <w:bCs w:val="0"/>
      <w:color w:val="auto"/>
      <w:kern w:val="2"/>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Theme"/>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Table Elegant"/>
    <w:basedOn w:val="5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6">
    <w:name w:val="Strong"/>
    <w:basedOn w:val="55"/>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line number"/>
    <w:basedOn w:val="55"/>
    <w:qFormat/>
    <w:uiPriority w:val="0"/>
  </w:style>
  <w:style w:type="character" w:styleId="61">
    <w:name w:val="Hyperlink"/>
    <w:qFormat/>
    <w:uiPriority w:val="99"/>
    <w:rPr>
      <w:color w:val="000000"/>
      <w:sz w:val="18"/>
      <w:szCs w:val="18"/>
      <w:u w:val="none"/>
    </w:rPr>
  </w:style>
  <w:style w:type="character" w:styleId="62">
    <w:name w:val="annotation reference"/>
    <w:qFormat/>
    <w:uiPriority w:val="0"/>
    <w:rPr>
      <w:sz w:val="21"/>
      <w:szCs w:val="21"/>
    </w:rPr>
  </w:style>
  <w:style w:type="character" w:customStyle="1" w:styleId="63">
    <w:name w:val="unnamed11"/>
    <w:qFormat/>
    <w:uiPriority w:val="0"/>
    <w:rPr>
      <w:sz w:val="26"/>
    </w:rPr>
  </w:style>
  <w:style w:type="character" w:customStyle="1" w:styleId="64">
    <w:name w:val="正文文本 Char"/>
    <w:link w:val="2"/>
    <w:qFormat/>
    <w:uiPriority w:val="0"/>
    <w:rPr>
      <w:rFonts w:eastAsia="宋体"/>
      <w:kern w:val="2"/>
      <w:sz w:val="24"/>
      <w:lang w:bidi="ar-SA"/>
    </w:rPr>
  </w:style>
  <w:style w:type="character" w:customStyle="1" w:styleId="65">
    <w:name w:val="para1"/>
    <w:qFormat/>
    <w:uiPriority w:val="0"/>
    <w:rPr>
      <w:rFonts w:hint="default" w:ascii="Arial" w:hAnsi="Arial"/>
      <w:sz w:val="18"/>
    </w:rPr>
  </w:style>
  <w:style w:type="character" w:customStyle="1" w:styleId="66">
    <w:name w:val="标题 4 Char1"/>
    <w:qFormat/>
    <w:uiPriority w:val="0"/>
    <w:rPr>
      <w:rFonts w:ascii="Arial" w:hAnsi="Arial" w:eastAsia="黑体"/>
      <w:b/>
      <w:kern w:val="2"/>
      <w:sz w:val="28"/>
      <w:lang w:val="en-US" w:eastAsia="zh-CN"/>
    </w:rPr>
  </w:style>
  <w:style w:type="character" w:customStyle="1" w:styleId="67">
    <w:name w:val="彩色列表 - 着色 1 Char"/>
    <w:qFormat/>
    <w:locked/>
    <w:uiPriority w:val="0"/>
    <w:rPr>
      <w:rFonts w:ascii="Calibri" w:hAnsi="Calibri" w:eastAsia="宋体"/>
      <w:kern w:val="2"/>
      <w:sz w:val="21"/>
      <w:szCs w:val="22"/>
      <w:lang w:val="en-US" w:eastAsia="zh-CN" w:bidi="ar-SA"/>
    </w:rPr>
  </w:style>
  <w:style w:type="character" w:customStyle="1" w:styleId="68">
    <w:name w:val="标题 1 Char Char"/>
    <w:qFormat/>
    <w:uiPriority w:val="0"/>
    <w:rPr>
      <w:rFonts w:eastAsia="宋体"/>
      <w:b/>
      <w:spacing w:val="-2"/>
      <w:sz w:val="24"/>
      <w:lang w:val="en-US" w:eastAsia="zh-CN" w:bidi="ar-SA"/>
    </w:rPr>
  </w:style>
  <w:style w:type="character" w:customStyle="1" w:styleId="69">
    <w:name w:val="Heading 2 Hidden Char1"/>
    <w:qFormat/>
    <w:uiPriority w:val="0"/>
    <w:rPr>
      <w:rFonts w:ascii="Arial" w:hAnsi="Arial" w:eastAsia="黑体" w:cs="Arial"/>
      <w:b/>
      <w:sz w:val="24"/>
      <w:szCs w:val="24"/>
    </w:rPr>
  </w:style>
  <w:style w:type="character" w:customStyle="1" w:styleId="70">
    <w:name w:val="标题 6 Char"/>
    <w:link w:val="8"/>
    <w:qFormat/>
    <w:uiPriority w:val="0"/>
    <w:rPr>
      <w:rFonts w:eastAsia="宋体"/>
      <w:i/>
      <w:iCs/>
      <w:kern w:val="2"/>
      <w:sz w:val="22"/>
      <w:lang w:bidi="ar-SA"/>
    </w:rPr>
  </w:style>
  <w:style w:type="character" w:customStyle="1" w:styleId="71">
    <w:name w:val="Heading 1 Char"/>
    <w:qFormat/>
    <w:locked/>
    <w:uiPriority w:val="0"/>
    <w:rPr>
      <w:rFonts w:cs="Times New Roman"/>
      <w:b/>
      <w:bCs/>
      <w:kern w:val="44"/>
      <w:sz w:val="44"/>
      <w:szCs w:val="44"/>
    </w:rPr>
  </w:style>
  <w:style w:type="character" w:customStyle="1" w:styleId="72">
    <w:name w:val="a-标题3 Char"/>
    <w:qFormat/>
    <w:uiPriority w:val="0"/>
    <w:rPr>
      <w:rFonts w:ascii="楷体_GB2312" w:eastAsia="楷体_GB2312"/>
      <w:b/>
      <w:bCs/>
      <w:kern w:val="2"/>
      <w:sz w:val="28"/>
      <w:lang w:val="en-US" w:eastAsia="zh-CN" w:bidi="ar-SA"/>
    </w:rPr>
  </w:style>
  <w:style w:type="character" w:customStyle="1" w:styleId="73">
    <w:name w:val="标题 Char"/>
    <w:link w:val="47"/>
    <w:qFormat/>
    <w:uiPriority w:val="0"/>
    <w:rPr>
      <w:rFonts w:ascii="Arial" w:hAnsi="Arial" w:eastAsia="宋体"/>
      <w:b/>
      <w:kern w:val="18"/>
      <w:sz w:val="30"/>
      <w:lang w:bidi="ar-SA"/>
    </w:rPr>
  </w:style>
  <w:style w:type="character" w:customStyle="1" w:styleId="74">
    <w:name w:val="标题 2 Char"/>
    <w:link w:val="4"/>
    <w:qFormat/>
    <w:uiPriority w:val="0"/>
    <w:rPr>
      <w:rFonts w:ascii="Arial" w:hAnsi="Arial" w:eastAsia="黑体"/>
      <w:b/>
      <w:sz w:val="24"/>
      <w:szCs w:val="24"/>
      <w:lang w:bidi="ar-SA"/>
    </w:rPr>
  </w:style>
  <w:style w:type="character" w:customStyle="1" w:styleId="75">
    <w:name w:val="正文文本样式 Char Char"/>
    <w:link w:val="76"/>
    <w:qFormat/>
    <w:uiPriority w:val="0"/>
    <w:rPr>
      <w:rFonts w:eastAsia="宋体"/>
      <w:sz w:val="24"/>
      <w:lang w:bidi="ar-SA"/>
    </w:rPr>
  </w:style>
  <w:style w:type="paragraph" w:customStyle="1" w:styleId="76">
    <w:name w:val="正文文本样式"/>
    <w:basedOn w:val="1"/>
    <w:link w:val="75"/>
    <w:qFormat/>
    <w:uiPriority w:val="0"/>
    <w:pPr>
      <w:spacing w:line="360" w:lineRule="auto"/>
      <w:ind w:firstLine="482"/>
    </w:pPr>
    <w:rPr>
      <w:kern w:val="0"/>
      <w:sz w:val="24"/>
      <w:szCs w:val="20"/>
    </w:rPr>
  </w:style>
  <w:style w:type="character" w:customStyle="1" w:styleId="77">
    <w:name w:val="无间隔 Char"/>
    <w:link w:val="78"/>
    <w:qFormat/>
    <w:uiPriority w:val="0"/>
    <w:rPr>
      <w:rFonts w:ascii="Calibri" w:hAnsi="Calibri"/>
      <w:sz w:val="22"/>
      <w:szCs w:val="22"/>
      <w:lang w:val="en-US" w:eastAsia="zh-CN" w:bidi="ar-SA"/>
    </w:rPr>
  </w:style>
  <w:style w:type="paragraph" w:customStyle="1" w:styleId="78">
    <w:name w:val="无间隔1"/>
    <w:link w:val="77"/>
    <w:qFormat/>
    <w:uiPriority w:val="0"/>
    <w:rPr>
      <w:rFonts w:ascii="Calibri" w:hAnsi="Calibri" w:eastAsia="宋体" w:cs="Times New Roman"/>
      <w:sz w:val="22"/>
      <w:szCs w:val="22"/>
      <w:lang w:val="en-US" w:eastAsia="zh-CN" w:bidi="ar-SA"/>
    </w:rPr>
  </w:style>
  <w:style w:type="character" w:customStyle="1" w:styleId="79">
    <w:name w:val="正文首行缩进 Char"/>
    <w:link w:val="49"/>
    <w:qFormat/>
    <w:uiPriority w:val="0"/>
    <w:rPr>
      <w:rFonts w:eastAsia="宋体"/>
      <w:kern w:val="2"/>
      <w:sz w:val="28"/>
      <w:lang w:bidi="ar-SA"/>
    </w:rPr>
  </w:style>
  <w:style w:type="character" w:customStyle="1" w:styleId="80">
    <w:name w:val="列出段落 Char"/>
    <w:link w:val="81"/>
    <w:qFormat/>
    <w:locked/>
    <w:uiPriority w:val="0"/>
    <w:rPr>
      <w:rFonts w:ascii="Calibri" w:hAnsi="Calibri" w:eastAsia="宋体"/>
      <w:kern w:val="2"/>
      <w:sz w:val="21"/>
      <w:szCs w:val="22"/>
      <w:lang w:val="en-US" w:eastAsia="zh-CN" w:bidi="ar-SA"/>
    </w:rPr>
  </w:style>
  <w:style w:type="paragraph" w:customStyle="1" w:styleId="81">
    <w:name w:val="列出段落21"/>
    <w:basedOn w:val="1"/>
    <w:link w:val="80"/>
    <w:qFormat/>
    <w:uiPriority w:val="0"/>
    <w:pPr>
      <w:ind w:firstLine="420" w:firstLineChars="200"/>
    </w:pPr>
    <w:rPr>
      <w:rFonts w:ascii="Calibri" w:hAnsi="Calibri"/>
      <w:szCs w:val="22"/>
    </w:rPr>
  </w:style>
  <w:style w:type="character" w:customStyle="1" w:styleId="82">
    <w:name w:val="Header Char"/>
    <w:qFormat/>
    <w:locked/>
    <w:uiPriority w:val="0"/>
    <w:rPr>
      <w:rFonts w:cs="Times New Roman"/>
      <w:sz w:val="18"/>
      <w:szCs w:val="18"/>
    </w:rPr>
  </w:style>
  <w:style w:type="character" w:customStyle="1" w:styleId="83">
    <w:name w:val="style15"/>
    <w:basedOn w:val="55"/>
    <w:qFormat/>
    <w:uiPriority w:val="0"/>
  </w:style>
  <w:style w:type="character" w:customStyle="1" w:styleId="84">
    <w:name w:val="批注文字 Char"/>
    <w:link w:val="18"/>
    <w:qFormat/>
    <w:uiPriority w:val="0"/>
    <w:rPr>
      <w:rFonts w:eastAsia="宋体"/>
      <w:kern w:val="2"/>
      <w:sz w:val="21"/>
      <w:szCs w:val="24"/>
      <w:lang w:bidi="ar-SA"/>
    </w:rPr>
  </w:style>
  <w:style w:type="character" w:customStyle="1" w:styleId="85">
    <w:name w:val="页眉 Char"/>
    <w:link w:val="35"/>
    <w:qFormat/>
    <w:uiPriority w:val="99"/>
    <w:rPr>
      <w:rFonts w:eastAsia="宋体"/>
      <w:kern w:val="2"/>
      <w:sz w:val="18"/>
      <w:szCs w:val="21"/>
      <w:lang w:bidi="ar-SA"/>
    </w:rPr>
  </w:style>
  <w:style w:type="character" w:customStyle="1" w:styleId="86">
    <w:name w:val="Footer Char"/>
    <w:qFormat/>
    <w:locked/>
    <w:uiPriority w:val="0"/>
    <w:rPr>
      <w:rFonts w:cs="Times New Roman"/>
      <w:sz w:val="18"/>
      <w:szCs w:val="18"/>
    </w:rPr>
  </w:style>
  <w:style w:type="character" w:customStyle="1" w:styleId="87">
    <w:name w:val="marklong"/>
    <w:qFormat/>
    <w:uiPriority w:val="0"/>
  </w:style>
  <w:style w:type="character" w:customStyle="1" w:styleId="88">
    <w:name w:val="Balloon Text Char"/>
    <w:semiHidden/>
    <w:qFormat/>
    <w:locked/>
    <w:uiPriority w:val="0"/>
    <w:rPr>
      <w:rFonts w:ascii="Calibri" w:hAnsi="Calibri" w:eastAsia="宋体" w:cs="Times New Roman"/>
      <w:sz w:val="18"/>
      <w:szCs w:val="18"/>
    </w:rPr>
  </w:style>
  <w:style w:type="character" w:customStyle="1" w:styleId="89">
    <w:name w:val="标题 3 Char"/>
    <w:link w:val="5"/>
    <w:qFormat/>
    <w:uiPriority w:val="0"/>
    <w:rPr>
      <w:rFonts w:eastAsia="宋体"/>
      <w:b/>
      <w:bCs/>
      <w:kern w:val="2"/>
      <w:sz w:val="32"/>
      <w:szCs w:val="32"/>
      <w:lang w:bidi="ar-SA"/>
    </w:rPr>
  </w:style>
  <w:style w:type="character" w:customStyle="1" w:styleId="90">
    <w:name w:val="List Paragraph Char"/>
    <w:link w:val="91"/>
    <w:qFormat/>
    <w:uiPriority w:val="0"/>
    <w:rPr>
      <w:rFonts w:eastAsia="宋体"/>
      <w:kern w:val="2"/>
      <w:sz w:val="21"/>
      <w:lang w:val="en-US" w:eastAsia="zh-CN" w:bidi="ar-SA"/>
    </w:rPr>
  </w:style>
  <w:style w:type="paragraph" w:customStyle="1" w:styleId="91">
    <w:name w:val="列出段落1"/>
    <w:basedOn w:val="1"/>
    <w:link w:val="90"/>
    <w:qFormat/>
    <w:uiPriority w:val="0"/>
    <w:pPr>
      <w:ind w:firstLine="200" w:firstLineChars="200"/>
    </w:pPr>
    <w:rPr>
      <w:szCs w:val="20"/>
    </w:rPr>
  </w:style>
  <w:style w:type="character" w:customStyle="1" w:styleId="92">
    <w:name w:val="标题 8 Char"/>
    <w:link w:val="10"/>
    <w:qFormat/>
    <w:uiPriority w:val="0"/>
    <w:rPr>
      <w:rFonts w:ascii="Arial" w:hAnsi="Arial" w:eastAsia="宋体"/>
      <w:i/>
      <w:iCs/>
      <w:kern w:val="2"/>
      <w:lang w:bidi="ar-SA"/>
    </w:rPr>
  </w:style>
  <w:style w:type="character" w:customStyle="1" w:styleId="93">
    <w:name w:val="标准文本 Char"/>
    <w:link w:val="94"/>
    <w:qFormat/>
    <w:locked/>
    <w:uiPriority w:val="0"/>
    <w:rPr>
      <w:rFonts w:ascii="宋体" w:hAnsi="宋体"/>
      <w:color w:val="000000"/>
      <w:szCs w:val="21"/>
      <w:lang w:bidi="ar-SA"/>
    </w:rPr>
  </w:style>
  <w:style w:type="paragraph" w:customStyle="1" w:styleId="94">
    <w:name w:val="标准文本"/>
    <w:basedOn w:val="1"/>
    <w:link w:val="93"/>
    <w:qFormat/>
    <w:uiPriority w:val="0"/>
    <w:pPr>
      <w:tabs>
        <w:tab w:val="left" w:pos="3060"/>
        <w:tab w:val="left" w:pos="6048"/>
        <w:tab w:val="left" w:pos="7668"/>
      </w:tabs>
      <w:spacing w:line="312" w:lineRule="auto"/>
      <w:ind w:firstLine="420" w:firstLineChars="200"/>
    </w:pPr>
    <w:rPr>
      <w:rFonts w:ascii="宋体" w:hAnsi="宋体"/>
      <w:color w:val="000000"/>
      <w:kern w:val="0"/>
      <w:sz w:val="20"/>
      <w:szCs w:val="21"/>
    </w:rPr>
  </w:style>
  <w:style w:type="character" w:customStyle="1" w:styleId="95">
    <w:name w:val="font3"/>
    <w:qFormat/>
    <w:uiPriority w:val="0"/>
  </w:style>
  <w:style w:type="character" w:customStyle="1" w:styleId="96">
    <w:name w:val="自定义正文 Char Char"/>
    <w:link w:val="97"/>
    <w:qFormat/>
    <w:uiPriority w:val="0"/>
    <w:rPr>
      <w:rFonts w:ascii="宋体" w:hAnsi="宋体" w:eastAsia="宋体"/>
      <w:kern w:val="2"/>
      <w:sz w:val="24"/>
      <w:szCs w:val="24"/>
      <w:lang w:bidi="ar-SA"/>
    </w:rPr>
  </w:style>
  <w:style w:type="paragraph" w:customStyle="1" w:styleId="97">
    <w:name w:val="自定义正文"/>
    <w:basedOn w:val="1"/>
    <w:link w:val="96"/>
    <w:qFormat/>
    <w:uiPriority w:val="0"/>
    <w:pPr>
      <w:spacing w:after="60" w:line="360" w:lineRule="auto"/>
      <w:ind w:firstLine="200" w:firstLineChars="200"/>
      <w:jc w:val="left"/>
    </w:pPr>
    <w:rPr>
      <w:rFonts w:ascii="宋体" w:hAnsi="宋体"/>
      <w:sz w:val="24"/>
    </w:rPr>
  </w:style>
  <w:style w:type="character" w:customStyle="1" w:styleId="98">
    <w:name w:val="H1 Char"/>
    <w:qFormat/>
    <w:uiPriority w:val="0"/>
    <w:rPr>
      <w:b/>
      <w:bCs/>
      <w:kern w:val="44"/>
      <w:sz w:val="44"/>
      <w:szCs w:val="44"/>
    </w:rPr>
  </w:style>
  <w:style w:type="character" w:customStyle="1" w:styleId="99">
    <w:name w:val="text-content11"/>
    <w:qFormat/>
    <w:uiPriority w:val="0"/>
    <w:rPr>
      <w:rFonts w:hint="default" w:ascii="Tahoma" w:hAnsi="Tahoma" w:cs="Tahoma"/>
      <w:color w:val="555555"/>
      <w:sz w:val="18"/>
      <w:szCs w:val="18"/>
    </w:rPr>
  </w:style>
  <w:style w:type="character" w:customStyle="1" w:styleId="100">
    <w:name w:val="纯文本 Char"/>
    <w:qFormat/>
    <w:uiPriority w:val="0"/>
    <w:rPr>
      <w:rFonts w:ascii="宋体" w:hAnsi="Courier New" w:cs="Courier New"/>
      <w:kern w:val="2"/>
      <w:sz w:val="21"/>
      <w:szCs w:val="21"/>
    </w:rPr>
  </w:style>
  <w:style w:type="character" w:customStyle="1" w:styleId="101">
    <w:name w:val="style31"/>
    <w:qFormat/>
    <w:uiPriority w:val="0"/>
    <w:rPr>
      <w:sz w:val="18"/>
    </w:rPr>
  </w:style>
  <w:style w:type="character" w:customStyle="1" w:styleId="102">
    <w:name w:val="引文目录标题 Char"/>
    <w:qFormat/>
    <w:uiPriority w:val="0"/>
    <w:rPr>
      <w:rFonts w:ascii="Arial" w:hAnsi="Arial" w:eastAsia="宋体"/>
      <w:kern w:val="2"/>
      <w:sz w:val="24"/>
      <w:lang w:val="en-US" w:eastAsia="zh-CN"/>
    </w:rPr>
  </w:style>
  <w:style w:type="character" w:customStyle="1" w:styleId="103">
    <w:name w:val="Comment Text Char"/>
    <w:semiHidden/>
    <w:qFormat/>
    <w:locked/>
    <w:uiPriority w:val="0"/>
    <w:rPr>
      <w:rFonts w:cs="Times New Roman"/>
    </w:rPr>
  </w:style>
  <w:style w:type="character" w:customStyle="1" w:styleId="104">
    <w:name w:val="日期 Char"/>
    <w:link w:val="31"/>
    <w:qFormat/>
    <w:uiPriority w:val="0"/>
    <w:rPr>
      <w:rFonts w:eastAsia="宋体"/>
      <w:kern w:val="2"/>
      <w:sz w:val="21"/>
      <w:szCs w:val="24"/>
      <w:lang w:bidi="ar-SA"/>
    </w:rPr>
  </w:style>
  <w:style w:type="character" w:customStyle="1" w:styleId="105">
    <w:name w:val="标题 7 Char"/>
    <w:link w:val="9"/>
    <w:qFormat/>
    <w:uiPriority w:val="0"/>
    <w:rPr>
      <w:rFonts w:ascii="Arial" w:hAnsi="Arial" w:eastAsia="宋体"/>
      <w:kern w:val="2"/>
      <w:lang w:bidi="ar-SA"/>
    </w:rPr>
  </w:style>
  <w:style w:type="character" w:customStyle="1" w:styleId="106">
    <w:name w:val="正文文本 3 Char"/>
    <w:link w:val="20"/>
    <w:qFormat/>
    <w:uiPriority w:val="0"/>
    <w:rPr>
      <w:rFonts w:ascii="Arial" w:hAnsi="Arial" w:eastAsia="宋体"/>
      <w:kern w:val="2"/>
      <w:sz w:val="21"/>
      <w:lang w:bidi="ar-SA"/>
    </w:rPr>
  </w:style>
  <w:style w:type="character" w:customStyle="1" w:styleId="107">
    <w:name w:val="正文文本 2 Char"/>
    <w:link w:val="44"/>
    <w:qFormat/>
    <w:uiPriority w:val="0"/>
    <w:rPr>
      <w:rFonts w:eastAsia="宋体"/>
      <w:kern w:val="2"/>
      <w:sz w:val="24"/>
      <w:lang w:val="en-US" w:eastAsia="zh-CN" w:bidi="ar-SA"/>
    </w:rPr>
  </w:style>
  <w:style w:type="character" w:customStyle="1" w:styleId="108">
    <w:name w:val="批注主题 Char"/>
    <w:link w:val="48"/>
    <w:qFormat/>
    <w:uiPriority w:val="0"/>
    <w:rPr>
      <w:b/>
      <w:bCs/>
      <w:kern w:val="2"/>
      <w:sz w:val="21"/>
      <w:szCs w:val="24"/>
    </w:rPr>
  </w:style>
  <w:style w:type="character" w:customStyle="1" w:styleId="109">
    <w:name w:val="small"/>
    <w:qFormat/>
    <w:uiPriority w:val="0"/>
  </w:style>
  <w:style w:type="character" w:customStyle="1" w:styleId="110">
    <w:name w:val="批注文字 Char Char"/>
    <w:qFormat/>
    <w:uiPriority w:val="0"/>
    <w:rPr>
      <w:kern w:val="2"/>
      <w:sz w:val="21"/>
    </w:rPr>
  </w:style>
  <w:style w:type="character" w:customStyle="1" w:styleId="111">
    <w:name w:val="批注框文本 Char"/>
    <w:link w:val="33"/>
    <w:qFormat/>
    <w:uiPriority w:val="0"/>
    <w:rPr>
      <w:rFonts w:eastAsia="宋体"/>
      <w:kern w:val="2"/>
      <w:sz w:val="18"/>
      <w:szCs w:val="18"/>
      <w:lang w:bidi="ar-SA"/>
    </w:rPr>
  </w:style>
  <w:style w:type="character" w:customStyle="1" w:styleId="112">
    <w:name w:val="正文2 Char"/>
    <w:link w:val="113"/>
    <w:qFormat/>
    <w:uiPriority w:val="0"/>
    <w:rPr>
      <w:kern w:val="2"/>
      <w:sz w:val="24"/>
      <w:lang w:bidi="ar-SA"/>
    </w:rPr>
  </w:style>
  <w:style w:type="paragraph" w:customStyle="1" w:styleId="113">
    <w:name w:val="正文2"/>
    <w:basedOn w:val="1"/>
    <w:link w:val="112"/>
    <w:qFormat/>
    <w:uiPriority w:val="0"/>
    <w:pPr>
      <w:spacing w:before="156" w:line="360" w:lineRule="auto"/>
      <w:ind w:firstLine="510" w:firstLineChars="200"/>
    </w:pPr>
    <w:rPr>
      <w:sz w:val="24"/>
      <w:szCs w:val="20"/>
    </w:rPr>
  </w:style>
  <w:style w:type="character" w:customStyle="1" w:styleId="114">
    <w:name w:val="页脚 Char"/>
    <w:link w:val="34"/>
    <w:qFormat/>
    <w:uiPriority w:val="99"/>
    <w:rPr>
      <w:rFonts w:eastAsia="宋体"/>
      <w:kern w:val="2"/>
      <w:sz w:val="18"/>
      <w:szCs w:val="18"/>
      <w:lang w:bidi="ar-SA"/>
    </w:rPr>
  </w:style>
  <w:style w:type="character" w:customStyle="1" w:styleId="115">
    <w:name w:val="标题 5 Char"/>
    <w:link w:val="7"/>
    <w:qFormat/>
    <w:uiPriority w:val="0"/>
    <w:rPr>
      <w:rFonts w:eastAsia="宋体"/>
      <w:kern w:val="2"/>
      <w:sz w:val="22"/>
      <w:lang w:bidi="ar-SA"/>
    </w:rPr>
  </w:style>
  <w:style w:type="character" w:customStyle="1" w:styleId="116">
    <w:name w:val="标题 1 Char"/>
    <w:link w:val="3"/>
    <w:qFormat/>
    <w:uiPriority w:val="0"/>
    <w:rPr>
      <w:rFonts w:eastAsia="宋体"/>
      <w:b/>
      <w:bCs/>
      <w:kern w:val="44"/>
      <w:sz w:val="44"/>
      <w:szCs w:val="44"/>
      <w:lang w:bidi="ar-SA"/>
    </w:rPr>
  </w:style>
  <w:style w:type="character" w:customStyle="1" w:styleId="117">
    <w:name w:val="正文文本缩进 3 Char"/>
    <w:link w:val="41"/>
    <w:qFormat/>
    <w:uiPriority w:val="0"/>
    <w:rPr>
      <w:rFonts w:eastAsia="仿宋_GB2312"/>
      <w:kern w:val="2"/>
      <w:sz w:val="32"/>
      <w:szCs w:val="24"/>
      <w:lang w:bidi="ar-SA"/>
    </w:rPr>
  </w:style>
  <w:style w:type="character" w:customStyle="1" w:styleId="118">
    <w:name w:val="Heading 2 Hidden Char"/>
    <w:qFormat/>
    <w:uiPriority w:val="0"/>
    <w:rPr>
      <w:rFonts w:ascii="Arial" w:hAnsi="Arial" w:eastAsia="黑体"/>
      <w:b/>
      <w:kern w:val="2"/>
      <w:sz w:val="32"/>
      <w:lang w:val="en-US" w:eastAsia="zh-CN"/>
    </w:rPr>
  </w:style>
  <w:style w:type="character" w:customStyle="1" w:styleId="119">
    <w:name w:val="纯文本 Char1"/>
    <w:link w:val="29"/>
    <w:qFormat/>
    <w:uiPriority w:val="0"/>
    <w:rPr>
      <w:rFonts w:ascii="宋体" w:hAnsi="宋体" w:eastAsia="宋体"/>
      <w:kern w:val="2"/>
      <w:sz w:val="21"/>
      <w:szCs w:val="21"/>
      <w:lang w:bidi="ar-SA"/>
    </w:rPr>
  </w:style>
  <w:style w:type="character" w:customStyle="1" w:styleId="120">
    <w:name w:val="正文文本缩进 2 Char"/>
    <w:link w:val="32"/>
    <w:qFormat/>
    <w:uiPriority w:val="0"/>
    <w:rPr>
      <w:rFonts w:eastAsia="仿宋_GB2312"/>
      <w:color w:val="000000"/>
      <w:sz w:val="32"/>
      <w:szCs w:val="28"/>
      <w:lang w:bidi="ar-SA"/>
    </w:rPr>
  </w:style>
  <w:style w:type="character" w:customStyle="1" w:styleId="121">
    <w:name w:val="称呼 Char"/>
    <w:link w:val="19"/>
    <w:qFormat/>
    <w:uiPriority w:val="0"/>
    <w:rPr>
      <w:rFonts w:ascii="华文宋体" w:hAnsi="Arial Unicode MS" w:eastAsia="华文宋体"/>
      <w:kern w:val="2"/>
      <w:sz w:val="24"/>
      <w:lang w:bidi="ar-SA"/>
    </w:rPr>
  </w:style>
  <w:style w:type="character" w:customStyle="1" w:styleId="122">
    <w:name w:val="apple-converted-space"/>
    <w:basedOn w:val="55"/>
    <w:qFormat/>
    <w:uiPriority w:val="0"/>
  </w:style>
  <w:style w:type="character" w:customStyle="1" w:styleId="123">
    <w:name w:val="正文文本缩进 Char"/>
    <w:link w:val="21"/>
    <w:qFormat/>
    <w:uiPriority w:val="0"/>
    <w:rPr>
      <w:rFonts w:eastAsia="仿宋_GB2312"/>
      <w:b/>
      <w:bCs/>
      <w:color w:val="000000"/>
      <w:sz w:val="32"/>
      <w:szCs w:val="28"/>
      <w:lang w:bidi="ar-SA"/>
    </w:rPr>
  </w:style>
  <w:style w:type="character" w:customStyle="1" w:styleId="124">
    <w:name w:val="正文缩进 Char"/>
    <w:link w:val="14"/>
    <w:qFormat/>
    <w:locked/>
    <w:uiPriority w:val="0"/>
    <w:rPr>
      <w:rFonts w:eastAsia="宋体"/>
      <w:kern w:val="2"/>
      <w:sz w:val="24"/>
      <w:lang w:bidi="ar-SA"/>
    </w:rPr>
  </w:style>
  <w:style w:type="character" w:customStyle="1" w:styleId="125">
    <w:name w:val="Level 3 Head Char"/>
    <w:qFormat/>
    <w:uiPriority w:val="0"/>
    <w:rPr>
      <w:b/>
      <w:bCs/>
      <w:kern w:val="2"/>
      <w:sz w:val="32"/>
      <w:szCs w:val="32"/>
    </w:rPr>
  </w:style>
  <w:style w:type="character" w:customStyle="1" w:styleId="126">
    <w:name w:val="文档结构图 Char"/>
    <w:link w:val="16"/>
    <w:qFormat/>
    <w:uiPriority w:val="0"/>
    <w:rPr>
      <w:rFonts w:eastAsia="宋体"/>
      <w:kern w:val="2"/>
      <w:sz w:val="21"/>
      <w:szCs w:val="24"/>
      <w:lang w:bidi="ar-SA"/>
    </w:rPr>
  </w:style>
  <w:style w:type="character" w:customStyle="1" w:styleId="127">
    <w:name w:val="正文缩进 Char1"/>
    <w:link w:val="128"/>
    <w:qFormat/>
    <w:uiPriority w:val="0"/>
    <w:rPr>
      <w:rFonts w:eastAsia="宋体"/>
      <w:kern w:val="2"/>
      <w:sz w:val="21"/>
      <w:lang w:val="en-US" w:eastAsia="zh-CN" w:bidi="ar-SA"/>
    </w:rPr>
  </w:style>
  <w:style w:type="paragraph" w:customStyle="1" w:styleId="128">
    <w:name w:val="正文缩进1"/>
    <w:basedOn w:val="1"/>
    <w:link w:val="127"/>
    <w:qFormat/>
    <w:uiPriority w:val="0"/>
    <w:pPr>
      <w:ind w:firstLine="420" w:firstLineChars="200"/>
    </w:pPr>
    <w:rPr>
      <w:szCs w:val="20"/>
    </w:rPr>
  </w:style>
  <w:style w:type="character" w:customStyle="1" w:styleId="129">
    <w:name w:val="标题 9 Char"/>
    <w:link w:val="11"/>
    <w:qFormat/>
    <w:uiPriority w:val="0"/>
    <w:rPr>
      <w:rFonts w:ascii="Arial" w:hAnsi="Arial" w:eastAsia="宋体"/>
      <w:b/>
      <w:i/>
      <w:iCs/>
      <w:kern w:val="2"/>
      <w:sz w:val="18"/>
      <w:lang w:bidi="ar-SA"/>
    </w:rPr>
  </w:style>
  <w:style w:type="character" w:customStyle="1" w:styleId="130">
    <w:name w:val="标题 4 Char"/>
    <w:link w:val="6"/>
    <w:qFormat/>
    <w:uiPriority w:val="0"/>
    <w:rPr>
      <w:rFonts w:ascii="黑体" w:hAnsi="黑体" w:eastAsia="黑体"/>
      <w:b/>
      <w:sz w:val="28"/>
      <w:lang w:bidi="ar-SA"/>
    </w:rPr>
  </w:style>
  <w:style w:type="paragraph" w:customStyle="1" w:styleId="131">
    <w:name w:val="a-标题3"/>
    <w:basedOn w:val="1"/>
    <w:qFormat/>
    <w:uiPriority w:val="0"/>
    <w:pPr>
      <w:spacing w:line="440" w:lineRule="exact"/>
      <w:jc w:val="left"/>
    </w:pPr>
    <w:rPr>
      <w:rFonts w:ascii="楷体_GB2312" w:hAnsi="Arial Unicode MS" w:eastAsia="楷体_GB2312" w:cs="Arial Unicode MS"/>
      <w:b/>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33">
    <w:name w:val="xl109"/>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4">
    <w:name w:val="样式2"/>
    <w:basedOn w:val="2"/>
    <w:qFormat/>
    <w:uiPriority w:val="0"/>
    <w:pPr>
      <w:spacing w:line="400" w:lineRule="exact"/>
      <w:jc w:val="center"/>
    </w:pPr>
    <w:rPr>
      <w:rFonts w:ascii="宋体" w:hAnsi="宋体"/>
    </w:rPr>
  </w:style>
  <w:style w:type="paragraph" w:customStyle="1" w:styleId="135">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6">
    <w:name w:val="xl141"/>
    <w:basedOn w:val="1"/>
    <w:qFormat/>
    <w:uiPriority w:val="0"/>
    <w:pPr>
      <w:widowControl/>
      <w:pBdr>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37">
    <w:name w:val="彩色列表 - 强调文字颜色 11"/>
    <w:basedOn w:val="1"/>
    <w:qFormat/>
    <w:uiPriority w:val="0"/>
    <w:pPr>
      <w:ind w:firstLine="420" w:firstLineChars="200"/>
    </w:pPr>
    <w:rPr>
      <w:rFonts w:ascii="Calibri" w:hAnsi="Calibri"/>
      <w:szCs w:val="22"/>
    </w:rPr>
  </w:style>
  <w:style w:type="paragraph" w:customStyle="1" w:styleId="138">
    <w:name w:val="Char Char Char Char Char Char"/>
    <w:basedOn w:val="1"/>
    <w:qFormat/>
    <w:uiPriority w:val="0"/>
    <w:pPr>
      <w:jc w:val="center"/>
    </w:pPr>
    <w:rPr>
      <w:rFonts w:ascii="Tahoma" w:hAnsi="Tahoma"/>
      <w:sz w:val="24"/>
      <w:szCs w:val="20"/>
    </w:rPr>
  </w:style>
  <w:style w:type="paragraph" w:customStyle="1" w:styleId="13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40">
    <w:name w:val="xl133"/>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1">
    <w:name w:val="xl72"/>
    <w:basedOn w:val="1"/>
    <w:qFormat/>
    <w:uiPriority w:val="0"/>
    <w:pPr>
      <w:widowControl/>
      <w:pBdr>
        <w:top w:val="single" w:color="auto" w:sz="4" w:space="0"/>
      </w:pBdr>
      <w:spacing w:before="100" w:beforeAutospacing="1" w:after="100" w:afterAutospacing="1"/>
      <w:jc w:val="left"/>
    </w:pPr>
    <w:rPr>
      <w:rFonts w:ascii="宋体" w:hAnsi="宋体"/>
      <w:kern w:val="0"/>
      <w:sz w:val="24"/>
      <w:szCs w:val="20"/>
    </w:rPr>
  </w:style>
  <w:style w:type="paragraph" w:customStyle="1" w:styleId="142">
    <w:name w:val="xl57"/>
    <w:basedOn w:val="1"/>
    <w:qFormat/>
    <w:uiPriority w:val="0"/>
    <w:pPr>
      <w:widowControl/>
      <w:spacing w:before="100" w:beforeAutospacing="1" w:after="100" w:afterAutospacing="1"/>
      <w:jc w:val="left"/>
      <w:textAlignment w:val="top"/>
    </w:pPr>
    <w:rPr>
      <w:rFonts w:ascii="宋体" w:hAnsi="宋体"/>
      <w:kern w:val="0"/>
      <w:sz w:val="20"/>
      <w:szCs w:val="20"/>
    </w:rPr>
  </w:style>
  <w:style w:type="paragraph" w:customStyle="1" w:styleId="143">
    <w:name w:val="样式1"/>
    <w:basedOn w:val="3"/>
    <w:qFormat/>
    <w:uiPriority w:val="0"/>
    <w:pPr>
      <w:adjustRightInd w:val="0"/>
      <w:spacing w:before="240" w:after="240" w:line="360" w:lineRule="auto"/>
      <w:jc w:val="left"/>
      <w:textAlignment w:val="baseline"/>
    </w:pPr>
    <w:rPr>
      <w:rFonts w:ascii="宋体" w:hAnsi="宋体" w:cs="Arial Unicode MS"/>
      <w:bCs w:val="0"/>
      <w:sz w:val="32"/>
      <w:szCs w:val="20"/>
    </w:rPr>
  </w:style>
  <w:style w:type="paragraph" w:customStyle="1" w:styleId="144">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45">
    <w:name w:val="xl79"/>
    <w:basedOn w:val="1"/>
    <w:qFormat/>
    <w:uiPriority w:val="0"/>
    <w:pPr>
      <w:widowControl/>
      <w:pBdr>
        <w:bottom w:val="single" w:color="auto" w:sz="4" w:space="0"/>
      </w:pBdr>
      <w:spacing w:before="100" w:beforeAutospacing="1" w:after="100" w:afterAutospacing="1"/>
      <w:jc w:val="right"/>
    </w:pPr>
    <w:rPr>
      <w:kern w:val="0"/>
      <w:sz w:val="22"/>
      <w:szCs w:val="20"/>
    </w:rPr>
  </w:style>
  <w:style w:type="paragraph" w:customStyle="1" w:styleId="146">
    <w:name w:val="批注框文本 Char Char"/>
    <w:basedOn w:val="1"/>
    <w:qFormat/>
    <w:uiPriority w:val="0"/>
    <w:rPr>
      <w:sz w:val="18"/>
      <w:szCs w:val="20"/>
    </w:rPr>
  </w:style>
  <w:style w:type="paragraph" w:customStyle="1" w:styleId="147">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8">
    <w:name w:val="xl56"/>
    <w:basedOn w:val="1"/>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149">
    <w:name w:val="样式 正文"/>
    <w:basedOn w:val="1"/>
    <w:next w:val="1"/>
    <w:qFormat/>
    <w:uiPriority w:val="0"/>
    <w:pPr>
      <w:widowControl/>
      <w:spacing w:beforeLines="50" w:afterLines="50"/>
      <w:jc w:val="left"/>
    </w:pPr>
    <w:rPr>
      <w:rFonts w:ascii="宋体" w:cs="宋体"/>
      <w:snapToGrid w:val="0"/>
      <w:kern w:val="0"/>
      <w:szCs w:val="20"/>
    </w:rPr>
  </w:style>
  <w:style w:type="paragraph" w:customStyle="1" w:styleId="150">
    <w:name w:val="xl115"/>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ST20_17"/>
    <w:basedOn w:val="6"/>
    <w:qFormat/>
    <w:uiPriority w:val="0"/>
    <w:pPr>
      <w:spacing w:before="0" w:after="0" w:line="240" w:lineRule="atLeast"/>
      <w:jc w:val="both"/>
      <w:outlineLvl w:val="9"/>
    </w:pPr>
    <w:rPr>
      <w:rFonts w:ascii="宋体" w:hAnsi="宋体" w:eastAsia="宋体" w:cs="Arial Unicode MS"/>
      <w:b w:val="0"/>
      <w:sz w:val="24"/>
    </w:rPr>
  </w:style>
  <w:style w:type="paragraph" w:customStyle="1" w:styleId="152">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5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154">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5">
    <w:name w:val="xl1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6">
    <w:name w:val="_Style 29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xl60"/>
    <w:basedOn w:val="1"/>
    <w:qFormat/>
    <w:uiPriority w:val="0"/>
    <w:pPr>
      <w:widowControl/>
      <w:pBdr>
        <w:bottom w:val="single" w:color="auto" w:sz="4" w:space="0"/>
      </w:pBdr>
      <w:spacing w:before="100" w:beforeAutospacing="1" w:after="100" w:afterAutospacing="1"/>
      <w:jc w:val="left"/>
    </w:pPr>
    <w:rPr>
      <w:rFonts w:ascii="宋体" w:hAnsi="宋体"/>
      <w:kern w:val="0"/>
      <w:sz w:val="22"/>
      <w:szCs w:val="20"/>
    </w:rPr>
  </w:style>
  <w:style w:type="paragraph" w:customStyle="1" w:styleId="158">
    <w:name w:val="xl44"/>
    <w:basedOn w:val="1"/>
    <w:qFormat/>
    <w:uiPriority w:val="0"/>
    <w:pPr>
      <w:widowControl/>
      <w:spacing w:before="100" w:beforeAutospacing="1" w:after="100" w:afterAutospacing="1"/>
      <w:jc w:val="right"/>
      <w:textAlignment w:val="center"/>
    </w:pPr>
    <w:rPr>
      <w:rFonts w:ascii="宋体" w:hAnsi="宋体"/>
      <w:kern w:val="0"/>
      <w:sz w:val="20"/>
      <w:szCs w:val="20"/>
    </w:rPr>
  </w:style>
  <w:style w:type="paragraph" w:customStyle="1" w:styleId="159">
    <w:name w:val="font19"/>
    <w:basedOn w:val="1"/>
    <w:qFormat/>
    <w:uiPriority w:val="0"/>
    <w:pPr>
      <w:widowControl/>
      <w:spacing w:before="100" w:beforeAutospacing="1" w:after="100" w:afterAutospacing="1"/>
      <w:jc w:val="left"/>
    </w:pPr>
    <w:rPr>
      <w:rFonts w:ascii="宋体" w:hAnsi="宋体" w:cs="宋体"/>
      <w:b/>
      <w:bCs/>
      <w:color w:val="DD0806"/>
      <w:kern w:val="0"/>
      <w:sz w:val="20"/>
      <w:szCs w:val="20"/>
    </w:rPr>
  </w:style>
  <w:style w:type="paragraph" w:customStyle="1" w:styleId="160">
    <w:name w:val="h3"/>
    <w:basedOn w:val="1"/>
    <w:qFormat/>
    <w:uiPriority w:val="0"/>
    <w:pPr>
      <w:widowControl/>
      <w:jc w:val="left"/>
    </w:pPr>
    <w:rPr>
      <w:rFonts w:ascii="宋体" w:hAnsi="宋体"/>
      <w:kern w:val="0"/>
      <w:sz w:val="24"/>
      <w:szCs w:val="20"/>
    </w:rPr>
  </w:style>
  <w:style w:type="paragraph" w:customStyle="1" w:styleId="161">
    <w:name w:val="项目符号2"/>
    <w:basedOn w:val="76"/>
    <w:qFormat/>
    <w:uiPriority w:val="0"/>
    <w:pPr>
      <w:numPr>
        <w:ilvl w:val="0"/>
        <w:numId w:val="3"/>
      </w:numPr>
    </w:pPr>
  </w:style>
  <w:style w:type="paragraph" w:customStyle="1" w:styleId="162">
    <w:name w:val="样式 样式 标题 2 + 段前: 0.5 行 段后: 0.5 行 + 首行缩进:  2 字符 段前: 0.5 行 段后: 0..."/>
    <w:basedOn w:val="163"/>
    <w:qFormat/>
    <w:uiPriority w:val="0"/>
    <w:pPr>
      <w:spacing w:before="50" w:after="50"/>
      <w:ind w:firstLine="0" w:firstLineChars="0"/>
    </w:pPr>
    <w:rPr>
      <w:rFonts w:cs="Times New Roman"/>
      <w:bCs w:val="0"/>
      <w:szCs w:val="20"/>
    </w:rPr>
  </w:style>
  <w:style w:type="paragraph" w:customStyle="1" w:styleId="163">
    <w:name w:val="样式 标题 2 + 段前: 0.5 行 段后: 0.5 行"/>
    <w:basedOn w:val="4"/>
    <w:qFormat/>
    <w:uiPriority w:val="0"/>
    <w:pPr>
      <w:spacing w:beforeLines="0" w:afterLines="0"/>
    </w:pPr>
    <w:rPr>
      <w:rFonts w:ascii="Times New Roman" w:hAnsi="Times New Roman" w:cs="宋体"/>
      <w:b w:val="0"/>
      <w:bCs/>
      <w:sz w:val="21"/>
      <w:szCs w:val="21"/>
    </w:rPr>
  </w:style>
  <w:style w:type="paragraph" w:customStyle="1" w:styleId="16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5">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166">
    <w:name w:val="xl67"/>
    <w:basedOn w:val="1"/>
    <w:qFormat/>
    <w:uiPriority w:val="0"/>
    <w:pPr>
      <w:widowControl/>
      <w:pBdr>
        <w:top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67">
    <w:name w:val="样式 标题 21.1 + 小四"/>
    <w:basedOn w:val="4"/>
    <w:qFormat/>
    <w:uiPriority w:val="0"/>
    <w:pPr>
      <w:tabs>
        <w:tab w:val="left" w:pos="720"/>
      </w:tabs>
      <w:snapToGrid w:val="0"/>
      <w:spacing w:beforeLines="0" w:afterLines="0" w:line="360" w:lineRule="auto"/>
      <w:ind w:firstLine="0" w:firstLineChars="0"/>
      <w:jc w:val="both"/>
    </w:pPr>
    <w:rPr>
      <w:rFonts w:ascii="Times New Roman" w:hAnsi="Times New Roman" w:eastAsia="宋体"/>
      <w:b w:val="0"/>
      <w:szCs w:val="20"/>
    </w:rPr>
  </w:style>
  <w:style w:type="paragraph" w:customStyle="1" w:styleId="1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69">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70">
    <w:name w:val="xl26"/>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7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73">
    <w:name w:val="xl9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4">
    <w:name w:val="xl29"/>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175">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正文小4号"/>
    <w:basedOn w:val="1"/>
    <w:qFormat/>
    <w:uiPriority w:val="0"/>
    <w:pPr>
      <w:spacing w:line="360" w:lineRule="auto"/>
      <w:ind w:firstLine="200" w:firstLineChars="200"/>
    </w:pPr>
    <w:rPr>
      <w:sz w:val="24"/>
    </w:rPr>
  </w:style>
  <w:style w:type="paragraph" w:customStyle="1" w:styleId="177">
    <w:name w:val="Char Char1 Char"/>
    <w:basedOn w:val="1"/>
    <w:qFormat/>
    <w:uiPriority w:val="0"/>
    <w:rPr>
      <w:rFonts w:ascii="仿宋_GB2312" w:eastAsia="仿宋_GB2312"/>
      <w:b/>
      <w:sz w:val="32"/>
      <w:szCs w:val="32"/>
    </w:rPr>
  </w:style>
  <w:style w:type="paragraph" w:customStyle="1" w:styleId="178">
    <w:name w:val="正文1 New"/>
    <w:basedOn w:val="1"/>
    <w:qFormat/>
    <w:uiPriority w:val="0"/>
    <w:pPr>
      <w:spacing w:line="360" w:lineRule="auto"/>
      <w:ind w:left="1260" w:leftChars="600" w:firstLine="540" w:firstLineChars="257"/>
    </w:pPr>
    <w:rPr>
      <w:rFonts w:ascii="宋体" w:hAnsi="宋体"/>
    </w:rPr>
  </w:style>
  <w:style w:type="paragraph" w:customStyle="1" w:styleId="179">
    <w:name w:val="xl76"/>
    <w:basedOn w:val="1"/>
    <w:qFormat/>
    <w:uiPriority w:val="0"/>
    <w:pPr>
      <w:widowControl/>
      <w:pBdr>
        <w:bottom w:val="single" w:color="auto" w:sz="4" w:space="0"/>
      </w:pBdr>
      <w:spacing w:before="100" w:beforeAutospacing="1" w:after="100" w:afterAutospacing="1"/>
      <w:jc w:val="left"/>
    </w:pPr>
    <w:rPr>
      <w:rFonts w:ascii="宋体" w:hAnsi="宋体"/>
      <w:kern w:val="0"/>
      <w:sz w:val="22"/>
      <w:szCs w:val="20"/>
    </w:rPr>
  </w:style>
  <w:style w:type="paragraph" w:customStyle="1" w:styleId="180">
    <w:name w:val="图表文字"/>
    <w:qFormat/>
    <w:uiPriority w:val="0"/>
    <w:pPr>
      <w:tabs>
        <w:tab w:val="left" w:pos="3850"/>
      </w:tabs>
      <w:spacing w:line="320" w:lineRule="exact"/>
      <w:jc w:val="both"/>
    </w:pPr>
    <w:rPr>
      <w:rFonts w:ascii="Times New Roman" w:hAnsi="Times New Roman" w:eastAsia="宋体" w:cs="Times New Roman"/>
      <w:sz w:val="21"/>
      <w:szCs w:val="21"/>
      <w:lang w:val="en-US" w:eastAsia="zh-CN" w:bidi="ar-SA"/>
    </w:rPr>
  </w:style>
  <w:style w:type="paragraph" w:customStyle="1" w:styleId="181">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82">
    <w:name w:val="xl12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列表延续"/>
    <w:basedOn w:val="1"/>
    <w:qFormat/>
    <w:uiPriority w:val="0"/>
    <w:pPr>
      <w:numPr>
        <w:ilvl w:val="8"/>
        <w:numId w:val="5"/>
      </w:numPr>
      <w:adjustRightInd w:val="0"/>
      <w:spacing w:line="360" w:lineRule="auto"/>
      <w:textAlignment w:val="baseline"/>
    </w:pPr>
    <w:rPr>
      <w:rFonts w:eastAsia="楷体_GB2312"/>
      <w:kern w:val="28"/>
      <w:sz w:val="28"/>
      <w:szCs w:val="20"/>
    </w:rPr>
  </w:style>
  <w:style w:type="paragraph" w:customStyle="1" w:styleId="184">
    <w:name w:val="Table Paragraph"/>
    <w:basedOn w:val="1"/>
    <w:qFormat/>
    <w:uiPriority w:val="1"/>
    <w:rPr>
      <w:rFonts w:ascii="宋体" w:hAnsi="宋体" w:cs="宋体"/>
      <w:lang w:val="zh-CN" w:bidi="zh-CN"/>
    </w:rPr>
  </w:style>
  <w:style w:type="paragraph" w:customStyle="1" w:styleId="185">
    <w:name w:val="Char Char Char Char Char Char1 Char Char Char Char Char Char Char Char Char"/>
    <w:basedOn w:val="1"/>
    <w:qFormat/>
    <w:uiPriority w:val="0"/>
    <w:pPr>
      <w:adjustRightInd w:val="0"/>
      <w:spacing w:line="360" w:lineRule="auto"/>
    </w:pPr>
    <w:rPr>
      <w:rFonts w:eastAsia="Times New Roman"/>
      <w:kern w:val="0"/>
      <w:sz w:val="20"/>
      <w:szCs w:val="20"/>
    </w:rPr>
  </w:style>
  <w:style w:type="paragraph" w:customStyle="1" w:styleId="186">
    <w:name w:val="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87">
    <w:name w:val="xl78"/>
    <w:basedOn w:val="1"/>
    <w:qFormat/>
    <w:uiPriority w:val="0"/>
    <w:pPr>
      <w:widowControl/>
      <w:pBdr>
        <w:bottom w:val="single" w:color="auto" w:sz="4" w:space="0"/>
      </w:pBdr>
      <w:spacing w:before="100" w:beforeAutospacing="1" w:after="100" w:afterAutospacing="1"/>
      <w:jc w:val="right"/>
    </w:pPr>
    <w:rPr>
      <w:rFonts w:ascii="宋体" w:hAnsi="宋体"/>
      <w:kern w:val="0"/>
      <w:sz w:val="22"/>
      <w:szCs w:val="20"/>
    </w:rPr>
  </w:style>
  <w:style w:type="paragraph" w:customStyle="1" w:styleId="188">
    <w:name w:val="A正文"/>
    <w:basedOn w:val="1"/>
    <w:qFormat/>
    <w:uiPriority w:val="0"/>
    <w:pPr>
      <w:widowControl/>
      <w:overflowPunct w:val="0"/>
      <w:autoSpaceDE w:val="0"/>
      <w:autoSpaceDN w:val="0"/>
      <w:adjustRightInd w:val="0"/>
      <w:spacing w:line="360" w:lineRule="auto"/>
      <w:ind w:firstLine="200" w:firstLineChars="200"/>
      <w:jc w:val="left"/>
      <w:textAlignment w:val="baseline"/>
    </w:pPr>
    <w:rPr>
      <w:rFonts w:eastAsia="仿宋_GB2312"/>
      <w:kern w:val="0"/>
      <w:sz w:val="24"/>
      <w:szCs w:val="20"/>
    </w:rPr>
  </w:style>
  <w:style w:type="paragraph" w:customStyle="1" w:styleId="18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0">
    <w:name w:val="表格文字"/>
    <w:basedOn w:val="1"/>
    <w:qFormat/>
    <w:uiPriority w:val="0"/>
    <w:pPr>
      <w:spacing w:before="25" w:after="25"/>
      <w:jc w:val="left"/>
    </w:pPr>
    <w:rPr>
      <w:bCs/>
      <w:spacing w:val="10"/>
      <w:kern w:val="0"/>
      <w:sz w:val="24"/>
      <w:szCs w:val="20"/>
    </w:rPr>
  </w:style>
  <w:style w:type="paragraph" w:customStyle="1" w:styleId="191">
    <w:name w:val="标3"/>
    <w:basedOn w:val="1"/>
    <w:qFormat/>
    <w:uiPriority w:val="0"/>
    <w:pPr>
      <w:tabs>
        <w:tab w:val="left" w:pos="1200"/>
      </w:tabs>
      <w:adjustRightInd w:val="0"/>
      <w:snapToGrid w:val="0"/>
      <w:spacing w:before="50"/>
      <w:ind w:left="1200" w:leftChars="400" w:hanging="360" w:hangingChars="200"/>
      <w:outlineLvl w:val="2"/>
    </w:pPr>
    <w:rPr>
      <w:rFonts w:ascii="Arial Narrow" w:hAnsi="Arial Narrow" w:eastAsia="仿宋_GB2312"/>
      <w:sz w:val="28"/>
      <w:szCs w:val="20"/>
    </w:rPr>
  </w:style>
  <w:style w:type="paragraph" w:customStyle="1" w:styleId="192">
    <w:name w:val="xl14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3">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194">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5">
    <w:name w:val="排版"/>
    <w:basedOn w:val="1"/>
    <w:next w:val="2"/>
    <w:qFormat/>
    <w:uiPriority w:val="0"/>
    <w:pPr>
      <w:spacing w:line="600" w:lineRule="exact"/>
    </w:pPr>
    <w:rPr>
      <w:rFonts w:eastAsia="华文仿宋"/>
      <w:spacing w:val="6"/>
      <w:sz w:val="32"/>
      <w:szCs w:val="20"/>
    </w:rPr>
  </w:style>
  <w:style w:type="paragraph" w:customStyle="1" w:styleId="196">
    <w:name w:val="页脚1"/>
    <w:basedOn w:val="1"/>
    <w:qFormat/>
    <w:uiPriority w:val="0"/>
    <w:pPr>
      <w:widowControl/>
      <w:tabs>
        <w:tab w:val="center" w:pos="4153"/>
        <w:tab w:val="right" w:pos="8306"/>
      </w:tabs>
      <w:snapToGrid w:val="0"/>
      <w:spacing w:beforeLines="50" w:afterLines="50"/>
      <w:jc w:val="left"/>
    </w:pPr>
    <w:rPr>
      <w:sz w:val="18"/>
      <w:szCs w:val="18"/>
    </w:rPr>
  </w:style>
  <w:style w:type="paragraph" w:customStyle="1" w:styleId="197">
    <w:name w:val="font7"/>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198">
    <w:name w:val="表格"/>
    <w:basedOn w:val="1"/>
    <w:qFormat/>
    <w:uiPriority w:val="0"/>
    <w:pPr>
      <w:adjustRightInd w:val="0"/>
      <w:spacing w:line="360" w:lineRule="atLeast"/>
    </w:pPr>
    <w:rPr>
      <w:rFonts w:ascii="黑体" w:hAnsi="黑体" w:eastAsia="黑体" w:cs="Arial Unicode MS"/>
      <w:szCs w:val="21"/>
    </w:rPr>
  </w:style>
  <w:style w:type="paragraph" w:customStyle="1" w:styleId="1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0">
    <w:name w:val="xl1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01">
    <w:name w:val="xl80"/>
    <w:basedOn w:val="1"/>
    <w:qFormat/>
    <w:uiPriority w:val="0"/>
    <w:pPr>
      <w:widowControl/>
      <w:pBdr>
        <w:bottom w:val="single" w:color="auto" w:sz="4" w:space="0"/>
      </w:pBdr>
      <w:spacing w:before="100" w:beforeAutospacing="1" w:after="100" w:afterAutospacing="1"/>
      <w:jc w:val="right"/>
    </w:pPr>
    <w:rPr>
      <w:rFonts w:ascii="宋体" w:hAnsi="宋体"/>
      <w:kern w:val="0"/>
      <w:sz w:val="22"/>
      <w:szCs w:val="20"/>
    </w:rPr>
  </w:style>
  <w:style w:type="paragraph" w:customStyle="1" w:styleId="202">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03">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05">
    <w:name w:val="Char Char Char 字元 字元"/>
    <w:basedOn w:val="1"/>
    <w:qFormat/>
    <w:uiPriority w:val="0"/>
    <w:pPr>
      <w:spacing w:line="360" w:lineRule="auto"/>
      <w:ind w:firstLine="200" w:firstLineChars="200"/>
    </w:pPr>
    <w:rPr>
      <w:szCs w:val="20"/>
    </w:rPr>
  </w:style>
  <w:style w:type="paragraph" w:customStyle="1" w:styleId="206">
    <w:name w:val="xl1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说明书3级标题"/>
    <w:basedOn w:val="1"/>
    <w:next w:val="1"/>
    <w:qFormat/>
    <w:uiPriority w:val="0"/>
    <w:pPr>
      <w:numPr>
        <w:ilvl w:val="2"/>
        <w:numId w:val="6"/>
      </w:numPr>
      <w:spacing w:line="360" w:lineRule="auto"/>
    </w:pPr>
    <w:rPr>
      <w:rFonts w:eastAsia="黑体"/>
      <w:sz w:val="24"/>
    </w:rPr>
  </w:style>
  <w:style w:type="paragraph" w:customStyle="1" w:styleId="20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9">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0">
    <w:name w:val="项目符号1"/>
    <w:basedOn w:val="76"/>
    <w:qFormat/>
    <w:uiPriority w:val="0"/>
    <w:pPr>
      <w:numPr>
        <w:ilvl w:val="0"/>
        <w:numId w:val="6"/>
      </w:numPr>
    </w:pPr>
  </w:style>
  <w:style w:type="paragraph" w:customStyle="1" w:styleId="211">
    <w:name w:val="font14"/>
    <w:basedOn w:val="1"/>
    <w:qFormat/>
    <w:uiPriority w:val="0"/>
    <w:pPr>
      <w:widowControl/>
      <w:spacing w:before="100" w:beforeAutospacing="1" w:after="100" w:afterAutospacing="1"/>
      <w:jc w:val="left"/>
    </w:pPr>
    <w:rPr>
      <w:kern w:val="0"/>
      <w:sz w:val="24"/>
      <w:szCs w:val="20"/>
    </w:rPr>
  </w:style>
  <w:style w:type="paragraph" w:customStyle="1" w:styleId="212">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3">
    <w:name w:val="xl62"/>
    <w:basedOn w:val="1"/>
    <w:qFormat/>
    <w:uiPriority w:val="0"/>
    <w:pPr>
      <w:widowControl/>
      <w:pBdr>
        <w:bottom w:val="single" w:color="auto" w:sz="4" w:space="0"/>
      </w:pBdr>
      <w:spacing w:before="100" w:beforeAutospacing="1" w:after="100" w:afterAutospacing="1"/>
      <w:jc w:val="center"/>
    </w:pPr>
    <w:rPr>
      <w:rFonts w:ascii="宋体" w:hAnsi="宋体"/>
      <w:kern w:val="0"/>
      <w:sz w:val="22"/>
      <w:szCs w:val="20"/>
    </w:rPr>
  </w:style>
  <w:style w:type="paragraph" w:customStyle="1" w:styleId="214">
    <w:name w:val="xl52"/>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215">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16">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文2"/>
    <w:basedOn w:val="1"/>
    <w:qFormat/>
    <w:uiPriority w:val="0"/>
    <w:pPr>
      <w:numPr>
        <w:ilvl w:val="1"/>
        <w:numId w:val="6"/>
      </w:numPr>
      <w:adjustRightInd w:val="0"/>
      <w:spacing w:before="60" w:after="60" w:line="400" w:lineRule="atLeast"/>
      <w:textAlignment w:val="baseline"/>
    </w:pPr>
    <w:rPr>
      <w:b/>
      <w:kern w:val="0"/>
      <w:sz w:val="24"/>
      <w:szCs w:val="20"/>
    </w:rPr>
  </w:style>
  <w:style w:type="paragraph" w:customStyle="1" w:styleId="21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技标2"/>
    <w:basedOn w:val="5"/>
    <w:qFormat/>
    <w:uiPriority w:val="0"/>
    <w:pPr>
      <w:keepNext w:val="0"/>
      <w:keepLines w:val="0"/>
      <w:adjustRightInd w:val="0"/>
      <w:snapToGrid w:val="0"/>
      <w:spacing w:before="600" w:after="240" w:line="420" w:lineRule="atLeast"/>
      <w:jc w:val="center"/>
      <w:textAlignment w:val="baseline"/>
    </w:pPr>
    <w:rPr>
      <w:bCs w:val="0"/>
      <w:kern w:val="0"/>
      <w:sz w:val="28"/>
      <w:szCs w:val="20"/>
    </w:rPr>
  </w:style>
  <w:style w:type="paragraph" w:customStyle="1" w:styleId="220">
    <w:name w:val="样式 标题 3 + 宋体 小四 段前: 0 磅 段后: 0 磅 行距: 1.5 倍行距"/>
    <w:basedOn w:val="5"/>
    <w:qFormat/>
    <w:uiPriority w:val="0"/>
    <w:pPr>
      <w:numPr>
        <w:ilvl w:val="0"/>
        <w:numId w:val="7"/>
      </w:numPr>
      <w:spacing w:before="0" w:after="0" w:line="360" w:lineRule="auto"/>
    </w:pPr>
    <w:rPr>
      <w:rFonts w:ascii="宋体" w:hAnsi="宋体" w:cs="宋体"/>
      <w:kern w:val="0"/>
      <w:sz w:val="24"/>
      <w:szCs w:val="20"/>
    </w:rPr>
  </w:style>
  <w:style w:type="paragraph" w:customStyle="1" w:styleId="221">
    <w:name w:val="xl9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61"/>
    <w:basedOn w:val="1"/>
    <w:qFormat/>
    <w:uiPriority w:val="0"/>
    <w:pPr>
      <w:widowControl/>
      <w:pBdr>
        <w:bottom w:val="single" w:color="auto" w:sz="4" w:space="0"/>
      </w:pBdr>
      <w:spacing w:before="100" w:beforeAutospacing="1" w:after="100" w:afterAutospacing="1"/>
      <w:jc w:val="center"/>
    </w:pPr>
    <w:rPr>
      <w:kern w:val="0"/>
      <w:sz w:val="22"/>
      <w:szCs w:val="20"/>
    </w:rPr>
  </w:style>
  <w:style w:type="paragraph" w:customStyle="1" w:styleId="22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无间隔11"/>
    <w:qFormat/>
    <w:uiPriority w:val="0"/>
    <w:rPr>
      <w:rFonts w:ascii="Calibri" w:hAnsi="Calibri" w:eastAsia="宋体" w:cs="Times New Roman"/>
      <w:sz w:val="22"/>
      <w:szCs w:val="22"/>
      <w:lang w:val="en-US" w:eastAsia="en-US" w:bidi="ar-SA"/>
    </w:rPr>
  </w:style>
  <w:style w:type="paragraph" w:customStyle="1" w:styleId="225">
    <w:name w:val="Char1 Char Char Char Char"/>
    <w:basedOn w:val="16"/>
    <w:qFormat/>
    <w:uiPriority w:val="0"/>
    <w:pPr>
      <w:widowControl/>
      <w:spacing w:beforeLines="50" w:afterLines="50"/>
      <w:jc w:val="left"/>
    </w:pPr>
    <w:rPr>
      <w:szCs w:val="20"/>
    </w:rPr>
  </w:style>
  <w:style w:type="paragraph" w:customStyle="1" w:styleId="226">
    <w:name w:val="xl131"/>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27">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0">
    <w:name w:val="xl153"/>
    <w:basedOn w:val="1"/>
    <w:qFormat/>
    <w:uiPriority w:val="0"/>
    <w:pPr>
      <w:widowControl/>
      <w:pBdr>
        <w:top w:val="single" w:color="auto" w:sz="4" w:space="0"/>
        <w:bottom w:val="single" w:color="auto" w:sz="4" w:space="0"/>
        <w:right w:val="single" w:color="auto" w:sz="4" w:space="0"/>
      </w:pBdr>
      <w:shd w:val="clear" w:color="000000" w:fill="E7E6E6"/>
      <w:spacing w:before="100" w:beforeAutospacing="1" w:after="100" w:afterAutospacing="1"/>
      <w:jc w:val="center"/>
    </w:pPr>
    <w:rPr>
      <w:rFonts w:ascii="宋体" w:hAnsi="宋体" w:cs="宋体"/>
      <w:b/>
      <w:bCs/>
      <w:color w:val="000000"/>
      <w:kern w:val="0"/>
      <w:sz w:val="20"/>
      <w:szCs w:val="20"/>
    </w:rPr>
  </w:style>
  <w:style w:type="paragraph" w:customStyle="1" w:styleId="23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32">
    <w:name w:val="xl114"/>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51"/>
    <w:basedOn w:val="1"/>
    <w:qFormat/>
    <w:uiPriority w:val="0"/>
    <w:pPr>
      <w:widowControl/>
      <w:pBdr>
        <w:top w:val="single" w:color="auto" w:sz="4" w:space="0"/>
        <w:bottom w:val="single" w:color="auto" w:sz="4" w:space="0"/>
      </w:pBdr>
      <w:spacing w:before="100" w:beforeAutospacing="1" w:after="100" w:afterAutospacing="1"/>
      <w:jc w:val="right"/>
      <w:textAlignment w:val="center"/>
    </w:pPr>
    <w:rPr>
      <w:kern w:val="0"/>
      <w:sz w:val="20"/>
      <w:szCs w:val="20"/>
    </w:rPr>
  </w:style>
  <w:style w:type="paragraph" w:customStyle="1" w:styleId="235">
    <w:name w:val="CM58"/>
    <w:basedOn w:val="1"/>
    <w:next w:val="1"/>
    <w:qFormat/>
    <w:uiPriority w:val="0"/>
    <w:pPr>
      <w:autoSpaceDE w:val="0"/>
      <w:autoSpaceDN w:val="0"/>
      <w:adjustRightInd w:val="0"/>
      <w:spacing w:after="298"/>
      <w:jc w:val="left"/>
    </w:pPr>
    <w:rPr>
      <w:rFonts w:ascii="宋体" w:hAnsi="宋体" w:cs="Arial Unicode MS"/>
      <w:kern w:val="0"/>
      <w:sz w:val="24"/>
    </w:rPr>
  </w:style>
  <w:style w:type="paragraph" w:customStyle="1" w:styleId="236">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37">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3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39">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0">
    <w:name w:val="Char19"/>
    <w:basedOn w:val="1"/>
    <w:qFormat/>
    <w:uiPriority w:val="0"/>
    <w:rPr>
      <w:szCs w:val="20"/>
    </w:rPr>
  </w:style>
  <w:style w:type="paragraph" w:customStyle="1" w:styleId="241">
    <w:name w:val="IBM 正文"/>
    <w:basedOn w:val="1"/>
    <w:qFormat/>
    <w:uiPriority w:val="0"/>
    <w:pPr>
      <w:spacing w:line="360" w:lineRule="atLeast"/>
    </w:pPr>
    <w:rPr>
      <w:sz w:val="24"/>
      <w:szCs w:val="20"/>
    </w:rPr>
  </w:style>
  <w:style w:type="paragraph" w:customStyle="1" w:styleId="242">
    <w:name w:val="xl12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3">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44">
    <w:name w:val="2"/>
    <w:basedOn w:val="1"/>
    <w:qFormat/>
    <w:uiPriority w:val="0"/>
    <w:pPr>
      <w:adjustRightInd w:val="0"/>
      <w:spacing w:before="60" w:after="60" w:line="420" w:lineRule="atLeast"/>
      <w:ind w:left="454" w:firstLine="454"/>
      <w:textAlignment w:val="baseline"/>
    </w:pPr>
    <w:rPr>
      <w:kern w:val="0"/>
      <w:position w:val="5"/>
      <w:szCs w:val="20"/>
    </w:rPr>
  </w:style>
  <w:style w:type="paragraph" w:customStyle="1" w:styleId="24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48">
    <w:name w:val="xl24"/>
    <w:basedOn w:val="1"/>
    <w:qFormat/>
    <w:uiPriority w:val="0"/>
    <w:pPr>
      <w:widowControl/>
      <w:spacing w:before="100" w:beforeAutospacing="1" w:after="100" w:afterAutospacing="1"/>
      <w:jc w:val="left"/>
    </w:pPr>
    <w:rPr>
      <w:rFonts w:ascii="宋体" w:hAnsi="宋体"/>
      <w:kern w:val="0"/>
      <w:sz w:val="22"/>
      <w:szCs w:val="20"/>
    </w:rPr>
  </w:style>
  <w:style w:type="paragraph" w:customStyle="1" w:styleId="249">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50">
    <w:name w:val="xl5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0"/>
      <w:szCs w:val="20"/>
    </w:rPr>
  </w:style>
  <w:style w:type="paragraph" w:customStyle="1" w:styleId="251">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52">
    <w:name w:val="默认段落字体 Para Char Char Char Char Char Char Char"/>
    <w:basedOn w:val="1"/>
    <w:qFormat/>
    <w:uiPriority w:val="0"/>
    <w:pPr>
      <w:spacing w:line="360" w:lineRule="auto"/>
      <w:ind w:firstLine="200" w:firstLineChars="200"/>
    </w:pPr>
    <w:rPr>
      <w:rFonts w:ascii="Tahoma" w:hAnsi="Tahoma"/>
      <w:sz w:val="24"/>
      <w:szCs w:val="20"/>
    </w:rPr>
  </w:style>
  <w:style w:type="paragraph" w:customStyle="1" w:styleId="2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54">
    <w:name w:val="xl4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55">
    <w:name w:val="xl157"/>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24"/>
    </w:rPr>
  </w:style>
  <w:style w:type="paragraph" w:customStyle="1" w:styleId="256">
    <w:name w:val="标准"/>
    <w:basedOn w:val="1"/>
    <w:qFormat/>
    <w:uiPriority w:val="0"/>
    <w:pPr>
      <w:autoSpaceDE w:val="0"/>
      <w:autoSpaceDN w:val="0"/>
      <w:adjustRightInd w:val="0"/>
      <w:spacing w:line="312" w:lineRule="auto"/>
      <w:jc w:val="center"/>
      <w:textAlignment w:val="baseline"/>
    </w:pPr>
    <w:rPr>
      <w:rFonts w:ascii="宋体" w:hAnsi="宋体" w:cs="Arial Unicode MS"/>
      <w:color w:val="000000"/>
      <w:kern w:val="0"/>
      <w:sz w:val="24"/>
      <w:szCs w:val="20"/>
    </w:rPr>
  </w:style>
  <w:style w:type="paragraph" w:customStyle="1" w:styleId="257">
    <w:name w:val="样式 首行缩进:  0 字符"/>
    <w:basedOn w:val="1"/>
    <w:qFormat/>
    <w:uiPriority w:val="0"/>
    <w:pPr>
      <w:spacing w:line="360" w:lineRule="auto"/>
      <w:ind w:firstLine="200" w:firstLineChars="200"/>
    </w:pPr>
    <w:rPr>
      <w:rFonts w:cs="宋体"/>
      <w:sz w:val="24"/>
      <w:szCs w:val="20"/>
    </w:rPr>
  </w:style>
  <w:style w:type="paragraph" w:customStyle="1" w:styleId="258">
    <w:name w:val="xl25"/>
    <w:basedOn w:val="1"/>
    <w:qFormat/>
    <w:uiPriority w:val="0"/>
    <w:pPr>
      <w:widowControl/>
      <w:spacing w:before="100" w:beforeAutospacing="1" w:after="100" w:afterAutospacing="1"/>
      <w:jc w:val="center"/>
    </w:pPr>
    <w:rPr>
      <w:rFonts w:ascii="宋体" w:hAnsi="宋体" w:cs="Arial Unicode MS"/>
      <w:kern w:val="0"/>
      <w:sz w:val="24"/>
    </w:rPr>
  </w:style>
  <w:style w:type="paragraph" w:customStyle="1" w:styleId="25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60">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261">
    <w:name w:val="修订1"/>
    <w:qFormat/>
    <w:uiPriority w:val="0"/>
    <w:rPr>
      <w:rFonts w:ascii="Times New Roman" w:hAnsi="Times New Roman" w:eastAsia="宋体" w:cs="Times New Roman"/>
      <w:kern w:val="2"/>
      <w:sz w:val="21"/>
      <w:szCs w:val="24"/>
      <w:lang w:val="en-US" w:eastAsia="zh-CN" w:bidi="ar-SA"/>
    </w:rPr>
  </w:style>
  <w:style w:type="paragraph" w:customStyle="1" w:styleId="26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3">
    <w:name w:val="正文文本样式 加粗"/>
    <w:basedOn w:val="76"/>
    <w:qFormat/>
    <w:uiPriority w:val="0"/>
    <w:rPr>
      <w:b/>
    </w:rPr>
  </w:style>
  <w:style w:type="paragraph" w:customStyle="1" w:styleId="264">
    <w:name w:val="封面标准文稿类别"/>
    <w:qFormat/>
    <w:uiPriority w:val="0"/>
    <w:pPr>
      <w:spacing w:before="440" w:line="400" w:lineRule="exact"/>
      <w:jc w:val="center"/>
    </w:pPr>
    <w:rPr>
      <w:rFonts w:ascii="宋体" w:hAnsi="宋体" w:eastAsia="宋体" w:cs="Times New Roman"/>
      <w:sz w:val="24"/>
      <w:lang w:val="en-US" w:eastAsia="zh-CN" w:bidi="ar-SA"/>
    </w:rPr>
  </w:style>
  <w:style w:type="paragraph" w:customStyle="1" w:styleId="265">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1"/>
    <w:basedOn w:val="1"/>
    <w:next w:val="29"/>
    <w:qFormat/>
    <w:uiPriority w:val="0"/>
    <w:rPr>
      <w:rFonts w:ascii="宋体" w:hAnsi="宋体" w:cs="Arial Unicode MS"/>
      <w:szCs w:val="20"/>
    </w:rPr>
  </w:style>
  <w:style w:type="paragraph" w:customStyle="1" w:styleId="267">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8">
    <w:name w:val="xl27"/>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69">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27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1">
    <w:name w:val="xl59"/>
    <w:basedOn w:val="1"/>
    <w:qFormat/>
    <w:uiPriority w:val="0"/>
    <w:pPr>
      <w:widowControl/>
      <w:spacing w:before="100" w:beforeAutospacing="1" w:after="100" w:afterAutospacing="1"/>
      <w:jc w:val="center"/>
    </w:pPr>
    <w:rPr>
      <w:rFonts w:hint="eastAsia" w:ascii="黑体" w:hAnsi="宋体" w:eastAsia="黑体"/>
      <w:kern w:val="0"/>
      <w:sz w:val="36"/>
      <w:szCs w:val="20"/>
    </w:rPr>
  </w:style>
  <w:style w:type="paragraph" w:customStyle="1" w:styleId="272">
    <w:name w:val="表1"/>
    <w:basedOn w:val="1"/>
    <w:qFormat/>
    <w:uiPriority w:val="0"/>
    <w:pPr>
      <w:tabs>
        <w:tab w:val="left" w:pos="780"/>
      </w:tabs>
      <w:overflowPunct w:val="0"/>
      <w:autoSpaceDE w:val="0"/>
      <w:autoSpaceDN w:val="0"/>
      <w:adjustRightInd w:val="0"/>
      <w:spacing w:before="200" w:line="320" w:lineRule="atLeast"/>
      <w:textAlignment w:val="baseline"/>
    </w:pPr>
    <w:rPr>
      <w:kern w:val="0"/>
      <w:sz w:val="24"/>
      <w:szCs w:val="20"/>
    </w:rPr>
  </w:style>
  <w:style w:type="paragraph" w:customStyle="1" w:styleId="2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4">
    <w:name w:val="_Style 103"/>
    <w:basedOn w:val="1"/>
    <w:next w:val="14"/>
    <w:qFormat/>
    <w:uiPriority w:val="0"/>
    <w:pPr>
      <w:ind w:firstLine="420"/>
    </w:pPr>
    <w:rPr>
      <w:rFonts w:eastAsia="仿宋_GB2312"/>
      <w:sz w:val="32"/>
      <w:szCs w:val="20"/>
    </w:rPr>
  </w:style>
  <w:style w:type="paragraph" w:customStyle="1" w:styleId="275">
    <w:name w:val="font9"/>
    <w:basedOn w:val="1"/>
    <w:qFormat/>
    <w:uiPriority w:val="0"/>
    <w:pPr>
      <w:widowControl/>
      <w:spacing w:before="100" w:beforeAutospacing="1" w:after="100" w:afterAutospacing="1"/>
      <w:jc w:val="left"/>
    </w:pPr>
    <w:rPr>
      <w:kern w:val="0"/>
      <w:sz w:val="20"/>
      <w:szCs w:val="20"/>
    </w:rPr>
  </w:style>
  <w:style w:type="paragraph" w:customStyle="1" w:styleId="276">
    <w:name w:val="xl142"/>
    <w:basedOn w:val="1"/>
    <w:qFormat/>
    <w:uiPriority w:val="0"/>
    <w:pPr>
      <w:widowControl/>
      <w:pBdr>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77">
    <w:name w:val="CCTV文档正文"/>
    <w:basedOn w:val="1"/>
    <w:qFormat/>
    <w:uiPriority w:val="0"/>
    <w:pPr>
      <w:spacing w:line="360" w:lineRule="auto"/>
      <w:jc w:val="left"/>
    </w:pPr>
    <w:rPr>
      <w:sz w:val="24"/>
      <w:szCs w:val="21"/>
    </w:rPr>
  </w:style>
  <w:style w:type="paragraph" w:customStyle="1" w:styleId="278">
    <w:name w:val="列出段落2"/>
    <w:basedOn w:val="1"/>
    <w:qFormat/>
    <w:uiPriority w:val="0"/>
    <w:pPr>
      <w:ind w:firstLine="420" w:firstLineChars="200"/>
    </w:pPr>
    <w:rPr>
      <w:rFonts w:ascii="Calibri" w:hAnsi="Calibri"/>
      <w:szCs w:val="22"/>
    </w:rPr>
  </w:style>
  <w:style w:type="paragraph" w:customStyle="1" w:styleId="279">
    <w:name w:val="标准正文"/>
    <w:basedOn w:val="21"/>
    <w:qFormat/>
    <w:uiPriority w:val="0"/>
    <w:pPr>
      <w:widowControl/>
      <w:autoSpaceDE/>
      <w:autoSpaceDN/>
      <w:adjustRightInd/>
      <w:spacing w:beforeLines="50" w:afterLines="50"/>
      <w:ind w:firstLine="482"/>
      <w:jc w:val="both"/>
    </w:pPr>
    <w:rPr>
      <w:rFonts w:ascii="Arial" w:hAnsi="Arial" w:eastAsia="宋体"/>
      <w:b w:val="0"/>
      <w:bCs w:val="0"/>
      <w:color w:val="auto"/>
      <w:kern w:val="2"/>
      <w:sz w:val="24"/>
      <w:szCs w:val="20"/>
    </w:rPr>
  </w:style>
  <w:style w:type="paragraph" w:customStyle="1" w:styleId="280">
    <w:name w:val="xl46"/>
    <w:basedOn w:val="1"/>
    <w:qFormat/>
    <w:uiPriority w:val="0"/>
    <w:pPr>
      <w:widowControl/>
      <w:spacing w:before="100" w:beforeAutospacing="1" w:after="100" w:afterAutospacing="1"/>
      <w:jc w:val="center"/>
      <w:textAlignment w:val="center"/>
    </w:pPr>
    <w:rPr>
      <w:kern w:val="0"/>
      <w:sz w:val="20"/>
      <w:szCs w:val="20"/>
    </w:rPr>
  </w:style>
  <w:style w:type="paragraph" w:customStyle="1" w:styleId="281">
    <w:name w:val="Char Char Char Char Char Char Char Char"/>
    <w:basedOn w:val="1"/>
    <w:qFormat/>
    <w:uiPriority w:val="0"/>
    <w:rPr>
      <w:rFonts w:eastAsia="仿宋_GB2312"/>
      <w:sz w:val="28"/>
    </w:rPr>
  </w:style>
  <w:style w:type="paragraph" w:customStyle="1" w:styleId="282">
    <w:name w:val="font10"/>
    <w:basedOn w:val="1"/>
    <w:qFormat/>
    <w:uiPriority w:val="0"/>
    <w:pPr>
      <w:widowControl/>
      <w:spacing w:before="100" w:beforeAutospacing="1" w:after="100" w:afterAutospacing="1"/>
      <w:jc w:val="left"/>
    </w:pPr>
    <w:rPr>
      <w:kern w:val="0"/>
      <w:sz w:val="22"/>
      <w:szCs w:val="20"/>
    </w:rPr>
  </w:style>
  <w:style w:type="paragraph" w:customStyle="1" w:styleId="283">
    <w:name w:val="xl55"/>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18"/>
      <w:szCs w:val="20"/>
    </w:rPr>
  </w:style>
  <w:style w:type="paragraph" w:customStyle="1" w:styleId="284">
    <w:name w:val="标题6"/>
    <w:basedOn w:val="1"/>
    <w:next w:val="3"/>
    <w:qFormat/>
    <w:uiPriority w:val="0"/>
    <w:pPr>
      <w:widowControl/>
      <w:snapToGrid w:val="0"/>
      <w:spacing w:beforeLines="50" w:afterLines="50" w:line="520" w:lineRule="atLeast"/>
      <w:ind w:firstLine="200" w:firstLineChars="200"/>
    </w:pPr>
  </w:style>
  <w:style w:type="paragraph" w:customStyle="1" w:styleId="285">
    <w:name w:val="正文文本缩进 31"/>
    <w:basedOn w:val="1"/>
    <w:qFormat/>
    <w:uiPriority w:val="0"/>
    <w:pPr>
      <w:adjustRightInd w:val="0"/>
      <w:spacing w:line="360" w:lineRule="auto"/>
      <w:ind w:firstLine="420"/>
      <w:textAlignment w:val="baseline"/>
    </w:pPr>
    <w:rPr>
      <w:sz w:val="24"/>
      <w:szCs w:val="20"/>
    </w:rPr>
  </w:style>
  <w:style w:type="paragraph" w:customStyle="1" w:styleId="286">
    <w:name w:val="xl154"/>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8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88">
    <w:name w:val="xl108"/>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9">
    <w:name w:val="font11"/>
    <w:basedOn w:val="1"/>
    <w:qFormat/>
    <w:uiPriority w:val="0"/>
    <w:pPr>
      <w:widowControl/>
      <w:spacing w:before="100" w:beforeAutospacing="1" w:after="100" w:afterAutospacing="1"/>
      <w:jc w:val="left"/>
    </w:pPr>
    <w:rPr>
      <w:kern w:val="0"/>
      <w:sz w:val="36"/>
      <w:szCs w:val="20"/>
    </w:rPr>
  </w:style>
  <w:style w:type="paragraph" w:customStyle="1" w:styleId="290">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91">
    <w:name w:val="说明书2级标题"/>
    <w:basedOn w:val="1"/>
    <w:next w:val="207"/>
    <w:qFormat/>
    <w:uiPriority w:val="0"/>
    <w:pPr>
      <w:numPr>
        <w:ilvl w:val="2"/>
        <w:numId w:val="8"/>
      </w:numPr>
      <w:spacing w:beforeLines="100"/>
    </w:pPr>
    <w:rPr>
      <w:rFonts w:eastAsia="黑体"/>
      <w:sz w:val="28"/>
      <w:szCs w:val="28"/>
    </w:rPr>
  </w:style>
  <w:style w:type="paragraph" w:customStyle="1" w:styleId="292">
    <w:name w:val="xl152"/>
    <w:basedOn w:val="1"/>
    <w:qFormat/>
    <w:uiPriority w:val="0"/>
    <w:pPr>
      <w:widowControl/>
      <w:pBdr>
        <w:top w:val="single" w:color="auto" w:sz="4" w:space="0"/>
        <w:left w:val="single" w:color="auto" w:sz="4" w:space="0"/>
        <w:bottom w:val="single" w:color="auto" w:sz="4" w:space="0"/>
      </w:pBdr>
      <w:shd w:val="clear" w:color="000000" w:fill="E7E6E6"/>
      <w:spacing w:before="100" w:beforeAutospacing="1" w:after="100" w:afterAutospacing="1"/>
      <w:jc w:val="center"/>
    </w:pPr>
    <w:rPr>
      <w:rFonts w:ascii="宋体" w:hAnsi="宋体" w:cs="宋体"/>
      <w:b/>
      <w:bCs/>
      <w:color w:val="000000"/>
      <w:kern w:val="0"/>
      <w:sz w:val="20"/>
      <w:szCs w:val="20"/>
    </w:rPr>
  </w:style>
  <w:style w:type="paragraph" w:customStyle="1" w:styleId="293">
    <w:name w:val="p"/>
    <w:basedOn w:val="1"/>
    <w:qFormat/>
    <w:uiPriority w:val="0"/>
    <w:pPr>
      <w:widowControl/>
      <w:spacing w:after="167"/>
      <w:jc w:val="left"/>
    </w:pPr>
    <w:rPr>
      <w:rFonts w:ascii="宋体" w:hAnsi="宋体" w:cs="宋体"/>
      <w:kern w:val="0"/>
      <w:sz w:val="24"/>
    </w:rPr>
  </w:style>
  <w:style w:type="paragraph" w:customStyle="1" w:styleId="294">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9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96">
    <w:name w:val="Char Char Char Char Char Char1 Char Char Char Char Char Char Char Char Char Char Char Char"/>
    <w:basedOn w:val="1"/>
    <w:qFormat/>
    <w:uiPriority w:val="0"/>
    <w:pPr>
      <w:adjustRightInd w:val="0"/>
      <w:spacing w:line="360" w:lineRule="auto"/>
    </w:pPr>
    <w:rPr>
      <w:rFonts w:eastAsia="Times New Roman"/>
      <w:kern w:val="0"/>
      <w:sz w:val="20"/>
      <w:szCs w:val="20"/>
    </w:rPr>
  </w:style>
  <w:style w:type="paragraph" w:customStyle="1" w:styleId="297">
    <w:name w:val="xl1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98">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
    <w:name w:val="font12"/>
    <w:basedOn w:val="1"/>
    <w:qFormat/>
    <w:uiPriority w:val="0"/>
    <w:pPr>
      <w:widowControl/>
      <w:spacing w:before="100" w:beforeAutospacing="1" w:after="100" w:afterAutospacing="1"/>
      <w:jc w:val="left"/>
    </w:pPr>
    <w:rPr>
      <w:kern w:val="0"/>
      <w:sz w:val="18"/>
      <w:szCs w:val="20"/>
    </w:rPr>
  </w:style>
  <w:style w:type="paragraph" w:customStyle="1" w:styleId="30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02">
    <w:name w:val="xl134"/>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center"/>
      <w:textAlignment w:val="center"/>
    </w:pPr>
    <w:rPr>
      <w:b/>
      <w:bCs/>
      <w:kern w:val="0"/>
      <w:sz w:val="20"/>
      <w:szCs w:val="20"/>
    </w:rPr>
  </w:style>
  <w:style w:type="paragraph" w:customStyle="1" w:styleId="3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4">
    <w:name w:val="Body Text(ch)"/>
    <w:basedOn w:val="1"/>
    <w:next w:val="2"/>
    <w:qFormat/>
    <w:uiPriority w:val="0"/>
    <w:pPr>
      <w:spacing w:line="500" w:lineRule="exact"/>
      <w:jc w:val="center"/>
    </w:pPr>
    <w:rPr>
      <w:szCs w:val="20"/>
    </w:rPr>
  </w:style>
  <w:style w:type="paragraph" w:customStyle="1" w:styleId="305">
    <w:name w:val="p0"/>
    <w:basedOn w:val="1"/>
    <w:qFormat/>
    <w:uiPriority w:val="0"/>
    <w:pPr>
      <w:widowControl/>
      <w:spacing w:line="520" w:lineRule="atLeast"/>
    </w:pPr>
    <w:rPr>
      <w:kern w:val="0"/>
      <w:sz w:val="28"/>
      <w:szCs w:val="28"/>
    </w:rPr>
  </w:style>
  <w:style w:type="paragraph" w:customStyle="1" w:styleId="306">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font8"/>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308">
    <w:name w:val="Char1 Char Char Char"/>
    <w:basedOn w:val="1"/>
    <w:qFormat/>
    <w:uiPriority w:val="0"/>
    <w:rPr>
      <w:rFonts w:eastAsia="仿宋_GB2312"/>
      <w:sz w:val="28"/>
      <w:szCs w:val="20"/>
    </w:rPr>
  </w:style>
  <w:style w:type="paragraph" w:customStyle="1" w:styleId="309">
    <w:name w:val="Char"/>
    <w:basedOn w:val="1"/>
    <w:qFormat/>
    <w:uiPriority w:val="0"/>
    <w:pPr>
      <w:widowControl/>
      <w:spacing w:after="160" w:line="240" w:lineRule="exact"/>
      <w:jc w:val="left"/>
    </w:pPr>
    <w:rPr>
      <w:rFonts w:ascii="Verdana" w:hAnsi="Verdana" w:eastAsia="仿宋_GB2312" w:cs="Arial Unicode MS"/>
      <w:kern w:val="0"/>
      <w:sz w:val="24"/>
      <w:szCs w:val="20"/>
      <w:lang w:eastAsia="en-US"/>
    </w:rPr>
  </w:style>
  <w:style w:type="paragraph" w:customStyle="1" w:styleId="310">
    <w:name w:val="xl88"/>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311">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2">
    <w:name w:val="xl75"/>
    <w:basedOn w:val="1"/>
    <w:qFormat/>
    <w:uiPriority w:val="0"/>
    <w:pPr>
      <w:widowControl/>
      <w:spacing w:before="100" w:beforeAutospacing="1" w:after="100" w:afterAutospacing="1"/>
      <w:jc w:val="center"/>
    </w:pPr>
    <w:rPr>
      <w:rFonts w:hint="eastAsia" w:ascii="黑体" w:hAnsi="宋体" w:eastAsia="黑体"/>
      <w:kern w:val="0"/>
      <w:sz w:val="36"/>
      <w:szCs w:val="20"/>
    </w:rPr>
  </w:style>
  <w:style w:type="paragraph" w:customStyle="1" w:styleId="313">
    <w:name w:val="xl140"/>
    <w:basedOn w:val="1"/>
    <w:qFormat/>
    <w:uiPriority w:val="0"/>
    <w:pPr>
      <w:widowControl/>
      <w:pBdr>
        <w:top w:val="single" w:color="auto" w:sz="4" w:space="0"/>
        <w:left w:val="single" w:color="auto" w:sz="4" w:space="0"/>
        <w:right w:val="single" w:color="auto" w:sz="4" w:space="0"/>
      </w:pBdr>
      <w:shd w:val="clear" w:color="000000" w:fill="E7E6E6"/>
      <w:spacing w:before="100" w:beforeAutospacing="1" w:after="100" w:afterAutospacing="1"/>
      <w:jc w:val="center"/>
    </w:pPr>
    <w:rPr>
      <w:rFonts w:ascii="宋体" w:hAnsi="宋体" w:cs="宋体"/>
      <w:b/>
      <w:bCs/>
      <w:color w:val="000000"/>
      <w:kern w:val="0"/>
      <w:sz w:val="20"/>
      <w:szCs w:val="20"/>
    </w:rPr>
  </w:style>
  <w:style w:type="paragraph" w:customStyle="1" w:styleId="314">
    <w:name w:val="xl156"/>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315">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6">
    <w:name w:val="xl68"/>
    <w:basedOn w:val="1"/>
    <w:qFormat/>
    <w:uiPriority w:val="0"/>
    <w:pPr>
      <w:widowControl/>
      <w:pBdr>
        <w:top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317">
    <w:name w:val="目录3"/>
    <w:basedOn w:val="1"/>
    <w:qFormat/>
    <w:uiPriority w:val="0"/>
    <w:pPr>
      <w:adjustRightInd w:val="0"/>
      <w:spacing w:line="420" w:lineRule="atLeast"/>
      <w:ind w:left="454" w:firstLine="425"/>
      <w:jc w:val="left"/>
      <w:textAlignment w:val="baseline"/>
    </w:pPr>
    <w:rPr>
      <w:kern w:val="0"/>
      <w:szCs w:val="20"/>
    </w:rPr>
  </w:style>
  <w:style w:type="paragraph" w:customStyle="1" w:styleId="318">
    <w:name w:val="列出段落3"/>
    <w:basedOn w:val="1"/>
    <w:qFormat/>
    <w:uiPriority w:val="0"/>
    <w:pPr>
      <w:ind w:firstLine="420" w:firstLineChars="200"/>
    </w:pPr>
    <w:rPr>
      <w:rFonts w:ascii="Calibri" w:hAnsi="Calibri"/>
      <w:szCs w:val="22"/>
    </w:rPr>
  </w:style>
  <w:style w:type="paragraph" w:customStyle="1" w:styleId="319">
    <w:name w:val="a-标题2"/>
    <w:basedOn w:val="1"/>
    <w:qFormat/>
    <w:uiPriority w:val="0"/>
    <w:pPr>
      <w:spacing w:line="440" w:lineRule="exact"/>
      <w:jc w:val="left"/>
    </w:pPr>
    <w:rPr>
      <w:rFonts w:ascii="楷体_GB2312" w:hAnsi="Arial Unicode MS" w:eastAsia="楷体_GB2312" w:cs="Arial Unicode MS"/>
      <w:b/>
      <w:sz w:val="30"/>
      <w:szCs w:val="20"/>
    </w:rPr>
  </w:style>
  <w:style w:type="paragraph" w:customStyle="1" w:styleId="320">
    <w:name w:val="xl11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1">
    <w:name w:val="xl42"/>
    <w:basedOn w:val="1"/>
    <w:qFormat/>
    <w:uiPriority w:val="0"/>
    <w:pPr>
      <w:widowControl/>
      <w:spacing w:before="100" w:beforeAutospacing="1" w:after="100" w:afterAutospacing="1"/>
      <w:jc w:val="center"/>
      <w:textAlignment w:val="center"/>
    </w:pPr>
    <w:rPr>
      <w:rFonts w:ascii="宋体" w:hAnsi="宋体"/>
      <w:kern w:val="0"/>
      <w:sz w:val="20"/>
      <w:szCs w:val="20"/>
    </w:rPr>
  </w:style>
  <w:style w:type="paragraph" w:customStyle="1" w:styleId="3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23">
    <w:name w:val="二级-章"/>
    <w:qFormat/>
    <w:uiPriority w:val="0"/>
    <w:pPr>
      <w:tabs>
        <w:tab w:val="left" w:pos="1000"/>
      </w:tabs>
      <w:ind w:left="1000" w:hanging="360"/>
      <w:jc w:val="center"/>
      <w:outlineLvl w:val="1"/>
    </w:pPr>
    <w:rPr>
      <w:rFonts w:ascii="黑体" w:hAnsi="Times New Roman" w:eastAsia="黑体" w:cs="Times New Roman"/>
      <w:sz w:val="36"/>
      <w:szCs w:val="36"/>
      <w:lang w:val="en-US" w:eastAsia="zh-CN" w:bidi="ar-SA"/>
    </w:rPr>
  </w:style>
  <w:style w:type="paragraph" w:customStyle="1" w:styleId="3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25">
    <w:name w:val="正文文本 21"/>
    <w:basedOn w:val="1"/>
    <w:qFormat/>
    <w:uiPriority w:val="0"/>
    <w:pPr>
      <w:adjustRightInd w:val="0"/>
      <w:spacing w:line="300" w:lineRule="auto"/>
      <w:jc w:val="center"/>
    </w:pPr>
    <w:rPr>
      <w:rFonts w:hint="eastAsia" w:ascii="宋体" w:hAnsi="宋体"/>
      <w:sz w:val="24"/>
      <w:szCs w:val="20"/>
    </w:rPr>
  </w:style>
  <w:style w:type="paragraph" w:customStyle="1" w:styleId="326">
    <w:name w:val="xl74"/>
    <w:basedOn w:val="1"/>
    <w:qFormat/>
    <w:uiPriority w:val="0"/>
    <w:pPr>
      <w:widowControl/>
      <w:spacing w:before="100" w:beforeAutospacing="1" w:after="100" w:afterAutospacing="1"/>
      <w:jc w:val="left"/>
    </w:pPr>
    <w:rPr>
      <w:kern w:val="0"/>
      <w:sz w:val="24"/>
      <w:szCs w:val="20"/>
    </w:rPr>
  </w:style>
  <w:style w:type="paragraph" w:customStyle="1" w:styleId="327">
    <w:name w:val="页眉1"/>
    <w:basedOn w:val="1"/>
    <w:qFormat/>
    <w:uiPriority w:val="0"/>
    <w:pPr>
      <w:widowControl/>
      <w:pBdr>
        <w:bottom w:val="single" w:color="auto" w:sz="6" w:space="1"/>
      </w:pBdr>
      <w:tabs>
        <w:tab w:val="center" w:pos="4153"/>
        <w:tab w:val="right" w:pos="8306"/>
      </w:tabs>
      <w:snapToGrid w:val="0"/>
      <w:spacing w:beforeLines="50" w:afterLines="50"/>
      <w:jc w:val="center"/>
    </w:pPr>
    <w:rPr>
      <w:sz w:val="18"/>
      <w:szCs w:val="18"/>
    </w:rPr>
  </w:style>
  <w:style w:type="paragraph" w:customStyle="1" w:styleId="32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29">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330">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31">
    <w:name w:val="font15"/>
    <w:basedOn w:val="1"/>
    <w:qFormat/>
    <w:uiPriority w:val="0"/>
    <w:pPr>
      <w:widowControl/>
      <w:spacing w:before="100" w:beforeAutospacing="1" w:after="100" w:afterAutospacing="1"/>
      <w:jc w:val="left"/>
    </w:pPr>
    <w:rPr>
      <w:rFonts w:ascii="宋体" w:hAnsi="宋体" w:cs="宋体"/>
      <w:color w:val="DD0806"/>
      <w:kern w:val="0"/>
      <w:sz w:val="20"/>
      <w:szCs w:val="20"/>
    </w:rPr>
  </w:style>
  <w:style w:type="paragraph" w:customStyle="1" w:styleId="332">
    <w:name w:val="Char Char Char Char Char Char Char"/>
    <w:basedOn w:val="1"/>
    <w:qFormat/>
    <w:uiPriority w:val="0"/>
    <w:rPr>
      <w:szCs w:val="20"/>
    </w:rPr>
  </w:style>
  <w:style w:type="paragraph" w:customStyle="1" w:styleId="333">
    <w:name w:val="font20"/>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34">
    <w:name w:val="xl15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336">
    <w:name w:val="xl1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7">
    <w:name w:val="表文字左边"/>
    <w:basedOn w:val="1"/>
    <w:qFormat/>
    <w:uiPriority w:val="0"/>
    <w:pPr>
      <w:autoSpaceDE w:val="0"/>
      <w:autoSpaceDN w:val="0"/>
      <w:spacing w:line="320" w:lineRule="exact"/>
      <w:jc w:val="left"/>
      <w:textAlignment w:val="bottom"/>
    </w:pPr>
    <w:rPr>
      <w:rFonts w:ascii="宋体" w:hAnsi="宋体" w:cs="Arial Unicode MS"/>
      <w:sz w:val="28"/>
      <w:szCs w:val="20"/>
    </w:rPr>
  </w:style>
  <w:style w:type="paragraph" w:customStyle="1" w:styleId="338">
    <w:name w:val="No Spacing1"/>
    <w:qFormat/>
    <w:uiPriority w:val="0"/>
    <w:rPr>
      <w:rFonts w:ascii="Calibri" w:hAnsi="Calibri" w:eastAsia="宋体" w:cs="Times New Roman"/>
      <w:sz w:val="22"/>
      <w:szCs w:val="22"/>
      <w:lang w:val="en-US" w:eastAsia="en-US" w:bidi="ar-SA"/>
    </w:rPr>
  </w:style>
  <w:style w:type="paragraph" w:customStyle="1" w:styleId="339">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40">
    <w:name w:val="font17"/>
    <w:basedOn w:val="1"/>
    <w:qFormat/>
    <w:uiPriority w:val="0"/>
    <w:pPr>
      <w:widowControl/>
      <w:spacing w:before="100" w:beforeAutospacing="1" w:after="100" w:afterAutospacing="1"/>
      <w:jc w:val="left"/>
    </w:pPr>
    <w:rPr>
      <w:rFonts w:ascii="宋体" w:hAnsi="宋体" w:cs="宋体"/>
      <w:color w:val="DD0806"/>
      <w:kern w:val="0"/>
      <w:sz w:val="20"/>
      <w:szCs w:val="20"/>
    </w:rPr>
  </w:style>
  <w:style w:type="paragraph" w:customStyle="1" w:styleId="341">
    <w:name w:val="标准标题2"/>
    <w:basedOn w:val="4"/>
    <w:qFormat/>
    <w:uiPriority w:val="0"/>
    <w:pPr>
      <w:adjustRightInd/>
      <w:spacing w:beforeLines="0" w:afterLines="0" w:line="360" w:lineRule="auto"/>
      <w:ind w:firstLine="0" w:firstLineChars="0"/>
      <w:jc w:val="both"/>
      <w:textAlignment w:val="auto"/>
    </w:pPr>
    <w:rPr>
      <w:rFonts w:eastAsia="仿宋_GB2312"/>
      <w:kern w:val="2"/>
      <w:sz w:val="28"/>
      <w:szCs w:val="32"/>
    </w:rPr>
  </w:style>
  <w:style w:type="paragraph" w:customStyle="1" w:styleId="342">
    <w:name w:val="xl47"/>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343">
    <w:name w:val="表中"/>
    <w:basedOn w:val="1"/>
    <w:qFormat/>
    <w:uiPriority w:val="0"/>
    <w:pPr>
      <w:adjustRightInd w:val="0"/>
      <w:spacing w:line="360" w:lineRule="atLeast"/>
      <w:jc w:val="center"/>
      <w:textAlignment w:val="baseline"/>
    </w:pPr>
    <w:rPr>
      <w:kern w:val="0"/>
      <w:szCs w:val="20"/>
    </w:rPr>
  </w:style>
  <w:style w:type="paragraph" w:customStyle="1" w:styleId="344">
    <w:name w:val="xl28"/>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45">
    <w:name w:val="xl77"/>
    <w:basedOn w:val="1"/>
    <w:qFormat/>
    <w:uiPriority w:val="0"/>
    <w:pPr>
      <w:widowControl/>
      <w:pBdr>
        <w:bottom w:val="single" w:color="auto" w:sz="4" w:space="0"/>
      </w:pBdr>
      <w:spacing w:before="100" w:beforeAutospacing="1" w:after="100" w:afterAutospacing="1"/>
      <w:jc w:val="right"/>
    </w:pPr>
    <w:rPr>
      <w:kern w:val="0"/>
      <w:sz w:val="22"/>
      <w:szCs w:val="20"/>
    </w:rPr>
  </w:style>
  <w:style w:type="paragraph" w:customStyle="1" w:styleId="34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47">
    <w:name w:val="xl58"/>
    <w:basedOn w:val="1"/>
    <w:qFormat/>
    <w:uiPriority w:val="0"/>
    <w:pPr>
      <w:widowControl/>
      <w:spacing w:before="100" w:beforeAutospacing="1" w:after="100" w:afterAutospacing="1"/>
      <w:jc w:val="left"/>
      <w:textAlignment w:val="top"/>
    </w:pPr>
    <w:rPr>
      <w:rFonts w:ascii="宋体" w:hAnsi="宋体"/>
      <w:kern w:val="0"/>
      <w:sz w:val="20"/>
      <w:szCs w:val="20"/>
    </w:rPr>
  </w:style>
  <w:style w:type="paragraph" w:customStyle="1" w:styleId="348">
    <w:name w:val="xl7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49">
    <w:name w:val="正文段"/>
    <w:basedOn w:val="1"/>
    <w:qFormat/>
    <w:uiPriority w:val="0"/>
    <w:pPr>
      <w:widowControl/>
      <w:snapToGrid w:val="0"/>
      <w:spacing w:afterLines="50"/>
      <w:ind w:firstLine="200" w:firstLineChars="200"/>
    </w:pPr>
    <w:rPr>
      <w:kern w:val="0"/>
      <w:sz w:val="24"/>
      <w:szCs w:val="20"/>
    </w:rPr>
  </w:style>
  <w:style w:type="paragraph" w:customStyle="1" w:styleId="350">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1">
    <w:name w:val="Char1"/>
    <w:basedOn w:val="1"/>
    <w:qFormat/>
    <w:uiPriority w:val="0"/>
    <w:rPr>
      <w:rFonts w:ascii="Tahoma" w:hAnsi="Tahoma"/>
      <w:sz w:val="24"/>
      <w:szCs w:val="20"/>
    </w:rPr>
  </w:style>
  <w:style w:type="paragraph" w:customStyle="1" w:styleId="35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53">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354">
    <w:name w:val="样式 宋体 小五 左 段前: 5 磅 段后: 5 磅 行距: 1.5 倍行距"/>
    <w:basedOn w:val="1"/>
    <w:qFormat/>
    <w:uiPriority w:val="0"/>
    <w:pPr>
      <w:widowControl/>
      <w:tabs>
        <w:tab w:val="left" w:pos="5100"/>
      </w:tabs>
      <w:spacing w:line="0" w:lineRule="atLeast"/>
      <w:jc w:val="left"/>
    </w:pPr>
    <w:rPr>
      <w:rFonts w:ascii="宋体" w:hAnsi="宋体"/>
      <w:kern w:val="0"/>
      <w:szCs w:val="20"/>
    </w:rPr>
  </w:style>
  <w:style w:type="paragraph" w:customStyle="1" w:styleId="35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6">
    <w:name w:val="正文1"/>
    <w:qFormat/>
    <w:uiPriority w:val="0"/>
    <w:pPr>
      <w:widowControl w:val="0"/>
      <w:adjustRightInd w:val="0"/>
      <w:spacing w:line="312" w:lineRule="atLeast"/>
      <w:jc w:val="both"/>
      <w:textAlignment w:val="baseline"/>
    </w:pPr>
    <w:rPr>
      <w:rFonts w:ascii="宋体" w:hAnsi="宋体" w:eastAsia="宋体" w:cs="Times New Roman"/>
      <w:sz w:val="24"/>
      <w:lang w:val="en-US" w:eastAsia="zh-CN" w:bidi="ar-SA"/>
    </w:rPr>
  </w:style>
  <w:style w:type="paragraph" w:customStyle="1" w:styleId="357">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58">
    <w:name w:val="xl6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59">
    <w:name w:val="xl43"/>
    <w:basedOn w:val="1"/>
    <w:qFormat/>
    <w:uiPriority w:val="0"/>
    <w:pPr>
      <w:widowControl/>
      <w:spacing w:before="100" w:beforeAutospacing="1" w:after="100" w:afterAutospacing="1"/>
      <w:jc w:val="right"/>
      <w:textAlignment w:val="center"/>
    </w:pPr>
    <w:rPr>
      <w:kern w:val="0"/>
      <w:sz w:val="20"/>
      <w:szCs w:val="20"/>
    </w:rPr>
  </w:style>
  <w:style w:type="paragraph" w:customStyle="1" w:styleId="360">
    <w:name w:val="默认段落字体 Para Char Char Char Char Char Char Char Char Char1 Char Char Char Char"/>
    <w:basedOn w:val="1"/>
    <w:qFormat/>
    <w:uiPriority w:val="0"/>
    <w:rPr>
      <w:rFonts w:ascii="Tahoma" w:hAnsi="Tahoma"/>
      <w:sz w:val="24"/>
      <w:szCs w:val="20"/>
    </w:rPr>
  </w:style>
  <w:style w:type="paragraph" w:customStyle="1" w:styleId="361">
    <w:name w:val="xl15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62">
    <w:name w:val="font6"/>
    <w:basedOn w:val="1"/>
    <w:qFormat/>
    <w:uiPriority w:val="0"/>
    <w:pPr>
      <w:widowControl/>
      <w:spacing w:before="100" w:beforeAutospacing="1" w:after="100" w:afterAutospacing="1"/>
      <w:jc w:val="left"/>
    </w:pPr>
    <w:rPr>
      <w:rFonts w:hint="eastAsia" w:ascii="黑体" w:hAnsi="宋体" w:eastAsia="黑体"/>
      <w:kern w:val="0"/>
      <w:sz w:val="36"/>
      <w:szCs w:val="20"/>
    </w:rPr>
  </w:style>
  <w:style w:type="paragraph" w:customStyle="1" w:styleId="36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4">
    <w:name w:val="标准标题3"/>
    <w:basedOn w:val="5"/>
    <w:qFormat/>
    <w:uiPriority w:val="0"/>
    <w:pPr>
      <w:numPr>
        <w:ilvl w:val="0"/>
        <w:numId w:val="9"/>
      </w:numPr>
      <w:spacing w:line="240" w:lineRule="auto"/>
      <w:ind w:left="0" w:leftChars="-258" w:firstLine="0"/>
    </w:pPr>
    <w:rPr>
      <w:rFonts w:eastAsia="仿宋_GB2312"/>
      <w:sz w:val="28"/>
    </w:rPr>
  </w:style>
  <w:style w:type="paragraph" w:customStyle="1" w:styleId="365">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6">
    <w:name w:val="文档正文"/>
    <w:basedOn w:val="1"/>
    <w:qFormat/>
    <w:uiPriority w:val="0"/>
    <w:pPr>
      <w:adjustRightInd w:val="0"/>
      <w:spacing w:line="312" w:lineRule="atLeast"/>
      <w:ind w:firstLine="567"/>
    </w:pPr>
    <w:rPr>
      <w:rFonts w:ascii="Arial" w:eastAsia="长城仿宋"/>
      <w:kern w:val="0"/>
      <w:sz w:val="28"/>
      <w:szCs w:val="20"/>
    </w:rPr>
  </w:style>
  <w:style w:type="paragraph" w:customStyle="1" w:styleId="367">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69">
    <w:name w:val="xl13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0">
    <w:name w:val="font13"/>
    <w:basedOn w:val="1"/>
    <w:qFormat/>
    <w:uiPriority w:val="0"/>
    <w:pPr>
      <w:widowControl/>
      <w:spacing w:before="100" w:beforeAutospacing="1" w:after="100" w:afterAutospacing="1"/>
      <w:jc w:val="left"/>
    </w:pPr>
    <w:rPr>
      <w:kern w:val="0"/>
      <w:sz w:val="18"/>
      <w:szCs w:val="20"/>
    </w:rPr>
  </w:style>
  <w:style w:type="paragraph" w:customStyle="1" w:styleId="37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2">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74">
    <w:name w:val="列出段落11"/>
    <w:basedOn w:val="1"/>
    <w:qFormat/>
    <w:uiPriority w:val="0"/>
    <w:pPr>
      <w:widowControl/>
      <w:spacing w:beforeLines="50" w:afterLines="50"/>
      <w:ind w:firstLine="420" w:firstLineChars="200"/>
      <w:jc w:val="left"/>
    </w:pPr>
  </w:style>
  <w:style w:type="table" w:customStyle="1" w:styleId="375">
    <w:name w:val="中等深浅列表 1 - 强调文字颜色 51"/>
    <w:basedOn w:val="51"/>
    <w:qFormat/>
    <w:uiPriority w:val="0"/>
    <w:rPr>
      <w:color w:val="000000"/>
    </w:rPr>
    <w:tblPr>
      <w:tblBorders>
        <w:top w:val="single" w:color="4BACC6" w:sz="8" w:space="0"/>
        <w:bottom w:val="single" w:color="4BACC6" w:sz="8" w:space="0"/>
      </w:tblBorders>
    </w:tblPr>
    <w:tblStylePr w:type="firstRow">
      <w:rPr>
        <w:rFonts w:eastAsia="Wingdings" w:cs="Times New Roman"/>
      </w:rPr>
      <w:tcPr>
        <w:tcBorders>
          <w:top w:val="nil"/>
          <w:left w:val="nil"/>
          <w:bottom w:val="single" w:color="4BACC6" w:sz="8" w:space="0"/>
          <w:right w:val="nil"/>
          <w:insideH w:val="nil"/>
          <w:insideV w:val="nil"/>
          <w:tl2br w:val="nil"/>
          <w:tr2bl w:val="nil"/>
        </w:tcBorders>
      </w:tcPr>
    </w:tblStylePr>
    <w:tblStylePr w:type="lastRow">
      <w:rPr>
        <w:b/>
        <w:bCs/>
        <w:color w:val="1F497D"/>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cPr>
        <w:tcBorders>
          <w:top w:val="single" w:color="4BACC6" w:sz="8" w:space="0"/>
          <w:left w:val="nil"/>
          <w:bottom w:val="single" w:color="4BACC6" w:sz="8" w:space="0"/>
          <w:right w:val="nil"/>
          <w:insideH w:val="nil"/>
          <w:insideV w:val="nil"/>
          <w:tl2br w:val="nil"/>
          <w:tr2bl w:val="nil"/>
        </w:tcBorders>
      </w:tcPr>
    </w:tblStylePr>
    <w:tblStylePr w:type="band1Vert">
      <w:tcPr>
        <w:shd w:val="clear" w:color="auto" w:fill="D2EAF1"/>
      </w:tcPr>
    </w:tblStylePr>
    <w:tblStylePr w:type="band1Horz">
      <w:tcPr>
        <w:shd w:val="clear" w:color="auto" w:fill="D2EAF1"/>
      </w:tcPr>
    </w:tblStylePr>
  </w:style>
  <w:style w:type="table" w:customStyle="1" w:styleId="376">
    <w:name w:val="彩色底纹 - 强调文字颜色 51"/>
    <w:basedOn w:val="51"/>
    <w:qFormat/>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cPr>
        <w:tcBorders>
          <w:top w:val="nil"/>
          <w:left w:val="nil"/>
          <w:bottom w:val="nil"/>
          <w:right w:val="nil"/>
          <w:insideH w:val="nil"/>
          <w:insideV w:val="nil"/>
          <w:tl2br w:val="nil"/>
          <w:tr2bl w:val="nil"/>
        </w:tcBorders>
        <w:shd w:val="clear" w:color="auto" w:fill="276A7C"/>
      </w:tcPr>
    </w:tblStylePr>
    <w:tblStylePr w:type="band1Vert">
      <w:tcPr>
        <w:shd w:val="clear" w:color="auto" w:fill="B6DDE8"/>
      </w:tcPr>
    </w:tblStylePr>
    <w:tblStylePr w:type="band1Horz">
      <w:tcPr>
        <w:shd w:val="clear" w:color="auto" w:fill="A5D5E2"/>
      </w:tcPr>
    </w:tblStylePr>
    <w:tblStylePr w:type="neCell">
      <w:rPr>
        <w:color w:val="000000"/>
      </w:rPr>
    </w:tblStylePr>
    <w:tblStylePr w:type="nwCell">
      <w:rPr>
        <w:color w:val="000000"/>
      </w:rPr>
    </w:tblStylePr>
  </w:style>
  <w:style w:type="table" w:customStyle="1" w:styleId="377">
    <w:name w:val="彩色网格 - 强调文字颜色 51"/>
    <w:basedOn w:val="51"/>
    <w:qFormat/>
    <w:uiPriority w:val="0"/>
    <w:rPr>
      <w:color w:val="000000"/>
    </w:rPr>
    <w:tblPr>
      <w:tblBorders>
        <w:insideH w:val="single" w:color="FFFFFF" w:sz="4" w:space="0"/>
      </w:tblBorders>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378">
    <w:name w:val="中等深浅网格 1 - 强调文字颜色 51"/>
    <w:basedOn w:val="51"/>
    <w:qFormat/>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A5D5E2"/>
      </w:tcPr>
    </w:tblStylePr>
    <w:tblStylePr w:type="band1Horz">
      <w:tcPr>
        <w:shd w:val="clear" w:color="auto" w:fill="A5D5E2"/>
      </w:tcPr>
    </w:tblStylePr>
  </w:style>
  <w:style w:type="table" w:customStyle="1" w:styleId="379">
    <w:name w:val="彩色列表 - 着色 1"/>
    <w:basedOn w:val="51"/>
    <w:qFormat/>
    <w:uiPriority w:val="0"/>
    <w:rPr>
      <w:rFonts w:ascii="Calibri" w:hAnsi="Calibri"/>
      <w:kern w:val="2"/>
      <w:sz w:val="21"/>
      <w:szCs w:val="22"/>
    </w:rPr>
    <w:tcPr>
      <w:shd w:val="clear" w:color="auto" w:fill="EEF5FB"/>
    </w:tcPr>
    <w:tblStylePr w:type="firstRow">
      <w:tcPr>
        <w:tcBorders>
          <w:top w:val="nil"/>
          <w:left w:val="nil"/>
          <w:bottom w:val="single" w:color="FFFFFF" w:sz="12" w:space="0"/>
          <w:right w:val="nil"/>
          <w:insideH w:val="nil"/>
          <w:insideV w:val="nil"/>
          <w:tl2br w:val="nil"/>
          <w:tr2bl w:val="nil"/>
        </w:tcBorders>
        <w:shd w:val="clear" w:color="auto" w:fill="D25F12"/>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shd w:val="clear" w:color="auto" w:fill="DEEAF6"/>
      </w:tcPr>
    </w:tblStylePr>
  </w:style>
  <w:style w:type="table" w:customStyle="1" w:styleId="380">
    <w:name w:val="Table Normal1"/>
    <w:semiHidden/>
    <w:qFormat/>
    <w:uiPriority w:val="0"/>
    <w:rPr>
      <w:rFonts w:eastAsia="Times New Roman"/>
    </w:rPr>
    <w:tblPr>
      <w:tblCellMar>
        <w:top w:w="0" w:type="dxa"/>
        <w:left w:w="108" w:type="dxa"/>
        <w:bottom w:w="0" w:type="dxa"/>
        <w:right w:w="108" w:type="dxa"/>
      </w:tblCellMar>
    </w:tblPr>
  </w:style>
  <w:style w:type="table" w:customStyle="1" w:styleId="381">
    <w:name w:val="Table Normal"/>
    <w:semiHidden/>
    <w:qFormat/>
    <w:uiPriority w:val="0"/>
    <w:rPr>
      <w:rFonts w:eastAsia="Times New Roman"/>
    </w:rPr>
    <w:tblPr>
      <w:tblCellMar>
        <w:top w:w="0" w:type="dxa"/>
        <w:left w:w="108" w:type="dxa"/>
        <w:bottom w:w="0" w:type="dxa"/>
        <w:right w:w="108" w:type="dxa"/>
      </w:tblCellMar>
    </w:tblPr>
  </w:style>
  <w:style w:type="paragraph" w:customStyle="1" w:styleId="382">
    <w:name w:val="flNote"/>
    <w:basedOn w:val="1"/>
    <w:qFormat/>
    <w:uiPriority w:val="0"/>
    <w:pPr>
      <w:spacing w:before="320" w:after="160" w:line="360" w:lineRule="auto"/>
      <w:jc w:val="center"/>
    </w:pPr>
    <w:rPr>
      <w:rFonts w:ascii="Arial" w:eastAsia="黑体"/>
      <w:sz w:val="30"/>
    </w:rPr>
  </w:style>
  <w:style w:type="character" w:customStyle="1" w:styleId="383">
    <w:name w:val="正文首行缩进 2 Char"/>
    <w:basedOn w:val="123"/>
    <w:link w:val="50"/>
    <w:qFormat/>
    <w:uiPriority w:val="0"/>
    <w:rPr>
      <w:rFonts w:eastAsia="仿宋_GB2312"/>
      <w:color w:val="000000"/>
      <w:kern w:val="2"/>
      <w:sz w:val="21"/>
      <w:szCs w:val="24"/>
      <w:lang w:bidi="ar-SA"/>
    </w:rPr>
  </w:style>
  <w:style w:type="paragraph" w:customStyle="1" w:styleId="384">
    <w:name w:val="standdate"/>
    <w:basedOn w:val="34"/>
    <w:semiHidden/>
    <w:qFormat/>
    <w:uiPriority w:val="0"/>
    <w:pPr>
      <w:tabs>
        <w:tab w:val="clear" w:pos="4153"/>
        <w:tab w:val="clear" w:pos="8306"/>
      </w:tabs>
      <w:snapToGrid/>
      <w:spacing w:line="340" w:lineRule="atLeast"/>
      <w:ind w:left="255" w:right="255"/>
      <w:jc w:val="center"/>
      <w:textAlignment w:val="center"/>
    </w:pPr>
    <w:rPr>
      <w:rFonts w:eastAsia="华文中宋"/>
      <w:b/>
      <w:spacing w:val="-4"/>
      <w:sz w:val="32"/>
      <w:szCs w:val="24"/>
    </w:rPr>
  </w:style>
  <w:style w:type="paragraph" w:customStyle="1" w:styleId="385">
    <w:name w:val="flName"/>
    <w:basedOn w:val="382"/>
    <w:qFormat/>
    <w:uiPriority w:val="0"/>
    <w:rPr>
      <w:sz w:val="32"/>
    </w:rPr>
  </w:style>
  <w:style w:type="paragraph" w:customStyle="1" w:styleId="386">
    <w:name w:val="flType"/>
    <w:basedOn w:val="385"/>
    <w:qFormat/>
    <w:uiPriority w:val="0"/>
    <w:pPr>
      <w:spacing w:before="560" w:after="120"/>
    </w:pPr>
    <w:rPr>
      <w:sz w:val="28"/>
    </w:rPr>
  </w:style>
  <w:style w:type="character" w:customStyle="1" w:styleId="387">
    <w:name w:val="副标题 Char"/>
    <w:basedOn w:val="55"/>
    <w:link w:val="38"/>
    <w:qFormat/>
    <w:uiPriority w:val="0"/>
    <w:rPr>
      <w:rFonts w:ascii="Arial" w:hAnsi="Arial" w:eastAsia="黑体"/>
      <w:i/>
      <w:kern w:val="2"/>
      <w:sz w:val="21"/>
      <w:szCs w:val="24"/>
    </w:rPr>
  </w:style>
  <w:style w:type="paragraph" w:customStyle="1" w:styleId="388">
    <w:name w:val="正文文字1"/>
    <w:basedOn w:val="2"/>
    <w:semiHidden/>
    <w:qFormat/>
    <w:uiPriority w:val="0"/>
    <w:pPr>
      <w:spacing w:line="240" w:lineRule="auto"/>
      <w:ind w:left="72" w:leftChars="30" w:right="72" w:rightChars="30"/>
    </w:pPr>
    <w:rPr>
      <w:sz w:val="21"/>
      <w:szCs w:val="24"/>
    </w:rPr>
  </w:style>
  <w:style w:type="paragraph" w:customStyle="1" w:styleId="389">
    <w:name w:val="注"/>
    <w:basedOn w:val="1"/>
    <w:semiHidden/>
    <w:qFormat/>
    <w:uiPriority w:val="0"/>
    <w:pPr>
      <w:ind w:left="840" w:hanging="420"/>
    </w:pPr>
  </w:style>
  <w:style w:type="paragraph" w:customStyle="1" w:styleId="390">
    <w:name w:val="正文文字2"/>
    <w:basedOn w:val="2"/>
    <w:semiHidden/>
    <w:qFormat/>
    <w:uiPriority w:val="0"/>
    <w:pPr>
      <w:spacing w:after="60" w:line="240" w:lineRule="auto"/>
      <w:ind w:left="72" w:leftChars="30" w:right="72" w:rightChars="30"/>
      <w:jc w:val="center"/>
    </w:pPr>
    <w:rPr>
      <w:rFonts w:ascii="Arial" w:eastAsia="黑体"/>
      <w:sz w:val="21"/>
      <w:szCs w:val="24"/>
    </w:rPr>
  </w:style>
  <w:style w:type="paragraph" w:customStyle="1" w:styleId="391">
    <w:name w:val="空半行"/>
    <w:basedOn w:val="1"/>
    <w:semiHidden/>
    <w:qFormat/>
    <w:uiPriority w:val="0"/>
    <w:pPr>
      <w:spacing w:line="120" w:lineRule="exact"/>
    </w:pPr>
    <w:rPr>
      <w:rFonts w:eastAsia="仿宋_GB2312"/>
      <w:color w:val="FFFFFF"/>
      <w:sz w:val="30"/>
    </w:rPr>
  </w:style>
  <w:style w:type="paragraph" w:customStyle="1" w:styleId="392">
    <w:name w:val="2 Char Char Char Char Char Char Char"/>
    <w:basedOn w:val="1"/>
    <w:semiHidden/>
    <w:qFormat/>
    <w:uiPriority w:val="0"/>
    <w:rPr>
      <w:rFonts w:ascii="Tahoma" w:hAnsi="Tahoma"/>
    </w:rPr>
  </w:style>
  <w:style w:type="paragraph" w:customStyle="1" w:styleId="393">
    <w:name w:val="Char1 Char Char Char Char1"/>
    <w:basedOn w:val="1"/>
    <w:semiHidden/>
    <w:qFormat/>
    <w:uiPriority w:val="0"/>
    <w:rPr>
      <w:rFonts w:ascii="Tahoma" w:hAnsi="Tahoma"/>
    </w:rPr>
  </w:style>
  <w:style w:type="paragraph" w:customStyle="1" w:styleId="394">
    <w:name w:val="CM103"/>
    <w:basedOn w:val="1"/>
    <w:next w:val="1"/>
    <w:semiHidden/>
    <w:qFormat/>
    <w:uiPriority w:val="0"/>
    <w:pPr>
      <w:autoSpaceDE w:val="0"/>
      <w:autoSpaceDN w:val="0"/>
      <w:spacing w:after="180"/>
      <w:jc w:val="left"/>
    </w:pPr>
    <w:rPr>
      <w:rFonts w:ascii="PMingLiU" w:eastAsia="PMingLiU"/>
    </w:rPr>
  </w:style>
  <w:style w:type="paragraph" w:customStyle="1" w:styleId="395">
    <w:name w:val="Char Char"/>
    <w:basedOn w:val="1"/>
    <w:semiHidden/>
    <w:qFormat/>
    <w:uiPriority w:val="0"/>
    <w:pPr>
      <w:widowControl/>
      <w:spacing w:line="400" w:lineRule="exact"/>
      <w:jc w:val="center"/>
    </w:pPr>
    <w:rPr>
      <w:rFonts w:ascii="Verdana" w:hAnsi="Verdana"/>
      <w:lang w:eastAsia="en-US"/>
    </w:rPr>
  </w:style>
  <w:style w:type="paragraph" w:customStyle="1" w:styleId="396">
    <w:name w:val="Char Char1"/>
    <w:basedOn w:val="1"/>
    <w:semiHidden/>
    <w:qFormat/>
    <w:uiPriority w:val="0"/>
    <w:pPr>
      <w:spacing w:line="400" w:lineRule="exact"/>
      <w:jc w:val="center"/>
    </w:pPr>
    <w:rPr>
      <w:rFonts w:ascii="Verdana" w:hAnsi="Verdana"/>
      <w:lang w:eastAsia="en-US"/>
    </w:rPr>
  </w:style>
  <w:style w:type="paragraph" w:customStyle="1" w:styleId="39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99">
    <w:name w:val="List Paragraph"/>
    <w:basedOn w:val="1"/>
    <w:unhideWhenUsed/>
    <w:qFormat/>
    <w:uiPriority w:val="34"/>
    <w:pPr>
      <w:ind w:firstLine="420" w:firstLineChars="200"/>
    </w:pPr>
  </w:style>
  <w:style w:type="character" w:customStyle="1" w:styleId="40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401">
    <w:name w:val="CharAttribute0"/>
    <w:qFormat/>
    <w:uiPriority w:val="0"/>
    <w:rPr>
      <w:rFonts w:ascii="Times New Roman" w:eastAsia="宋体"/>
      <w:sz w:val="21"/>
    </w:rPr>
  </w:style>
  <w:style w:type="character" w:customStyle="1" w:styleId="402">
    <w:name w:val="font21"/>
    <w:basedOn w:val="55"/>
    <w:qFormat/>
    <w:uiPriority w:val="0"/>
    <w:rPr>
      <w:rFonts w:hint="eastAsia" w:ascii="宋体" w:hAnsi="宋体" w:eastAsia="宋体" w:cs="宋体"/>
      <w:color w:val="000000"/>
      <w:sz w:val="22"/>
      <w:szCs w:val="22"/>
      <w:u w:val="none"/>
    </w:rPr>
  </w:style>
  <w:style w:type="character" w:customStyle="1" w:styleId="403">
    <w:name w:val="font01"/>
    <w:basedOn w:val="55"/>
    <w:qFormat/>
    <w:uiPriority w:val="0"/>
    <w:rPr>
      <w:rFonts w:ascii="Tahoma" w:hAnsi="Tahoma" w:eastAsia="Tahoma" w:cs="Tahoma"/>
      <w:color w:val="000000"/>
      <w:sz w:val="22"/>
      <w:szCs w:val="22"/>
      <w:u w:val="none"/>
    </w:rPr>
  </w:style>
  <w:style w:type="paragraph" w:customStyle="1" w:styleId="404">
    <w:name w:val="WPSOffice手动目录 1"/>
    <w:qFormat/>
    <w:uiPriority w:val="0"/>
    <w:rPr>
      <w:rFonts w:asciiTheme="minorHAnsi" w:hAnsiTheme="minorHAnsi" w:eastAsiaTheme="minorEastAsia" w:cstheme="minorBidi"/>
      <w:lang w:val="en-US" w:eastAsia="zh-CN" w:bidi="ar-SA"/>
    </w:rPr>
  </w:style>
  <w:style w:type="character" w:customStyle="1" w:styleId="405">
    <w:name w:val="font51"/>
    <w:basedOn w:val="55"/>
    <w:qFormat/>
    <w:uiPriority w:val="0"/>
    <w:rPr>
      <w:rFonts w:hint="default" w:ascii="Tahoma" w:hAnsi="Tahoma" w:eastAsia="Tahoma" w:cs="Tahoma"/>
      <w:color w:val="000000"/>
      <w:sz w:val="22"/>
      <w:szCs w:val="22"/>
      <w:u w:val="none"/>
    </w:rPr>
  </w:style>
  <w:style w:type="character" w:customStyle="1" w:styleId="406">
    <w:name w:val="font61"/>
    <w:basedOn w:val="5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CA4B6-CE9D-4557-8246-E80037CE8DAD}">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51</Pages>
  <Words>33020</Words>
  <Characters>6314</Characters>
  <Lines>52</Lines>
  <Paragraphs>78</Paragraphs>
  <TotalTime>2</TotalTime>
  <ScaleCrop>false</ScaleCrop>
  <LinksUpToDate>false</LinksUpToDate>
  <CharactersWithSpaces>39256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2018-12-03T07:15:00Z</dcterms:created>
  <dc:creator>Van Helsing</dc:creator>
  <cp:lastModifiedBy>Administrator</cp:lastModifiedBy>
  <cp:lastPrinted>2021-11-04T10:13:00Z</cp:lastPrinted>
  <dcterms:modified xsi:type="dcterms:W3CDTF">2021-11-09T08:56:56Z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642EF84434024BB397696DFBBFB808AA</vt:lpwstr>
  </property>
</Properties>
</file>