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insoku/>
        <w:wordWrap/>
        <w:overflowPunct/>
        <w:bidi w:val="0"/>
        <w:spacing w:beforeAutospacing="0" w:line="440" w:lineRule="exact"/>
        <w:ind w:left="0" w:leftChars="0" w:right="0"/>
        <w:rPr>
          <w:rFonts w:hint="eastAsia" w:ascii="仿宋" w:hAnsi="仿宋" w:eastAsia="仿宋" w:cs="仿宋"/>
          <w:b/>
          <w:color w:val="auto"/>
          <w:sz w:val="24"/>
          <w:szCs w:val="24"/>
          <w:highlight w:val="none"/>
        </w:rPr>
      </w:pPr>
    </w:p>
    <w:p>
      <w:pPr>
        <w:kinsoku/>
        <w:wordWrap/>
        <w:overflowPunct/>
        <w:bidi w:val="0"/>
        <w:spacing w:beforeAutospacing="0" w:line="440" w:lineRule="exact"/>
        <w:ind w:left="0" w:leftChars="0" w:right="0"/>
        <w:rPr>
          <w:rFonts w:hint="eastAsia" w:ascii="仿宋" w:hAnsi="仿宋" w:eastAsia="仿宋" w:cs="仿宋"/>
          <w:b/>
          <w:color w:val="auto"/>
          <w:sz w:val="24"/>
          <w:szCs w:val="24"/>
          <w:highlight w:val="none"/>
        </w:rPr>
      </w:pPr>
    </w:p>
    <w:p>
      <w:pPr>
        <w:keepNext w:val="0"/>
        <w:keepLines w:val="0"/>
        <w:widowControl/>
        <w:suppressLineNumbers w:val="0"/>
        <w:jc w:val="center"/>
        <w:textAlignment w:val="center"/>
        <w:rPr>
          <w:rFonts w:hint="eastAsia" w:ascii="方正粗黑宋简体" w:hAnsi="方正粗黑宋简体" w:eastAsia="方正粗黑宋简体" w:cs="方正粗黑宋简体"/>
          <w:b/>
          <w:bCs/>
          <w:color w:val="auto"/>
          <w:kern w:val="2"/>
          <w:sz w:val="44"/>
          <w:szCs w:val="44"/>
          <w:highlight w:val="none"/>
          <w:lang w:val="en-US" w:eastAsia="zh-CN" w:bidi="ar-SA"/>
        </w:rPr>
      </w:pPr>
    </w:p>
    <w:p>
      <w:pPr>
        <w:keepNext w:val="0"/>
        <w:keepLines w:val="0"/>
        <w:widowControl/>
        <w:suppressLineNumbers w:val="0"/>
        <w:jc w:val="center"/>
        <w:textAlignment w:val="center"/>
        <w:rPr>
          <w:rFonts w:hint="eastAsia" w:ascii="方正粗黑宋简体" w:hAnsi="方正粗黑宋简体" w:eastAsia="方正粗黑宋简体" w:cs="方正粗黑宋简体"/>
          <w:b/>
          <w:bCs/>
          <w:color w:val="auto"/>
          <w:kern w:val="2"/>
          <w:sz w:val="44"/>
          <w:szCs w:val="44"/>
          <w:highlight w:val="none"/>
          <w:lang w:val="en-US" w:eastAsia="zh-CN" w:bidi="ar-SA"/>
        </w:rPr>
      </w:pPr>
      <w:r>
        <w:rPr>
          <w:rFonts w:hint="eastAsia" w:ascii="方正粗黑宋简体" w:hAnsi="方正粗黑宋简体" w:eastAsia="方正粗黑宋简体" w:cs="方正粗黑宋简体"/>
          <w:b/>
          <w:bCs/>
          <w:color w:val="auto"/>
          <w:kern w:val="2"/>
          <w:sz w:val="44"/>
          <w:szCs w:val="44"/>
          <w:highlight w:val="none"/>
          <w:lang w:val="en-US" w:eastAsia="zh-CN" w:bidi="ar-SA"/>
        </w:rPr>
        <w:t>乌鲁木齐市友谊医院运动心肺及康复系统（进口）采购项目</w:t>
      </w:r>
    </w:p>
    <w:p>
      <w:pPr>
        <w:keepNext w:val="0"/>
        <w:keepLines w:val="0"/>
        <w:widowControl/>
        <w:suppressLineNumbers w:val="0"/>
        <w:jc w:val="center"/>
        <w:textAlignment w:val="center"/>
        <w:rPr>
          <w:rFonts w:hint="eastAsia" w:ascii="方正粗黑宋简体" w:hAnsi="方正粗黑宋简体" w:eastAsia="方正粗黑宋简体" w:cs="方正粗黑宋简体"/>
          <w:b/>
          <w:bCs/>
          <w:color w:val="auto"/>
          <w:kern w:val="2"/>
          <w:sz w:val="44"/>
          <w:szCs w:val="44"/>
          <w:highlight w:val="none"/>
          <w:lang w:val="en-US" w:eastAsia="zh-CN" w:bidi="ar-SA"/>
        </w:rPr>
      </w:pPr>
    </w:p>
    <w:p>
      <w:pPr>
        <w:keepNext w:val="0"/>
        <w:keepLines w:val="0"/>
        <w:widowControl/>
        <w:suppressLineNumbers w:val="0"/>
        <w:jc w:val="center"/>
        <w:textAlignment w:val="center"/>
        <w:rPr>
          <w:rFonts w:hint="eastAsia" w:ascii="方正粗黑宋简体" w:hAnsi="方正粗黑宋简体" w:eastAsia="方正粗黑宋简体" w:cs="方正粗黑宋简体"/>
          <w:b/>
          <w:bCs/>
          <w:color w:val="auto"/>
          <w:kern w:val="2"/>
          <w:sz w:val="44"/>
          <w:szCs w:val="44"/>
          <w:highlight w:val="none"/>
          <w:lang w:val="en-US" w:eastAsia="zh-CN" w:bidi="ar-SA"/>
        </w:rPr>
      </w:pPr>
      <w:r>
        <w:rPr>
          <w:rFonts w:hint="eastAsia" w:ascii="方正粗黑宋简体" w:hAnsi="方正粗黑宋简体" w:eastAsia="方正粗黑宋简体" w:cs="方正粗黑宋简体"/>
          <w:b/>
          <w:bCs/>
          <w:color w:val="auto"/>
          <w:kern w:val="2"/>
          <w:sz w:val="44"/>
          <w:szCs w:val="44"/>
          <w:highlight w:val="none"/>
          <w:lang w:val="en-US" w:eastAsia="zh-CN" w:bidi="ar-SA"/>
        </w:rPr>
        <w:t>公开招标文件</w:t>
      </w:r>
    </w:p>
    <w:p>
      <w:pPr>
        <w:pStyle w:val="2"/>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p>
    <w:p>
      <w:pPr>
        <w:kinsoku/>
        <w:wordWrap/>
        <w:overflowPunct/>
        <w:bidi w:val="0"/>
        <w:snapToGrid w:val="0"/>
        <w:spacing w:beforeAutospacing="0" w:line="440" w:lineRule="exact"/>
        <w:ind w:left="0" w:leftChars="0" w:right="0"/>
        <w:rPr>
          <w:rFonts w:hint="eastAsia" w:ascii="仿宋" w:hAnsi="仿宋" w:eastAsia="仿宋" w:cs="仿宋"/>
          <w:color w:val="auto"/>
          <w:sz w:val="24"/>
          <w:szCs w:val="24"/>
          <w:highlight w:val="none"/>
        </w:rPr>
      </w:pPr>
    </w:p>
    <w:p>
      <w:pPr>
        <w:kinsoku/>
        <w:wordWrap/>
        <w:overflowPunct/>
        <w:bidi w:val="0"/>
        <w:snapToGrid w:val="0"/>
        <w:spacing w:beforeAutospacing="0" w:line="440" w:lineRule="exact"/>
        <w:ind w:left="0" w:leftChars="0" w:right="0"/>
        <w:rPr>
          <w:rFonts w:hint="eastAsia" w:ascii="仿宋" w:hAnsi="仿宋" w:eastAsia="仿宋" w:cs="仿宋"/>
          <w:color w:val="auto"/>
          <w:sz w:val="24"/>
          <w:szCs w:val="24"/>
          <w:highlight w:val="none"/>
        </w:rPr>
      </w:pPr>
    </w:p>
    <w:p>
      <w:pPr>
        <w:kinsoku/>
        <w:wordWrap/>
        <w:overflowPunct/>
        <w:bidi w:val="0"/>
        <w:snapToGrid w:val="0"/>
        <w:spacing w:beforeAutospacing="0" w:line="440" w:lineRule="exact"/>
        <w:ind w:left="0" w:leftChars="0" w:right="0"/>
        <w:rPr>
          <w:rFonts w:hint="eastAsia" w:ascii="仿宋" w:hAnsi="仿宋" w:eastAsia="仿宋" w:cs="仿宋"/>
          <w:color w:val="auto"/>
          <w:sz w:val="24"/>
          <w:szCs w:val="24"/>
          <w:highlight w:val="none"/>
        </w:rPr>
      </w:pPr>
    </w:p>
    <w:p>
      <w:pPr>
        <w:kinsoku/>
        <w:wordWrap/>
        <w:overflowPunct/>
        <w:bidi w:val="0"/>
        <w:snapToGrid w:val="0"/>
        <w:spacing w:beforeAutospacing="0" w:line="440" w:lineRule="exact"/>
        <w:ind w:left="0" w:leftChars="0" w:right="0"/>
        <w:rPr>
          <w:rFonts w:hint="eastAsia" w:ascii="仿宋" w:hAnsi="仿宋" w:eastAsia="仿宋" w:cs="仿宋"/>
          <w:color w:val="auto"/>
          <w:sz w:val="24"/>
          <w:szCs w:val="24"/>
          <w:highlight w:val="none"/>
        </w:rPr>
      </w:pPr>
    </w:p>
    <w:p>
      <w:pPr>
        <w:kinsoku/>
        <w:wordWrap/>
        <w:overflowPunct/>
        <w:bidi w:val="0"/>
        <w:snapToGrid w:val="0"/>
        <w:spacing w:beforeAutospacing="0" w:line="440" w:lineRule="exact"/>
        <w:ind w:left="0" w:leftChars="0" w:right="0"/>
        <w:rPr>
          <w:rFonts w:hint="eastAsia" w:ascii="仿宋" w:hAnsi="仿宋" w:eastAsia="仿宋" w:cs="仿宋"/>
          <w:color w:val="auto"/>
          <w:sz w:val="24"/>
          <w:szCs w:val="24"/>
          <w:highlight w:val="none"/>
        </w:rPr>
      </w:pPr>
    </w:p>
    <w:p>
      <w:pPr>
        <w:pStyle w:val="2"/>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p>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p>
    <w:p>
      <w:pPr>
        <w:kinsoku/>
        <w:wordWrap/>
        <w:overflowPunct/>
        <w:bidi w:val="0"/>
        <w:snapToGrid w:val="0"/>
        <w:spacing w:beforeAutospacing="0" w:line="440" w:lineRule="exact"/>
        <w:ind w:left="0" w:leftChars="0" w:right="0" w:rightChars="0"/>
        <w:jc w:val="both"/>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项目编号：XJPC-2021-026</w:t>
      </w:r>
    </w:p>
    <w:p>
      <w:pPr>
        <w:pStyle w:val="2"/>
        <w:kinsoku/>
        <w:wordWrap/>
        <w:overflowPunct/>
        <w:bidi w:val="0"/>
        <w:spacing w:beforeAutospacing="0" w:line="440" w:lineRule="exact"/>
        <w:ind w:left="0" w:leftChars="0" w:right="0"/>
        <w:jc w:val="both"/>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项目名称：乌鲁木齐市友谊医院运动心肺及康复系统（进口）采购项目</w:t>
      </w:r>
    </w:p>
    <w:p>
      <w:pPr>
        <w:keepNext w:val="0"/>
        <w:keepLines w:val="0"/>
        <w:pageBreakBefore w:val="0"/>
        <w:widowControl w:val="0"/>
        <w:kinsoku/>
        <w:wordWrap/>
        <w:overflowPunct/>
        <w:topLinePunct w:val="0"/>
        <w:autoSpaceDE/>
        <w:autoSpaceDN/>
        <w:bidi w:val="0"/>
        <w:snapToGrid w:val="0"/>
        <w:spacing w:beforeAutospacing="0" w:line="440" w:lineRule="exact"/>
        <w:ind w:left="0" w:leftChars="0" w:right="0" w:rightChars="0"/>
        <w:textAlignment w:val="auto"/>
        <w:rPr>
          <w:rFonts w:hint="eastAsia" w:ascii="仿宋" w:hAnsi="仿宋" w:eastAsia="仿宋" w:cs="仿宋"/>
          <w:b w:val="0"/>
          <w:bCs w:val="0"/>
          <w:color w:val="auto"/>
          <w:sz w:val="28"/>
          <w:szCs w:val="28"/>
          <w:highlight w:val="none"/>
          <w:lang w:eastAsia="zh-CN"/>
        </w:rPr>
      </w:pPr>
    </w:p>
    <w:p>
      <w:pPr>
        <w:pStyle w:val="45"/>
        <w:kinsoku/>
        <w:wordWrap/>
        <w:overflowPunct/>
        <w:bidi w:val="0"/>
        <w:spacing w:before="0" w:beforeAutospacing="0" w:after="0" w:afterAutospacing="0" w:line="440" w:lineRule="exact"/>
        <w:ind w:left="0" w:leftChars="0" w:right="0" w:rightChars="0"/>
        <w:textAlignment w:val="auto"/>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采购人名称：乌鲁木齐市友谊医院</w:t>
      </w:r>
    </w:p>
    <w:p>
      <w:pPr>
        <w:pStyle w:val="45"/>
        <w:kinsoku/>
        <w:wordWrap/>
        <w:overflowPunct/>
        <w:bidi w:val="0"/>
        <w:spacing w:before="0" w:beforeAutospacing="0" w:after="0" w:afterAutospacing="0" w:line="440" w:lineRule="exact"/>
        <w:ind w:left="0" w:leftChars="0" w:right="0" w:rightChars="0"/>
        <w:textAlignment w:val="auto"/>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采购人地址：乌鲁木齐市胜利路</w:t>
      </w:r>
    </w:p>
    <w:p>
      <w:pPr>
        <w:pStyle w:val="45"/>
        <w:kinsoku/>
        <w:wordWrap/>
        <w:overflowPunct/>
        <w:bidi w:val="0"/>
        <w:spacing w:before="0" w:beforeAutospacing="0" w:after="0" w:afterAutospacing="0" w:line="440" w:lineRule="exact"/>
        <w:ind w:left="0" w:leftChars="0" w:right="0" w:rightChars="0"/>
        <w:textAlignment w:val="auto"/>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 xml:space="preserve">项目联系人：杨再江 </w:t>
      </w:r>
    </w:p>
    <w:p>
      <w:pPr>
        <w:pStyle w:val="45"/>
        <w:kinsoku/>
        <w:wordWrap/>
        <w:overflowPunct/>
        <w:bidi w:val="0"/>
        <w:spacing w:before="0" w:beforeAutospacing="0" w:after="0" w:afterAutospacing="0" w:line="440" w:lineRule="exact"/>
        <w:ind w:left="0" w:leftChars="0" w:right="0" w:rightChars="0"/>
        <w:textAlignment w:val="auto"/>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 xml:space="preserve">项目联系方式：0991-2854144 </w:t>
      </w:r>
    </w:p>
    <w:p>
      <w:pPr>
        <w:pStyle w:val="45"/>
        <w:kinsoku/>
        <w:wordWrap/>
        <w:overflowPunct/>
        <w:bidi w:val="0"/>
        <w:spacing w:before="0" w:beforeAutospacing="0" w:after="0" w:afterAutospacing="0" w:line="440" w:lineRule="exact"/>
        <w:ind w:left="0" w:leftChars="0" w:right="0" w:rightChars="0"/>
        <w:textAlignment w:val="auto"/>
        <w:rPr>
          <w:rFonts w:hint="eastAsia" w:ascii="仿宋" w:hAnsi="仿宋" w:eastAsia="仿宋" w:cs="仿宋"/>
          <w:b w:val="0"/>
          <w:bCs w:val="0"/>
          <w:color w:val="auto"/>
          <w:kern w:val="2"/>
          <w:sz w:val="28"/>
          <w:szCs w:val="28"/>
          <w:highlight w:val="none"/>
          <w:lang w:val="en-US" w:eastAsia="zh-CN" w:bidi="ar-SA"/>
        </w:rPr>
      </w:pPr>
    </w:p>
    <w:p>
      <w:pPr>
        <w:pStyle w:val="45"/>
        <w:kinsoku/>
        <w:wordWrap/>
        <w:overflowPunct/>
        <w:bidi w:val="0"/>
        <w:spacing w:before="0" w:beforeAutospacing="0" w:after="0" w:afterAutospacing="0" w:line="440" w:lineRule="exact"/>
        <w:ind w:left="0" w:leftChars="0" w:right="0" w:rightChars="0"/>
        <w:textAlignment w:val="auto"/>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采购代理机构名称：新疆谱诚项目管理咨询有限公司</w:t>
      </w:r>
    </w:p>
    <w:p>
      <w:pPr>
        <w:pStyle w:val="45"/>
        <w:kinsoku/>
        <w:wordWrap/>
        <w:overflowPunct/>
        <w:bidi w:val="0"/>
        <w:spacing w:before="0" w:beforeAutospacing="0" w:after="0" w:afterAutospacing="0" w:line="440" w:lineRule="exact"/>
        <w:ind w:left="0" w:leftChars="0" w:right="0" w:rightChars="0"/>
        <w:textAlignment w:val="auto"/>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地址：乌鲁木齐市水磨沟区龙腾路1118号中央公园二期9栋503室</w:t>
      </w:r>
    </w:p>
    <w:p>
      <w:pPr>
        <w:pStyle w:val="45"/>
        <w:kinsoku/>
        <w:wordWrap/>
        <w:overflowPunct/>
        <w:bidi w:val="0"/>
        <w:spacing w:before="0" w:beforeAutospacing="0" w:after="0" w:afterAutospacing="0" w:line="440" w:lineRule="exact"/>
        <w:ind w:left="0" w:leftChars="0" w:right="0" w:rightChars="0"/>
        <w:textAlignment w:val="auto"/>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项目联系人：刘婧、齐欢</w:t>
      </w:r>
    </w:p>
    <w:p>
      <w:pPr>
        <w:pStyle w:val="45"/>
        <w:kinsoku/>
        <w:wordWrap/>
        <w:overflowPunct/>
        <w:bidi w:val="0"/>
        <w:spacing w:before="0" w:beforeAutospacing="0" w:after="0" w:afterAutospacing="0" w:line="440" w:lineRule="exact"/>
        <w:ind w:left="0" w:leftChars="0" w:right="0" w:rightChars="0"/>
        <w:textAlignment w:val="auto"/>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项目联系方式：15899126306</w:t>
      </w:r>
    </w:p>
    <w:p>
      <w:pPr>
        <w:pStyle w:val="31"/>
        <w:keepNext w:val="0"/>
        <w:keepLines w:val="0"/>
        <w:pageBreakBefore w:val="0"/>
        <w:widowControl w:val="0"/>
        <w:kinsoku/>
        <w:wordWrap/>
        <w:overflowPunct/>
        <w:topLinePunct w:val="0"/>
        <w:autoSpaceDE/>
        <w:autoSpaceDN/>
        <w:bidi w:val="0"/>
        <w:spacing w:beforeAutospacing="0" w:line="440" w:lineRule="exact"/>
        <w:ind w:left="0" w:leftChars="0" w:right="0" w:rightChars="0" w:firstLine="0" w:firstLineChars="0"/>
        <w:jc w:val="center"/>
        <w:textAlignment w:val="auto"/>
        <w:rPr>
          <w:rFonts w:hint="eastAsia"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kern w:val="2"/>
          <w:sz w:val="28"/>
          <w:szCs w:val="28"/>
          <w:highlight w:val="none"/>
          <w:lang w:val="en-US" w:eastAsia="zh-CN" w:bidi="ar-SA"/>
        </w:rPr>
        <w:t>二○二一年十月</w:t>
      </w:r>
    </w:p>
    <w:sdt>
      <w:sdtPr>
        <w:rPr>
          <w:rFonts w:hint="eastAsia" w:ascii="仿宋" w:hAnsi="仿宋" w:eastAsia="仿宋" w:cs="仿宋"/>
          <w:color w:val="auto"/>
          <w:sz w:val="24"/>
          <w:szCs w:val="24"/>
          <w:highlight w:val="none"/>
        </w:rPr>
        <w:id w:val="147455494"/>
        <w:docPartObj>
          <w:docPartGallery w:val="Table of Contents"/>
          <w:docPartUnique/>
        </w:docPartObj>
      </w:sdtPr>
      <w:sdtEndPr>
        <w:rPr>
          <w:rFonts w:hint="eastAsia" w:ascii="仿宋" w:hAnsi="仿宋" w:eastAsia="仿宋" w:cs="仿宋"/>
          <w:color w:val="auto"/>
          <w:sz w:val="24"/>
          <w:szCs w:val="24"/>
          <w:highlight w:val="none"/>
        </w:rPr>
      </w:sdtEndPr>
      <w:sdtContent>
        <w:p>
          <w:pPr>
            <w:kinsoku/>
            <w:wordWrap/>
            <w:overflowPunct/>
            <w:bidi w:val="0"/>
            <w:spacing w:beforeAutospacing="0" w:line="440" w:lineRule="exact"/>
            <w:ind w:left="0" w:leftChars="0" w:right="0"/>
            <w:jc w:val="center"/>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pPr>
            <w:kinsoku/>
            <w:wordWrap/>
            <w:overflowPunct/>
            <w:bidi w:val="0"/>
            <w:spacing w:beforeAutospacing="0" w:line="440" w:lineRule="exact"/>
            <w:ind w:left="0" w:leftChars="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目</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录</w:t>
          </w:r>
        </w:p>
        <w:p>
          <w:pPr>
            <w:pStyle w:val="404"/>
            <w:tabs>
              <w:tab w:val="right" w:leader="dot" w:pos="8312"/>
            </w:tabs>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TOC \o "1-1" \h \u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"_Toc17860"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第一章    投标邀请函</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_Toc17860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404"/>
            <w:tabs>
              <w:tab w:val="right" w:leader="dot" w:pos="8312"/>
            </w:tabs>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"_Toc8919"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第二章    投标人须知</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_Toc8919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5</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404"/>
            <w:tabs>
              <w:tab w:val="right" w:leader="dot" w:pos="8312"/>
            </w:tabs>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"_Toc10316"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第三章 采购需求</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_Toc10316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38</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404"/>
            <w:tabs>
              <w:tab w:val="right" w:leader="dot" w:pos="8312"/>
            </w:tabs>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"_Toc11193"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第四章 合同格式（参考）</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_Toc11193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42</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404"/>
            <w:tabs>
              <w:tab w:val="right" w:leader="dot" w:pos="8312"/>
            </w:tabs>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"_Toc16604"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kern w:val="2"/>
              <w:sz w:val="24"/>
              <w:szCs w:val="24"/>
              <w:highlight w:val="none"/>
            </w:rPr>
            <w:t>第五部分  投标文件格式</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_Toc16604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46</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404"/>
            <w:tabs>
              <w:tab w:val="right" w:leader="dot" w:pos="8312"/>
            </w:tabs>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p>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end"/>
          </w:r>
        </w:p>
      </w:sdtContent>
    </w:sdt>
    <w:p>
      <w:pPr>
        <w:kinsoku/>
        <w:wordWrap/>
        <w:overflowPunct/>
        <w:bidi w:val="0"/>
        <w:spacing w:beforeAutospacing="0" w:line="440" w:lineRule="exact"/>
        <w:ind w:left="0" w:leftChars="0" w:right="0"/>
        <w:rPr>
          <w:rFonts w:hint="eastAsia" w:ascii="仿宋" w:hAnsi="仿宋" w:eastAsia="仿宋" w:cs="仿宋"/>
          <w:b/>
          <w:color w:val="auto"/>
          <w:sz w:val="24"/>
          <w:szCs w:val="24"/>
          <w:highlight w:val="none"/>
        </w:rPr>
      </w:pPr>
      <w:bookmarkStart w:id="0" w:name="_Toc17860"/>
      <w:r>
        <w:rPr>
          <w:rFonts w:hint="eastAsia" w:ascii="仿宋" w:hAnsi="仿宋" w:eastAsia="仿宋" w:cs="仿宋"/>
          <w:b/>
          <w:color w:val="auto"/>
          <w:sz w:val="24"/>
          <w:szCs w:val="24"/>
          <w:highlight w:val="none"/>
        </w:rPr>
        <w:br w:type="page"/>
      </w:r>
    </w:p>
    <w:p>
      <w:pPr>
        <w:widowControl/>
        <w:kinsoku/>
        <w:wordWrap/>
        <w:overflowPunct/>
        <w:bidi w:val="0"/>
        <w:spacing w:beforeAutospacing="0" w:line="440" w:lineRule="exact"/>
        <w:ind w:left="0" w:leftChars="0" w:right="0"/>
        <w:jc w:val="center"/>
        <w:outlineLvl w:val="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第一章    投标邀请函</w:t>
      </w:r>
      <w:bookmarkEnd w:id="0"/>
    </w:p>
    <w:p>
      <w:pPr>
        <w:pStyle w:val="45"/>
        <w:kinsoku/>
        <w:wordWrap/>
        <w:overflowPunct/>
        <w:bidi w:val="0"/>
        <w:spacing w:before="0" w:beforeAutospacing="0" w:after="0" w:after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项目概况</w:t>
      </w:r>
    </w:p>
    <w:p>
      <w:pPr>
        <w:pStyle w:val="45"/>
        <w:kinsoku/>
        <w:wordWrap/>
        <w:overflowPunct/>
        <w:bidi w:val="0"/>
        <w:spacing w:before="0" w:beforeAutospacing="0" w:after="0" w:after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乌鲁木齐市友谊医院运动心肺及康复系统（进口）采购项目</w:t>
      </w:r>
      <w:r>
        <w:rPr>
          <w:rFonts w:hint="eastAsia" w:ascii="仿宋" w:hAnsi="仿宋" w:eastAsia="仿宋" w:cs="仿宋"/>
          <w:color w:val="auto"/>
          <w:sz w:val="24"/>
          <w:szCs w:val="24"/>
          <w:highlight w:val="none"/>
        </w:rPr>
        <w:t>的潜在投标人应在</w:t>
      </w:r>
      <w:r>
        <w:rPr>
          <w:rFonts w:hint="eastAsia" w:ascii="仿宋" w:hAnsi="仿宋" w:eastAsia="仿宋" w:cs="仿宋"/>
          <w:color w:val="auto"/>
          <w:sz w:val="24"/>
          <w:szCs w:val="24"/>
          <w:highlight w:val="none"/>
          <w:u w:val="single"/>
        </w:rPr>
        <w:t>乌鲁木齐市水磨沟区龙腾路1118号中央公园二期9栋商务办公楼办公用房503室</w:t>
      </w:r>
      <w:r>
        <w:rPr>
          <w:rFonts w:hint="eastAsia" w:ascii="仿宋" w:hAnsi="仿宋" w:eastAsia="仿宋" w:cs="仿宋"/>
          <w:color w:val="auto"/>
          <w:sz w:val="24"/>
          <w:szCs w:val="24"/>
          <w:highlight w:val="none"/>
        </w:rPr>
        <w:t>获取招标文件，并于</w:t>
      </w:r>
      <w:r>
        <w:rPr>
          <w:rFonts w:hint="eastAsia" w:ascii="仿宋" w:hAnsi="仿宋" w:eastAsia="仿宋" w:cs="仿宋"/>
          <w:color w:val="auto"/>
          <w:sz w:val="24"/>
          <w:szCs w:val="24"/>
          <w:highlight w:val="none"/>
          <w:u w:val="single"/>
        </w:rPr>
        <w:t>2021年11月8日 16:00</w:t>
      </w:r>
      <w:r>
        <w:rPr>
          <w:rFonts w:hint="eastAsia" w:ascii="仿宋" w:hAnsi="仿宋" w:eastAsia="仿宋" w:cs="仿宋"/>
          <w:color w:val="auto"/>
          <w:sz w:val="24"/>
          <w:szCs w:val="24"/>
          <w:highlight w:val="none"/>
        </w:rPr>
        <w:t>（北京时间）</w:t>
      </w:r>
    </w:p>
    <w:p>
      <w:pPr>
        <w:pStyle w:val="45"/>
        <w:kinsoku/>
        <w:wordWrap/>
        <w:overflowPunct/>
        <w:bidi w:val="0"/>
        <w:spacing w:before="0" w:beforeAutospacing="0" w:after="0" w:after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前递交投标文件。</w:t>
      </w:r>
    </w:p>
    <w:p>
      <w:pPr>
        <w:pStyle w:val="45"/>
        <w:kinsoku/>
        <w:wordWrap/>
        <w:overflowPunct/>
        <w:bidi w:val="0"/>
        <w:spacing w:before="0" w:beforeAutospacing="0" w:after="0" w:afterAutospacing="0" w:line="440" w:lineRule="exact"/>
        <w:ind w:left="0" w:leftChars="0" w:right="0"/>
        <w:jc w:val="both"/>
        <w:rPr>
          <w:rFonts w:hint="eastAsia" w:ascii="仿宋" w:hAnsi="仿宋" w:eastAsia="仿宋" w:cs="仿宋"/>
          <w:color w:val="auto"/>
          <w:sz w:val="24"/>
          <w:szCs w:val="24"/>
          <w:highlight w:val="none"/>
        </w:rPr>
      </w:pPr>
      <w:r>
        <w:rPr>
          <w:rStyle w:val="56"/>
          <w:rFonts w:hint="eastAsia" w:ascii="仿宋" w:hAnsi="仿宋" w:eastAsia="仿宋" w:cs="仿宋"/>
          <w:color w:val="auto"/>
          <w:sz w:val="24"/>
          <w:szCs w:val="24"/>
          <w:highlight w:val="none"/>
        </w:rPr>
        <w:t>一、项目基本情况</w:t>
      </w:r>
    </w:p>
    <w:p>
      <w:pPr>
        <w:pStyle w:val="45"/>
        <w:kinsoku/>
        <w:wordWrap/>
        <w:overflowPunct/>
        <w:bidi w:val="0"/>
        <w:spacing w:before="0" w:beforeAutospacing="0" w:after="0" w:after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项目编号：XJPC-2021-026</w:t>
      </w:r>
    </w:p>
    <w:p>
      <w:pPr>
        <w:pStyle w:val="45"/>
        <w:kinsoku/>
        <w:wordWrap/>
        <w:overflowPunct/>
        <w:bidi w:val="0"/>
        <w:spacing w:before="0" w:beforeAutospacing="0" w:after="0" w:after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项目名称：乌鲁木齐市友谊医院运动心肺及康复系统（进口）采购项目</w:t>
      </w:r>
    </w:p>
    <w:p>
      <w:pPr>
        <w:pStyle w:val="45"/>
        <w:kinsoku/>
        <w:wordWrap/>
        <w:overflowPunct/>
        <w:bidi w:val="0"/>
        <w:spacing w:before="0" w:beforeAutospacing="0" w:after="0" w:after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预算金额（万元）130.00</w:t>
      </w:r>
    </w:p>
    <w:p>
      <w:pPr>
        <w:pStyle w:val="45"/>
        <w:kinsoku/>
        <w:wordWrap/>
        <w:overflowPunct/>
        <w:bidi w:val="0"/>
        <w:spacing w:before="0" w:beforeAutospacing="0" w:after="0" w:after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采购内容：动心肺及康复系统（进口）（包括：功率车、椭圆仪）（详见采购文件）</w:t>
      </w:r>
    </w:p>
    <w:p>
      <w:pPr>
        <w:pStyle w:val="45"/>
        <w:kinsoku/>
        <w:wordWrap/>
        <w:overflowPunct/>
        <w:bidi w:val="0"/>
        <w:spacing w:before="0" w:beforeAutospacing="0" w:after="0" w:after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合同履行期限：详见招标文件</w:t>
      </w:r>
    </w:p>
    <w:p>
      <w:pPr>
        <w:pStyle w:val="45"/>
        <w:kinsoku/>
        <w:wordWrap/>
        <w:overflowPunct/>
        <w:bidi w:val="0"/>
        <w:spacing w:before="0" w:beforeAutospacing="0" w:after="0" w:after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本项目（否）接受联合体投标。</w:t>
      </w:r>
    </w:p>
    <w:p>
      <w:pPr>
        <w:pStyle w:val="45"/>
        <w:kinsoku/>
        <w:wordWrap/>
        <w:overflowPunct/>
        <w:bidi w:val="0"/>
        <w:spacing w:before="0" w:beforeAutospacing="0" w:after="0" w:afterAutospacing="0" w:line="440" w:lineRule="exact"/>
        <w:ind w:left="0" w:leftChars="0" w:right="0"/>
        <w:rPr>
          <w:rFonts w:hint="eastAsia" w:ascii="仿宋" w:hAnsi="仿宋" w:eastAsia="仿宋" w:cs="仿宋"/>
          <w:color w:val="auto"/>
          <w:sz w:val="24"/>
          <w:szCs w:val="24"/>
          <w:highlight w:val="none"/>
        </w:rPr>
      </w:pPr>
      <w:r>
        <w:rPr>
          <w:rStyle w:val="56"/>
          <w:rFonts w:hint="eastAsia" w:ascii="仿宋" w:hAnsi="仿宋" w:eastAsia="仿宋" w:cs="仿宋"/>
          <w:color w:val="auto"/>
          <w:sz w:val="24"/>
          <w:szCs w:val="24"/>
          <w:highlight w:val="none"/>
        </w:rPr>
        <w:t>二、申请人的资格要求：</w:t>
      </w:r>
    </w:p>
    <w:p>
      <w:pPr>
        <w:pStyle w:val="45"/>
        <w:kinsoku/>
        <w:wordWrap/>
        <w:overflowPunct/>
        <w:bidi w:val="0"/>
        <w:spacing w:before="0" w:beforeAutospacing="0" w:after="0" w:after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1、满足《中华人民共和国政府采购法》第二十二条规定；</w:t>
      </w:r>
    </w:p>
    <w:p>
      <w:pPr>
        <w:pStyle w:val="45"/>
        <w:kinsoku/>
        <w:wordWrap/>
        <w:overflowPunct/>
        <w:bidi w:val="0"/>
        <w:spacing w:before="0" w:beforeAutospacing="0" w:after="0" w:after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2、具有有效营业执照的国内独立法人资格，具有独立承担民事责任的能力；</w:t>
      </w:r>
    </w:p>
    <w:p>
      <w:pPr>
        <w:pStyle w:val="45"/>
        <w:kinsoku/>
        <w:wordWrap/>
        <w:overflowPunct/>
        <w:bidi w:val="0"/>
        <w:spacing w:before="0" w:beforeAutospacing="0" w:after="0" w:after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所投产品属于第二类医疗器械的，需提供有效的行政主管部门颁发的医疗器械经营备案凭证（或医疗器械生产许可证或医疗器械经营许可证或其他医疗器械生产经营许可证明文件）；所投产品属于第三类医疗器械的，需提供有效的行政主管部门颁发的医疗器械生产许可证（或医疗器械经营许可证或其他医疗器械生产经营许可证明文件）,进口产品须提供制造商为本项目给予投标人投标产品的制造商授权书（可提供总代理授权）服务承诺函。所有证件必须在有效期内;</w:t>
      </w:r>
    </w:p>
    <w:p>
      <w:pPr>
        <w:pStyle w:val="45"/>
        <w:kinsoku/>
        <w:wordWrap/>
        <w:overflowPunct/>
        <w:bidi w:val="0"/>
        <w:spacing w:before="0" w:beforeAutospacing="0" w:after="0" w:after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4、经信用中国（www.creditchina.gov.cn）、中国政府采购网（www.ccgp.gov.cn）、 国家企业信用信息公示（http://www.gsxt.gov.cn/）等渠道查询后，列入失信被执行人、重大税收违法案件当事人名单、政府采购严重违法失信行为记录名单的，取消投标资格。（提供“信用中国”《中国政府采购网》网站无任何不良记录的查询截图，时间为投标截止时间前20天内）；</w:t>
      </w:r>
    </w:p>
    <w:p>
      <w:pPr>
        <w:pStyle w:val="45"/>
        <w:kinsoku/>
        <w:wordWrap/>
        <w:overflowPunct/>
        <w:bidi w:val="0"/>
        <w:spacing w:before="0" w:beforeAutospacing="0" w:after="0" w:after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5、本项目不接受联合体</w:t>
      </w:r>
    </w:p>
    <w:p>
      <w:pPr>
        <w:pStyle w:val="45"/>
        <w:kinsoku/>
        <w:wordWrap/>
        <w:overflowPunct/>
        <w:bidi w:val="0"/>
        <w:spacing w:before="0" w:beforeAutospacing="0" w:after="0" w:afterAutospacing="0" w:line="440" w:lineRule="exact"/>
        <w:ind w:left="0" w:leftChars="0" w:right="0"/>
        <w:rPr>
          <w:rFonts w:hint="eastAsia" w:ascii="仿宋" w:hAnsi="仿宋" w:eastAsia="仿宋" w:cs="仿宋"/>
          <w:color w:val="auto"/>
          <w:sz w:val="24"/>
          <w:szCs w:val="24"/>
          <w:highlight w:val="none"/>
        </w:rPr>
      </w:pPr>
      <w:r>
        <w:rPr>
          <w:rStyle w:val="56"/>
          <w:rFonts w:hint="eastAsia" w:ascii="仿宋" w:hAnsi="仿宋" w:eastAsia="仿宋" w:cs="仿宋"/>
          <w:color w:val="auto"/>
          <w:sz w:val="24"/>
          <w:szCs w:val="24"/>
          <w:highlight w:val="none"/>
        </w:rPr>
        <w:t>三、获取招标文件</w:t>
      </w:r>
    </w:p>
    <w:p>
      <w:pPr>
        <w:pStyle w:val="45"/>
        <w:kinsoku/>
        <w:wordWrap/>
        <w:overflowPunct/>
        <w:bidi w:val="0"/>
        <w:spacing w:before="0" w:beforeAutospacing="0" w:after="0" w:after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时间：</w:t>
      </w:r>
      <w:r>
        <w:rPr>
          <w:rFonts w:hint="eastAsia" w:ascii="仿宋" w:hAnsi="仿宋" w:eastAsia="仿宋" w:cs="仿宋"/>
          <w:color w:val="auto"/>
          <w:sz w:val="24"/>
          <w:szCs w:val="24"/>
          <w:highlight w:val="none"/>
          <w:u w:val="single"/>
        </w:rPr>
        <w:t>2021年10月1</w:t>
      </w:r>
      <w:r>
        <w:rPr>
          <w:rFonts w:hint="eastAsia" w:ascii="仿宋" w:hAnsi="仿宋" w:eastAsia="仿宋" w:cs="仿宋"/>
          <w:color w:val="auto"/>
          <w:sz w:val="24"/>
          <w:szCs w:val="24"/>
          <w:highlight w:val="none"/>
          <w:u w:val="single"/>
          <w:lang w:val="en-US" w:eastAsia="zh-CN"/>
        </w:rPr>
        <w:t>9</w:t>
      </w:r>
      <w:r>
        <w:rPr>
          <w:rFonts w:hint="eastAsia" w:ascii="仿宋" w:hAnsi="仿宋" w:eastAsia="仿宋" w:cs="仿宋"/>
          <w:color w:val="auto"/>
          <w:sz w:val="24"/>
          <w:szCs w:val="24"/>
          <w:highlight w:val="none"/>
          <w:u w:val="single"/>
        </w:rPr>
        <w:t>日</w:t>
      </w:r>
      <w:r>
        <w:rPr>
          <w:rFonts w:hint="eastAsia" w:ascii="仿宋" w:hAnsi="仿宋" w:eastAsia="仿宋" w:cs="仿宋"/>
          <w:color w:val="auto"/>
          <w:sz w:val="24"/>
          <w:szCs w:val="24"/>
          <w:highlight w:val="none"/>
        </w:rPr>
        <w:t>至</w:t>
      </w:r>
      <w:r>
        <w:rPr>
          <w:rFonts w:hint="eastAsia" w:ascii="仿宋" w:hAnsi="仿宋" w:eastAsia="仿宋" w:cs="仿宋"/>
          <w:color w:val="auto"/>
          <w:sz w:val="24"/>
          <w:szCs w:val="24"/>
          <w:highlight w:val="none"/>
          <w:u w:val="single"/>
        </w:rPr>
        <w:t>2021</w:t>
      </w:r>
      <w:r>
        <w:rPr>
          <w:rFonts w:hint="eastAsia" w:ascii="仿宋" w:hAnsi="仿宋" w:eastAsia="仿宋" w:cs="仿宋"/>
          <w:color w:val="auto"/>
          <w:sz w:val="24"/>
          <w:szCs w:val="24"/>
          <w:highlight w:val="none"/>
        </w:rPr>
        <w:t>年10月2</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日00:00（</w:t>
      </w:r>
      <w:r>
        <w:rPr>
          <w:rFonts w:hint="eastAsia" w:ascii="仿宋" w:hAnsi="仿宋" w:eastAsia="仿宋" w:cs="仿宋"/>
          <w:color w:val="auto"/>
          <w:sz w:val="24"/>
          <w:szCs w:val="24"/>
          <w:highlight w:val="none"/>
          <w:u w:val="single"/>
        </w:rPr>
        <w:t>北京时间）</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10:00至13:30</w:t>
      </w:r>
      <w:r>
        <w:rPr>
          <w:rFonts w:hint="eastAsia" w:ascii="仿宋" w:hAnsi="仿宋" w:eastAsia="仿宋" w:cs="仿宋"/>
          <w:color w:val="auto"/>
          <w:sz w:val="24"/>
          <w:szCs w:val="24"/>
          <w:highlight w:val="none"/>
        </w:rPr>
        <w:t>，下午</w:t>
      </w:r>
      <w:r>
        <w:rPr>
          <w:rFonts w:hint="eastAsia" w:ascii="仿宋" w:hAnsi="仿宋" w:eastAsia="仿宋" w:cs="仿宋"/>
          <w:color w:val="auto"/>
          <w:sz w:val="24"/>
          <w:szCs w:val="24"/>
          <w:highlight w:val="none"/>
          <w:u w:val="single"/>
        </w:rPr>
        <w:t>15:30至18:00</w:t>
      </w:r>
      <w:r>
        <w:rPr>
          <w:rFonts w:hint="eastAsia" w:ascii="仿宋" w:hAnsi="仿宋" w:eastAsia="仿宋" w:cs="仿宋"/>
          <w:color w:val="auto"/>
          <w:sz w:val="24"/>
          <w:szCs w:val="24"/>
          <w:highlight w:val="none"/>
        </w:rPr>
        <w:t>（北京时间，法定节假日除外）</w:t>
      </w:r>
    </w:p>
    <w:p>
      <w:pPr>
        <w:pStyle w:val="45"/>
        <w:kinsoku/>
        <w:wordWrap/>
        <w:overflowPunct/>
        <w:bidi w:val="0"/>
        <w:spacing w:before="0" w:beforeAutospacing="0" w:after="0" w:after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地点：</w:t>
      </w:r>
      <w:r>
        <w:rPr>
          <w:rFonts w:hint="eastAsia" w:ascii="仿宋" w:hAnsi="仿宋" w:eastAsia="仿宋" w:cs="仿宋"/>
          <w:color w:val="auto"/>
          <w:sz w:val="24"/>
          <w:szCs w:val="24"/>
          <w:highlight w:val="none"/>
          <w:u w:val="single"/>
        </w:rPr>
        <w:t>乌鲁木齐市水磨沟区龙腾路1118号中央公园二期9栋商务办公楼办公用房503室</w:t>
      </w:r>
    </w:p>
    <w:p>
      <w:pPr>
        <w:pStyle w:val="45"/>
        <w:kinsoku/>
        <w:wordWrap/>
        <w:overflowPunct/>
        <w:bidi w:val="0"/>
        <w:spacing w:before="0" w:beforeAutospacing="0" w:after="0" w:after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方式：现场购买</w:t>
      </w:r>
    </w:p>
    <w:p>
      <w:pPr>
        <w:pStyle w:val="45"/>
        <w:kinsoku/>
        <w:wordWrap/>
        <w:overflowPunct/>
        <w:bidi w:val="0"/>
        <w:spacing w:before="0" w:beforeAutospacing="0" w:after="0" w:after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售价（元）：200元/份</w:t>
      </w:r>
    </w:p>
    <w:p>
      <w:pPr>
        <w:pStyle w:val="45"/>
        <w:kinsoku/>
        <w:wordWrap/>
        <w:overflowPunct/>
        <w:bidi w:val="0"/>
        <w:spacing w:before="0" w:beforeAutospacing="0" w:after="0" w:afterAutospacing="0" w:line="440" w:lineRule="exact"/>
        <w:ind w:left="0" w:leftChars="0" w:right="0"/>
        <w:jc w:val="both"/>
        <w:rPr>
          <w:rFonts w:hint="eastAsia" w:ascii="仿宋" w:hAnsi="仿宋" w:eastAsia="仿宋" w:cs="仿宋"/>
          <w:color w:val="auto"/>
          <w:sz w:val="24"/>
          <w:szCs w:val="24"/>
          <w:highlight w:val="none"/>
        </w:rPr>
      </w:pPr>
      <w:r>
        <w:rPr>
          <w:rStyle w:val="56"/>
          <w:rFonts w:hint="eastAsia" w:ascii="仿宋" w:hAnsi="仿宋" w:eastAsia="仿宋" w:cs="仿宋"/>
          <w:color w:val="auto"/>
          <w:sz w:val="24"/>
          <w:szCs w:val="24"/>
          <w:highlight w:val="none"/>
        </w:rPr>
        <w:t>四、提交投标文件截止时间、开标时间和地点</w:t>
      </w:r>
    </w:p>
    <w:p>
      <w:pPr>
        <w:pStyle w:val="45"/>
        <w:kinsoku/>
        <w:wordWrap/>
        <w:overflowPunct/>
        <w:bidi w:val="0"/>
        <w:spacing w:before="0" w:beforeAutospacing="0" w:after="0" w:after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提交投标文件截止时间：</w:t>
      </w:r>
      <w:r>
        <w:rPr>
          <w:rFonts w:hint="eastAsia" w:ascii="仿宋" w:hAnsi="仿宋" w:eastAsia="仿宋" w:cs="仿宋"/>
          <w:color w:val="auto"/>
          <w:sz w:val="24"/>
          <w:szCs w:val="24"/>
          <w:highlight w:val="none"/>
          <w:u w:val="single"/>
        </w:rPr>
        <w:t>2021年11月8日 16:00</w:t>
      </w:r>
      <w:r>
        <w:rPr>
          <w:rFonts w:hint="eastAsia" w:ascii="仿宋" w:hAnsi="仿宋" w:eastAsia="仿宋" w:cs="仿宋"/>
          <w:color w:val="auto"/>
          <w:sz w:val="24"/>
          <w:szCs w:val="24"/>
          <w:highlight w:val="none"/>
        </w:rPr>
        <w:t>（北京时间）</w:t>
      </w:r>
    </w:p>
    <w:p>
      <w:pPr>
        <w:pStyle w:val="45"/>
        <w:kinsoku/>
        <w:wordWrap/>
        <w:overflowPunct/>
        <w:bidi w:val="0"/>
        <w:spacing w:before="0" w:beforeAutospacing="0" w:after="0" w:afterAutospacing="0" w:line="440" w:lineRule="exact"/>
        <w:ind w:left="0" w:leftChars="0" w:right="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投标地点：</w:t>
      </w:r>
      <w:r>
        <w:rPr>
          <w:rFonts w:hint="eastAsia" w:ascii="仿宋" w:hAnsi="仿宋" w:eastAsia="仿宋" w:cs="仿宋"/>
          <w:color w:val="auto"/>
          <w:sz w:val="24"/>
          <w:szCs w:val="24"/>
          <w:highlight w:val="none"/>
          <w:u w:val="single"/>
        </w:rPr>
        <w:t>乌鲁木齐市水磨沟区龙腾路1118号中央公园二期9栋商务办公楼办公用房401室</w:t>
      </w:r>
    </w:p>
    <w:p>
      <w:pPr>
        <w:pStyle w:val="45"/>
        <w:kinsoku/>
        <w:wordWrap/>
        <w:overflowPunct/>
        <w:bidi w:val="0"/>
        <w:spacing w:before="0" w:beforeAutospacing="0" w:after="0" w:after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开标时间：</w:t>
      </w:r>
      <w:r>
        <w:rPr>
          <w:rFonts w:hint="eastAsia" w:ascii="仿宋" w:hAnsi="仿宋" w:eastAsia="仿宋" w:cs="仿宋"/>
          <w:color w:val="auto"/>
          <w:sz w:val="24"/>
          <w:szCs w:val="24"/>
          <w:highlight w:val="none"/>
          <w:u w:val="single"/>
        </w:rPr>
        <w:t>2021年11月8日 16:00</w:t>
      </w:r>
      <w:r>
        <w:rPr>
          <w:rFonts w:hint="eastAsia" w:ascii="仿宋" w:hAnsi="仿宋" w:eastAsia="仿宋" w:cs="仿宋"/>
          <w:color w:val="auto"/>
          <w:sz w:val="24"/>
          <w:szCs w:val="24"/>
          <w:highlight w:val="none"/>
        </w:rPr>
        <w:t>（北京时间）</w:t>
      </w:r>
    </w:p>
    <w:p>
      <w:pPr>
        <w:pStyle w:val="45"/>
        <w:kinsoku/>
        <w:wordWrap/>
        <w:overflowPunct/>
        <w:bidi w:val="0"/>
        <w:spacing w:before="0" w:beforeAutospacing="0" w:after="0" w:after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开标地点：</w:t>
      </w:r>
      <w:r>
        <w:rPr>
          <w:rFonts w:hint="eastAsia" w:ascii="仿宋" w:hAnsi="仿宋" w:eastAsia="仿宋" w:cs="仿宋"/>
          <w:color w:val="auto"/>
          <w:sz w:val="24"/>
          <w:szCs w:val="24"/>
          <w:highlight w:val="none"/>
          <w:u w:val="single"/>
        </w:rPr>
        <w:t>乌鲁木齐市水磨沟区龙腾路1118号中央公园二期9栋商务办公楼办公用房401室</w:t>
      </w:r>
    </w:p>
    <w:p>
      <w:pPr>
        <w:pStyle w:val="45"/>
        <w:kinsoku/>
        <w:wordWrap/>
        <w:overflowPunct/>
        <w:bidi w:val="0"/>
        <w:spacing w:before="0" w:beforeAutospacing="0" w:after="0" w:afterAutospacing="0" w:line="440" w:lineRule="exact"/>
        <w:ind w:left="0" w:leftChars="0" w:right="0"/>
        <w:jc w:val="both"/>
        <w:rPr>
          <w:rFonts w:hint="eastAsia" w:ascii="仿宋" w:hAnsi="仿宋" w:eastAsia="仿宋" w:cs="仿宋"/>
          <w:color w:val="auto"/>
          <w:sz w:val="24"/>
          <w:szCs w:val="24"/>
          <w:highlight w:val="none"/>
        </w:rPr>
      </w:pPr>
      <w:r>
        <w:rPr>
          <w:rStyle w:val="56"/>
          <w:rFonts w:hint="eastAsia" w:ascii="仿宋" w:hAnsi="仿宋" w:eastAsia="仿宋" w:cs="仿宋"/>
          <w:color w:val="auto"/>
          <w:sz w:val="24"/>
          <w:szCs w:val="24"/>
          <w:highlight w:val="none"/>
        </w:rPr>
        <w:t>五、公告期限</w:t>
      </w:r>
    </w:p>
    <w:p>
      <w:pPr>
        <w:pStyle w:val="45"/>
        <w:kinsoku/>
        <w:wordWrap/>
        <w:overflowPunct/>
        <w:bidi w:val="0"/>
        <w:spacing w:before="0" w:beforeAutospacing="0" w:after="0" w:after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自本公告发布之日起5个工作日。</w:t>
      </w:r>
    </w:p>
    <w:p>
      <w:pPr>
        <w:pStyle w:val="45"/>
        <w:kinsoku/>
        <w:wordWrap/>
        <w:overflowPunct/>
        <w:bidi w:val="0"/>
        <w:spacing w:before="0" w:beforeAutospacing="0" w:after="0" w:afterAutospacing="0" w:line="440" w:lineRule="exact"/>
        <w:ind w:left="0" w:leftChars="0" w:right="0"/>
        <w:jc w:val="both"/>
        <w:rPr>
          <w:rFonts w:hint="eastAsia" w:ascii="仿宋" w:hAnsi="仿宋" w:eastAsia="仿宋" w:cs="仿宋"/>
          <w:color w:val="auto"/>
          <w:sz w:val="24"/>
          <w:szCs w:val="24"/>
          <w:highlight w:val="none"/>
        </w:rPr>
      </w:pPr>
      <w:r>
        <w:rPr>
          <w:rStyle w:val="56"/>
          <w:rFonts w:hint="eastAsia" w:ascii="仿宋" w:hAnsi="仿宋" w:eastAsia="仿宋" w:cs="仿宋"/>
          <w:color w:val="auto"/>
          <w:sz w:val="24"/>
          <w:szCs w:val="24"/>
          <w:highlight w:val="none"/>
        </w:rPr>
        <w:t>六、其他补充事宜</w:t>
      </w:r>
    </w:p>
    <w:p>
      <w:pPr>
        <w:pStyle w:val="45"/>
        <w:kinsoku/>
        <w:wordWrap/>
        <w:overflowPunct/>
        <w:bidi w:val="0"/>
        <w:spacing w:before="0" w:beforeAutospacing="0" w:after="0" w:after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报名时请随身携带法定代表人授权委托书及被授权人的身份证原件或相关资格证明文件、三证合一的《营业执照》原件、</w:t>
      </w:r>
      <w:r>
        <w:rPr>
          <w:rFonts w:hint="eastAsia" w:ascii="仿宋" w:hAnsi="仿宋" w:eastAsia="仿宋" w:cs="仿宋"/>
          <w:color w:val="auto"/>
          <w:sz w:val="24"/>
          <w:szCs w:val="24"/>
          <w:highlight w:val="none"/>
          <w:shd w:val="clear" w:color="auto" w:fill="FFFFFF"/>
        </w:rPr>
        <w:t>以及申请人的资格要求：第三条规定的相应产品许可证书，</w:t>
      </w:r>
      <w:r>
        <w:rPr>
          <w:rFonts w:hint="eastAsia" w:ascii="仿宋" w:hAnsi="仿宋" w:eastAsia="仿宋" w:cs="仿宋"/>
          <w:color w:val="auto"/>
          <w:sz w:val="24"/>
          <w:szCs w:val="24"/>
          <w:highlight w:val="none"/>
        </w:rPr>
        <w:t>通过</w:t>
      </w:r>
      <w:r>
        <w:rPr>
          <w:rFonts w:hint="eastAsia" w:ascii="仿宋" w:hAnsi="仿宋" w:eastAsia="仿宋" w:cs="仿宋"/>
          <w:color w:val="auto"/>
          <w:sz w:val="24"/>
          <w:szCs w:val="24"/>
          <w:highlight w:val="none"/>
          <w:shd w:val="clear" w:color="auto" w:fill="FFFFFF"/>
        </w:rPr>
        <w:t>“信用中国”网站（www.creditchina.gov.cn）和中国政府采购网（www.ccgp.gov.cn）渠道查询的本单位信用记录的网页，以上所有资料提供原件及复印件加盖投标单位公章的复印件贰套，资料不齐不予受理。</w:t>
      </w:r>
    </w:p>
    <w:p>
      <w:pPr>
        <w:pStyle w:val="45"/>
        <w:kinsoku/>
        <w:wordWrap/>
        <w:overflowPunct/>
        <w:bidi w:val="0"/>
        <w:spacing w:before="0" w:beforeAutospacing="0" w:after="0" w:afterAutospacing="0" w:line="440" w:lineRule="exact"/>
        <w:ind w:left="0" w:leftChars="0" w:right="0"/>
        <w:rPr>
          <w:rFonts w:hint="eastAsia" w:ascii="仿宋" w:hAnsi="仿宋" w:eastAsia="仿宋" w:cs="仿宋"/>
          <w:color w:val="auto"/>
          <w:sz w:val="24"/>
          <w:szCs w:val="24"/>
          <w:highlight w:val="none"/>
        </w:rPr>
      </w:pPr>
      <w:r>
        <w:rPr>
          <w:rStyle w:val="56"/>
          <w:rFonts w:hint="eastAsia" w:ascii="仿宋" w:hAnsi="仿宋" w:eastAsia="仿宋" w:cs="仿宋"/>
          <w:color w:val="auto"/>
          <w:sz w:val="24"/>
          <w:szCs w:val="24"/>
          <w:highlight w:val="none"/>
        </w:rPr>
        <w:t>七、对本次招标提出询问，请按以下方式联系。</w:t>
      </w:r>
    </w:p>
    <w:p>
      <w:pPr>
        <w:pStyle w:val="45"/>
        <w:kinsoku/>
        <w:wordWrap/>
        <w:overflowPunct/>
        <w:bidi w:val="0"/>
        <w:spacing w:before="0" w:beforeAutospacing="0" w:after="0" w:after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1.采购人信息</w:t>
      </w:r>
    </w:p>
    <w:p>
      <w:pPr>
        <w:pStyle w:val="45"/>
        <w:kinsoku/>
        <w:wordWrap/>
        <w:overflowPunct/>
        <w:bidi w:val="0"/>
        <w:spacing w:before="0" w:beforeAutospacing="0" w:after="0" w:after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       称：乌鲁木齐市友谊医院</w:t>
      </w:r>
    </w:p>
    <w:p>
      <w:pPr>
        <w:pStyle w:val="45"/>
        <w:kinsoku/>
        <w:wordWrap/>
        <w:overflowPunct/>
        <w:bidi w:val="0"/>
        <w:spacing w:before="0" w:beforeAutospacing="0" w:after="0" w:after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       址：乌鲁木齐市胜利路</w:t>
      </w:r>
    </w:p>
    <w:p>
      <w:pPr>
        <w:pStyle w:val="45"/>
        <w:kinsoku/>
        <w:wordWrap/>
        <w:overflowPunct/>
        <w:bidi w:val="0"/>
        <w:spacing w:before="0" w:beforeAutospacing="0" w:after="0" w:after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项目联系人：杨再江 </w:t>
      </w:r>
    </w:p>
    <w:p>
      <w:pPr>
        <w:pStyle w:val="45"/>
        <w:kinsoku/>
        <w:wordWrap/>
        <w:overflowPunct/>
        <w:bidi w:val="0"/>
        <w:spacing w:before="0" w:beforeAutospacing="0" w:after="0" w:after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项目联系方式：0991-2854144 </w:t>
      </w:r>
    </w:p>
    <w:p>
      <w:pPr>
        <w:pStyle w:val="45"/>
        <w:kinsoku/>
        <w:wordWrap/>
        <w:overflowPunct/>
        <w:bidi w:val="0"/>
        <w:spacing w:before="0" w:beforeAutospacing="0" w:after="0" w:after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2.采购代理机构信息</w:t>
      </w:r>
    </w:p>
    <w:p>
      <w:pPr>
        <w:pStyle w:val="45"/>
        <w:kinsoku/>
        <w:wordWrap/>
        <w:overflowPunct/>
        <w:bidi w:val="0"/>
        <w:spacing w:before="0" w:beforeAutospacing="0" w:after="0" w:after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    称：新疆谱诚项目管理咨询有限公司</w:t>
      </w:r>
    </w:p>
    <w:p>
      <w:pPr>
        <w:pStyle w:val="45"/>
        <w:kinsoku/>
        <w:wordWrap/>
        <w:overflowPunct/>
        <w:bidi w:val="0"/>
        <w:spacing w:before="0" w:beforeAutospacing="0" w:after="0" w:after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    址：乌鲁木齐市水磨沟区龙腾路1118号中央公园二期9栋商务办公楼办公用房503室</w:t>
      </w:r>
    </w:p>
    <w:p>
      <w:pPr>
        <w:pStyle w:val="45"/>
        <w:kinsoku/>
        <w:wordWrap/>
        <w:overflowPunct/>
        <w:bidi w:val="0"/>
        <w:spacing w:before="0" w:beforeAutospacing="0" w:after="0" w:after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项目联系人：刘婧、齐欢</w:t>
      </w:r>
    </w:p>
    <w:p>
      <w:pPr>
        <w:pStyle w:val="45"/>
        <w:kinsoku/>
        <w:wordWrap/>
        <w:overflowPunct/>
        <w:bidi w:val="0"/>
        <w:spacing w:before="0" w:beforeAutospacing="0" w:after="0" w:after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项目联系方式：15899126306</w:t>
      </w:r>
    </w:p>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2021年10月1</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日</w:t>
      </w:r>
    </w:p>
    <w:p>
      <w:pPr>
        <w:widowControl/>
        <w:kinsoku/>
        <w:wordWrap/>
        <w:overflowPunct/>
        <w:bidi w:val="0"/>
        <w:spacing w:beforeAutospacing="0" w:line="440" w:lineRule="exact"/>
        <w:ind w:left="0" w:leftChars="0" w:right="0"/>
        <w:jc w:val="center"/>
        <w:outlineLvl w:val="0"/>
        <w:rPr>
          <w:rFonts w:hint="eastAsia" w:ascii="仿宋" w:hAnsi="仿宋" w:eastAsia="仿宋" w:cs="仿宋"/>
          <w:b/>
          <w:color w:val="auto"/>
          <w:sz w:val="24"/>
          <w:szCs w:val="24"/>
          <w:highlight w:val="none"/>
        </w:rPr>
      </w:pPr>
      <w:bookmarkStart w:id="1" w:name="_Toc8919"/>
      <w:r>
        <w:rPr>
          <w:rFonts w:hint="eastAsia" w:ascii="仿宋" w:hAnsi="仿宋" w:eastAsia="仿宋" w:cs="仿宋"/>
          <w:b/>
          <w:color w:val="auto"/>
          <w:sz w:val="24"/>
          <w:szCs w:val="24"/>
          <w:highlight w:val="none"/>
        </w:rPr>
        <w:t>第二章    投标人须知</w:t>
      </w:r>
      <w:bookmarkEnd w:id="1"/>
    </w:p>
    <w:p>
      <w:pPr>
        <w:kinsoku/>
        <w:wordWrap/>
        <w:overflowPunct/>
        <w:bidi w:val="0"/>
        <w:snapToGrid w:val="0"/>
        <w:spacing w:beforeAutospacing="0" w:line="440" w:lineRule="exact"/>
        <w:ind w:left="0" w:leftChars="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投标人须知前附表</w:t>
      </w:r>
    </w:p>
    <w:tbl>
      <w:tblPr>
        <w:tblStyle w:val="51"/>
        <w:tblW w:w="9507"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701"/>
        <w:gridCol w:w="713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75" w:type="dxa"/>
            <w:vAlign w:val="center"/>
          </w:tcPr>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项号</w:t>
            </w:r>
          </w:p>
        </w:tc>
        <w:tc>
          <w:tcPr>
            <w:tcW w:w="1701" w:type="dxa"/>
            <w:vAlign w:val="center"/>
          </w:tcPr>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内  容</w:t>
            </w:r>
          </w:p>
        </w:tc>
        <w:tc>
          <w:tcPr>
            <w:tcW w:w="7131" w:type="dxa"/>
            <w:vAlign w:val="center"/>
          </w:tcPr>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说明及要求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75" w:type="dxa"/>
            <w:vMerge w:val="restart"/>
            <w:vAlign w:val="center"/>
          </w:tcPr>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１</w:t>
            </w:r>
          </w:p>
        </w:tc>
        <w:tc>
          <w:tcPr>
            <w:tcW w:w="1701" w:type="dxa"/>
            <w:vAlign w:val="center"/>
          </w:tcPr>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p>
        </w:tc>
        <w:tc>
          <w:tcPr>
            <w:tcW w:w="7131" w:type="dxa"/>
            <w:vAlign w:val="center"/>
          </w:tcPr>
          <w:p>
            <w:pPr>
              <w:pStyle w:val="45"/>
              <w:kinsoku/>
              <w:wordWrap/>
              <w:overflowPunct/>
              <w:bidi w:val="0"/>
              <w:spacing w:before="0" w:beforeAutospacing="0" w:after="0" w:after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乌鲁木齐市友谊医院运动心肺及康复系统采购项目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15" w:hRule="atLeast"/>
        </w:trPr>
        <w:tc>
          <w:tcPr>
            <w:tcW w:w="675" w:type="dxa"/>
            <w:vMerge w:val="continue"/>
            <w:vAlign w:val="center"/>
          </w:tcPr>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p>
        </w:tc>
        <w:tc>
          <w:tcPr>
            <w:tcW w:w="1701" w:type="dxa"/>
            <w:vAlign w:val="center"/>
          </w:tcPr>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项目编号</w:t>
            </w:r>
          </w:p>
        </w:tc>
        <w:tc>
          <w:tcPr>
            <w:tcW w:w="7131" w:type="dxa"/>
            <w:vAlign w:val="center"/>
          </w:tcPr>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XJPC-2021-026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3" w:hRule="atLeast"/>
        </w:trPr>
        <w:tc>
          <w:tcPr>
            <w:tcW w:w="675" w:type="dxa"/>
            <w:vMerge w:val="continue"/>
            <w:vAlign w:val="center"/>
          </w:tcPr>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p>
        </w:tc>
        <w:tc>
          <w:tcPr>
            <w:tcW w:w="1701" w:type="dxa"/>
            <w:vAlign w:val="center"/>
          </w:tcPr>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实施地点</w:t>
            </w:r>
          </w:p>
        </w:tc>
        <w:tc>
          <w:tcPr>
            <w:tcW w:w="7131" w:type="dxa"/>
            <w:vAlign w:val="center"/>
          </w:tcPr>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采购人指定地点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75" w:type="dxa"/>
            <w:vMerge w:val="continue"/>
            <w:vAlign w:val="center"/>
          </w:tcPr>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p>
        </w:tc>
        <w:tc>
          <w:tcPr>
            <w:tcW w:w="1701" w:type="dxa"/>
            <w:vAlign w:val="center"/>
          </w:tcPr>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采购方式</w:t>
            </w:r>
          </w:p>
        </w:tc>
        <w:tc>
          <w:tcPr>
            <w:tcW w:w="7131" w:type="dxa"/>
            <w:vAlign w:val="center"/>
          </w:tcPr>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75" w:type="dxa"/>
            <w:vMerge w:val="continue"/>
            <w:vAlign w:val="center"/>
          </w:tcPr>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p>
        </w:tc>
        <w:tc>
          <w:tcPr>
            <w:tcW w:w="1701" w:type="dxa"/>
            <w:vAlign w:val="center"/>
          </w:tcPr>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资金来源</w:t>
            </w:r>
          </w:p>
        </w:tc>
        <w:tc>
          <w:tcPr>
            <w:tcW w:w="7131" w:type="dxa"/>
            <w:vAlign w:val="center"/>
          </w:tcPr>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财政资金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75" w:type="dxa"/>
            <w:vMerge w:val="continue"/>
            <w:vAlign w:val="center"/>
          </w:tcPr>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p>
        </w:tc>
        <w:tc>
          <w:tcPr>
            <w:tcW w:w="1701" w:type="dxa"/>
            <w:vAlign w:val="center"/>
          </w:tcPr>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资格审查方式</w:t>
            </w:r>
          </w:p>
        </w:tc>
        <w:tc>
          <w:tcPr>
            <w:tcW w:w="7131" w:type="dxa"/>
            <w:vAlign w:val="center"/>
          </w:tcPr>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00" w:hRule="atLeast"/>
        </w:trPr>
        <w:tc>
          <w:tcPr>
            <w:tcW w:w="675" w:type="dxa"/>
            <w:vAlign w:val="center"/>
          </w:tcPr>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1701" w:type="dxa"/>
            <w:vAlign w:val="center"/>
          </w:tcPr>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联系方式</w:t>
            </w:r>
          </w:p>
        </w:tc>
        <w:tc>
          <w:tcPr>
            <w:tcW w:w="7131" w:type="dxa"/>
            <w:vAlign w:val="center"/>
          </w:tcPr>
          <w:p>
            <w:pPr>
              <w:pStyle w:val="45"/>
              <w:kinsoku/>
              <w:wordWrap/>
              <w:overflowPunct/>
              <w:bidi w:val="0"/>
              <w:spacing w:before="0" w:beforeAutospacing="0" w:after="0" w:after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1、采购人信息</w:t>
            </w:r>
          </w:p>
          <w:p>
            <w:pPr>
              <w:pStyle w:val="45"/>
              <w:kinsoku/>
              <w:wordWrap/>
              <w:overflowPunct/>
              <w:bidi w:val="0"/>
              <w:spacing w:before="0" w:beforeAutospacing="0" w:after="0" w:after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       称：乌鲁木齐市友谊医院</w:t>
            </w:r>
          </w:p>
          <w:p>
            <w:pPr>
              <w:pStyle w:val="45"/>
              <w:kinsoku/>
              <w:wordWrap/>
              <w:overflowPunct/>
              <w:bidi w:val="0"/>
              <w:spacing w:before="0" w:beforeAutospacing="0" w:after="0" w:after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       址：乌鲁木齐市胜利路</w:t>
            </w:r>
          </w:p>
          <w:p>
            <w:pPr>
              <w:pStyle w:val="45"/>
              <w:kinsoku/>
              <w:wordWrap/>
              <w:overflowPunct/>
              <w:bidi w:val="0"/>
              <w:spacing w:before="0" w:beforeAutospacing="0" w:after="0" w:after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项目联系人：杨再江 </w:t>
            </w:r>
          </w:p>
          <w:p>
            <w:pPr>
              <w:pStyle w:val="45"/>
              <w:kinsoku/>
              <w:wordWrap/>
              <w:overflowPunct/>
              <w:bidi w:val="0"/>
              <w:spacing w:before="0" w:beforeAutospacing="0" w:after="0" w:after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项目联系方式:0991-2854144 </w:t>
            </w:r>
          </w:p>
          <w:p>
            <w:pPr>
              <w:pStyle w:val="45"/>
              <w:kinsoku/>
              <w:wordWrap/>
              <w:overflowPunct/>
              <w:bidi w:val="0"/>
              <w:spacing w:before="0" w:beforeAutospacing="0" w:after="0" w:after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2、采购代理机构信息</w:t>
            </w:r>
          </w:p>
          <w:p>
            <w:pPr>
              <w:pStyle w:val="45"/>
              <w:kinsoku/>
              <w:wordWrap/>
              <w:overflowPunct/>
              <w:bidi w:val="0"/>
              <w:spacing w:before="0" w:beforeAutospacing="0" w:after="0" w:after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    称：新疆谱诚项目管理咨询有限公司</w:t>
            </w:r>
          </w:p>
          <w:p>
            <w:pPr>
              <w:pStyle w:val="45"/>
              <w:kinsoku/>
              <w:wordWrap/>
              <w:overflowPunct/>
              <w:bidi w:val="0"/>
              <w:spacing w:before="0" w:beforeAutospacing="0" w:after="0" w:after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    址：乌鲁木齐市水磨沟区龙腾路1118号中央公园二期9栋商务办公楼办公用房503室</w:t>
            </w:r>
          </w:p>
          <w:p>
            <w:pPr>
              <w:pStyle w:val="45"/>
              <w:kinsoku/>
              <w:wordWrap/>
              <w:overflowPunct/>
              <w:bidi w:val="0"/>
              <w:spacing w:before="0" w:beforeAutospacing="0" w:after="0" w:after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项目联系人：刘婧、齐欢</w:t>
            </w:r>
          </w:p>
          <w:p>
            <w:pPr>
              <w:pStyle w:val="45"/>
              <w:kinsoku/>
              <w:wordWrap/>
              <w:overflowPunct/>
              <w:bidi w:val="0"/>
              <w:spacing w:before="0" w:beforeAutospacing="0" w:after="0" w:after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项目联系方式：15899126306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77" w:hRule="atLeast"/>
        </w:trPr>
        <w:tc>
          <w:tcPr>
            <w:tcW w:w="675" w:type="dxa"/>
            <w:vAlign w:val="center"/>
          </w:tcPr>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1701" w:type="dxa"/>
            <w:vAlign w:val="center"/>
          </w:tcPr>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预算（最高限价）</w:t>
            </w:r>
          </w:p>
          <w:p>
            <w:pPr>
              <w:pStyle w:val="5"/>
              <w:kinsoku/>
              <w:wordWrap/>
              <w:overflowPunct/>
              <w:bidi w:val="0"/>
              <w:spacing w:before="0" w:beforeAutospacing="0" w:after="0" w:line="440" w:lineRule="exact"/>
              <w:ind w:left="0" w:leftChars="0" w:right="0"/>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标项</w:t>
            </w:r>
          </w:p>
        </w:tc>
        <w:tc>
          <w:tcPr>
            <w:tcW w:w="7131" w:type="dxa"/>
            <w:vAlign w:val="center"/>
          </w:tcPr>
          <w:p>
            <w:pPr>
              <w:kinsoku/>
              <w:wordWrap/>
              <w:overflowPunct/>
              <w:bidi w:val="0"/>
              <w:spacing w:beforeAutospacing="0" w:line="440" w:lineRule="exact"/>
              <w:ind w:left="0" w:leftChars="0" w:right="0"/>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预算（最高限价）</w:t>
            </w:r>
            <w:r>
              <w:rPr>
                <w:rFonts w:hint="eastAsia" w:ascii="仿宋" w:hAnsi="仿宋" w:eastAsia="仿宋" w:cs="仿宋"/>
                <w:bCs/>
                <w:color w:val="auto"/>
                <w:sz w:val="24"/>
                <w:szCs w:val="24"/>
                <w:highlight w:val="none"/>
              </w:rPr>
              <w:t>（万元）：</w:t>
            </w:r>
            <w:r>
              <w:rPr>
                <w:rFonts w:hint="eastAsia" w:ascii="仿宋" w:hAnsi="仿宋" w:eastAsia="仿宋" w:cs="仿宋"/>
                <w:color w:val="auto"/>
                <w:sz w:val="24"/>
                <w:szCs w:val="24"/>
                <w:highlight w:val="none"/>
              </w:rPr>
              <w:t>130.00</w:t>
            </w:r>
          </w:p>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标项：本项目分1个标项，不分包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75" w:type="dxa"/>
            <w:vAlign w:val="center"/>
          </w:tcPr>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1701" w:type="dxa"/>
            <w:vAlign w:val="center"/>
          </w:tcPr>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采购需求</w:t>
            </w:r>
          </w:p>
        </w:tc>
        <w:tc>
          <w:tcPr>
            <w:tcW w:w="7131" w:type="dxa"/>
            <w:vAlign w:val="center"/>
          </w:tcPr>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康复诊疗设备（详见采购文件）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75" w:type="dxa"/>
            <w:vAlign w:val="center"/>
          </w:tcPr>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1701" w:type="dxa"/>
            <w:vAlign w:val="center"/>
          </w:tcPr>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产品（或成果）提交要求</w:t>
            </w:r>
          </w:p>
        </w:tc>
        <w:tc>
          <w:tcPr>
            <w:tcW w:w="7131" w:type="dxa"/>
            <w:vAlign w:val="center"/>
          </w:tcPr>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详见采购需求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675" w:type="dxa"/>
            <w:vAlign w:val="center"/>
          </w:tcPr>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p>
        </w:tc>
        <w:tc>
          <w:tcPr>
            <w:tcW w:w="1701" w:type="dxa"/>
            <w:vAlign w:val="center"/>
          </w:tcPr>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质量标准</w:t>
            </w:r>
          </w:p>
        </w:tc>
        <w:tc>
          <w:tcPr>
            <w:tcW w:w="7131" w:type="dxa"/>
            <w:vAlign w:val="center"/>
          </w:tcPr>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合格（通过采购人组织的项目验收）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75" w:type="dxa"/>
            <w:vAlign w:val="center"/>
          </w:tcPr>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p>
        </w:tc>
        <w:tc>
          <w:tcPr>
            <w:tcW w:w="1701" w:type="dxa"/>
            <w:vAlign w:val="center"/>
          </w:tcPr>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供货期</w:t>
            </w:r>
          </w:p>
        </w:tc>
        <w:tc>
          <w:tcPr>
            <w:tcW w:w="7131" w:type="dxa"/>
            <w:vAlign w:val="center"/>
          </w:tcPr>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合同签订后60日内完成供货及配套服务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75" w:type="dxa"/>
            <w:vAlign w:val="center"/>
          </w:tcPr>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w:t>
            </w:r>
          </w:p>
        </w:tc>
        <w:tc>
          <w:tcPr>
            <w:tcW w:w="1701" w:type="dxa"/>
            <w:vAlign w:val="center"/>
          </w:tcPr>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投标人条件</w:t>
            </w:r>
          </w:p>
        </w:tc>
        <w:tc>
          <w:tcPr>
            <w:tcW w:w="7131" w:type="dxa"/>
            <w:vAlign w:val="center"/>
          </w:tcPr>
          <w:p>
            <w:pPr>
              <w:pStyle w:val="45"/>
              <w:kinsoku/>
              <w:wordWrap/>
              <w:overflowPunct/>
              <w:bidi w:val="0"/>
              <w:spacing w:before="0" w:beforeAutospacing="0" w:after="0" w:after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1、满足《中华人民共和国政府采购法》第二十二条规定；</w:t>
            </w:r>
          </w:p>
          <w:p>
            <w:pPr>
              <w:pStyle w:val="45"/>
              <w:kinsoku/>
              <w:wordWrap/>
              <w:overflowPunct/>
              <w:bidi w:val="0"/>
              <w:spacing w:before="0" w:beforeAutospacing="0" w:after="0" w:after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2、具有有效营业执照的国内独立法人资格，具有独立承担民事责任的能力；</w:t>
            </w:r>
          </w:p>
          <w:p>
            <w:pPr>
              <w:pStyle w:val="45"/>
              <w:kinsoku/>
              <w:wordWrap/>
              <w:overflowPunct/>
              <w:bidi w:val="0"/>
              <w:spacing w:before="0" w:beforeAutospacing="0" w:after="0" w:after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所投产品属于第二类医疗器械的，需提供有效的行政主管部门颁发的医疗器械经营备案凭证（或医疗器械生产许可证或医疗器械经营许可证或其他医疗器械生产经营许可证明文件）；所投产品属于第三类医疗器械的，需提供有效的行政主管部门颁发的医疗器械生产许可证（或医疗器械经营许可证或其他医疗器械生产经营许可证明文件）,进口产品须提供制造商为本项目给予投标人投标产品的制造商授权书（可提供总代理授权）服务承诺函。所有证件必须在有效期内;</w:t>
            </w:r>
          </w:p>
          <w:p>
            <w:pPr>
              <w:pStyle w:val="45"/>
              <w:kinsoku/>
              <w:wordWrap/>
              <w:overflowPunct/>
              <w:bidi w:val="0"/>
              <w:spacing w:before="0" w:beforeAutospacing="0" w:after="0" w:after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4、经信用中国（www.creditchina.gov.cn）、中国政府采购网（www.ccgp.gov.cn）、 国家企业信用信息公示（http://www.gsxt.gov.cn/）等渠道查询后，列入失信被执行人、重大税收违法案件当事人名单、政府采购严重违法失信行为记录名单的，取消投标资格。（提供“信用中国”《中国政府采购网》网站无任何不良记录的查询截图，时间为投标截止时间前20天内）；</w:t>
            </w:r>
          </w:p>
          <w:p>
            <w:pPr>
              <w:pStyle w:val="45"/>
              <w:kinsoku/>
              <w:wordWrap/>
              <w:overflowPunct/>
              <w:bidi w:val="0"/>
              <w:spacing w:before="0" w:beforeAutospacing="0" w:after="0" w:after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5、本项目不接受联合体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75" w:type="dxa"/>
            <w:vAlign w:val="center"/>
          </w:tcPr>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w:t>
            </w:r>
          </w:p>
        </w:tc>
        <w:tc>
          <w:tcPr>
            <w:tcW w:w="1701" w:type="dxa"/>
            <w:vAlign w:val="center"/>
          </w:tcPr>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投标文件</w:t>
            </w:r>
          </w:p>
        </w:tc>
        <w:tc>
          <w:tcPr>
            <w:tcW w:w="7131" w:type="dxa"/>
            <w:vAlign w:val="center"/>
          </w:tcPr>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本次开标：线下投标、纸质版投标文件评审。投标人编制、提交的投标文件，须符合本项目采购文件要求的投标文件编制和提交要求。</w:t>
            </w:r>
          </w:p>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投标文件正本一份,，副本三份。</w:t>
            </w:r>
          </w:p>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电子文件一份(U盘,并标注投标人名称)</w:t>
            </w:r>
          </w:p>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开标一览表1份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75" w:type="dxa"/>
            <w:vAlign w:val="center"/>
          </w:tcPr>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w:t>
            </w:r>
          </w:p>
        </w:tc>
        <w:tc>
          <w:tcPr>
            <w:tcW w:w="1701" w:type="dxa"/>
            <w:vAlign w:val="center"/>
          </w:tcPr>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响应文件提交</w:t>
            </w:r>
          </w:p>
        </w:tc>
        <w:tc>
          <w:tcPr>
            <w:tcW w:w="7131" w:type="dxa"/>
            <w:vAlign w:val="center"/>
          </w:tcPr>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截止时间：</w:t>
            </w:r>
            <w:r>
              <w:rPr>
                <w:rFonts w:hint="eastAsia" w:ascii="仿宋" w:hAnsi="仿宋" w:eastAsia="仿宋" w:cs="仿宋"/>
                <w:color w:val="auto"/>
                <w:sz w:val="24"/>
                <w:szCs w:val="24"/>
                <w:highlight w:val="none"/>
                <w:u w:val="single"/>
              </w:rPr>
              <w:t>2021年11月8日 16:00</w:t>
            </w:r>
            <w:r>
              <w:rPr>
                <w:rFonts w:hint="eastAsia" w:ascii="仿宋" w:hAnsi="仿宋" w:eastAsia="仿宋" w:cs="仿宋"/>
                <w:color w:val="auto"/>
                <w:sz w:val="24"/>
                <w:szCs w:val="24"/>
                <w:highlight w:val="none"/>
              </w:rPr>
              <w:t>（北京时间）（北京时间）</w:t>
            </w:r>
          </w:p>
          <w:p>
            <w:pPr>
              <w:pStyle w:val="45"/>
              <w:kinsoku/>
              <w:wordWrap/>
              <w:overflowPunct/>
              <w:bidi w:val="0"/>
              <w:spacing w:before="0" w:beforeAutospacing="0" w:after="0" w:after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地点：</w:t>
            </w:r>
            <w:r>
              <w:rPr>
                <w:rFonts w:hint="eastAsia" w:ascii="仿宋" w:hAnsi="仿宋" w:eastAsia="仿宋" w:cs="仿宋"/>
                <w:color w:val="auto"/>
                <w:sz w:val="24"/>
                <w:szCs w:val="24"/>
                <w:highlight w:val="none"/>
                <w:u w:val="single"/>
              </w:rPr>
              <w:t>乌鲁木齐市水磨沟区龙腾路1118号中央公园二期9栋商务办公楼办公用房401室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675" w:type="dxa"/>
            <w:vAlign w:val="center"/>
          </w:tcPr>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w:t>
            </w:r>
          </w:p>
        </w:tc>
        <w:tc>
          <w:tcPr>
            <w:tcW w:w="1701" w:type="dxa"/>
            <w:vAlign w:val="center"/>
          </w:tcPr>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投标有效期限</w:t>
            </w:r>
          </w:p>
        </w:tc>
        <w:tc>
          <w:tcPr>
            <w:tcW w:w="7131" w:type="dxa"/>
            <w:vAlign w:val="center"/>
          </w:tcPr>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投标截止后90天（日历日）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75" w:type="dxa"/>
            <w:vAlign w:val="center"/>
          </w:tcPr>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w:t>
            </w:r>
          </w:p>
        </w:tc>
        <w:tc>
          <w:tcPr>
            <w:tcW w:w="1701" w:type="dxa"/>
            <w:vAlign w:val="center"/>
          </w:tcPr>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开标会议</w:t>
            </w:r>
          </w:p>
        </w:tc>
        <w:tc>
          <w:tcPr>
            <w:tcW w:w="7131" w:type="dxa"/>
            <w:vAlign w:val="center"/>
          </w:tcPr>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开启时间：</w:t>
            </w:r>
            <w:r>
              <w:rPr>
                <w:rFonts w:hint="eastAsia" w:ascii="仿宋" w:hAnsi="仿宋" w:eastAsia="仿宋" w:cs="仿宋"/>
                <w:color w:val="auto"/>
                <w:sz w:val="24"/>
                <w:szCs w:val="24"/>
                <w:highlight w:val="none"/>
                <w:u w:val="single"/>
              </w:rPr>
              <w:t>2021年11月8日 16:00</w:t>
            </w:r>
            <w:r>
              <w:rPr>
                <w:rFonts w:hint="eastAsia" w:ascii="仿宋" w:hAnsi="仿宋" w:eastAsia="仿宋" w:cs="仿宋"/>
                <w:color w:val="auto"/>
                <w:sz w:val="24"/>
                <w:szCs w:val="24"/>
                <w:highlight w:val="none"/>
              </w:rPr>
              <w:t>（北京时间）（北京时间）</w:t>
            </w:r>
          </w:p>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地点：</w:t>
            </w:r>
            <w:r>
              <w:rPr>
                <w:rFonts w:hint="eastAsia" w:ascii="仿宋" w:hAnsi="仿宋" w:eastAsia="仿宋" w:cs="仿宋"/>
                <w:color w:val="auto"/>
                <w:sz w:val="24"/>
                <w:szCs w:val="24"/>
                <w:highlight w:val="none"/>
                <w:u w:val="single"/>
              </w:rPr>
              <w:t>乌鲁木齐市水磨沟区龙腾路1118号中央公园二期9栋商务办公楼办公用房401室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75" w:type="dxa"/>
            <w:vAlign w:val="center"/>
          </w:tcPr>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w:t>
            </w:r>
          </w:p>
        </w:tc>
        <w:tc>
          <w:tcPr>
            <w:tcW w:w="1701" w:type="dxa"/>
            <w:vAlign w:val="center"/>
          </w:tcPr>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评标标准</w:t>
            </w:r>
          </w:p>
        </w:tc>
        <w:tc>
          <w:tcPr>
            <w:tcW w:w="7131" w:type="dxa"/>
            <w:vAlign w:val="center"/>
          </w:tcPr>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综合评分法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094" w:hRule="atLeast"/>
        </w:trPr>
        <w:tc>
          <w:tcPr>
            <w:tcW w:w="675" w:type="dxa"/>
            <w:vAlign w:val="center"/>
          </w:tcPr>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w:t>
            </w:r>
          </w:p>
        </w:tc>
        <w:tc>
          <w:tcPr>
            <w:tcW w:w="1701" w:type="dxa"/>
            <w:vAlign w:val="center"/>
          </w:tcPr>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投标保证金（人民币）</w:t>
            </w:r>
          </w:p>
        </w:tc>
        <w:tc>
          <w:tcPr>
            <w:tcW w:w="7131" w:type="dxa"/>
            <w:vAlign w:val="center"/>
          </w:tcPr>
          <w:p>
            <w:pPr>
              <w:kinsoku/>
              <w:wordWrap/>
              <w:overflowPunct/>
              <w:bidi w:val="0"/>
              <w:snapToGrid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投标保证金：</w:t>
            </w:r>
          </w:p>
          <w:p>
            <w:pPr>
              <w:kinsoku/>
              <w:wordWrap/>
              <w:overflowPunct/>
              <w:bidi w:val="0"/>
              <w:snapToGrid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小写：￥26000.00元；     大写：贰万陆仟元整</w:t>
            </w:r>
          </w:p>
          <w:p>
            <w:pPr>
              <w:kinsoku/>
              <w:wordWrap/>
              <w:overflowPunct/>
              <w:bidi w:val="0"/>
              <w:snapToGrid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户单位名称：新疆谱诚项目管理咨询有限公司</w:t>
            </w:r>
          </w:p>
          <w:p>
            <w:pPr>
              <w:kinsoku/>
              <w:wordWrap/>
              <w:overflowPunct/>
              <w:bidi w:val="0"/>
              <w:snapToGrid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开户行：中国农业银行股份有限公司乌鲁木齐南门国际城支行</w:t>
            </w:r>
          </w:p>
          <w:p>
            <w:pPr>
              <w:kinsoku/>
              <w:wordWrap/>
              <w:overflowPunct/>
              <w:bidi w:val="0"/>
              <w:snapToGrid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银行账号：30003101040002928</w:t>
            </w:r>
          </w:p>
          <w:p>
            <w:pPr>
              <w:kinsoku/>
              <w:wordWrap/>
              <w:overflowPunct/>
              <w:bidi w:val="0"/>
              <w:snapToGrid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行    号：103881000316</w:t>
            </w:r>
          </w:p>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保证金的缴纳形式：投标保证金于投标截止时间前（北京时间，以到账时间为准)之前从投标人基本账户以银行电汇或网银形式汇至新疆谱诚项目管理咨询有限公司账户，投标人提交投标保证金应充分考虑资金在途时间。若投标人未按照上述规定缴纳投标保证金,投标文件将被拒绝评审。</w:t>
            </w:r>
          </w:p>
          <w:p>
            <w:pPr>
              <w:kinsoku/>
              <w:wordWrap/>
              <w:overflowPunct/>
              <w:bidi w:val="0"/>
              <w:spacing w:beforeAutospacing="0" w:line="440" w:lineRule="exact"/>
              <w:ind w:left="0" w:leftChars="0" w:right="0"/>
              <w:rPr>
                <w:rFonts w:hint="eastAsia" w:ascii="仿宋" w:hAnsi="仿宋" w:eastAsia="仿宋" w:cs="仿宋"/>
                <w:b/>
                <w:color w:val="auto"/>
                <w:sz w:val="24"/>
                <w:szCs w:val="24"/>
                <w:highlight w:val="none"/>
              </w:rPr>
            </w:pPr>
            <w:r>
              <w:rPr>
                <w:rFonts w:hint="eastAsia" w:ascii="仿宋" w:hAnsi="仿宋" w:eastAsia="仿宋" w:cs="仿宋"/>
                <w:bCs/>
                <w:color w:val="auto"/>
                <w:sz w:val="24"/>
                <w:szCs w:val="24"/>
                <w:highlight w:val="none"/>
              </w:rPr>
              <w:t>（注：投标人缴纳投标保证金时，须备注注明所投“项目名称、项目编号、投标人简称”）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75" w:type="dxa"/>
            <w:vAlign w:val="center"/>
          </w:tcPr>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w:t>
            </w:r>
          </w:p>
        </w:tc>
        <w:tc>
          <w:tcPr>
            <w:tcW w:w="1701" w:type="dxa"/>
            <w:vAlign w:val="center"/>
          </w:tcPr>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招标文件售价</w:t>
            </w:r>
          </w:p>
        </w:tc>
        <w:tc>
          <w:tcPr>
            <w:tcW w:w="7131" w:type="dxa"/>
            <w:vAlign w:val="center"/>
          </w:tcPr>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00元/份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75" w:type="dxa"/>
            <w:vAlign w:val="center"/>
          </w:tcPr>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w:t>
            </w:r>
          </w:p>
        </w:tc>
        <w:tc>
          <w:tcPr>
            <w:tcW w:w="1701" w:type="dxa"/>
            <w:vAlign w:val="center"/>
          </w:tcPr>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履约担保</w:t>
            </w:r>
          </w:p>
        </w:tc>
        <w:tc>
          <w:tcPr>
            <w:tcW w:w="7131" w:type="dxa"/>
            <w:vAlign w:val="center"/>
          </w:tcPr>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履约保证金金额：合同金额的</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w:t>
            </w:r>
          </w:p>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履约保证金递交：中标单位收到《中标通知书》，签订合同前缴纳</w:t>
            </w:r>
          </w:p>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履约保证金形式：银行转账形式（中标单位未按采购文件规定缴纳履约保证金的，其投标保证金将不予退还）</w:t>
            </w:r>
          </w:p>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履约保证金（质保金）退还：（1）履约保证金的有效期为该项目</w:t>
            </w:r>
            <w:r>
              <w:rPr>
                <w:rFonts w:hint="eastAsia" w:ascii="仿宋" w:hAnsi="仿宋" w:eastAsia="仿宋" w:cs="仿宋"/>
                <w:color w:val="auto"/>
                <w:sz w:val="24"/>
                <w:szCs w:val="24"/>
                <w:highlight w:val="none"/>
              </w:rPr>
              <w:t>完成供货且通过采购人组织的项目验收</w:t>
            </w:r>
            <w:r>
              <w:rPr>
                <w:rFonts w:hint="eastAsia" w:ascii="仿宋" w:hAnsi="仿宋" w:eastAsia="仿宋" w:cs="仿宋"/>
                <w:color w:val="auto"/>
                <w:sz w:val="24"/>
                <w:szCs w:val="24"/>
                <w:highlight w:val="none"/>
                <w:lang w:val="zh-CN"/>
              </w:rPr>
              <w:t>止。（2）供应商在</w:t>
            </w:r>
            <w:r>
              <w:rPr>
                <w:rFonts w:hint="eastAsia" w:ascii="仿宋" w:hAnsi="仿宋" w:eastAsia="仿宋" w:cs="仿宋"/>
                <w:color w:val="auto"/>
                <w:sz w:val="24"/>
                <w:szCs w:val="24"/>
                <w:highlight w:val="none"/>
              </w:rPr>
              <w:t>产品</w:t>
            </w:r>
            <w:r>
              <w:rPr>
                <w:rFonts w:hint="eastAsia" w:ascii="仿宋" w:hAnsi="仿宋" w:eastAsia="仿宋" w:cs="仿宋"/>
                <w:color w:val="auto"/>
                <w:sz w:val="24"/>
                <w:szCs w:val="24"/>
                <w:highlight w:val="none"/>
                <w:lang w:val="zh-CN"/>
              </w:rPr>
              <w:t>验收合格未发生违约行为，采购人七个工作日内予以退还。（如乙方未能履行合同规定的义务，甲方有权从履约保证金中取得补偿；履约保证金扣除甲方应得的补偿后的余额在有效期满后七工作日内无息退还给乙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675" w:type="dxa"/>
            <w:vAlign w:val="center"/>
          </w:tcPr>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w:t>
            </w:r>
          </w:p>
        </w:tc>
        <w:tc>
          <w:tcPr>
            <w:tcW w:w="1701" w:type="dxa"/>
            <w:vAlign w:val="center"/>
          </w:tcPr>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付款方式及币种</w:t>
            </w:r>
          </w:p>
        </w:tc>
        <w:tc>
          <w:tcPr>
            <w:tcW w:w="7131" w:type="dxa"/>
            <w:vAlign w:val="center"/>
          </w:tcPr>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1、付款币种：</w:t>
            </w:r>
          </w:p>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本次采购所述的项目资金均以人民币支付</w:t>
            </w:r>
          </w:p>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2、付款方式：</w:t>
            </w:r>
            <w:r>
              <w:rPr>
                <w:rFonts w:hint="eastAsia" w:ascii="仿宋" w:hAnsi="仿宋" w:eastAsia="仿宋" w:cs="仿宋"/>
                <w:color w:val="auto"/>
                <w:sz w:val="24"/>
                <w:szCs w:val="24"/>
                <w:highlight w:val="none"/>
              </w:rPr>
              <w:t>按照医院规定执行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93" w:hRule="atLeast"/>
        </w:trPr>
        <w:tc>
          <w:tcPr>
            <w:tcW w:w="675" w:type="dxa"/>
            <w:vAlign w:val="center"/>
          </w:tcPr>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w:t>
            </w:r>
          </w:p>
        </w:tc>
        <w:tc>
          <w:tcPr>
            <w:tcW w:w="1701" w:type="dxa"/>
            <w:vAlign w:val="center"/>
          </w:tcPr>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质保期</w:t>
            </w:r>
          </w:p>
        </w:tc>
        <w:tc>
          <w:tcPr>
            <w:tcW w:w="7131" w:type="dxa"/>
            <w:vAlign w:val="center"/>
          </w:tcPr>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中标人应提交针对本项目的</w:t>
            </w:r>
            <w:r>
              <w:rPr>
                <w:rFonts w:hint="eastAsia" w:ascii="仿宋" w:hAnsi="仿宋" w:eastAsia="仿宋" w:cs="仿宋"/>
                <w:color w:val="auto"/>
                <w:sz w:val="24"/>
                <w:szCs w:val="24"/>
                <w:highlight w:val="none"/>
              </w:rPr>
              <w:t>2年</w:t>
            </w:r>
            <w:r>
              <w:rPr>
                <w:rFonts w:hint="eastAsia" w:ascii="仿宋" w:hAnsi="仿宋" w:eastAsia="仿宋" w:cs="仿宋"/>
                <w:color w:val="auto"/>
                <w:sz w:val="24"/>
                <w:szCs w:val="24"/>
                <w:highlight w:val="none"/>
                <w:lang w:val="zh-CN"/>
              </w:rPr>
              <w:t>质保承诺书。</w:t>
            </w:r>
          </w:p>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质保期内，在接到</w:t>
            </w:r>
            <w:r>
              <w:rPr>
                <w:rFonts w:hint="eastAsia" w:ascii="仿宋" w:hAnsi="仿宋" w:eastAsia="仿宋" w:cs="仿宋"/>
                <w:color w:val="auto"/>
                <w:sz w:val="24"/>
                <w:szCs w:val="24"/>
                <w:highlight w:val="none"/>
              </w:rPr>
              <w:t>甲方</w:t>
            </w:r>
            <w:r>
              <w:rPr>
                <w:rFonts w:hint="eastAsia" w:ascii="仿宋" w:hAnsi="仿宋" w:eastAsia="仿宋" w:cs="仿宋"/>
                <w:color w:val="auto"/>
                <w:sz w:val="24"/>
                <w:szCs w:val="24"/>
                <w:highlight w:val="none"/>
                <w:lang w:val="zh-CN"/>
              </w:rPr>
              <w:t>的退、换、</w:t>
            </w:r>
            <w:r>
              <w:rPr>
                <w:rFonts w:hint="eastAsia" w:ascii="仿宋" w:hAnsi="仿宋" w:eastAsia="仿宋" w:cs="仿宋"/>
                <w:color w:val="auto"/>
                <w:sz w:val="24"/>
                <w:szCs w:val="24"/>
                <w:highlight w:val="none"/>
              </w:rPr>
              <w:t>维修</w:t>
            </w:r>
            <w:r>
              <w:rPr>
                <w:rFonts w:hint="eastAsia" w:ascii="仿宋" w:hAnsi="仿宋" w:eastAsia="仿宋" w:cs="仿宋"/>
                <w:color w:val="auto"/>
                <w:sz w:val="24"/>
                <w:szCs w:val="24"/>
                <w:highlight w:val="none"/>
                <w:lang w:val="zh-CN"/>
              </w:rPr>
              <w:t>通知后，要求</w:t>
            </w:r>
            <w:r>
              <w:rPr>
                <w:rFonts w:hint="eastAsia" w:ascii="仿宋" w:hAnsi="仿宋" w:eastAsia="仿宋" w:cs="仿宋"/>
                <w:color w:val="auto"/>
                <w:sz w:val="24"/>
                <w:szCs w:val="24"/>
                <w:highlight w:val="none"/>
              </w:rPr>
              <w:t>48</w:t>
            </w:r>
            <w:r>
              <w:rPr>
                <w:rFonts w:hint="eastAsia" w:ascii="仿宋" w:hAnsi="仿宋" w:eastAsia="仿宋" w:cs="仿宋"/>
                <w:color w:val="auto"/>
                <w:sz w:val="24"/>
                <w:szCs w:val="24"/>
                <w:highlight w:val="none"/>
                <w:lang w:val="zh-CN"/>
              </w:rPr>
              <w:t>个小时内到达现场给予办理，不能在指定时间内完成任务的，必须与采购人进行沟通，说明情况。</w:t>
            </w:r>
          </w:p>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质保期从验收合格后开始计算。质保期内所有上门服务要求免费。</w:t>
            </w:r>
          </w:p>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w:t>
            </w:r>
            <w:r>
              <w:rPr>
                <w:rFonts w:hint="eastAsia" w:ascii="仿宋" w:hAnsi="仿宋" w:eastAsia="仿宋" w:cs="仿宋"/>
                <w:color w:val="auto"/>
                <w:sz w:val="24"/>
                <w:szCs w:val="24"/>
                <w:highlight w:val="none"/>
              </w:rPr>
              <w:t>详见采购需求）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93" w:hRule="atLeast"/>
        </w:trPr>
        <w:tc>
          <w:tcPr>
            <w:tcW w:w="675" w:type="dxa"/>
            <w:vAlign w:val="center"/>
          </w:tcPr>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w:t>
            </w:r>
          </w:p>
        </w:tc>
        <w:tc>
          <w:tcPr>
            <w:tcW w:w="1701" w:type="dxa"/>
            <w:vAlign w:val="center"/>
          </w:tcPr>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落实政府采购政策</w:t>
            </w:r>
          </w:p>
        </w:tc>
        <w:tc>
          <w:tcPr>
            <w:tcW w:w="7131" w:type="dxa"/>
            <w:vAlign w:val="center"/>
          </w:tcPr>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（1）《政府采购促进中小企业发展暂行办法》（财库〔2020〕47号）； （2）《财政部、司法部关于政府采购支持监狱企业发展有关问题的通知》（财库〔2014〕68号）； （3）《财政部民政部 中国残疾人联合会关于促进残疾人就业政府采购政策的通知》财库〔2017〕141号等政策，详见招标文件.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93" w:hRule="atLeast"/>
        </w:trPr>
        <w:tc>
          <w:tcPr>
            <w:tcW w:w="675" w:type="dxa"/>
            <w:vAlign w:val="center"/>
          </w:tcPr>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p>
        </w:tc>
        <w:tc>
          <w:tcPr>
            <w:tcW w:w="1701" w:type="dxa"/>
            <w:vAlign w:val="center"/>
          </w:tcPr>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低于成本价不正当竞争</w:t>
            </w:r>
          </w:p>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预防措施</w:t>
            </w:r>
          </w:p>
        </w:tc>
        <w:tc>
          <w:tcPr>
            <w:tcW w:w="7131" w:type="dxa"/>
            <w:vAlign w:val="center"/>
          </w:tcPr>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①在评标过程中，采购小组认为投标人的报价明显低于其他通过符合性审查投标人的报价，有可能影响产品（成果）和服务质量或者不能诚信履约的，采购小组应当要求其在评标现场合理的时间内提供成本构成书面说明，并提交相关证明材料。供应商书面说明应当按照国家财务会计制度的规定要求，逐项就供应商提供的产品（成果）和服务质量的主营业务成本（应根据供应商企业类型予以区别）、税金及附加、销售费用、管理费用、财务费用等成本构成事项详细陈述。</w:t>
            </w:r>
          </w:p>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②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③供应商提供书面说明后，采购小组应当结合采购项目采购需求、专业实际情况、供应商财务状况报告、与其他供应商比较情况等就供应商书面说明进行审查评价。供应商拒绝或者变相拒绝提供有效书面说明或者书面说明不能证明其报价合理性的，采购小组应当将其响应文件作为无效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9507" w:type="dxa"/>
            <w:gridSpan w:val="3"/>
            <w:vAlign w:val="center"/>
          </w:tcPr>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1）投标人所投产品等同或不得低于采购文件要求的技术要求。任何对采购文件的忽略或误解不能作为响应文件存在缺陷或瑕疵的理由，其风险由投标人承担。投标人应保证所投产品及提供服务完全符合采购文件规定的采购需求。</w:t>
            </w:r>
          </w:p>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注2）本项目设有最高限价，所有投标单位报价均不得高于最高限价，否则做无效标处理。</w:t>
            </w:r>
          </w:p>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注3）投标人应保证，在中华人民共和国境内使用投标成果、服务或其任何一部分时，不会产生因第三方提出侵犯其专利权或其它知识产权而引起的法律和经济纠纷。</w:t>
            </w:r>
          </w:p>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注4）投标总报价须以元为单位，小数点后保留2位。</w:t>
            </w:r>
          </w:p>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5）除非另有特殊说明，若本采购文件中引用了某一品牌、型号或生产投标人名称，均是指参照该品牌、型号或生产投标人的产品或服务，所引用的品牌、型号或生产投标人不构成对投标响应的限制。若采用的外文术语与某一投标人或某一产品使用的术语相同，并非表示指定了该投标人或该产品。</w:t>
            </w:r>
          </w:p>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注</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进口产品须提供制造商为本项目给予投标人投标产品的制造商授权书（可提供总代理授权）服务承诺函。所有证件必须在有效期内;</w:t>
            </w:r>
          </w:p>
        </w:tc>
      </w:tr>
    </w:tbl>
    <w:p>
      <w:pPr>
        <w:kinsoku/>
        <w:wordWrap/>
        <w:overflowPunct/>
        <w:bidi w:val="0"/>
        <w:snapToGrid w:val="0"/>
        <w:spacing w:beforeAutospacing="0" w:line="440" w:lineRule="exact"/>
        <w:ind w:left="0" w:leftChars="0" w:right="0"/>
        <w:jc w:val="center"/>
        <w:rPr>
          <w:rFonts w:hint="eastAsia" w:ascii="仿宋" w:hAnsi="仿宋" w:eastAsia="仿宋" w:cs="仿宋"/>
          <w:color w:val="auto"/>
          <w:sz w:val="24"/>
          <w:szCs w:val="24"/>
          <w:highlight w:val="none"/>
        </w:rPr>
      </w:pPr>
    </w:p>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pPr>
        <w:kinsoku/>
        <w:wordWrap/>
        <w:overflowPunct/>
        <w:bidi w:val="0"/>
        <w:snapToGrid w:val="0"/>
        <w:spacing w:beforeAutospacing="0" w:line="440" w:lineRule="exact"/>
        <w:ind w:left="0" w:leftChars="0" w:right="0"/>
        <w:outlineLvl w:val="1"/>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一、总则</w:t>
      </w:r>
    </w:p>
    <w:p>
      <w:pPr>
        <w:kinsoku/>
        <w:wordWrap/>
        <w:overflowPunct/>
        <w:bidi w:val="0"/>
        <w:snapToGrid w:val="0"/>
        <w:spacing w:beforeAutospacing="0" w:line="440" w:lineRule="exact"/>
        <w:ind w:left="0" w:leftChars="0" w:right="0" w:firstLine="472" w:firstLineChars="196"/>
        <w:jc w:val="left"/>
        <w:outlineLvl w:val="1"/>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（一）适用范围</w:t>
      </w:r>
    </w:p>
    <w:p>
      <w:pPr>
        <w:kinsoku/>
        <w:wordWrap/>
        <w:overflowPunct/>
        <w:bidi w:val="0"/>
        <w:snapToGrid w:val="0"/>
        <w:spacing w:beforeAutospacing="0" w:line="440" w:lineRule="exact"/>
        <w:ind w:left="0" w:leftChars="0" w:right="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本招标文件适用于乌鲁木齐市友谊医院的乌鲁木齐市友谊医院运动心肺及康复系统采购项目的招标、投标、评标、定标、验收、合同履约、付款等行为（法律、法规另有规定的，从其规定）。</w:t>
      </w:r>
    </w:p>
    <w:p>
      <w:pPr>
        <w:kinsoku/>
        <w:wordWrap/>
        <w:overflowPunct/>
        <w:bidi w:val="0"/>
        <w:snapToGrid w:val="0"/>
        <w:spacing w:beforeAutospacing="0" w:line="440" w:lineRule="exact"/>
        <w:ind w:left="0" w:leftChars="0" w:right="0" w:firstLine="354" w:firstLineChars="147"/>
        <w:jc w:val="left"/>
        <w:outlineLvl w:val="1"/>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（二）定义</w:t>
      </w:r>
    </w:p>
    <w:p>
      <w:pPr>
        <w:kinsoku/>
        <w:wordWrap/>
        <w:overflowPunct/>
        <w:bidi w:val="0"/>
        <w:snapToGrid w:val="0"/>
        <w:spacing w:beforeAutospacing="0" w:line="440" w:lineRule="exact"/>
        <w:ind w:left="0" w:leftChars="0" w:right="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1.招标采购单位（“招标人”）系指组织本次招标的代理机构和采购单位。</w:t>
      </w:r>
    </w:p>
    <w:p>
      <w:pPr>
        <w:kinsoku/>
        <w:wordWrap/>
        <w:overflowPunct/>
        <w:bidi w:val="0"/>
        <w:snapToGrid w:val="0"/>
        <w:spacing w:beforeAutospacing="0" w:line="440" w:lineRule="exact"/>
        <w:ind w:left="0" w:leftChars="0" w:right="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2.“投标人”系指向招标方提交投标文件的单位或个人。</w:t>
      </w:r>
    </w:p>
    <w:p>
      <w:pPr>
        <w:kinsoku/>
        <w:wordWrap/>
        <w:overflowPunct/>
        <w:bidi w:val="0"/>
        <w:snapToGrid w:val="0"/>
        <w:spacing w:beforeAutospacing="0" w:line="440" w:lineRule="exact"/>
        <w:ind w:left="0" w:leftChars="0" w:right="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3.“产品”系指供方按招标文件规定，须向采购人提供的一切设备、保险、税金、备品备件、工具、手册及其它有关技术资料和材料。</w:t>
      </w:r>
    </w:p>
    <w:p>
      <w:pPr>
        <w:kinsoku/>
        <w:wordWrap/>
        <w:overflowPunct/>
        <w:bidi w:val="0"/>
        <w:snapToGrid w:val="0"/>
        <w:spacing w:beforeAutospacing="0" w:line="440" w:lineRule="exact"/>
        <w:ind w:left="0" w:leftChars="0" w:right="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4.“服务”系指招标文件规定投标人须承担的安装、调试、技术协助、校准、培训、技术指导以及其他类似的义务。</w:t>
      </w:r>
    </w:p>
    <w:p>
      <w:pPr>
        <w:kinsoku/>
        <w:wordWrap/>
        <w:overflowPunct/>
        <w:bidi w:val="0"/>
        <w:snapToGrid w:val="0"/>
        <w:spacing w:beforeAutospacing="0" w:line="440" w:lineRule="exact"/>
        <w:ind w:left="0" w:leftChars="0" w:right="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5.“项目”系指投标人按招标文件规定向采购人提供的产品和服务。</w:t>
      </w:r>
    </w:p>
    <w:p>
      <w:pPr>
        <w:kinsoku/>
        <w:wordWrap/>
        <w:overflowPunct/>
        <w:bidi w:val="0"/>
        <w:snapToGrid w:val="0"/>
        <w:spacing w:beforeAutospacing="0" w:line="440" w:lineRule="exact"/>
        <w:ind w:left="0" w:leftChars="0" w:right="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6.“书面形式”包括信函、传真、电报、电子邮件等。</w:t>
      </w:r>
    </w:p>
    <w:p>
      <w:pPr>
        <w:kinsoku/>
        <w:wordWrap/>
        <w:overflowPunct/>
        <w:bidi w:val="0"/>
        <w:snapToGrid w:val="0"/>
        <w:spacing w:beforeAutospacing="0" w:line="440" w:lineRule="exact"/>
        <w:ind w:left="0" w:leftChars="0" w:right="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7.带“</w:t>
      </w:r>
      <w:r>
        <w:rPr>
          <w:rFonts w:hint="eastAsia" w:ascii="仿宋" w:hAnsi="仿宋" w:eastAsia="仿宋" w:cs="仿宋"/>
          <w:color w:val="auto"/>
          <w:kern w:val="0"/>
          <w:sz w:val="24"/>
          <w:szCs w:val="24"/>
          <w:highlight w:val="none"/>
        </w:rPr>
        <w:t>*</w:t>
      </w:r>
      <w:r>
        <w:rPr>
          <w:rFonts w:hint="eastAsia" w:ascii="仿宋" w:hAnsi="仿宋" w:eastAsia="仿宋" w:cs="仿宋"/>
          <w:color w:val="auto"/>
          <w:sz w:val="24"/>
          <w:szCs w:val="24"/>
          <w:highlight w:val="none"/>
        </w:rPr>
        <w:t>”条款为实质性响应条款，必须响应。</w:t>
      </w:r>
    </w:p>
    <w:p>
      <w:pPr>
        <w:kinsoku/>
        <w:wordWrap/>
        <w:overflowPunct/>
        <w:bidi w:val="0"/>
        <w:snapToGrid w:val="0"/>
        <w:spacing w:beforeAutospacing="0" w:line="440" w:lineRule="exact"/>
        <w:ind w:left="0" w:leftChars="0" w:right="0" w:firstLine="472" w:firstLineChars="196"/>
        <w:jc w:val="left"/>
        <w:outlineLvl w:val="1"/>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（三）招标方式</w:t>
      </w:r>
    </w:p>
    <w:p>
      <w:pPr>
        <w:kinsoku/>
        <w:wordWrap/>
        <w:overflowPunct/>
        <w:bidi w:val="0"/>
        <w:snapToGrid w:val="0"/>
        <w:spacing w:beforeAutospacing="0" w:line="440" w:lineRule="exact"/>
        <w:ind w:left="0" w:leftChars="0" w:right="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本次招标采用公开招标方式进行。</w:t>
      </w:r>
    </w:p>
    <w:p>
      <w:pPr>
        <w:kinsoku/>
        <w:wordWrap/>
        <w:overflowPunct/>
        <w:bidi w:val="0"/>
        <w:snapToGrid w:val="0"/>
        <w:spacing w:beforeAutospacing="0" w:line="440" w:lineRule="exact"/>
        <w:ind w:left="0" w:leftChars="0" w:right="0" w:firstLine="472" w:firstLineChars="196"/>
        <w:jc w:val="left"/>
        <w:outlineLvl w:val="1"/>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（四）投标委托</w:t>
      </w:r>
    </w:p>
    <w:p>
      <w:pPr>
        <w:kinsoku/>
        <w:wordWrap/>
        <w:overflowPunct/>
        <w:bidi w:val="0"/>
        <w:snapToGrid w:val="0"/>
        <w:spacing w:beforeAutospacing="0" w:line="440" w:lineRule="exact"/>
        <w:ind w:left="0" w:leftChars="0" w:right="0" w:firstLine="464" w:firstLineChars="200"/>
        <w:jc w:val="left"/>
        <w:rPr>
          <w:rFonts w:hint="eastAsia" w:ascii="仿宋" w:hAnsi="仿宋" w:eastAsia="仿宋" w:cs="仿宋"/>
          <w:color w:val="auto"/>
          <w:spacing w:val="-4"/>
          <w:sz w:val="24"/>
          <w:szCs w:val="24"/>
          <w:highlight w:val="none"/>
        </w:rPr>
      </w:pPr>
      <w:r>
        <w:rPr>
          <w:rFonts w:hint="eastAsia" w:ascii="仿宋" w:hAnsi="仿宋" w:eastAsia="仿宋" w:cs="仿宋"/>
          <w:color w:val="auto"/>
          <w:spacing w:val="-4"/>
          <w:sz w:val="24"/>
          <w:szCs w:val="24"/>
          <w:highlight w:val="none"/>
        </w:rPr>
        <w:t>投标人代表须携带身份证。如投标人代表不是法定代表人，须有法定代表人出具的授权委托书（正本用原件，副本用复印件，格式见第四</w:t>
      </w:r>
      <w:r>
        <w:rPr>
          <w:rFonts w:hint="eastAsia" w:ascii="仿宋" w:hAnsi="仿宋" w:eastAsia="仿宋" w:cs="仿宋"/>
          <w:color w:val="auto"/>
          <w:spacing w:val="-4"/>
          <w:sz w:val="24"/>
          <w:szCs w:val="24"/>
          <w:highlight w:val="none"/>
          <w:lang w:eastAsia="zh-CN"/>
        </w:rPr>
        <w:t>章</w:t>
      </w:r>
      <w:r>
        <w:rPr>
          <w:rFonts w:hint="eastAsia" w:ascii="仿宋" w:hAnsi="仿宋" w:eastAsia="仿宋" w:cs="仿宋"/>
          <w:color w:val="auto"/>
          <w:spacing w:val="-4"/>
          <w:sz w:val="24"/>
          <w:szCs w:val="24"/>
          <w:highlight w:val="none"/>
        </w:rPr>
        <w:t>）。</w:t>
      </w:r>
    </w:p>
    <w:p>
      <w:pPr>
        <w:kinsoku/>
        <w:wordWrap/>
        <w:overflowPunct/>
        <w:bidi w:val="0"/>
        <w:snapToGrid w:val="0"/>
        <w:spacing w:beforeAutospacing="0" w:line="440" w:lineRule="exact"/>
        <w:ind w:left="0" w:leftChars="0" w:right="0" w:firstLine="472" w:firstLineChars="196"/>
        <w:jc w:val="left"/>
        <w:outlineLvl w:val="1"/>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（五）投标费用</w:t>
      </w:r>
    </w:p>
    <w:p>
      <w:pPr>
        <w:kinsoku/>
        <w:wordWrap/>
        <w:overflowPunct/>
        <w:bidi w:val="0"/>
        <w:snapToGrid w:val="0"/>
        <w:spacing w:beforeAutospacing="0" w:line="440" w:lineRule="exact"/>
        <w:ind w:left="0" w:leftChars="0" w:right="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不论投标结果如何，投标人均应自行承担所有与投标有关的全部费用（招标文件有相反规定除外）。</w:t>
      </w:r>
    </w:p>
    <w:p>
      <w:pPr>
        <w:kinsoku/>
        <w:wordWrap/>
        <w:overflowPunct/>
        <w:bidi w:val="0"/>
        <w:snapToGrid w:val="0"/>
        <w:spacing w:beforeAutospacing="0" w:line="440" w:lineRule="exact"/>
        <w:ind w:left="0" w:leftChars="0" w:right="0" w:firstLine="472" w:firstLineChars="196"/>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（六）联合体投标</w:t>
      </w:r>
    </w:p>
    <w:p>
      <w:pPr>
        <w:kinsoku/>
        <w:wordWrap/>
        <w:overflowPunct/>
        <w:bidi w:val="0"/>
        <w:snapToGrid w:val="0"/>
        <w:spacing w:beforeAutospacing="0" w:line="440" w:lineRule="exact"/>
        <w:ind w:left="0" w:leftChars="0" w:right="0" w:firstLine="720" w:firstLineChars="3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本项目不接受联合体投标。</w:t>
      </w:r>
    </w:p>
    <w:p>
      <w:pPr>
        <w:kinsoku/>
        <w:wordWrap/>
        <w:overflowPunct/>
        <w:bidi w:val="0"/>
        <w:snapToGrid w:val="0"/>
        <w:spacing w:beforeAutospacing="0" w:line="440" w:lineRule="exact"/>
        <w:ind w:left="0" w:leftChars="0" w:right="0" w:firstLine="472" w:firstLineChars="196"/>
        <w:rPr>
          <w:rFonts w:hint="eastAsia" w:ascii="仿宋" w:hAnsi="仿宋" w:eastAsia="仿宋" w:cs="仿宋"/>
          <w:b/>
          <w:color w:val="auto"/>
          <w:kern w:val="0"/>
          <w:sz w:val="24"/>
          <w:szCs w:val="24"/>
          <w:highlight w:val="none"/>
        </w:rPr>
      </w:pPr>
      <w:r>
        <w:rPr>
          <w:rFonts w:hint="eastAsia" w:ascii="仿宋" w:hAnsi="仿宋" w:eastAsia="仿宋" w:cs="仿宋"/>
          <w:b/>
          <w:color w:val="auto"/>
          <w:sz w:val="24"/>
          <w:szCs w:val="24"/>
          <w:highlight w:val="none"/>
        </w:rPr>
        <w:t>（七）</w:t>
      </w:r>
      <w:r>
        <w:rPr>
          <w:rFonts w:hint="eastAsia" w:ascii="仿宋" w:hAnsi="仿宋" w:eastAsia="仿宋" w:cs="仿宋"/>
          <w:b/>
          <w:color w:val="auto"/>
          <w:kern w:val="0"/>
          <w:sz w:val="24"/>
          <w:szCs w:val="24"/>
          <w:highlight w:val="none"/>
        </w:rPr>
        <w:t>转包与分包</w:t>
      </w:r>
    </w:p>
    <w:p>
      <w:pPr>
        <w:kinsoku/>
        <w:wordWrap/>
        <w:overflowPunct/>
        <w:bidi w:val="0"/>
        <w:snapToGrid w:val="0"/>
        <w:spacing w:beforeAutospacing="0" w:line="440" w:lineRule="exact"/>
        <w:ind w:left="0" w:leftChars="0" w:right="0"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1.本项目不允许转包。</w:t>
      </w:r>
    </w:p>
    <w:p>
      <w:pPr>
        <w:kinsoku/>
        <w:wordWrap/>
        <w:overflowPunct/>
        <w:bidi w:val="0"/>
        <w:snapToGrid w:val="0"/>
        <w:spacing w:beforeAutospacing="0" w:line="44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2.本项目不可以分包。</w:t>
      </w:r>
    </w:p>
    <w:p>
      <w:pPr>
        <w:kinsoku/>
        <w:wordWrap/>
        <w:overflowPunct/>
        <w:bidi w:val="0"/>
        <w:snapToGrid w:val="0"/>
        <w:spacing w:beforeAutospacing="0" w:line="440" w:lineRule="exact"/>
        <w:ind w:left="0" w:leftChars="0" w:right="0" w:firstLine="472" w:firstLineChars="196"/>
        <w:jc w:val="left"/>
        <w:outlineLvl w:val="1"/>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（八）特别说明</w:t>
      </w:r>
    </w:p>
    <w:p>
      <w:pPr>
        <w:kinsoku/>
        <w:wordWrap/>
        <w:overflowPunct/>
        <w:bidi w:val="0"/>
        <w:snapToGrid w:val="0"/>
        <w:spacing w:beforeAutospacing="0" w:line="440" w:lineRule="exact"/>
        <w:ind w:left="0" w:leftChars="0" w:right="0" w:firstLine="482" w:firstLineChars="200"/>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1.</w:t>
      </w:r>
      <w:r>
        <w:rPr>
          <w:rFonts w:hint="eastAsia" w:ascii="仿宋" w:hAnsi="仿宋" w:eastAsia="仿宋" w:cs="仿宋"/>
          <w:color w:val="auto"/>
          <w:sz w:val="24"/>
          <w:szCs w:val="24"/>
          <w:highlight w:val="none"/>
        </w:rPr>
        <w:t>投标人投标所使用的资格、信誉、荣誉、业绩与企业认证必须为本企业所拥有。在组织商务技术评审或资格性审查时，不得将属于供应商母公司（总机构）或者同一母公司下属的其他子公司（同一总机构下属的其他分支机构）的人员、业绩、荣誉、知识产权、项目案例等，作为该供应商的资信文件予以确认或审查通过。</w:t>
      </w:r>
    </w:p>
    <w:p>
      <w:pPr>
        <w:kinsoku/>
        <w:wordWrap/>
        <w:overflowPunct/>
        <w:bidi w:val="0"/>
        <w:snapToGrid w:val="0"/>
        <w:spacing w:beforeAutospacing="0" w:line="44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2.投标人应仔细阅读招标文件的所有内容，按照招标文件的要求提交投标文件，并对所提供的全部资料的真实性承担法律责任。</w:t>
      </w:r>
    </w:p>
    <w:p>
      <w:pPr>
        <w:kinsoku/>
        <w:wordWrap/>
        <w:overflowPunct/>
        <w:bidi w:val="0"/>
        <w:snapToGrid w:val="0"/>
        <w:spacing w:beforeAutospacing="0" w:line="44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3.投标人在投标活动中提供任何虚假材料,其投标无效，并报监管部门查处。中标后发现的,将没收中标人保证金，造成其他损失的须赔偿相应损失，且民事赔偿并不免除违法投标人的行政与刑事责任。</w:t>
      </w:r>
    </w:p>
    <w:p>
      <w:pPr>
        <w:kinsoku/>
        <w:wordWrap/>
        <w:overflowPunct/>
        <w:bidi w:val="0"/>
        <w:snapToGrid w:val="0"/>
        <w:spacing w:beforeAutospacing="0" w:line="44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根据财政部、国家发展改革委《关于调整公布第二十三期节能产品政府采购清单的通知》的规定，节能清单中的计算机设备（台式计算机、便携式计算机和平板式微型计算机）、输入输出设备（激光打印机、针式打印机、液晶显示器）、制冷空调设备、镇流器（管型荧光灯镇流器）、生活用电器（空调机、电热水器）、照明设备（普通照明用自镇流荧光灯、普通照明用双端荧光灯和高压钠灯）、电视设备、便器、水嘴等为政府强制采购节能产品（以“★”标注）。采购人需购买的产品属于政府强制采购节能产品范围，但在节能清单中无对应细化分类且节能清单中的产品确实无法满足工作需要的，允许在节能清单之外采购。</w:t>
      </w:r>
    </w:p>
    <w:p>
      <w:pPr>
        <w:kinsoku/>
        <w:wordWrap/>
        <w:overflowPunct/>
        <w:bidi w:val="0"/>
        <w:snapToGrid w:val="0"/>
        <w:spacing w:beforeAutospacing="0" w:line="44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若投标人所投产品在《第二十三期节能产品政府采购清单》内，则投标人须在投标文件中提供所投产品在《第二十三期节能产品政府采购清单》中所处的页码、截图等证明材料。</w:t>
      </w:r>
    </w:p>
    <w:p>
      <w:pPr>
        <w:kinsoku/>
        <w:wordWrap/>
        <w:overflowPunct/>
        <w:bidi w:val="0"/>
        <w:snapToGrid w:val="0"/>
        <w:spacing w:beforeAutospacing="0" w:line="440" w:lineRule="exact"/>
        <w:ind w:left="0" w:leftChars="0" w:right="0" w:firstLine="470" w:firstLineChars="19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 根据《政府采购货物和服务招标投标管理办法》（财政部令第87号）的规定。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kinsoku/>
        <w:wordWrap/>
        <w:overflowPunct/>
        <w:bidi w:val="0"/>
        <w:snapToGrid w:val="0"/>
        <w:spacing w:beforeAutospacing="0" w:line="440" w:lineRule="exact"/>
        <w:ind w:left="0" w:leftChars="0" w:right="0" w:firstLine="470" w:firstLineChars="19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非单一产品采购项目，采购人应当根据采购项目技术构成、产品价格比重等合理确定核心产品，并在招标文件中载明。多家投标人提供的核心产品品牌相同的，按前两款规定处理。</w:t>
      </w:r>
    </w:p>
    <w:p>
      <w:pPr>
        <w:kinsoku/>
        <w:wordWrap/>
        <w:overflowPunct/>
        <w:bidi w:val="0"/>
        <w:snapToGrid w:val="0"/>
        <w:spacing w:beforeAutospacing="0" w:line="440" w:lineRule="exact"/>
        <w:ind w:left="0" w:leftChars="0" w:right="0"/>
        <w:jc w:val="left"/>
        <w:outlineLvl w:val="1"/>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（九）知识产权</w:t>
      </w:r>
    </w:p>
    <w:p>
      <w:pPr>
        <w:kinsoku/>
        <w:wordWrap/>
        <w:overflowPunct/>
        <w:bidi w:val="0"/>
        <w:snapToGrid w:val="0"/>
        <w:spacing w:beforeAutospacing="0" w:line="440" w:lineRule="exact"/>
        <w:ind w:left="0" w:leftChars="0" w:right="0" w:firstLine="480" w:firstLineChars="200"/>
        <w:rPr>
          <w:rFonts w:hint="eastAsia" w:ascii="仿宋" w:hAnsi="仿宋" w:eastAsia="仿宋" w:cs="仿宋"/>
          <w:bCs/>
          <w:color w:val="auto"/>
          <w:sz w:val="24"/>
          <w:szCs w:val="24"/>
          <w:highlight w:val="none"/>
          <w:lang w:val="en-GB"/>
        </w:rPr>
      </w:pPr>
      <w:r>
        <w:rPr>
          <w:rFonts w:hint="eastAsia" w:ascii="仿宋" w:hAnsi="仿宋" w:eastAsia="仿宋" w:cs="仿宋"/>
          <w:bCs/>
          <w:color w:val="auto"/>
          <w:sz w:val="24"/>
          <w:szCs w:val="24"/>
          <w:highlight w:val="none"/>
        </w:rPr>
        <w:t>1.投标人必须保证，采购人在中华人民共和国境内使用投标货物、资料、技术、服务或其任何一部分时，享有不受限制的无偿使用权，如有第三方向采购人提出侵犯其专利权、商标权或其它知识产权的主张，该责任应由投标人承担。</w:t>
      </w:r>
    </w:p>
    <w:p>
      <w:pPr>
        <w:kinsoku/>
        <w:wordWrap/>
        <w:overflowPunct/>
        <w:bidi w:val="0"/>
        <w:snapToGrid w:val="0"/>
        <w:spacing w:beforeAutospacing="0" w:line="440" w:lineRule="exact"/>
        <w:ind w:left="0" w:leftChars="0" w:right="0"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2.投标报价应包含所有应向所有权人支付的专利权、商标权或其它知识产权的一切相关费用。</w:t>
      </w:r>
    </w:p>
    <w:p>
      <w:pPr>
        <w:kinsoku/>
        <w:wordWrap/>
        <w:overflowPunct/>
        <w:bidi w:val="0"/>
        <w:snapToGrid w:val="0"/>
        <w:spacing w:beforeAutospacing="0" w:line="440" w:lineRule="exact"/>
        <w:ind w:left="0" w:leftChars="0" w:right="0"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3.系统软件、通用软件必须是具有在中国境内的合法使用权或版权的正版软件，涉及到第三方提出侵权或知识产权的起诉及支付版税等费用由投标人承担所有责任及费用。</w:t>
      </w:r>
    </w:p>
    <w:p>
      <w:pPr>
        <w:kinsoku/>
        <w:wordWrap/>
        <w:overflowPunct/>
        <w:bidi w:val="0"/>
        <w:snapToGrid w:val="0"/>
        <w:spacing w:beforeAutospacing="0" w:line="440" w:lineRule="exact"/>
        <w:ind w:left="0" w:leftChars="0" w:right="0"/>
        <w:jc w:val="left"/>
        <w:outlineLvl w:val="1"/>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（十）质疑</w:t>
      </w:r>
    </w:p>
    <w:p>
      <w:pPr>
        <w:kinsoku/>
        <w:wordWrap/>
        <w:overflowPunct/>
        <w:bidi w:val="0"/>
        <w:snapToGrid w:val="0"/>
        <w:spacing w:beforeAutospacing="0" w:line="440" w:lineRule="exact"/>
        <w:ind w:left="0" w:leftChars="0" w:right="0"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质疑与投诉</w:t>
      </w:r>
    </w:p>
    <w:p>
      <w:pPr>
        <w:kinsoku/>
        <w:wordWrap/>
        <w:overflowPunct/>
        <w:bidi w:val="0"/>
        <w:snapToGrid w:val="0"/>
        <w:spacing w:beforeAutospacing="0" w:line="440" w:lineRule="exact"/>
        <w:ind w:left="0" w:leftChars="0" w:right="0"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投标人认为采购文件、采购过程、中标或者成交结果使自己的权益受到损害的，可以在知道或者应知其权益受到损害之日起7个工作日内，向采购人、采购代理机构提出质疑。投标人须在法定质疑期内一次性提出针对同一采购程序环节的质疑。采购人在收到投标人的书面质疑后七个工作日内作出答复，并以书面形式通知质疑投标人和其他有关投标人；作出答复前，将暂停招标投标活动。</w:t>
      </w:r>
    </w:p>
    <w:p>
      <w:pPr>
        <w:kinsoku/>
        <w:wordWrap/>
        <w:overflowPunct/>
        <w:bidi w:val="0"/>
        <w:snapToGrid w:val="0"/>
        <w:spacing w:beforeAutospacing="0" w:line="440" w:lineRule="exact"/>
        <w:ind w:left="0" w:leftChars="0" w:right="0"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2、质疑函的必备内容</w:t>
      </w:r>
    </w:p>
    <w:p>
      <w:pPr>
        <w:kinsoku/>
        <w:wordWrap/>
        <w:overflowPunct/>
        <w:bidi w:val="0"/>
        <w:snapToGrid w:val="0"/>
        <w:spacing w:beforeAutospacing="0" w:line="440" w:lineRule="exact"/>
        <w:ind w:left="0" w:leftChars="0" w:right="0"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（1）投标人提交的质疑函必须注明单位名称、地址、邮编、可供查询的单位和法定代表人的电话号码、联系人电话；</w:t>
      </w:r>
    </w:p>
    <w:p>
      <w:pPr>
        <w:kinsoku/>
        <w:wordWrap/>
        <w:overflowPunct/>
        <w:bidi w:val="0"/>
        <w:snapToGrid w:val="0"/>
        <w:spacing w:beforeAutospacing="0" w:line="440" w:lineRule="exact"/>
        <w:ind w:left="0" w:leftChars="0" w:right="0"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（2）质疑项目的名称、编号；</w:t>
      </w:r>
    </w:p>
    <w:p>
      <w:pPr>
        <w:kinsoku/>
        <w:wordWrap/>
        <w:overflowPunct/>
        <w:bidi w:val="0"/>
        <w:snapToGrid w:val="0"/>
        <w:spacing w:beforeAutospacing="0" w:line="440" w:lineRule="exact"/>
        <w:ind w:left="0" w:leftChars="0" w:right="0"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（3）具体质疑事项和与质疑事项相关的请求；</w:t>
      </w:r>
    </w:p>
    <w:p>
      <w:pPr>
        <w:kinsoku/>
        <w:wordWrap/>
        <w:overflowPunct/>
        <w:bidi w:val="0"/>
        <w:snapToGrid w:val="0"/>
        <w:spacing w:beforeAutospacing="0" w:line="440" w:lineRule="exact"/>
        <w:ind w:left="0" w:leftChars="0" w:right="0"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（4）事实依据；</w:t>
      </w:r>
    </w:p>
    <w:p>
      <w:pPr>
        <w:kinsoku/>
        <w:wordWrap/>
        <w:overflowPunct/>
        <w:bidi w:val="0"/>
        <w:snapToGrid w:val="0"/>
        <w:spacing w:beforeAutospacing="0" w:line="440" w:lineRule="exact"/>
        <w:ind w:left="0" w:leftChars="0" w:right="0"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（5）提起质疑的日期；</w:t>
      </w:r>
    </w:p>
    <w:p>
      <w:pPr>
        <w:kinsoku/>
        <w:wordWrap/>
        <w:overflowPunct/>
        <w:bidi w:val="0"/>
        <w:snapToGrid w:val="0"/>
        <w:spacing w:beforeAutospacing="0" w:line="440" w:lineRule="exact"/>
        <w:ind w:left="0" w:leftChars="0" w:right="0"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（6）质疑函须加盖单位公章，由法定代表人签章。</w:t>
      </w:r>
    </w:p>
    <w:p>
      <w:pPr>
        <w:kinsoku/>
        <w:wordWrap/>
        <w:overflowPunct/>
        <w:bidi w:val="0"/>
        <w:snapToGrid w:val="0"/>
        <w:spacing w:beforeAutospacing="0" w:line="440" w:lineRule="exact"/>
        <w:ind w:left="0" w:leftChars="0" w:right="0"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（7）授权代理人递交质疑函的，还须提交委托质疑事项的授权委托书（附法定代表人和被授权人的身份证正反面），加盖单位公章和法定代表人签章和被授权人签字，同时出示被授权人身份证。</w:t>
      </w:r>
    </w:p>
    <w:p>
      <w:pPr>
        <w:kinsoku/>
        <w:wordWrap/>
        <w:overflowPunct/>
        <w:bidi w:val="0"/>
        <w:snapToGrid w:val="0"/>
        <w:spacing w:beforeAutospacing="0" w:line="440" w:lineRule="exact"/>
        <w:ind w:left="0" w:leftChars="0" w:right="0"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3、质疑应符合下列条件：</w:t>
      </w:r>
    </w:p>
    <w:p>
      <w:pPr>
        <w:kinsoku/>
        <w:wordWrap/>
        <w:overflowPunct/>
        <w:bidi w:val="0"/>
        <w:snapToGrid w:val="0"/>
        <w:spacing w:beforeAutospacing="0" w:line="440" w:lineRule="exact"/>
        <w:ind w:left="0" w:leftChars="0" w:right="0"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⑴质疑人是参与所质疑项目的采购活动的投标人；</w:t>
      </w:r>
    </w:p>
    <w:p>
      <w:pPr>
        <w:kinsoku/>
        <w:wordWrap/>
        <w:overflowPunct/>
        <w:bidi w:val="0"/>
        <w:snapToGrid w:val="0"/>
        <w:spacing w:beforeAutospacing="0" w:line="440" w:lineRule="exact"/>
        <w:ind w:left="0" w:leftChars="0" w:right="0"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⑵质疑函内容符合相关的规定；</w:t>
      </w:r>
    </w:p>
    <w:p>
      <w:pPr>
        <w:kinsoku/>
        <w:wordWrap/>
        <w:overflowPunct/>
        <w:bidi w:val="0"/>
        <w:snapToGrid w:val="0"/>
        <w:spacing w:beforeAutospacing="0" w:line="440" w:lineRule="exact"/>
        <w:ind w:left="0" w:leftChars="0" w:right="0"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⑶在规定的有效期限内提起质疑；</w:t>
      </w:r>
    </w:p>
    <w:p>
      <w:pPr>
        <w:kinsoku/>
        <w:wordWrap/>
        <w:overflowPunct/>
        <w:bidi w:val="0"/>
        <w:snapToGrid w:val="0"/>
        <w:spacing w:beforeAutospacing="0" w:line="440" w:lineRule="exact"/>
        <w:ind w:left="0" w:leftChars="0" w:right="0"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⑷招投标监管部门规定的其他条件。</w:t>
      </w:r>
    </w:p>
    <w:p>
      <w:pPr>
        <w:kinsoku/>
        <w:wordWrap/>
        <w:overflowPunct/>
        <w:bidi w:val="0"/>
        <w:snapToGrid w:val="0"/>
        <w:spacing w:beforeAutospacing="0" w:line="440" w:lineRule="exact"/>
        <w:ind w:left="0" w:leftChars="0" w:right="0"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4、采购人在收到投标人的书面质疑后七个工作日内作出答复，并以书面形式通知质疑投标人和其他有关投标人，但答复的内容不涉及商业秘密。</w:t>
      </w:r>
    </w:p>
    <w:p>
      <w:pPr>
        <w:kinsoku/>
        <w:wordWrap/>
        <w:overflowPunct/>
        <w:bidi w:val="0"/>
        <w:snapToGrid w:val="0"/>
        <w:spacing w:beforeAutospacing="0" w:line="440" w:lineRule="exact"/>
        <w:ind w:left="0" w:leftChars="0" w:right="0"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提出质疑的投标人对答复不满意的，可以在答复期满后十五个工作日内向同级政府招标监督管理部门投诉。政府招标监督管理部门应当在收到投诉三十个工作日内，对投诉事项作出处理决定，并以书面形式通知投诉人和与投诉事项相关的当事人。</w:t>
      </w:r>
    </w:p>
    <w:p>
      <w:pPr>
        <w:kinsoku/>
        <w:wordWrap/>
        <w:overflowPunct/>
        <w:bidi w:val="0"/>
        <w:snapToGrid w:val="0"/>
        <w:spacing w:beforeAutospacing="0" w:line="440" w:lineRule="exact"/>
        <w:ind w:left="0" w:leftChars="0" w:right="0" w:firstLine="482" w:firstLineChars="200"/>
        <w:outlineLvl w:val="1"/>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（十一）投标人的资格要求</w:t>
      </w:r>
    </w:p>
    <w:p>
      <w:pPr>
        <w:pStyle w:val="45"/>
        <w:kinsoku/>
        <w:wordWrap/>
        <w:overflowPunct/>
        <w:bidi w:val="0"/>
        <w:spacing w:before="0" w:beforeAutospacing="0" w:after="0" w:after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1、满足《中华人民共和国政府采购法》第二十二条规定；</w:t>
      </w:r>
    </w:p>
    <w:p>
      <w:pPr>
        <w:pStyle w:val="45"/>
        <w:kinsoku/>
        <w:wordWrap/>
        <w:overflowPunct/>
        <w:bidi w:val="0"/>
        <w:spacing w:before="0" w:beforeAutospacing="0" w:after="0" w:after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2、具有有效营业执照的国内独立法人资格，具有独立承担民事责任的能力；</w:t>
      </w:r>
    </w:p>
    <w:p>
      <w:pPr>
        <w:pStyle w:val="45"/>
        <w:kinsoku/>
        <w:wordWrap/>
        <w:overflowPunct/>
        <w:bidi w:val="0"/>
        <w:spacing w:before="0" w:beforeAutospacing="0" w:after="0" w:after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所投产品属于第二类医疗器械的，需提供有效的行政主管部门颁发的医疗器械经营备案凭证（或医疗器械生产许可证或医疗器械经营许可证或其他医疗器械生产经营许可证明文件）；所投产品属于第三类医疗器械的，需提供有效的行政主管部门颁发的医疗器械生产许可证（或医疗器械经营许可证或其他医疗器械生产经营许可证明文件）,进口产品须提供制造商为本项目给予投标人投标产品的制造商授权书（可提供总代理授权）服务承诺函。所有证件必须在有效期内;</w:t>
      </w:r>
    </w:p>
    <w:p>
      <w:pPr>
        <w:pStyle w:val="45"/>
        <w:kinsoku/>
        <w:wordWrap/>
        <w:overflowPunct/>
        <w:bidi w:val="0"/>
        <w:spacing w:before="0" w:beforeAutospacing="0" w:after="0" w:after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4、经信用中国（www.creditchina.gov.cn）、中国政府采购网（www.ccgp.gov.cn）、 国家企业信用信息公示（http://www.gsxt.gov.cn/）等渠道查询后，列入失信被执行人、重大税收违法案件当事人名单、政府采购严重违法失信行为记录名单的，取消投标资格。（提供“信用中国”《中国政府采购网》网站无任何不良记录的查询截图，时间为投标截止时间前20天内）；</w:t>
      </w:r>
    </w:p>
    <w:p>
      <w:pPr>
        <w:kinsoku/>
        <w:wordWrap/>
        <w:overflowPunct/>
        <w:bidi w:val="0"/>
        <w:snapToGrid w:val="0"/>
        <w:spacing w:beforeAutospacing="0" w:line="440" w:lineRule="exact"/>
        <w:ind w:left="0" w:leftChars="0" w:right="0"/>
        <w:outlineLvl w:val="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5、本项目不接受联合体</w:t>
      </w:r>
    </w:p>
    <w:p>
      <w:pPr>
        <w:kinsoku/>
        <w:wordWrap/>
        <w:overflowPunct/>
        <w:bidi w:val="0"/>
        <w:snapToGrid w:val="0"/>
        <w:spacing w:beforeAutospacing="0" w:line="440" w:lineRule="exact"/>
        <w:ind w:left="0" w:leftChars="0" w:right="0"/>
        <w:jc w:val="center"/>
        <w:outlineLvl w:val="1"/>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二、招标文件</w:t>
      </w:r>
    </w:p>
    <w:p>
      <w:pPr>
        <w:kinsoku/>
        <w:wordWrap/>
        <w:overflowPunct/>
        <w:bidi w:val="0"/>
        <w:snapToGrid w:val="0"/>
        <w:spacing w:beforeAutospacing="0" w:line="440" w:lineRule="exact"/>
        <w:ind w:left="0" w:leftChars="0" w:right="0" w:firstLine="472" w:firstLineChars="196"/>
        <w:jc w:val="left"/>
        <w:outlineLvl w:val="1"/>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（一）招标文件的构成。本招标文件由以下组成：</w:t>
      </w:r>
    </w:p>
    <w:p>
      <w:pPr>
        <w:kinsoku/>
        <w:wordWrap/>
        <w:overflowPunct/>
        <w:bidi w:val="0"/>
        <w:snapToGrid w:val="0"/>
        <w:spacing w:beforeAutospacing="0" w:line="440" w:lineRule="exact"/>
        <w:ind w:left="0" w:leftChars="0" w:right="0" w:firstLine="470" w:firstLineChars="196"/>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第一</w:t>
      </w:r>
      <w:r>
        <w:rPr>
          <w:rFonts w:hint="eastAsia" w:ascii="仿宋" w:hAnsi="仿宋" w:eastAsia="仿宋" w:cs="仿宋"/>
          <w:color w:val="auto"/>
          <w:sz w:val="24"/>
          <w:szCs w:val="24"/>
          <w:highlight w:val="none"/>
          <w:lang w:eastAsia="zh-CN"/>
        </w:rPr>
        <w:t>章</w:t>
      </w:r>
      <w:r>
        <w:rPr>
          <w:rFonts w:hint="eastAsia" w:ascii="仿宋" w:hAnsi="仿宋" w:eastAsia="仿宋" w:cs="仿宋"/>
          <w:color w:val="auto"/>
          <w:sz w:val="24"/>
          <w:szCs w:val="24"/>
          <w:highlight w:val="none"/>
        </w:rPr>
        <w:t xml:space="preserve">  投标邀请函</w:t>
      </w:r>
    </w:p>
    <w:p>
      <w:pPr>
        <w:kinsoku/>
        <w:wordWrap/>
        <w:overflowPunct/>
        <w:bidi w:val="0"/>
        <w:snapToGrid w:val="0"/>
        <w:spacing w:beforeAutospacing="0" w:line="440" w:lineRule="exact"/>
        <w:ind w:left="0" w:leftChars="0" w:right="0" w:firstLine="470" w:firstLineChars="196"/>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w:t>
      </w:r>
      <w:r>
        <w:rPr>
          <w:rFonts w:hint="eastAsia" w:ascii="仿宋" w:hAnsi="仿宋" w:eastAsia="仿宋" w:cs="仿宋"/>
          <w:color w:val="auto"/>
          <w:sz w:val="24"/>
          <w:szCs w:val="24"/>
          <w:highlight w:val="none"/>
          <w:lang w:eastAsia="zh-CN"/>
        </w:rPr>
        <w:t>章</w:t>
      </w:r>
      <w:r>
        <w:rPr>
          <w:rFonts w:hint="eastAsia" w:ascii="仿宋" w:hAnsi="仿宋" w:eastAsia="仿宋" w:cs="仿宋"/>
          <w:color w:val="auto"/>
          <w:sz w:val="24"/>
          <w:szCs w:val="24"/>
          <w:highlight w:val="none"/>
        </w:rPr>
        <w:t xml:space="preserve">  投标人须知</w:t>
      </w:r>
    </w:p>
    <w:p>
      <w:pPr>
        <w:kinsoku/>
        <w:wordWrap/>
        <w:overflowPunct/>
        <w:bidi w:val="0"/>
        <w:snapToGrid w:val="0"/>
        <w:spacing w:beforeAutospacing="0" w:line="440" w:lineRule="exact"/>
        <w:ind w:left="0" w:leftChars="0" w:right="0" w:firstLine="470" w:firstLineChars="196"/>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第三</w:t>
      </w:r>
      <w:r>
        <w:rPr>
          <w:rFonts w:hint="eastAsia" w:ascii="仿宋" w:hAnsi="仿宋" w:eastAsia="仿宋" w:cs="仿宋"/>
          <w:color w:val="auto"/>
          <w:sz w:val="24"/>
          <w:szCs w:val="24"/>
          <w:highlight w:val="none"/>
          <w:lang w:eastAsia="zh-CN"/>
        </w:rPr>
        <w:t>章</w:t>
      </w:r>
      <w:r>
        <w:rPr>
          <w:rFonts w:hint="eastAsia" w:ascii="仿宋" w:hAnsi="仿宋" w:eastAsia="仿宋" w:cs="仿宋"/>
          <w:color w:val="auto"/>
          <w:sz w:val="24"/>
          <w:szCs w:val="24"/>
          <w:highlight w:val="none"/>
        </w:rPr>
        <w:t xml:space="preserve">  采购需求</w:t>
      </w:r>
    </w:p>
    <w:p>
      <w:pPr>
        <w:kinsoku/>
        <w:wordWrap/>
        <w:overflowPunct/>
        <w:bidi w:val="0"/>
        <w:snapToGrid w:val="0"/>
        <w:spacing w:beforeAutospacing="0" w:line="440" w:lineRule="exact"/>
        <w:ind w:left="0" w:leftChars="0" w:right="0" w:firstLine="470" w:firstLineChars="196"/>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第四</w:t>
      </w:r>
      <w:r>
        <w:rPr>
          <w:rFonts w:hint="eastAsia" w:ascii="仿宋" w:hAnsi="仿宋" w:eastAsia="仿宋" w:cs="仿宋"/>
          <w:color w:val="auto"/>
          <w:sz w:val="24"/>
          <w:szCs w:val="24"/>
          <w:highlight w:val="none"/>
          <w:lang w:eastAsia="zh-CN"/>
        </w:rPr>
        <w:t>章</w:t>
      </w:r>
      <w:r>
        <w:rPr>
          <w:rFonts w:hint="eastAsia" w:ascii="仿宋" w:hAnsi="仿宋" w:eastAsia="仿宋" w:cs="仿宋"/>
          <w:color w:val="auto"/>
          <w:sz w:val="24"/>
          <w:szCs w:val="24"/>
          <w:highlight w:val="none"/>
        </w:rPr>
        <w:t xml:space="preserve">  合同格式（参考）</w:t>
      </w:r>
    </w:p>
    <w:p>
      <w:pPr>
        <w:kinsoku/>
        <w:wordWrap/>
        <w:overflowPunct/>
        <w:bidi w:val="0"/>
        <w:snapToGrid w:val="0"/>
        <w:spacing w:beforeAutospacing="0" w:line="440" w:lineRule="exact"/>
        <w:ind w:left="0" w:leftChars="0" w:right="0" w:firstLine="470" w:firstLineChars="196"/>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第五</w:t>
      </w:r>
      <w:r>
        <w:rPr>
          <w:rFonts w:hint="eastAsia" w:ascii="仿宋" w:hAnsi="仿宋" w:eastAsia="仿宋" w:cs="仿宋"/>
          <w:color w:val="auto"/>
          <w:sz w:val="24"/>
          <w:szCs w:val="24"/>
          <w:highlight w:val="none"/>
          <w:lang w:eastAsia="zh-CN"/>
        </w:rPr>
        <w:t>章</w:t>
      </w:r>
      <w:r>
        <w:rPr>
          <w:rFonts w:hint="eastAsia" w:ascii="仿宋" w:hAnsi="仿宋" w:eastAsia="仿宋" w:cs="仿宋"/>
          <w:color w:val="auto"/>
          <w:sz w:val="24"/>
          <w:szCs w:val="24"/>
          <w:highlight w:val="none"/>
        </w:rPr>
        <w:t xml:space="preserve">  投标文件格式</w:t>
      </w:r>
    </w:p>
    <w:p>
      <w:pPr>
        <w:kinsoku/>
        <w:wordWrap/>
        <w:overflowPunct/>
        <w:bidi w:val="0"/>
        <w:snapToGrid w:val="0"/>
        <w:spacing w:beforeAutospacing="0" w:line="440" w:lineRule="exact"/>
        <w:ind w:left="0" w:leftChars="0" w:right="0" w:firstLine="472" w:firstLineChars="196"/>
        <w:jc w:val="left"/>
        <w:outlineLvl w:val="1"/>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（二）投标人的风险</w:t>
      </w:r>
    </w:p>
    <w:p>
      <w:pPr>
        <w:kinsoku/>
        <w:wordWrap/>
        <w:overflowPunct/>
        <w:bidi w:val="0"/>
        <w:snapToGrid w:val="0"/>
        <w:spacing w:beforeAutospacing="0" w:line="440" w:lineRule="exact"/>
        <w:ind w:left="0" w:leftChars="0" w:right="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投标人没有按照招标文件要求提供全部资料，或者投标人没有对招标文件在各方面作出实质性响应是投标人的风险，并可能导致其投标被拒绝。</w:t>
      </w:r>
    </w:p>
    <w:p>
      <w:pPr>
        <w:kinsoku/>
        <w:wordWrap/>
        <w:overflowPunct/>
        <w:bidi w:val="0"/>
        <w:snapToGrid w:val="0"/>
        <w:spacing w:beforeAutospacing="0" w:line="440" w:lineRule="exact"/>
        <w:ind w:left="0" w:leftChars="0" w:right="0" w:firstLine="472" w:firstLineChars="196"/>
        <w:jc w:val="left"/>
        <w:outlineLvl w:val="1"/>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（三）招标文件的澄清与修改</w:t>
      </w:r>
    </w:p>
    <w:p>
      <w:pPr>
        <w:kinsoku/>
        <w:wordWrap/>
        <w:overflowPunct/>
        <w:bidi w:val="0"/>
        <w:snapToGrid w:val="0"/>
        <w:spacing w:beforeAutospacing="0" w:line="44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在投标截止时间前，采购代理机构对已发出的招标文件进行必要澄清或者修改时，将依法在财政部门指定的政府采购信息发布媒体上发布更正公告，并以书面形式通知所有招标文件收受人，除书面答复以外的其他澄清方式及澄清内容均无效。该澄清或者修改的内容为招标文件的组成部分，对所有投标人有约束力。投标人在收到招标文件的澄清修改函后，应以书面形式予以确认。</w:t>
      </w:r>
    </w:p>
    <w:p>
      <w:pPr>
        <w:kinsoku/>
        <w:wordWrap/>
        <w:overflowPunct/>
        <w:bidi w:val="0"/>
        <w:snapToGrid w:val="0"/>
        <w:spacing w:beforeAutospacing="0" w:line="44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 采购代理机构可以视采购具体情况，延长投标截止时间和开标时间，并依法在招标文件要求提交投标文件的截至时间三日前，将变更时间书面通知所有招标文件收受人，并在财政部门指定的政府采购信息发布媒体上发布变更公告。</w:t>
      </w:r>
    </w:p>
    <w:p>
      <w:pPr>
        <w:kinsoku/>
        <w:wordWrap/>
        <w:overflowPunct/>
        <w:bidi w:val="0"/>
        <w:snapToGrid w:val="0"/>
        <w:spacing w:beforeAutospacing="0" w:line="44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3.招标文件澄清、答复、修改、补充的内容为招标文件的组成部分。当招标文件与招标文件的答复、澄清、修改、补充通知就同一内容的表述不一致时，以最后发出的书面文件为准。</w:t>
      </w:r>
    </w:p>
    <w:p>
      <w:pPr>
        <w:kinsoku/>
        <w:wordWrap/>
        <w:overflowPunct/>
        <w:bidi w:val="0"/>
        <w:snapToGrid w:val="0"/>
        <w:spacing w:beforeAutospacing="0" w:line="44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4.招标文件的澄清、答复、修改或补充都应该通过本代理机构以法定形式发布，采购人非通过本机构，不得擅自澄清、答复、修改或补充招标文件。</w:t>
      </w:r>
    </w:p>
    <w:p>
      <w:pPr>
        <w:kinsoku/>
        <w:wordWrap/>
        <w:overflowPunct/>
        <w:bidi w:val="0"/>
        <w:snapToGrid w:val="0"/>
        <w:spacing w:beforeAutospacing="0" w:line="440" w:lineRule="exact"/>
        <w:ind w:left="0" w:leftChars="0" w:right="0" w:firstLine="472" w:firstLineChars="196"/>
        <w:jc w:val="left"/>
        <w:outlineLvl w:val="1"/>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（四）投标文件的编制</w:t>
      </w:r>
    </w:p>
    <w:p>
      <w:pPr>
        <w:kinsoku/>
        <w:wordWrap/>
        <w:overflowPunct/>
        <w:bidi w:val="0"/>
        <w:adjustRightInd w:val="0"/>
        <w:snapToGrid w:val="0"/>
        <w:spacing w:beforeAutospacing="0" w:line="440" w:lineRule="exact"/>
        <w:ind w:left="0" w:leftChars="0" w:right="0"/>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1、投标语言</w:t>
      </w:r>
    </w:p>
    <w:p>
      <w:pPr>
        <w:kinsoku/>
        <w:wordWrap/>
        <w:overflowPunct/>
        <w:bidi w:val="0"/>
        <w:adjustRightInd w:val="0"/>
        <w:snapToGrid w:val="0"/>
        <w:spacing w:beforeAutospacing="0" w:line="440" w:lineRule="exact"/>
        <w:ind w:left="0" w:leftChars="0" w:right="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投标人提交的投标文件及投标人与采购代理机构就有关投标的所有来往函电均使用中文。投标人可以提交其他它语言的资料，但应附有中文注释，有差异时以中文为准。</w:t>
      </w:r>
    </w:p>
    <w:p>
      <w:pPr>
        <w:kinsoku/>
        <w:wordWrap/>
        <w:overflowPunct/>
        <w:bidi w:val="0"/>
        <w:adjustRightInd w:val="0"/>
        <w:snapToGrid w:val="0"/>
        <w:spacing w:beforeAutospacing="0" w:line="440" w:lineRule="exact"/>
        <w:ind w:left="0" w:leftChars="0" w:right="0"/>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2、计量单位</w:t>
      </w:r>
    </w:p>
    <w:p>
      <w:pPr>
        <w:kinsoku/>
        <w:wordWrap/>
        <w:overflowPunct/>
        <w:bidi w:val="0"/>
        <w:adjustRightInd w:val="0"/>
        <w:snapToGrid w:val="0"/>
        <w:spacing w:beforeAutospacing="0" w:line="440" w:lineRule="exact"/>
        <w:ind w:left="0" w:leftChars="0" w:right="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所有计量均采用中华人民共和国法定计量单位。</w:t>
      </w:r>
    </w:p>
    <w:p>
      <w:pPr>
        <w:kinsoku/>
        <w:wordWrap/>
        <w:overflowPunct/>
        <w:bidi w:val="0"/>
        <w:adjustRightInd w:val="0"/>
        <w:snapToGrid w:val="0"/>
        <w:spacing w:beforeAutospacing="0" w:line="440" w:lineRule="exact"/>
        <w:ind w:left="0" w:leftChars="0" w:right="0"/>
        <w:jc w:val="left"/>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3、投标文件的组成</w:t>
      </w:r>
    </w:p>
    <w:p>
      <w:pPr>
        <w:kinsoku/>
        <w:wordWrap/>
        <w:overflowPunct/>
        <w:bidi w:val="0"/>
        <w:snapToGrid w:val="0"/>
        <w:spacing w:beforeAutospacing="0" w:line="440" w:lineRule="exact"/>
        <w:ind w:left="0" w:leftChars="0" w:right="0" w:firstLine="482" w:firstLineChars="200"/>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注：投标人应保证所提供文件资料的真实性，所有文件资料必须是针对本次投标的。如发现投标人提供了虚假文件资料，其投标将被拒绝，并自行承担相应的法律责任。</w:t>
      </w:r>
    </w:p>
    <w:p>
      <w:pPr>
        <w:kinsoku/>
        <w:wordWrap/>
        <w:overflowPunct/>
        <w:bidi w:val="0"/>
        <w:adjustRightInd w:val="0"/>
        <w:snapToGrid w:val="0"/>
        <w:spacing w:beforeAutospacing="0" w:line="440" w:lineRule="exact"/>
        <w:ind w:left="0" w:leftChars="0" w:right="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3.1投标文件由商务、技术、经济 两部分组成。内容如下：</w:t>
      </w:r>
    </w:p>
    <w:p>
      <w:pPr>
        <w:kinsoku/>
        <w:wordWrap/>
        <w:overflowPunct/>
        <w:bidi w:val="0"/>
        <w:spacing w:beforeAutospacing="0" w:line="440" w:lineRule="exact"/>
        <w:ind w:left="0" w:leftChars="0" w:right="0" w:firstLine="482" w:firstLineChars="200"/>
        <w:rPr>
          <w:rFonts w:hint="eastAsia" w:ascii="仿宋" w:hAnsi="仿宋" w:eastAsia="仿宋" w:cs="仿宋"/>
          <w:color w:val="auto"/>
          <w:sz w:val="24"/>
          <w:szCs w:val="24"/>
          <w:highlight w:val="none"/>
        </w:rPr>
      </w:pPr>
      <w:r>
        <w:rPr>
          <w:rFonts w:hint="eastAsia" w:ascii="仿宋" w:hAnsi="仿宋" w:eastAsia="仿宋" w:cs="仿宋"/>
          <w:b/>
          <w:bCs/>
          <w:color w:val="auto"/>
          <w:kern w:val="0"/>
          <w:sz w:val="24"/>
          <w:szCs w:val="24"/>
          <w:highlight w:val="none"/>
        </w:rPr>
        <w:t>商务技术部分主要包括</w:t>
      </w:r>
      <w:r>
        <w:rPr>
          <w:rFonts w:hint="eastAsia" w:ascii="仿宋" w:hAnsi="仿宋" w:eastAsia="仿宋" w:cs="仿宋"/>
          <w:b/>
          <w:color w:val="auto"/>
          <w:sz w:val="24"/>
          <w:szCs w:val="24"/>
          <w:highlight w:val="none"/>
        </w:rPr>
        <w:t>但不限于以下内容：</w:t>
      </w:r>
    </w:p>
    <w:p>
      <w:pPr>
        <w:kinsoku/>
        <w:wordWrap/>
        <w:overflowPunct/>
        <w:bidi w:val="0"/>
        <w:spacing w:beforeAutospacing="0" w:line="440" w:lineRule="exact"/>
        <w:ind w:left="240" w:leftChars="0" w:right="0" w:hanging="240" w:hangingChars="100"/>
        <w:rPr>
          <w:rFonts w:hint="eastAsia" w:ascii="仿宋" w:hAnsi="仿宋" w:eastAsia="仿宋" w:cs="仿宋"/>
          <w:color w:val="auto"/>
          <w:kern w:val="0"/>
          <w:sz w:val="24"/>
          <w:szCs w:val="24"/>
          <w:highlight w:val="none"/>
        </w:rPr>
      </w:pPr>
      <w:r>
        <w:rPr>
          <w:rFonts w:hint="eastAsia" w:ascii="仿宋" w:hAnsi="仿宋" w:eastAsia="仿宋" w:cs="仿宋"/>
          <w:bCs/>
          <w:color w:val="auto"/>
          <w:kern w:val="0"/>
          <w:sz w:val="24"/>
          <w:szCs w:val="24"/>
          <w:highlight w:val="none"/>
        </w:rPr>
        <w:t>（1）</w:t>
      </w:r>
      <w:r>
        <w:rPr>
          <w:rFonts w:hint="eastAsia" w:ascii="仿宋" w:hAnsi="仿宋" w:eastAsia="仿宋" w:cs="仿宋"/>
          <w:color w:val="auto"/>
          <w:sz w:val="24"/>
          <w:szCs w:val="24"/>
          <w:highlight w:val="none"/>
        </w:rPr>
        <w:t>投</w:t>
      </w:r>
      <w:r>
        <w:rPr>
          <w:rFonts w:hint="eastAsia" w:ascii="仿宋" w:hAnsi="仿宋" w:eastAsia="仿宋" w:cs="仿宋"/>
          <w:color w:val="auto"/>
          <w:kern w:val="0"/>
          <w:sz w:val="24"/>
          <w:szCs w:val="24"/>
          <w:highlight w:val="none"/>
        </w:rPr>
        <w:t>标</w:t>
      </w:r>
      <w:r>
        <w:rPr>
          <w:rFonts w:hint="eastAsia" w:ascii="仿宋" w:hAnsi="仿宋" w:eastAsia="仿宋" w:cs="仿宋"/>
          <w:color w:val="auto"/>
          <w:sz w:val="24"/>
          <w:szCs w:val="24"/>
          <w:highlight w:val="none"/>
        </w:rPr>
        <w:t>人概况及企业综合实力[包括不限于：投标人概况表；依法纳税承诺；投标资格声明；参加政府采购活动前3年内在经营活动中没有重大违法记录的书面声明；信用中国网站（www.creditchina.gov.cn）、中国</w:t>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"http://www.caigou2003.com/" \t "_blank"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政府采购网</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（www.ccgp.gov.cn）、中国裁判文书网】网站的信用查询截图；采购文件要求的《中华人民共和国政府采购法》规定的资格条件证明文件复印件；采购文件采</w:t>
      </w:r>
      <w:r>
        <w:rPr>
          <w:rFonts w:hint="eastAsia" w:ascii="仿宋" w:hAnsi="仿宋" w:eastAsia="仿宋" w:cs="仿宋"/>
          <w:color w:val="auto"/>
          <w:kern w:val="0"/>
          <w:sz w:val="24"/>
          <w:szCs w:val="24"/>
          <w:highlight w:val="none"/>
        </w:rPr>
        <w:t>购人根据采购项目的特殊要求规定的特定条件证明文件复印件]；</w:t>
      </w:r>
    </w:p>
    <w:p>
      <w:pPr>
        <w:kinsoku/>
        <w:wordWrap/>
        <w:overflowPunct/>
        <w:bidi w:val="0"/>
        <w:spacing w:beforeAutospacing="0" w:line="440" w:lineRule="exact"/>
        <w:ind w:left="240" w:leftChars="0" w:right="0" w:hanging="240" w:hanging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（2）投标函；</w:t>
      </w:r>
    </w:p>
    <w:p>
      <w:pPr>
        <w:kinsoku/>
        <w:wordWrap/>
        <w:overflowPunct/>
        <w:bidi w:val="0"/>
        <w:spacing w:beforeAutospacing="0" w:line="440" w:lineRule="exact"/>
        <w:ind w:left="240" w:leftChars="0" w:right="0" w:hanging="240" w:hanging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（3）投标承诺书；</w:t>
      </w:r>
    </w:p>
    <w:p>
      <w:pPr>
        <w:kinsoku/>
        <w:wordWrap/>
        <w:overflowPunct/>
        <w:bidi w:val="0"/>
        <w:spacing w:beforeAutospacing="0" w:line="440" w:lineRule="exact"/>
        <w:ind w:left="240" w:leftChars="0" w:right="0" w:hanging="240" w:hanging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（4）法定代表人身份证明书和法定代表人身份证（复印件）或者法定代表人授权委托书及被授权人身份证（复印件）；</w:t>
      </w:r>
    </w:p>
    <w:p>
      <w:pPr>
        <w:kinsoku/>
        <w:wordWrap/>
        <w:overflowPunct/>
        <w:bidi w:val="0"/>
        <w:spacing w:beforeAutospacing="0" w:line="440" w:lineRule="exact"/>
        <w:ind w:left="240" w:leftChars="0" w:right="0" w:hanging="240" w:hanging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（5）投标保证金缴纳凭证（复印件加盖单位公章）；近三年财务状况表；</w:t>
      </w:r>
    </w:p>
    <w:p>
      <w:pPr>
        <w:kinsoku/>
        <w:wordWrap/>
        <w:overflowPunct/>
        <w:autoSpaceDE w:val="0"/>
        <w:autoSpaceDN w:val="0"/>
        <w:bidi w:val="0"/>
        <w:adjustRightInd w:val="0"/>
        <w:spacing w:beforeAutospacing="0" w:line="440" w:lineRule="exact"/>
        <w:ind w:left="631" w:leftChars="0" w:right="0" w:hanging="631" w:hangingChars="263"/>
        <w:rPr>
          <w:rFonts w:hint="eastAsia" w:ascii="仿宋" w:hAnsi="仿宋" w:eastAsia="仿宋" w:cs="仿宋"/>
          <w:color w:val="auto"/>
          <w:sz w:val="24"/>
          <w:szCs w:val="24"/>
          <w:highlight w:val="none"/>
          <w:lang w:val="zh-CN"/>
        </w:rPr>
      </w:pPr>
      <w:r>
        <w:rPr>
          <w:rFonts w:hint="eastAsia" w:ascii="仿宋" w:hAnsi="仿宋" w:eastAsia="仿宋" w:cs="仿宋"/>
          <w:color w:val="auto"/>
          <w:kern w:val="0"/>
          <w:sz w:val="24"/>
          <w:szCs w:val="24"/>
          <w:highlight w:val="none"/>
        </w:rPr>
        <w:t>（6</w:t>
      </w:r>
      <w:r>
        <w:rPr>
          <w:rFonts w:hint="eastAsia" w:ascii="仿宋" w:hAnsi="仿宋" w:eastAsia="仿宋" w:cs="仿宋"/>
          <w:color w:val="auto"/>
          <w:sz w:val="24"/>
          <w:szCs w:val="24"/>
          <w:highlight w:val="none"/>
          <w:lang w:val="zh-CN"/>
        </w:rPr>
        <w:t>）关于资格声明函</w:t>
      </w:r>
      <w:r>
        <w:rPr>
          <w:rFonts w:hint="eastAsia" w:ascii="仿宋" w:hAnsi="仿宋" w:eastAsia="仿宋" w:cs="仿宋"/>
          <w:color w:val="auto"/>
          <w:sz w:val="24"/>
          <w:szCs w:val="24"/>
          <w:highlight w:val="none"/>
        </w:rPr>
        <w:t>属于中小企业的相关证明资料： 1)《中小企业声明函》；2) 供应商工商行政注册地管理部门出具的小微企业证明文件；</w:t>
      </w:r>
    </w:p>
    <w:p>
      <w:pPr>
        <w:kinsoku/>
        <w:wordWrap/>
        <w:overflowPunct/>
        <w:autoSpaceDE w:val="0"/>
        <w:autoSpaceDN w:val="0"/>
        <w:bidi w:val="0"/>
        <w:adjustRightInd w:val="0"/>
        <w:spacing w:beforeAutospacing="0" w:line="440" w:lineRule="exact"/>
        <w:ind w:left="0" w:leftChars="0" w:right="0" w:firstLine="480" w:firstLineChars="200"/>
        <w:jc w:val="left"/>
        <w:rPr>
          <w:rFonts w:hint="eastAsia" w:ascii="仿宋" w:hAnsi="仿宋" w:eastAsia="仿宋" w:cs="仿宋"/>
          <w:color w:val="auto"/>
          <w:sz w:val="24"/>
          <w:szCs w:val="24"/>
          <w:highlight w:val="none"/>
          <w:lang w:val="zh-CN"/>
        </w:rPr>
      </w:pPr>
      <w:r>
        <w:rPr>
          <w:rFonts w:hint="eastAsia" w:ascii="仿宋" w:hAnsi="仿宋" w:eastAsia="仿宋" w:cs="仿宋"/>
          <w:color w:val="auto"/>
          <w:kern w:val="0"/>
          <w:sz w:val="24"/>
          <w:szCs w:val="24"/>
          <w:highlight w:val="none"/>
        </w:rPr>
        <w:t>（7）</w:t>
      </w:r>
      <w:r>
        <w:rPr>
          <w:rFonts w:hint="eastAsia" w:ascii="仿宋" w:hAnsi="仿宋" w:eastAsia="仿宋" w:cs="仿宋"/>
          <w:color w:val="auto"/>
          <w:sz w:val="24"/>
          <w:szCs w:val="24"/>
          <w:highlight w:val="none"/>
          <w:lang w:val="zh-CN"/>
        </w:rPr>
        <w:t>投标人投标的优惠条件、</w:t>
      </w:r>
      <w:r>
        <w:rPr>
          <w:rFonts w:hint="eastAsia" w:ascii="仿宋" w:hAnsi="仿宋" w:eastAsia="仿宋" w:cs="仿宋"/>
          <w:color w:val="auto"/>
          <w:kern w:val="0"/>
          <w:sz w:val="24"/>
          <w:szCs w:val="24"/>
          <w:highlight w:val="none"/>
        </w:rPr>
        <w:t>质量承诺、进度承诺、服务承诺、维保承诺、</w:t>
      </w:r>
      <w:r>
        <w:rPr>
          <w:rFonts w:hint="eastAsia" w:ascii="仿宋" w:hAnsi="仿宋" w:eastAsia="仿宋" w:cs="仿宋"/>
          <w:color w:val="auto"/>
          <w:sz w:val="24"/>
          <w:szCs w:val="24"/>
          <w:highlight w:val="none"/>
          <w:lang w:val="zh-CN"/>
        </w:rPr>
        <w:t>供货期间所提供的服务范围。</w:t>
      </w:r>
    </w:p>
    <w:p>
      <w:pPr>
        <w:kinsoku/>
        <w:wordWrap/>
        <w:overflowPunct/>
        <w:autoSpaceDE w:val="0"/>
        <w:autoSpaceDN w:val="0"/>
        <w:bidi w:val="0"/>
        <w:adjustRightInd w:val="0"/>
        <w:spacing w:beforeAutospacing="0" w:line="440" w:lineRule="exact"/>
        <w:ind w:left="0" w:leftChars="0" w:right="0" w:firstLine="482"/>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w:t>
      </w:r>
      <w:r>
        <w:rPr>
          <w:rFonts w:hint="eastAsia" w:ascii="仿宋" w:hAnsi="仿宋" w:eastAsia="仿宋" w:cs="仿宋"/>
          <w:color w:val="auto"/>
          <w:sz w:val="24"/>
          <w:szCs w:val="24"/>
          <w:highlight w:val="none"/>
        </w:rPr>
        <w:t>8</w:t>
      </w:r>
      <w:r>
        <w:rPr>
          <w:rFonts w:hint="eastAsia" w:ascii="仿宋" w:hAnsi="仿宋" w:eastAsia="仿宋" w:cs="仿宋"/>
          <w:color w:val="auto"/>
          <w:sz w:val="24"/>
          <w:szCs w:val="24"/>
          <w:highlight w:val="none"/>
          <w:lang w:val="zh-CN"/>
        </w:rPr>
        <w:t>）近三年的业绩（提供相关证明文件复印件）</w:t>
      </w:r>
    </w:p>
    <w:p>
      <w:pPr>
        <w:kinsoku/>
        <w:wordWrap/>
        <w:overflowPunct/>
        <w:autoSpaceDE w:val="0"/>
        <w:autoSpaceDN w:val="0"/>
        <w:bidi w:val="0"/>
        <w:adjustRightInd w:val="0"/>
        <w:spacing w:beforeAutospacing="0" w:line="440" w:lineRule="exact"/>
        <w:ind w:left="0" w:leftChars="0" w:right="0" w:firstLine="482"/>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w:t>
      </w:r>
      <w:r>
        <w:rPr>
          <w:rFonts w:hint="eastAsia" w:ascii="仿宋" w:hAnsi="仿宋" w:eastAsia="仿宋" w:cs="仿宋"/>
          <w:color w:val="auto"/>
          <w:sz w:val="24"/>
          <w:szCs w:val="24"/>
          <w:highlight w:val="none"/>
        </w:rPr>
        <w:t>9</w:t>
      </w:r>
      <w:r>
        <w:rPr>
          <w:rFonts w:hint="eastAsia" w:ascii="仿宋" w:hAnsi="仿宋" w:eastAsia="仿宋" w:cs="仿宋"/>
          <w:color w:val="auto"/>
          <w:sz w:val="24"/>
          <w:szCs w:val="24"/>
          <w:highlight w:val="none"/>
          <w:lang w:val="zh-CN"/>
        </w:rPr>
        <w:t>）投标单位（供应商）反商业贿赂承诺书</w:t>
      </w:r>
    </w:p>
    <w:p>
      <w:pPr>
        <w:kinsoku/>
        <w:wordWrap/>
        <w:overflowPunct/>
        <w:autoSpaceDE w:val="0"/>
        <w:autoSpaceDN w:val="0"/>
        <w:bidi w:val="0"/>
        <w:adjustRightInd w:val="0"/>
        <w:spacing w:beforeAutospacing="0" w:line="440" w:lineRule="exact"/>
        <w:ind w:left="0" w:leftChars="0" w:right="0"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w:t>
      </w:r>
      <w:r>
        <w:rPr>
          <w:rFonts w:hint="eastAsia" w:ascii="仿宋" w:hAnsi="仿宋" w:eastAsia="仿宋" w:cs="仿宋"/>
          <w:color w:val="auto"/>
          <w:sz w:val="24"/>
          <w:szCs w:val="24"/>
          <w:highlight w:val="none"/>
        </w:rPr>
        <w:t>投标产品执行的制造、合格标准；</w:t>
      </w:r>
      <w:r>
        <w:rPr>
          <w:rFonts w:hint="eastAsia" w:ascii="仿宋" w:hAnsi="仿宋" w:eastAsia="仿宋" w:cs="仿宋"/>
          <w:color w:val="auto"/>
          <w:kern w:val="0"/>
          <w:sz w:val="24"/>
          <w:szCs w:val="24"/>
          <w:highlight w:val="none"/>
        </w:rPr>
        <w:t>投入产品情况及相关材料；</w:t>
      </w:r>
      <w:r>
        <w:rPr>
          <w:rFonts w:hint="eastAsia" w:ascii="仿宋" w:hAnsi="仿宋" w:eastAsia="仿宋" w:cs="仿宋"/>
          <w:color w:val="auto"/>
          <w:sz w:val="24"/>
          <w:szCs w:val="24"/>
          <w:highlight w:val="none"/>
        </w:rPr>
        <w:t>投标产品的检测报告或合格证明材料（复印件）；投标产品性能、技术参数详述；</w:t>
      </w:r>
    </w:p>
    <w:p>
      <w:pPr>
        <w:kinsoku/>
        <w:wordWrap/>
        <w:overflowPunct/>
        <w:autoSpaceDE w:val="0"/>
        <w:autoSpaceDN w:val="0"/>
        <w:bidi w:val="0"/>
        <w:adjustRightInd w:val="0"/>
        <w:spacing w:beforeAutospacing="0" w:line="440" w:lineRule="exact"/>
        <w:ind w:left="0" w:leftChars="0" w:right="0"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（11）商务条款偏离表；技术条款偏离表；</w:t>
      </w:r>
    </w:p>
    <w:p>
      <w:pPr>
        <w:kinsoku/>
        <w:wordWrap/>
        <w:overflowPunct/>
        <w:autoSpaceDE w:val="0"/>
        <w:autoSpaceDN w:val="0"/>
        <w:bidi w:val="0"/>
        <w:adjustRightInd w:val="0"/>
        <w:spacing w:beforeAutospacing="0" w:line="440" w:lineRule="exact"/>
        <w:ind w:left="0" w:leftChars="0" w:right="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（12）</w:t>
      </w:r>
      <w:r>
        <w:rPr>
          <w:rFonts w:hint="eastAsia" w:ascii="仿宋" w:hAnsi="仿宋" w:eastAsia="仿宋" w:cs="仿宋"/>
          <w:color w:val="auto"/>
          <w:sz w:val="24"/>
          <w:szCs w:val="24"/>
          <w:highlight w:val="none"/>
        </w:rPr>
        <w:t>投标人认为有必要提供的其他资格证明文件和商务相关资料以及技术部分资料。</w:t>
      </w:r>
    </w:p>
    <w:p>
      <w:pPr>
        <w:kinsoku/>
        <w:wordWrap/>
        <w:overflowPunct/>
        <w:autoSpaceDE w:val="0"/>
        <w:autoSpaceDN w:val="0"/>
        <w:bidi w:val="0"/>
        <w:adjustRightInd w:val="0"/>
        <w:spacing w:beforeAutospacing="0" w:line="440" w:lineRule="exact"/>
        <w:ind w:left="0" w:leftChars="0" w:right="0" w:firstLine="482" w:firstLineChars="200"/>
        <w:jc w:val="left"/>
        <w:rPr>
          <w:rFonts w:hint="eastAsia" w:ascii="仿宋" w:hAnsi="仿宋" w:eastAsia="仿宋" w:cs="仿宋"/>
          <w:bCs/>
          <w:color w:val="auto"/>
          <w:kern w:val="0"/>
          <w:sz w:val="24"/>
          <w:szCs w:val="24"/>
          <w:highlight w:val="none"/>
        </w:rPr>
      </w:pPr>
      <w:r>
        <w:rPr>
          <w:rFonts w:hint="eastAsia" w:ascii="仿宋" w:hAnsi="仿宋" w:eastAsia="仿宋" w:cs="仿宋"/>
          <w:b/>
          <w:bCs/>
          <w:color w:val="auto"/>
          <w:kern w:val="0"/>
          <w:sz w:val="24"/>
          <w:szCs w:val="24"/>
          <w:highlight w:val="none"/>
        </w:rPr>
        <w:t>经济部分主要包括</w:t>
      </w:r>
      <w:r>
        <w:rPr>
          <w:rFonts w:hint="eastAsia" w:ascii="仿宋" w:hAnsi="仿宋" w:eastAsia="仿宋" w:cs="仿宋"/>
          <w:b/>
          <w:color w:val="auto"/>
          <w:sz w:val="24"/>
          <w:szCs w:val="24"/>
          <w:highlight w:val="none"/>
        </w:rPr>
        <w:t>但不限于以下内容：</w:t>
      </w:r>
      <w:r>
        <w:rPr>
          <w:rFonts w:hint="eastAsia" w:ascii="仿宋" w:hAnsi="仿宋" w:eastAsia="仿宋" w:cs="仿宋"/>
          <w:bCs/>
          <w:color w:val="auto"/>
          <w:kern w:val="0"/>
          <w:sz w:val="24"/>
          <w:szCs w:val="24"/>
          <w:highlight w:val="none"/>
        </w:rPr>
        <w:tab/>
      </w:r>
    </w:p>
    <w:p>
      <w:pPr>
        <w:kinsoku/>
        <w:wordWrap/>
        <w:overflowPunct/>
        <w:autoSpaceDE w:val="0"/>
        <w:autoSpaceDN w:val="0"/>
        <w:bidi w:val="0"/>
        <w:adjustRightInd w:val="0"/>
        <w:spacing w:beforeAutospacing="0" w:line="440" w:lineRule="exact"/>
        <w:ind w:left="0" w:leftChars="0" w:right="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（1）投标报价表；</w:t>
      </w:r>
    </w:p>
    <w:p>
      <w:pPr>
        <w:kinsoku/>
        <w:wordWrap/>
        <w:overflowPunct/>
        <w:autoSpaceDE w:val="0"/>
        <w:autoSpaceDN w:val="0"/>
        <w:bidi w:val="0"/>
        <w:adjustRightInd w:val="0"/>
        <w:spacing w:beforeAutospacing="0" w:line="440" w:lineRule="exact"/>
        <w:ind w:left="0" w:leftChars="0" w:right="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（2）明细报价；</w:t>
      </w:r>
    </w:p>
    <w:p>
      <w:pPr>
        <w:kinsoku/>
        <w:wordWrap/>
        <w:overflowPunct/>
        <w:autoSpaceDE w:val="0"/>
        <w:autoSpaceDN w:val="0"/>
        <w:bidi w:val="0"/>
        <w:adjustRightInd w:val="0"/>
        <w:spacing w:beforeAutospacing="0" w:line="440" w:lineRule="exact"/>
        <w:ind w:left="0" w:leftChars="0" w:right="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（3）报价说明；</w:t>
      </w:r>
    </w:p>
    <w:p>
      <w:pPr>
        <w:kinsoku/>
        <w:wordWrap/>
        <w:overflowPunct/>
        <w:bidi w:val="0"/>
        <w:spacing w:beforeAutospacing="0" w:line="44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（4）报价需要的其他资料。</w:t>
      </w:r>
    </w:p>
    <w:p>
      <w:pPr>
        <w:kinsoku/>
        <w:wordWrap/>
        <w:overflowPunct/>
        <w:bidi w:val="0"/>
        <w:adjustRightInd w:val="0"/>
        <w:snapToGrid w:val="0"/>
        <w:spacing w:beforeAutospacing="0" w:line="440" w:lineRule="exact"/>
        <w:ind w:left="0" w:leftChars="0" w:right="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 投标文件内容及题目的编排顺序和编号按本章第3.1</w:t>
      </w:r>
      <w:r>
        <w:rPr>
          <w:rFonts w:hint="eastAsia" w:ascii="仿宋" w:hAnsi="仿宋" w:eastAsia="仿宋" w:cs="仿宋"/>
          <w:color w:val="auto"/>
          <w:kern w:val="0"/>
          <w:sz w:val="24"/>
          <w:szCs w:val="24"/>
          <w:highlight w:val="none"/>
          <w:lang w:val="zh-CN"/>
        </w:rPr>
        <w:t>款</w:t>
      </w:r>
      <w:r>
        <w:rPr>
          <w:rFonts w:hint="eastAsia" w:ascii="仿宋" w:hAnsi="仿宋" w:eastAsia="仿宋" w:cs="仿宋"/>
          <w:color w:val="auto"/>
          <w:sz w:val="24"/>
          <w:szCs w:val="24"/>
          <w:highlight w:val="none"/>
        </w:rPr>
        <w:t>要求的结构。</w:t>
      </w:r>
    </w:p>
    <w:p>
      <w:pPr>
        <w:kinsoku/>
        <w:wordWrap/>
        <w:overflowPunct/>
        <w:bidi w:val="0"/>
        <w:adjustRightInd w:val="0"/>
        <w:snapToGrid w:val="0"/>
        <w:spacing w:beforeAutospacing="0" w:line="440" w:lineRule="exact"/>
        <w:ind w:left="0" w:leftChars="0" w:right="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 根据《政府采购法》第四十二条的规定，投标人无论中标与否，其投标文件不予退还。</w:t>
      </w:r>
    </w:p>
    <w:p>
      <w:pPr>
        <w:kinsoku/>
        <w:wordWrap/>
        <w:overflowPunct/>
        <w:bidi w:val="0"/>
        <w:adjustRightInd w:val="0"/>
        <w:snapToGrid w:val="0"/>
        <w:spacing w:beforeAutospacing="0" w:line="440" w:lineRule="exact"/>
        <w:ind w:left="0" w:leftChars="0" w:right="0" w:firstLine="480" w:firstLineChars="200"/>
        <w:jc w:val="left"/>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3.4投标人如有投标优惠，涉及价格的，应当直接在开标一览表的投标报价中给出(即投标报价中己包含价格折扣)；涉及商务、技术内容的，应当在商务条款响应/偏离表或技术规格、参数响应/偏离表中填写。</w:t>
      </w:r>
    </w:p>
    <w:p>
      <w:pPr>
        <w:kinsoku/>
        <w:wordWrap/>
        <w:overflowPunct/>
        <w:bidi w:val="0"/>
        <w:snapToGrid w:val="0"/>
        <w:spacing w:beforeAutospacing="0" w:line="440" w:lineRule="exact"/>
        <w:ind w:left="0" w:leftChars="0" w:right="0" w:firstLine="472" w:firstLineChars="196"/>
        <w:jc w:val="left"/>
        <w:outlineLvl w:val="1"/>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（五）投标报价</w:t>
      </w:r>
    </w:p>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1、本采购项目使用的货币为人民币 ，实施时亦以人民币支付。</w:t>
      </w:r>
    </w:p>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2、投标报价为本采购文件所确定的采购范围内的全部工作内容的价格体现。任何有选择的报价将不予接受（除非采购人另有约定），否则，在评标时将其视为无效投标。</w:t>
      </w:r>
    </w:p>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 投标价格应包括：</w:t>
      </w:r>
    </w:p>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3.1投标报价包括投标人为实施提供投标产品、服务内容所包括的全部含税价格的体现。采购文件如没有特别说明的话，对每一项货物及服务仅接受一个价格。</w:t>
      </w:r>
    </w:p>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3.2投标报价为含税价，报价应包含完成本采购项目发生的所有含税费用、支付给员工的工资和国家强制缴纳的各种社会保障资金、以及投标人认为需要的其他费用等。</w:t>
      </w:r>
    </w:p>
    <w:p>
      <w:pPr>
        <w:kinsoku/>
        <w:wordWrap/>
        <w:overflowPunct/>
        <w:bidi w:val="0"/>
        <w:spacing w:beforeAutospacing="0" w:line="440" w:lineRule="exact"/>
        <w:ind w:left="0" w:leftChars="0" w:right="0"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投标人应充分考虑到市场价格变动，以及项目实施过程中的不可预见因素，一旦中标，总价格不变。如果有漏项，视同让利。</w:t>
      </w:r>
    </w:p>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w:t>
      </w:r>
      <w:r>
        <w:rPr>
          <w:rFonts w:hint="eastAsia" w:ascii="仿宋" w:hAnsi="仿宋" w:eastAsia="仿宋" w:cs="仿宋"/>
          <w:b/>
          <w:color w:val="auto"/>
          <w:sz w:val="24"/>
          <w:szCs w:val="24"/>
          <w:highlight w:val="none"/>
        </w:rPr>
        <w:t>投标人的任何错漏、优惠、竞争性报价不得作为减轻责任、减少服务、增加收费、降低质量的理由。投标人必须自行考虑本项目在实施期间的一切可能产生的费用。在合同执行过程中，采购人将不再另行支付与本项目相关的任何费用（非本项目要求的其它内容除外）</w:t>
      </w:r>
      <w:r>
        <w:rPr>
          <w:rFonts w:hint="eastAsia" w:ascii="仿宋" w:hAnsi="仿宋" w:eastAsia="仿宋" w:cs="仿宋"/>
          <w:color w:val="auto"/>
          <w:sz w:val="24"/>
          <w:szCs w:val="24"/>
          <w:highlight w:val="none"/>
        </w:rPr>
        <w:t>。</w:t>
      </w:r>
    </w:p>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3.4投标人应在《开标一览表》、《投标报价一览表》等标明投标人报价；《明细报价清单》提供明细报价。</w:t>
      </w:r>
    </w:p>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4.4投标文件报价出现前后不一致的，除采购文件另有规定外，按照下列规定修正：</w:t>
      </w:r>
    </w:p>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（一）投标文件中开标一览表（报价表）内容与投标文件中相应内容不一致的，以开标一览表（报价表）为准；</w:t>
      </w:r>
    </w:p>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（二）大写金额和小写金额不一致的，以大写金额为准；</w:t>
      </w:r>
    </w:p>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（三）单价金额小数点或者百分比有明显错位的，以开标一览表的总价为准，并修改单价；</w:t>
      </w:r>
    </w:p>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（四）总价金额与按单价汇总金额不一致的，以单价金额计算结果为准。</w:t>
      </w:r>
    </w:p>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同时出现两种以上不一致的，按照前款规定的顺序修正。</w:t>
      </w:r>
    </w:p>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修正后的报价遵照如下规定处理：“投标人的澄清、说明或者补正应当采用书面形式，并加盖公章或者由法定代表人或其授权的代表签字。投标人的澄清、说明或者补正不得超出投标文件的范围或者改变投标文件的实质性内容”。修正后的报价经投标人确认后产生约束力，投标人不确认的，其投标无效。</w:t>
      </w:r>
    </w:p>
    <w:p>
      <w:pPr>
        <w:kinsoku/>
        <w:wordWrap/>
        <w:overflowPunct/>
        <w:bidi w:val="0"/>
        <w:snapToGrid w:val="0"/>
        <w:spacing w:beforeAutospacing="0" w:line="440" w:lineRule="exact"/>
        <w:ind w:left="0" w:leftChars="0" w:right="0" w:firstLine="472" w:firstLineChars="196"/>
        <w:jc w:val="left"/>
        <w:outlineLvl w:val="1"/>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（六）投标人的资格证明文件</w:t>
      </w:r>
    </w:p>
    <w:p>
      <w:pPr>
        <w:tabs>
          <w:tab w:val="left" w:pos="7560"/>
          <w:tab w:val="left" w:pos="7740"/>
          <w:tab w:val="left" w:pos="7920"/>
        </w:tabs>
        <w:kinsoku/>
        <w:wordWrap/>
        <w:overflowPunct/>
        <w:bidi w:val="0"/>
        <w:adjustRightInd w:val="0"/>
        <w:snapToGrid w:val="0"/>
        <w:spacing w:beforeAutospacing="0" w:line="44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1、投标人应提交满足本章第3.1</w:t>
      </w:r>
      <w:r>
        <w:rPr>
          <w:rFonts w:hint="eastAsia" w:ascii="仿宋" w:hAnsi="仿宋" w:eastAsia="仿宋" w:cs="仿宋"/>
          <w:color w:val="auto"/>
          <w:kern w:val="0"/>
          <w:sz w:val="24"/>
          <w:szCs w:val="24"/>
          <w:highlight w:val="none"/>
          <w:lang w:val="zh-CN"/>
        </w:rPr>
        <w:t>款</w:t>
      </w:r>
      <w:r>
        <w:rPr>
          <w:rFonts w:hint="eastAsia" w:ascii="仿宋" w:hAnsi="仿宋" w:eastAsia="仿宋" w:cs="仿宋"/>
          <w:color w:val="auto"/>
          <w:sz w:val="24"/>
          <w:szCs w:val="24"/>
          <w:highlight w:val="none"/>
        </w:rPr>
        <w:t>规定的资格条件要求的证明文件,该证明文件作为投标文件的一部分。</w:t>
      </w:r>
    </w:p>
    <w:p>
      <w:pPr>
        <w:kinsoku/>
        <w:wordWrap/>
        <w:overflowPunct/>
        <w:bidi w:val="0"/>
        <w:adjustRightInd w:val="0"/>
        <w:snapToGrid w:val="0"/>
        <w:spacing w:beforeAutospacing="0" w:line="440" w:lineRule="exact"/>
        <w:ind w:left="0" w:leftChars="0" w:right="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2、如果投标人为联合体，则应提交联合体各方资格证明文件、联合体协议。否则，在评标时将其视为无效投标。</w:t>
      </w:r>
    </w:p>
    <w:p>
      <w:pPr>
        <w:kinsoku/>
        <w:wordWrap/>
        <w:overflowPunct/>
        <w:bidi w:val="0"/>
        <w:adjustRightInd w:val="0"/>
        <w:snapToGrid w:val="0"/>
        <w:spacing w:beforeAutospacing="0" w:line="440" w:lineRule="exact"/>
        <w:ind w:left="0" w:leftChars="0" w:right="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3、除</w:t>
      </w:r>
      <w:r>
        <w:rPr>
          <w:rFonts w:hint="eastAsia" w:ascii="仿宋" w:hAnsi="仿宋" w:eastAsia="仿宋" w:cs="仿宋"/>
          <w:b/>
          <w:color w:val="auto"/>
          <w:sz w:val="24"/>
          <w:szCs w:val="24"/>
          <w:highlight w:val="none"/>
        </w:rPr>
        <w:t>投标人须知前附表</w:t>
      </w:r>
      <w:r>
        <w:rPr>
          <w:rFonts w:hint="eastAsia" w:ascii="仿宋" w:hAnsi="仿宋" w:eastAsia="仿宋" w:cs="仿宋"/>
          <w:color w:val="auto"/>
          <w:sz w:val="24"/>
          <w:szCs w:val="24"/>
          <w:highlight w:val="none"/>
        </w:rPr>
        <w:t>另有规定外，投标人提供的货物及服务不是投标人制造或拥有的,则应当提供经销、或代理投标货物、或为投标货物提供售后服务的证明文件。否则，在评标时将其视为无效投标。</w:t>
      </w:r>
    </w:p>
    <w:p>
      <w:pPr>
        <w:kinsoku/>
        <w:wordWrap/>
        <w:overflowPunct/>
        <w:bidi w:val="0"/>
        <w:adjustRightInd w:val="0"/>
        <w:snapToGrid w:val="0"/>
        <w:spacing w:beforeAutospacing="0" w:line="440" w:lineRule="exact"/>
        <w:ind w:left="0" w:leftChars="0" w:right="0"/>
        <w:jc w:val="left"/>
        <w:rPr>
          <w:rFonts w:hint="eastAsia" w:ascii="仿宋" w:hAnsi="仿宋" w:eastAsia="仿宋" w:cs="仿宋"/>
          <w:b/>
          <w:bCs/>
          <w:color w:val="auto"/>
          <w:sz w:val="24"/>
          <w:szCs w:val="24"/>
          <w:highlight w:val="none"/>
        </w:rPr>
      </w:pPr>
      <w:r>
        <w:rPr>
          <w:rFonts w:hint="eastAsia" w:ascii="仿宋" w:hAnsi="仿宋" w:eastAsia="仿宋" w:cs="仿宋"/>
          <w:b/>
          <w:color w:val="auto"/>
          <w:sz w:val="24"/>
          <w:szCs w:val="24"/>
          <w:highlight w:val="none"/>
        </w:rPr>
        <w:t>（七）</w:t>
      </w:r>
      <w:r>
        <w:rPr>
          <w:rFonts w:hint="eastAsia" w:ascii="仿宋" w:hAnsi="仿宋" w:eastAsia="仿宋" w:cs="仿宋"/>
          <w:b/>
          <w:bCs/>
          <w:color w:val="auto"/>
          <w:sz w:val="24"/>
          <w:szCs w:val="24"/>
          <w:highlight w:val="none"/>
        </w:rPr>
        <w:t>投标货物符合招标文件规定的证明文件</w:t>
      </w:r>
    </w:p>
    <w:p>
      <w:pPr>
        <w:kinsoku/>
        <w:wordWrap/>
        <w:overflowPunct/>
        <w:bidi w:val="0"/>
        <w:adjustRightInd w:val="0"/>
        <w:snapToGrid w:val="0"/>
        <w:spacing w:beforeAutospacing="0" w:line="440" w:lineRule="exact"/>
        <w:ind w:left="0" w:leftChars="0" w:right="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 投标人应当提交其拟供的合同项下货物及其服务符合招标文件规定的证明文件,该证明文件作为投标文件的一部分。</w:t>
      </w:r>
    </w:p>
    <w:p>
      <w:pPr>
        <w:kinsoku/>
        <w:wordWrap/>
        <w:overflowPunct/>
        <w:bidi w:val="0"/>
        <w:adjustRightInd w:val="0"/>
        <w:snapToGrid w:val="0"/>
        <w:spacing w:beforeAutospacing="0" w:line="440" w:lineRule="exact"/>
        <w:ind w:left="0" w:leftChars="0" w:right="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 投标人在货物说明一览表中应当说明货物的品牌型号、规格参数、制造商及原产地等，交货时应出具原产地证明及出厂合格证明。</w:t>
      </w:r>
    </w:p>
    <w:p>
      <w:pPr>
        <w:kinsoku/>
        <w:wordWrap/>
        <w:overflowPunct/>
        <w:bidi w:val="0"/>
        <w:adjustRightInd w:val="0"/>
        <w:snapToGrid w:val="0"/>
        <w:spacing w:beforeAutospacing="0" w:line="440" w:lineRule="exact"/>
        <w:ind w:left="0" w:leftChars="0" w:right="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3、上述证明文件可以是文字资料、图纸和数据，并须提供：</w:t>
      </w:r>
    </w:p>
    <w:p>
      <w:pPr>
        <w:kinsoku/>
        <w:wordWrap/>
        <w:overflowPunct/>
        <w:bidi w:val="0"/>
        <w:adjustRightInd w:val="0"/>
        <w:snapToGrid w:val="0"/>
        <w:spacing w:beforeAutospacing="0" w:line="440" w:lineRule="exact"/>
        <w:ind w:left="0" w:leftChars="0" w:right="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（1）货物主要性能和参数的详细说明； </w:t>
      </w:r>
    </w:p>
    <w:p>
      <w:pPr>
        <w:kinsoku/>
        <w:wordWrap/>
        <w:overflowPunct/>
        <w:bidi w:val="0"/>
        <w:adjustRightInd w:val="0"/>
        <w:snapToGrid w:val="0"/>
        <w:spacing w:beforeAutospacing="0" w:line="440" w:lineRule="exact"/>
        <w:ind w:left="0" w:leftChars="0" w:right="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（2）对照招标文件技术规格，逐条说明所提供货物和服务对招标文件的技术规格条文的响应与偏离。对有具体参数要求的指标，投标人应提供具体参数值。</w:t>
      </w:r>
    </w:p>
    <w:p>
      <w:pPr>
        <w:kinsoku/>
        <w:wordWrap/>
        <w:overflowPunct/>
        <w:bidi w:val="0"/>
        <w:adjustRightInd w:val="0"/>
        <w:snapToGrid w:val="0"/>
        <w:spacing w:beforeAutospacing="0" w:line="440" w:lineRule="exact"/>
        <w:ind w:left="0" w:leftChars="0" w:right="0" w:firstLine="482" w:firstLineChars="200"/>
        <w:jc w:val="left"/>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4、投标人须知前附表</w:t>
      </w:r>
      <w:r>
        <w:rPr>
          <w:rFonts w:hint="eastAsia" w:ascii="仿宋" w:hAnsi="仿宋" w:eastAsia="仿宋" w:cs="仿宋"/>
          <w:color w:val="auto"/>
          <w:sz w:val="24"/>
          <w:szCs w:val="24"/>
          <w:highlight w:val="none"/>
        </w:rPr>
        <w:t>规定投标人在投标时提供样品的，投标人有以下情形之一的，在评标时将其视为无效投标。</w:t>
      </w:r>
    </w:p>
    <w:p>
      <w:pPr>
        <w:kinsoku/>
        <w:wordWrap/>
        <w:overflowPunct/>
        <w:bidi w:val="0"/>
        <w:adjustRightInd w:val="0"/>
        <w:snapToGrid w:val="0"/>
        <w:spacing w:beforeAutospacing="0" w:line="440" w:lineRule="exact"/>
        <w:ind w:left="0" w:leftChars="0" w:right="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（1）未在</w:t>
      </w:r>
      <w:r>
        <w:rPr>
          <w:rFonts w:hint="eastAsia" w:ascii="仿宋" w:hAnsi="仿宋" w:eastAsia="仿宋" w:cs="仿宋"/>
          <w:b/>
          <w:color w:val="auto"/>
          <w:sz w:val="24"/>
          <w:szCs w:val="24"/>
          <w:highlight w:val="none"/>
        </w:rPr>
        <w:t>投标人须知前附表</w:t>
      </w:r>
      <w:r>
        <w:rPr>
          <w:rFonts w:hint="eastAsia" w:ascii="仿宋" w:hAnsi="仿宋" w:eastAsia="仿宋" w:cs="仿宋"/>
          <w:color w:val="auto"/>
          <w:sz w:val="24"/>
          <w:szCs w:val="24"/>
          <w:highlight w:val="none"/>
        </w:rPr>
        <w:t>规定的提交时间、地点提交的；</w:t>
      </w:r>
    </w:p>
    <w:p>
      <w:pPr>
        <w:kinsoku/>
        <w:wordWrap/>
        <w:overflowPunct/>
        <w:bidi w:val="0"/>
        <w:adjustRightInd w:val="0"/>
        <w:snapToGrid w:val="0"/>
        <w:spacing w:beforeAutospacing="0" w:line="440" w:lineRule="exact"/>
        <w:ind w:left="0" w:leftChars="0" w:right="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（2）投标人提供的样品与投标文件提供样品的规格、型号不一致的。</w:t>
      </w:r>
    </w:p>
    <w:p>
      <w:pPr>
        <w:kinsoku/>
        <w:wordWrap/>
        <w:overflowPunct/>
        <w:bidi w:val="0"/>
        <w:snapToGrid w:val="0"/>
        <w:spacing w:beforeAutospacing="0" w:line="440" w:lineRule="exact"/>
        <w:ind w:left="0" w:leftChars="0" w:right="0" w:firstLine="472" w:firstLineChars="196"/>
        <w:jc w:val="left"/>
        <w:outlineLvl w:val="1"/>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（八）投标保证金</w:t>
      </w:r>
    </w:p>
    <w:p>
      <w:pPr>
        <w:kinsoku/>
        <w:wordWrap/>
        <w:overflowPunct/>
        <w:bidi w:val="0"/>
        <w:adjustRightInd w:val="0"/>
        <w:snapToGrid w:val="0"/>
        <w:spacing w:beforeAutospacing="0" w:line="440" w:lineRule="exact"/>
        <w:ind w:left="0" w:leftChars="0" w:right="0"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b/>
          <w:color w:val="auto"/>
          <w:sz w:val="24"/>
          <w:szCs w:val="24"/>
          <w:highlight w:val="none"/>
        </w:rPr>
        <w:t>投标人须知前附表</w:t>
      </w:r>
      <w:r>
        <w:rPr>
          <w:rFonts w:hint="eastAsia" w:ascii="仿宋" w:hAnsi="仿宋" w:eastAsia="仿宋" w:cs="仿宋"/>
          <w:color w:val="auto"/>
          <w:sz w:val="24"/>
          <w:szCs w:val="24"/>
          <w:highlight w:val="none"/>
        </w:rPr>
        <w:t>规定缴纳</w:t>
      </w:r>
      <w:r>
        <w:rPr>
          <w:rFonts w:hint="eastAsia" w:ascii="仿宋" w:hAnsi="仿宋" w:eastAsia="仿宋" w:cs="仿宋"/>
          <w:bCs/>
          <w:color w:val="auto"/>
          <w:sz w:val="24"/>
          <w:szCs w:val="24"/>
          <w:highlight w:val="none"/>
        </w:rPr>
        <w:t>投标保证金的</w:t>
      </w:r>
      <w:r>
        <w:rPr>
          <w:rFonts w:hint="eastAsia" w:ascii="仿宋" w:hAnsi="仿宋" w:eastAsia="仿宋" w:cs="仿宋"/>
          <w:color w:val="auto"/>
          <w:sz w:val="24"/>
          <w:szCs w:val="24"/>
          <w:highlight w:val="none"/>
        </w:rPr>
        <w:t>，</w:t>
      </w:r>
      <w:r>
        <w:rPr>
          <w:rFonts w:hint="eastAsia" w:ascii="仿宋" w:hAnsi="仿宋" w:eastAsia="仿宋" w:cs="仿宋"/>
          <w:bCs/>
          <w:color w:val="auto"/>
          <w:sz w:val="24"/>
          <w:szCs w:val="24"/>
          <w:highlight w:val="none"/>
        </w:rPr>
        <w:t>投标人应按</w:t>
      </w:r>
      <w:r>
        <w:rPr>
          <w:rFonts w:hint="eastAsia" w:ascii="仿宋" w:hAnsi="仿宋" w:eastAsia="仿宋" w:cs="仿宋"/>
          <w:b/>
          <w:bCs/>
          <w:color w:val="auto"/>
          <w:sz w:val="24"/>
          <w:szCs w:val="24"/>
          <w:highlight w:val="none"/>
        </w:rPr>
        <w:t>投标人须知前附表</w:t>
      </w:r>
      <w:r>
        <w:rPr>
          <w:rFonts w:hint="eastAsia" w:ascii="仿宋" w:hAnsi="仿宋" w:eastAsia="仿宋" w:cs="仿宋"/>
          <w:color w:val="auto"/>
          <w:sz w:val="24"/>
          <w:szCs w:val="24"/>
          <w:highlight w:val="none"/>
        </w:rPr>
        <w:t>规定的要求</w:t>
      </w:r>
      <w:r>
        <w:rPr>
          <w:rFonts w:hint="eastAsia" w:ascii="仿宋" w:hAnsi="仿宋" w:eastAsia="仿宋" w:cs="仿宋"/>
          <w:bCs/>
          <w:color w:val="auto"/>
          <w:sz w:val="24"/>
          <w:szCs w:val="24"/>
          <w:highlight w:val="none"/>
        </w:rPr>
        <w:t>提交保证金</w:t>
      </w:r>
      <w:r>
        <w:rPr>
          <w:rFonts w:hint="eastAsia" w:ascii="仿宋" w:hAnsi="仿宋" w:eastAsia="仿宋" w:cs="仿宋"/>
          <w:color w:val="auto"/>
          <w:sz w:val="24"/>
          <w:szCs w:val="24"/>
          <w:highlight w:val="none"/>
        </w:rPr>
        <w:t>，</w:t>
      </w:r>
      <w:r>
        <w:rPr>
          <w:rFonts w:hint="eastAsia" w:ascii="仿宋" w:hAnsi="仿宋" w:eastAsia="仿宋" w:cs="仿宋"/>
          <w:bCs/>
          <w:color w:val="auto"/>
          <w:sz w:val="24"/>
          <w:szCs w:val="24"/>
          <w:highlight w:val="none"/>
        </w:rPr>
        <w:t>投标保证金有效期应与</w:t>
      </w:r>
      <w:r>
        <w:rPr>
          <w:rFonts w:hint="eastAsia" w:ascii="仿宋" w:hAnsi="仿宋" w:eastAsia="仿宋" w:cs="仿宋"/>
          <w:color w:val="auto"/>
          <w:sz w:val="24"/>
          <w:szCs w:val="24"/>
          <w:highlight w:val="none"/>
        </w:rPr>
        <w:t>本章第6.1</w:t>
      </w:r>
      <w:r>
        <w:rPr>
          <w:rFonts w:hint="eastAsia" w:ascii="仿宋" w:hAnsi="仿宋" w:eastAsia="仿宋" w:cs="仿宋"/>
          <w:color w:val="auto"/>
          <w:kern w:val="0"/>
          <w:sz w:val="24"/>
          <w:szCs w:val="24"/>
          <w:highlight w:val="none"/>
          <w:lang w:val="zh-CN"/>
        </w:rPr>
        <w:t>款</w:t>
      </w:r>
      <w:r>
        <w:rPr>
          <w:rFonts w:hint="eastAsia" w:ascii="仿宋" w:hAnsi="仿宋" w:eastAsia="仿宋" w:cs="仿宋"/>
          <w:color w:val="auto"/>
          <w:sz w:val="24"/>
          <w:szCs w:val="24"/>
          <w:highlight w:val="none"/>
        </w:rPr>
        <w:t>规定</w:t>
      </w:r>
      <w:r>
        <w:rPr>
          <w:rFonts w:hint="eastAsia" w:ascii="仿宋" w:hAnsi="仿宋" w:eastAsia="仿宋" w:cs="仿宋"/>
          <w:bCs/>
          <w:color w:val="auto"/>
          <w:sz w:val="24"/>
          <w:szCs w:val="24"/>
          <w:highlight w:val="none"/>
        </w:rPr>
        <w:t>的投标有效期一致。投标人</w:t>
      </w:r>
      <w:r>
        <w:rPr>
          <w:rFonts w:hint="eastAsia" w:ascii="仿宋" w:hAnsi="仿宋" w:eastAsia="仿宋" w:cs="仿宋"/>
          <w:color w:val="auto"/>
          <w:sz w:val="24"/>
          <w:szCs w:val="24"/>
          <w:highlight w:val="none"/>
        </w:rPr>
        <w:t>未按照招标文件要求提交投标保证金的，</w:t>
      </w:r>
      <w:r>
        <w:rPr>
          <w:rFonts w:hint="eastAsia" w:ascii="仿宋" w:hAnsi="仿宋" w:eastAsia="仿宋" w:cs="仿宋"/>
          <w:bCs/>
          <w:color w:val="auto"/>
          <w:sz w:val="24"/>
          <w:szCs w:val="24"/>
          <w:highlight w:val="none"/>
        </w:rPr>
        <w:t>采购代理机构</w:t>
      </w:r>
      <w:r>
        <w:rPr>
          <w:rFonts w:hint="eastAsia" w:ascii="仿宋" w:hAnsi="仿宋" w:eastAsia="仿宋" w:cs="仿宋"/>
          <w:color w:val="auto"/>
          <w:sz w:val="24"/>
          <w:szCs w:val="24"/>
          <w:highlight w:val="none"/>
        </w:rPr>
        <w:t>应当拒绝接收投标人的投标文件或评标委员会在评标时将其视为无效投标。</w:t>
      </w:r>
    </w:p>
    <w:p>
      <w:pPr>
        <w:kinsoku/>
        <w:wordWrap/>
        <w:overflowPunct/>
        <w:bidi w:val="0"/>
        <w:adjustRightInd w:val="0"/>
        <w:snapToGrid w:val="0"/>
        <w:spacing w:beforeAutospacing="0" w:line="44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2、</w:t>
      </w:r>
      <w:r>
        <w:rPr>
          <w:rFonts w:hint="eastAsia" w:ascii="仿宋" w:hAnsi="仿宋" w:eastAsia="仿宋" w:cs="仿宋"/>
          <w:color w:val="auto"/>
          <w:sz w:val="24"/>
          <w:szCs w:val="24"/>
          <w:highlight w:val="none"/>
        </w:rPr>
        <w:t>联合体投标的，由联合体牵头方提交投标保证金。以牵头方提交投标保证金的，对联合体各方均具有约束力。</w:t>
      </w:r>
    </w:p>
    <w:p>
      <w:pPr>
        <w:kinsoku/>
        <w:wordWrap/>
        <w:overflowPunct/>
        <w:bidi w:val="0"/>
        <w:adjustRightInd w:val="0"/>
        <w:snapToGrid w:val="0"/>
        <w:spacing w:beforeAutospacing="0" w:line="440" w:lineRule="exact"/>
        <w:ind w:left="0" w:leftChars="0" w:right="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3、未中标的投标人的投标保证金，将在中标通知书发出后五个工作日内无息退还。</w:t>
      </w:r>
    </w:p>
    <w:p>
      <w:pPr>
        <w:kinsoku/>
        <w:wordWrap/>
        <w:overflowPunct/>
        <w:bidi w:val="0"/>
        <w:adjustRightInd w:val="0"/>
        <w:snapToGrid w:val="0"/>
        <w:spacing w:beforeAutospacing="0" w:line="440" w:lineRule="exact"/>
        <w:ind w:left="0" w:leftChars="0" w:right="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 中标的投标人的投标保证金，将在政府采购合同签订后五个工作日内无息退还。</w:t>
      </w:r>
    </w:p>
    <w:p>
      <w:pPr>
        <w:kinsoku/>
        <w:wordWrap/>
        <w:overflowPunct/>
        <w:bidi w:val="0"/>
        <w:adjustRightInd w:val="0"/>
        <w:snapToGrid w:val="0"/>
        <w:spacing w:beforeAutospacing="0" w:line="440" w:lineRule="exact"/>
        <w:ind w:left="0" w:leftChars="0" w:right="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5、有以下情形之一的，投标保证金将不予退还：</w:t>
      </w:r>
    </w:p>
    <w:p>
      <w:pPr>
        <w:kinsoku/>
        <w:wordWrap/>
        <w:overflowPunct/>
        <w:bidi w:val="0"/>
        <w:adjustRightInd w:val="0"/>
        <w:snapToGrid w:val="0"/>
        <w:spacing w:beforeAutospacing="0" w:line="440" w:lineRule="exact"/>
        <w:ind w:left="0" w:leftChars="0" w:right="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（1）投标人在本章第21.1</w:t>
      </w:r>
      <w:r>
        <w:rPr>
          <w:rFonts w:hint="eastAsia" w:ascii="仿宋" w:hAnsi="仿宋" w:eastAsia="仿宋" w:cs="仿宋"/>
          <w:color w:val="auto"/>
          <w:kern w:val="0"/>
          <w:sz w:val="24"/>
          <w:szCs w:val="24"/>
          <w:highlight w:val="none"/>
          <w:lang w:val="zh-CN"/>
        </w:rPr>
        <w:t>款</w:t>
      </w:r>
      <w:r>
        <w:rPr>
          <w:rFonts w:hint="eastAsia" w:ascii="仿宋" w:hAnsi="仿宋" w:eastAsia="仿宋" w:cs="仿宋"/>
          <w:bCs/>
          <w:color w:val="auto"/>
          <w:sz w:val="24"/>
          <w:szCs w:val="24"/>
          <w:highlight w:val="none"/>
        </w:rPr>
        <w:t>规定的</w:t>
      </w:r>
      <w:r>
        <w:rPr>
          <w:rFonts w:hint="eastAsia" w:ascii="仿宋" w:hAnsi="仿宋" w:eastAsia="仿宋" w:cs="仿宋"/>
          <w:color w:val="auto"/>
          <w:sz w:val="24"/>
          <w:szCs w:val="24"/>
          <w:highlight w:val="none"/>
        </w:rPr>
        <w:t xml:space="preserve">投标有效期内撤回或修改投标文件； </w:t>
      </w:r>
    </w:p>
    <w:p>
      <w:pPr>
        <w:kinsoku/>
        <w:wordWrap/>
        <w:overflowPunct/>
        <w:bidi w:val="0"/>
        <w:adjustRightInd w:val="0"/>
        <w:snapToGrid w:val="0"/>
        <w:spacing w:beforeAutospacing="0" w:line="440" w:lineRule="exact"/>
        <w:ind w:left="0" w:leftChars="0" w:right="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（2）投标提供虚假材料谋取中标的；</w:t>
      </w:r>
    </w:p>
    <w:p>
      <w:pPr>
        <w:kinsoku/>
        <w:wordWrap/>
        <w:overflowPunct/>
        <w:bidi w:val="0"/>
        <w:adjustRightInd w:val="0"/>
        <w:snapToGrid w:val="0"/>
        <w:spacing w:beforeAutospacing="0" w:line="440" w:lineRule="exact"/>
        <w:ind w:left="0" w:leftChars="0" w:right="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（3）确定为中标供应商后，中标人无正当理由放弃中标资格的；</w:t>
      </w:r>
    </w:p>
    <w:p>
      <w:pPr>
        <w:kinsoku/>
        <w:wordWrap/>
        <w:overflowPunct/>
        <w:bidi w:val="0"/>
        <w:adjustRightInd w:val="0"/>
        <w:snapToGrid w:val="0"/>
        <w:spacing w:beforeAutospacing="0" w:line="440" w:lineRule="exact"/>
        <w:ind w:left="0" w:leftChars="0" w:right="0"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（4）中标后，无正当理由不签订合同或转让、分包项目以及拒绝履行合同义务的；</w:t>
      </w:r>
    </w:p>
    <w:p>
      <w:pPr>
        <w:kinsoku/>
        <w:wordWrap/>
        <w:overflowPunct/>
        <w:bidi w:val="0"/>
        <w:adjustRightInd w:val="0"/>
        <w:snapToGrid w:val="0"/>
        <w:spacing w:beforeAutospacing="0" w:line="440" w:lineRule="exact"/>
        <w:ind w:left="0" w:leftChars="0" w:right="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（5）法律法规或招标文件规定的其他情形。</w:t>
      </w:r>
    </w:p>
    <w:p>
      <w:pPr>
        <w:kinsoku/>
        <w:wordWrap/>
        <w:overflowPunct/>
        <w:bidi w:val="0"/>
        <w:snapToGrid w:val="0"/>
        <w:spacing w:beforeAutospacing="0" w:line="440" w:lineRule="exact"/>
        <w:ind w:left="0" w:leftChars="0" w:right="0" w:firstLine="472" w:firstLineChars="196"/>
        <w:jc w:val="left"/>
        <w:outlineLvl w:val="1"/>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（九）投标有效期</w:t>
      </w:r>
    </w:p>
    <w:p>
      <w:pPr>
        <w:kinsoku/>
        <w:wordWrap/>
        <w:overflowPunct/>
        <w:bidi w:val="0"/>
        <w:adjustRightInd w:val="0"/>
        <w:snapToGrid w:val="0"/>
        <w:spacing w:beforeAutospacing="0" w:line="440" w:lineRule="exact"/>
        <w:ind w:left="0" w:leftChars="0" w:right="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1、投标有效期见</w:t>
      </w:r>
      <w:r>
        <w:rPr>
          <w:rFonts w:hint="eastAsia" w:ascii="仿宋" w:hAnsi="仿宋" w:eastAsia="仿宋" w:cs="仿宋"/>
          <w:b/>
          <w:color w:val="auto"/>
          <w:sz w:val="24"/>
          <w:szCs w:val="24"/>
          <w:highlight w:val="none"/>
        </w:rPr>
        <w:t>投标人须知前附表</w:t>
      </w:r>
      <w:r>
        <w:rPr>
          <w:rFonts w:hint="eastAsia" w:ascii="仿宋" w:hAnsi="仿宋" w:eastAsia="仿宋" w:cs="仿宋"/>
          <w:color w:val="auto"/>
          <w:sz w:val="24"/>
          <w:szCs w:val="24"/>
          <w:highlight w:val="none"/>
        </w:rPr>
        <w:t>，在此期间投标文件对投标人具有法律约束力，以保证采购人有足够的时间完成评标、定标以及签订合同。投标有效期从本章规定的投标截止之日起计算。投标有效期不足的，在评标时将其视为无效投标。</w:t>
      </w:r>
    </w:p>
    <w:p>
      <w:pPr>
        <w:kinsoku/>
        <w:wordWrap/>
        <w:overflowPunct/>
        <w:bidi w:val="0"/>
        <w:adjustRightInd w:val="0"/>
        <w:snapToGrid w:val="0"/>
        <w:spacing w:beforeAutospacing="0" w:line="440" w:lineRule="exact"/>
        <w:ind w:left="0" w:leftChars="0" w:right="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特殊情况需延长投标有效期的，采购代理机构可于投标有效期届满之前，要求投标人同意延长有效期，采购代理机构的要求与投标人的答复均应为书面形式。投标人拒绝延长的，其投标在原投标有效期期届满后将不再有效，但有权收回其投标保证金；投标人同意延长的，应相应延长其投标保证金的有效期，但不允许修改或撤回投标文件。</w:t>
      </w:r>
    </w:p>
    <w:p>
      <w:pPr>
        <w:kinsoku/>
        <w:wordWrap/>
        <w:overflowPunct/>
        <w:bidi w:val="0"/>
        <w:snapToGrid w:val="0"/>
        <w:spacing w:beforeAutospacing="0" w:line="440" w:lineRule="exact"/>
        <w:ind w:left="0" w:leftChars="0" w:right="0" w:firstLine="472" w:firstLineChars="196"/>
        <w:jc w:val="left"/>
        <w:outlineLvl w:val="1"/>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（十）投标文件的签署</w:t>
      </w:r>
    </w:p>
    <w:p>
      <w:pPr>
        <w:kinsoku/>
        <w:wordWrap/>
        <w:overflowPunct/>
        <w:bidi w:val="0"/>
        <w:adjustRightInd w:val="0"/>
        <w:snapToGrid w:val="0"/>
        <w:spacing w:beforeAutospacing="0" w:line="440" w:lineRule="exact"/>
        <w:ind w:left="0" w:leftChars="0" w:right="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1、投标文件正本一份,电子文件一份(U盘,并标注投标人名称)，副本</w:t>
      </w:r>
      <w:r>
        <w:rPr>
          <w:rFonts w:hint="eastAsia" w:ascii="仿宋" w:hAnsi="仿宋" w:eastAsia="仿宋" w:cs="仿宋"/>
          <w:color w:val="auto"/>
          <w:sz w:val="24"/>
          <w:szCs w:val="24"/>
          <w:highlight w:val="none"/>
          <w:lang w:eastAsia="zh-CN"/>
        </w:rPr>
        <w:t>叁</w:t>
      </w:r>
      <w:r>
        <w:rPr>
          <w:rFonts w:hint="eastAsia" w:ascii="仿宋" w:hAnsi="仿宋" w:eastAsia="仿宋" w:cs="仿宋"/>
          <w:color w:val="auto"/>
          <w:sz w:val="24"/>
          <w:szCs w:val="24"/>
          <w:highlight w:val="none"/>
        </w:rPr>
        <w:t>份</w:t>
      </w:r>
      <w:r>
        <w:rPr>
          <w:rFonts w:hint="eastAsia" w:ascii="仿宋" w:hAnsi="仿宋" w:eastAsia="仿宋" w:cs="仿宋"/>
          <w:b/>
          <w:color w:val="auto"/>
          <w:sz w:val="24"/>
          <w:szCs w:val="24"/>
          <w:highlight w:val="none"/>
        </w:rPr>
        <w:t>。</w:t>
      </w:r>
      <w:r>
        <w:rPr>
          <w:rFonts w:hint="eastAsia" w:ascii="仿宋" w:hAnsi="仿宋" w:eastAsia="仿宋" w:cs="仿宋"/>
          <w:color w:val="auto"/>
          <w:sz w:val="24"/>
          <w:szCs w:val="24"/>
          <w:highlight w:val="none"/>
        </w:rPr>
        <w:t>正本和副本的封面应注明“正本”或“副本”的字样，当正本和副本不一致时，以正本为准。</w:t>
      </w:r>
    </w:p>
    <w:p>
      <w:pPr>
        <w:tabs>
          <w:tab w:val="left" w:pos="570"/>
          <w:tab w:val="left" w:pos="8280"/>
        </w:tabs>
        <w:kinsoku/>
        <w:wordWrap/>
        <w:overflowPunct/>
        <w:bidi w:val="0"/>
        <w:adjustRightInd w:val="0"/>
        <w:snapToGrid w:val="0"/>
        <w:spacing w:beforeAutospacing="0" w:line="440" w:lineRule="exact"/>
        <w:ind w:left="0" w:leftChars="0" w:right="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2、投标文件应用不褪色的材料打印或书写，并在</w:t>
      </w:r>
      <w:r>
        <w:rPr>
          <w:rFonts w:hint="eastAsia" w:ascii="仿宋" w:hAnsi="仿宋" w:eastAsia="仿宋" w:cs="仿宋"/>
          <w:bCs/>
          <w:color w:val="auto"/>
          <w:sz w:val="24"/>
          <w:szCs w:val="24"/>
          <w:highlight w:val="none"/>
        </w:rPr>
        <w:t>招标</w:t>
      </w:r>
      <w:r>
        <w:rPr>
          <w:rFonts w:hint="eastAsia" w:ascii="仿宋" w:hAnsi="仿宋" w:eastAsia="仿宋" w:cs="仿宋"/>
          <w:color w:val="auto"/>
          <w:sz w:val="24"/>
          <w:szCs w:val="24"/>
          <w:highlight w:val="none"/>
        </w:rPr>
        <w:t>文件要求签字、盖章处盖投标单位行政公章和由法定代表人或其委托代理人签字。投标文件中的任何行间插字、涂改和增删，改动之处应加盖单位行政公章或由投标人的法定代表人或其授权的代理人签字确认。不按上述要求盖章和签字的，在评标时将其视为无效投标。</w:t>
      </w:r>
    </w:p>
    <w:p>
      <w:pPr>
        <w:kinsoku/>
        <w:wordWrap/>
        <w:overflowPunct/>
        <w:bidi w:val="0"/>
        <w:snapToGrid w:val="0"/>
        <w:spacing w:beforeAutospacing="0" w:line="440" w:lineRule="exact"/>
        <w:ind w:left="0" w:leftChars="0" w:right="0" w:firstLine="472" w:firstLineChars="196"/>
        <w:jc w:val="left"/>
        <w:outlineLvl w:val="1"/>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（十一）投标文件的递交</w:t>
      </w:r>
    </w:p>
    <w:p>
      <w:pPr>
        <w:kinsoku/>
        <w:wordWrap/>
        <w:overflowPunct/>
        <w:bidi w:val="0"/>
        <w:snapToGrid w:val="0"/>
        <w:spacing w:beforeAutospacing="0" w:line="440" w:lineRule="exact"/>
        <w:ind w:left="0" w:leftChars="0" w:right="0" w:firstLine="472" w:firstLineChars="196"/>
        <w:jc w:val="left"/>
        <w:outlineLvl w:val="1"/>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1、投标文件的密封和标记</w:t>
      </w:r>
    </w:p>
    <w:p>
      <w:pPr>
        <w:kinsoku/>
        <w:wordWrap/>
        <w:overflowPunct/>
        <w:bidi w:val="0"/>
        <w:spacing w:beforeAutospacing="0" w:line="44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投标文件按正本和副本分别密封包装(电子文件装入投标文件正本密封袋中)，注明“正本”或“副本”，在封套两端折叠封口处加贴封条，标明“正本”或“副本”、“项目名称、项目编号、投标人、授权代理人、联系电话”、标注“    年   月   日   时   分（开标时间）开标前不得开启”，并在启封处加盖公章、法定代表人印章，并应确保密封完好。不按此规定装订、密封的按无效标处理。</w:t>
      </w:r>
    </w:p>
    <w:p>
      <w:pPr>
        <w:kinsoku/>
        <w:wordWrap/>
        <w:overflowPunct/>
        <w:bidi w:val="0"/>
        <w:spacing w:beforeAutospacing="0" w:line="44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2）投标文件封套或外包装上应载明的内容见</w:t>
      </w:r>
      <w:r>
        <w:rPr>
          <w:rFonts w:hint="eastAsia" w:ascii="仿宋" w:hAnsi="仿宋" w:eastAsia="仿宋" w:cs="仿宋"/>
          <w:b/>
          <w:color w:val="auto"/>
          <w:sz w:val="24"/>
          <w:szCs w:val="24"/>
          <w:highlight w:val="none"/>
        </w:rPr>
        <w:t>投标人须知前附表。</w:t>
      </w:r>
    </w:p>
    <w:p>
      <w:pPr>
        <w:kinsoku/>
        <w:wordWrap/>
        <w:overflowPunct/>
        <w:bidi w:val="0"/>
        <w:adjustRightInd w:val="0"/>
        <w:snapToGrid w:val="0"/>
        <w:spacing w:beforeAutospacing="0" w:line="440" w:lineRule="exact"/>
        <w:ind w:left="0" w:leftChars="0" w:right="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3）投标文件如果未按上述规定密封和标记，采购代理机构应当拒绝接收。</w:t>
      </w:r>
    </w:p>
    <w:p>
      <w:pPr>
        <w:kinsoku/>
        <w:wordWrap/>
        <w:overflowPunct/>
        <w:bidi w:val="0"/>
        <w:snapToGrid w:val="0"/>
        <w:spacing w:beforeAutospacing="0" w:line="440" w:lineRule="exact"/>
        <w:ind w:left="0" w:leftChars="0" w:right="0" w:firstLine="472" w:firstLineChars="196"/>
        <w:jc w:val="left"/>
        <w:outlineLvl w:val="1"/>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2、投标文件的递交</w:t>
      </w:r>
    </w:p>
    <w:p>
      <w:pPr>
        <w:kinsoku/>
        <w:wordWrap/>
        <w:overflowPunct/>
        <w:bidi w:val="0"/>
        <w:adjustRightInd w:val="0"/>
        <w:snapToGrid w:val="0"/>
        <w:spacing w:beforeAutospacing="0" w:line="440" w:lineRule="exact"/>
        <w:ind w:left="0" w:leftChars="0" w:right="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1）投标文件应在本章第11.2</w:t>
      </w:r>
      <w:r>
        <w:rPr>
          <w:rFonts w:hint="eastAsia" w:ascii="仿宋" w:hAnsi="仿宋" w:eastAsia="仿宋" w:cs="仿宋"/>
          <w:color w:val="auto"/>
          <w:kern w:val="0"/>
          <w:sz w:val="24"/>
          <w:szCs w:val="24"/>
          <w:highlight w:val="none"/>
          <w:lang w:val="zh-CN"/>
        </w:rPr>
        <w:t>款</w:t>
      </w:r>
      <w:r>
        <w:rPr>
          <w:rFonts w:hint="eastAsia" w:ascii="仿宋" w:hAnsi="仿宋" w:eastAsia="仿宋" w:cs="仿宋"/>
          <w:color w:val="auto"/>
          <w:sz w:val="24"/>
          <w:szCs w:val="24"/>
          <w:highlight w:val="none"/>
        </w:rPr>
        <w:t>规定的投标截止时间之前送达</w:t>
      </w:r>
      <w:r>
        <w:rPr>
          <w:rFonts w:hint="eastAsia" w:ascii="仿宋" w:hAnsi="仿宋" w:eastAsia="仿宋" w:cs="仿宋"/>
          <w:b/>
          <w:color w:val="auto"/>
          <w:sz w:val="24"/>
          <w:szCs w:val="24"/>
          <w:highlight w:val="none"/>
        </w:rPr>
        <w:t>投标人须知前附表</w:t>
      </w:r>
      <w:r>
        <w:rPr>
          <w:rFonts w:hint="eastAsia" w:ascii="仿宋" w:hAnsi="仿宋" w:eastAsia="仿宋" w:cs="仿宋"/>
          <w:color w:val="auto"/>
          <w:sz w:val="24"/>
          <w:szCs w:val="24"/>
          <w:highlight w:val="none"/>
        </w:rPr>
        <w:t>指定的地点。</w:t>
      </w:r>
    </w:p>
    <w:p>
      <w:pPr>
        <w:kinsoku/>
        <w:wordWrap/>
        <w:overflowPunct/>
        <w:bidi w:val="0"/>
        <w:adjustRightInd w:val="0"/>
        <w:snapToGrid w:val="0"/>
        <w:spacing w:beforeAutospacing="0" w:line="440" w:lineRule="exact"/>
        <w:ind w:left="0" w:leftChars="0" w:right="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2）逾期送达或未送达指定地点的投标文件，采购代理机构应当拒绝接收。</w:t>
      </w:r>
    </w:p>
    <w:p>
      <w:pPr>
        <w:kinsoku/>
        <w:wordWrap/>
        <w:overflowPunct/>
        <w:bidi w:val="0"/>
        <w:adjustRightInd w:val="0"/>
        <w:snapToGrid w:val="0"/>
        <w:spacing w:beforeAutospacing="0" w:line="440" w:lineRule="exact"/>
        <w:ind w:left="0" w:leftChars="0" w:right="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3）投标人应将招标文件中第五章投标文件的组成“政府采购招标文件（商务文件）二、</w:t>
      </w:r>
      <w:r>
        <w:rPr>
          <w:rFonts w:hint="eastAsia" w:ascii="仿宋" w:hAnsi="仿宋" w:eastAsia="仿宋" w:cs="仿宋"/>
          <w:b/>
          <w:color w:val="auto"/>
          <w:sz w:val="24"/>
          <w:szCs w:val="24"/>
          <w:highlight w:val="none"/>
        </w:rPr>
        <w:t>《开标一览表》</w:t>
      </w:r>
      <w:r>
        <w:rPr>
          <w:rFonts w:hint="eastAsia" w:ascii="仿宋" w:hAnsi="仿宋" w:eastAsia="仿宋" w:cs="仿宋"/>
          <w:color w:val="auto"/>
          <w:sz w:val="24"/>
          <w:szCs w:val="24"/>
          <w:highlight w:val="none"/>
        </w:rPr>
        <w:t>和三、</w:t>
      </w:r>
      <w:r>
        <w:rPr>
          <w:rFonts w:hint="eastAsia" w:ascii="仿宋" w:hAnsi="仿宋" w:eastAsia="仿宋" w:cs="仿宋"/>
          <w:b/>
          <w:color w:val="auto"/>
          <w:sz w:val="24"/>
          <w:szCs w:val="24"/>
          <w:highlight w:val="none"/>
        </w:rPr>
        <w:t>《</w:t>
      </w:r>
      <w:r>
        <w:rPr>
          <w:rFonts w:hint="eastAsia" w:ascii="仿宋" w:hAnsi="仿宋" w:eastAsia="仿宋" w:cs="仿宋"/>
          <w:color w:val="auto"/>
          <w:sz w:val="24"/>
          <w:szCs w:val="24"/>
          <w:highlight w:val="none"/>
        </w:rPr>
        <w:t>明细报价单</w:t>
      </w:r>
      <w:r>
        <w:rPr>
          <w:rFonts w:hint="eastAsia" w:ascii="仿宋" w:hAnsi="仿宋" w:eastAsia="仿宋" w:cs="仿宋"/>
          <w:b/>
          <w:color w:val="auto"/>
          <w:sz w:val="24"/>
          <w:szCs w:val="24"/>
          <w:highlight w:val="none"/>
        </w:rPr>
        <w:t>》”</w:t>
      </w:r>
      <w:r>
        <w:rPr>
          <w:rFonts w:hint="eastAsia" w:ascii="仿宋" w:hAnsi="仿宋" w:eastAsia="仿宋" w:cs="仿宋"/>
          <w:color w:val="auto"/>
          <w:sz w:val="24"/>
          <w:szCs w:val="24"/>
          <w:highlight w:val="none"/>
        </w:rPr>
        <w:t>另备一份单独密封，与项目投标文件同时递交，否则视为自动放弃投标；单独密封递交的</w:t>
      </w:r>
      <w:r>
        <w:rPr>
          <w:rFonts w:hint="eastAsia" w:ascii="仿宋" w:hAnsi="仿宋" w:eastAsia="仿宋" w:cs="仿宋"/>
          <w:b/>
          <w:color w:val="auto"/>
          <w:sz w:val="24"/>
          <w:szCs w:val="24"/>
          <w:highlight w:val="none"/>
        </w:rPr>
        <w:t>《开标一览表》</w:t>
      </w:r>
      <w:r>
        <w:rPr>
          <w:rFonts w:hint="eastAsia" w:ascii="仿宋" w:hAnsi="仿宋" w:eastAsia="仿宋" w:cs="仿宋"/>
          <w:color w:val="auto"/>
          <w:sz w:val="24"/>
          <w:szCs w:val="24"/>
          <w:highlight w:val="none"/>
        </w:rPr>
        <w:t>和</w:t>
      </w:r>
      <w:r>
        <w:rPr>
          <w:rFonts w:hint="eastAsia" w:ascii="仿宋" w:hAnsi="仿宋" w:eastAsia="仿宋" w:cs="仿宋"/>
          <w:b/>
          <w:color w:val="auto"/>
          <w:sz w:val="24"/>
          <w:szCs w:val="24"/>
          <w:highlight w:val="none"/>
        </w:rPr>
        <w:t>《</w:t>
      </w:r>
      <w:r>
        <w:rPr>
          <w:rFonts w:hint="eastAsia" w:ascii="仿宋" w:hAnsi="仿宋" w:eastAsia="仿宋" w:cs="仿宋"/>
          <w:color w:val="auto"/>
          <w:sz w:val="24"/>
          <w:szCs w:val="24"/>
          <w:highlight w:val="none"/>
        </w:rPr>
        <w:t>明细报价单</w:t>
      </w:r>
      <w:r>
        <w:rPr>
          <w:rFonts w:hint="eastAsia" w:ascii="仿宋" w:hAnsi="仿宋" w:eastAsia="仿宋" w:cs="仿宋"/>
          <w:b/>
          <w:color w:val="auto"/>
          <w:sz w:val="24"/>
          <w:szCs w:val="24"/>
          <w:highlight w:val="none"/>
        </w:rPr>
        <w:t>》与投标文件中的表格内容不一致的，视为无效投标。</w:t>
      </w:r>
    </w:p>
    <w:p>
      <w:pPr>
        <w:kinsoku/>
        <w:wordWrap/>
        <w:overflowPunct/>
        <w:bidi w:val="0"/>
        <w:snapToGrid w:val="0"/>
        <w:spacing w:beforeAutospacing="0" w:line="440" w:lineRule="exact"/>
        <w:ind w:left="0" w:leftChars="0" w:right="0" w:firstLine="472" w:firstLineChars="196"/>
        <w:jc w:val="left"/>
        <w:outlineLvl w:val="1"/>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3、投标文件的修改和撤回</w:t>
      </w:r>
    </w:p>
    <w:p>
      <w:pPr>
        <w:kinsoku/>
        <w:wordWrap/>
        <w:overflowPunct/>
        <w:bidi w:val="0"/>
        <w:adjustRightInd w:val="0"/>
        <w:snapToGrid w:val="0"/>
        <w:spacing w:beforeAutospacing="0" w:line="440" w:lineRule="exact"/>
        <w:ind w:left="0" w:leftChars="0" w:right="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1）在本章第11.2</w:t>
      </w:r>
      <w:r>
        <w:rPr>
          <w:rFonts w:hint="eastAsia" w:ascii="仿宋" w:hAnsi="仿宋" w:eastAsia="仿宋" w:cs="仿宋"/>
          <w:color w:val="auto"/>
          <w:kern w:val="0"/>
          <w:sz w:val="24"/>
          <w:szCs w:val="24"/>
          <w:highlight w:val="none"/>
          <w:lang w:val="zh-CN"/>
        </w:rPr>
        <w:t>款</w:t>
      </w:r>
      <w:r>
        <w:rPr>
          <w:rFonts w:hint="eastAsia" w:ascii="仿宋" w:hAnsi="仿宋" w:eastAsia="仿宋" w:cs="仿宋"/>
          <w:color w:val="auto"/>
          <w:sz w:val="24"/>
          <w:szCs w:val="24"/>
          <w:highlight w:val="none"/>
        </w:rPr>
        <w:t>规定的投标截止时间前，投标人可以书面形式修改、补充或撤回己递交的投标文件，但应以书面形式通知采购代理机构。</w:t>
      </w:r>
    </w:p>
    <w:p>
      <w:pPr>
        <w:kinsoku/>
        <w:wordWrap/>
        <w:overflowPunct/>
        <w:bidi w:val="0"/>
        <w:adjustRightInd w:val="0"/>
        <w:snapToGrid w:val="0"/>
        <w:spacing w:beforeAutospacing="0" w:line="440" w:lineRule="exact"/>
        <w:ind w:left="0" w:leftChars="0" w:right="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2）修改、补充的内容为投标文件的组成部分。修改、补充的投标文件应按本章第</w:t>
      </w:r>
      <w:r>
        <w:rPr>
          <w:rFonts w:hint="eastAsia" w:ascii="仿宋" w:hAnsi="仿宋" w:eastAsia="仿宋" w:cs="仿宋"/>
          <w:bCs/>
          <w:color w:val="auto"/>
          <w:sz w:val="24"/>
          <w:szCs w:val="24"/>
          <w:highlight w:val="none"/>
        </w:rPr>
        <w:t>22、23、24项</w:t>
      </w:r>
      <w:r>
        <w:rPr>
          <w:rFonts w:hint="eastAsia" w:ascii="仿宋" w:hAnsi="仿宋" w:eastAsia="仿宋" w:cs="仿宋"/>
          <w:color w:val="auto"/>
          <w:sz w:val="24"/>
          <w:szCs w:val="24"/>
          <w:highlight w:val="none"/>
        </w:rPr>
        <w:t>规定编制、</w:t>
      </w:r>
      <w:r>
        <w:rPr>
          <w:rFonts w:hint="eastAsia" w:ascii="仿宋" w:hAnsi="仿宋" w:eastAsia="仿宋" w:cs="仿宋"/>
          <w:bCs/>
          <w:color w:val="auto"/>
          <w:sz w:val="24"/>
          <w:szCs w:val="24"/>
          <w:highlight w:val="none"/>
        </w:rPr>
        <w:t>签署、</w:t>
      </w:r>
      <w:r>
        <w:rPr>
          <w:rFonts w:hint="eastAsia" w:ascii="仿宋" w:hAnsi="仿宋" w:eastAsia="仿宋" w:cs="仿宋"/>
          <w:color w:val="auto"/>
          <w:sz w:val="24"/>
          <w:szCs w:val="24"/>
          <w:highlight w:val="none"/>
        </w:rPr>
        <w:t>密封、标记和递交，并标明“修改、补充”字样。</w:t>
      </w:r>
    </w:p>
    <w:p>
      <w:pPr>
        <w:kinsoku/>
        <w:wordWrap/>
        <w:overflowPunct/>
        <w:bidi w:val="0"/>
        <w:snapToGrid w:val="0"/>
        <w:spacing w:beforeAutospacing="0" w:line="440" w:lineRule="exact"/>
        <w:ind w:left="0" w:leftChars="0" w:right="0"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3）投标人撤回投标文件的，采购代理机构自收到投标人书面撤回通知之日起五日内退还已收取的</w:t>
      </w:r>
      <w:r>
        <w:rPr>
          <w:rFonts w:hint="eastAsia" w:ascii="仿宋" w:hAnsi="仿宋" w:eastAsia="仿宋" w:cs="仿宋"/>
          <w:bCs/>
          <w:color w:val="auto"/>
          <w:sz w:val="24"/>
          <w:szCs w:val="24"/>
          <w:highlight w:val="none"/>
        </w:rPr>
        <w:t>投标保证金。</w:t>
      </w:r>
    </w:p>
    <w:p>
      <w:pPr>
        <w:kinsoku/>
        <w:wordWrap/>
        <w:overflowPunct/>
        <w:bidi w:val="0"/>
        <w:snapToGrid w:val="0"/>
        <w:spacing w:beforeAutospacing="0" w:line="440" w:lineRule="exact"/>
        <w:ind w:left="0" w:leftChars="0" w:right="0" w:firstLine="472" w:firstLineChars="196"/>
        <w:jc w:val="left"/>
        <w:outlineLvl w:val="1"/>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（十二）串通投标行为</w:t>
      </w:r>
    </w:p>
    <w:p>
      <w:pPr>
        <w:kinsoku/>
        <w:wordWrap/>
        <w:overflowPunct/>
        <w:bidi w:val="0"/>
        <w:snapToGrid w:val="0"/>
        <w:spacing w:beforeAutospacing="0" w:line="440" w:lineRule="exact"/>
        <w:ind w:left="0" w:leftChars="0" w:right="0" w:firstLine="446" w:firstLineChars="196"/>
        <w:jc w:val="left"/>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12.1</w:t>
      </w:r>
      <w:r>
        <w:rPr>
          <w:rFonts w:hint="eastAsia" w:ascii="仿宋" w:hAnsi="仿宋" w:eastAsia="仿宋" w:cs="仿宋"/>
          <w:color w:val="auto"/>
          <w:sz w:val="24"/>
          <w:szCs w:val="24"/>
          <w:highlight w:val="none"/>
        </w:rPr>
        <w:t>投标人有以下情形之一的，可认定其有串通投标行为，中标无效：</w:t>
      </w:r>
    </w:p>
    <w:p>
      <w:pPr>
        <w:pStyle w:val="45"/>
        <w:kinsoku/>
        <w:wordWrap/>
        <w:overflowPunct/>
        <w:bidi w:val="0"/>
        <w:adjustRightInd w:val="0"/>
        <w:snapToGrid w:val="0"/>
        <w:spacing w:before="0" w:beforeAutospacing="0" w:after="0" w:afterAutospacing="0" w:line="44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（1）投标人之间协商投标报价等投标文件的实质性内容；</w:t>
      </w:r>
    </w:p>
    <w:p>
      <w:pPr>
        <w:pStyle w:val="45"/>
        <w:kinsoku/>
        <w:wordWrap/>
        <w:overflowPunct/>
        <w:bidi w:val="0"/>
        <w:adjustRightInd w:val="0"/>
        <w:snapToGrid w:val="0"/>
        <w:spacing w:before="0" w:beforeAutospacing="0" w:after="0" w:afterAutospacing="0" w:line="44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（2）投标人之间约定中标人；</w:t>
      </w:r>
    </w:p>
    <w:p>
      <w:pPr>
        <w:pStyle w:val="45"/>
        <w:kinsoku/>
        <w:wordWrap/>
        <w:overflowPunct/>
        <w:bidi w:val="0"/>
        <w:adjustRightInd w:val="0"/>
        <w:snapToGrid w:val="0"/>
        <w:spacing w:before="0" w:beforeAutospacing="0" w:after="0" w:afterAutospacing="0" w:line="44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（3）投标人之间约定部分投标人放弃投标或者中标；</w:t>
      </w:r>
    </w:p>
    <w:p>
      <w:pPr>
        <w:pStyle w:val="45"/>
        <w:kinsoku/>
        <w:wordWrap/>
        <w:overflowPunct/>
        <w:bidi w:val="0"/>
        <w:adjustRightInd w:val="0"/>
        <w:snapToGrid w:val="0"/>
        <w:spacing w:before="0" w:beforeAutospacing="0" w:after="0" w:afterAutospacing="0" w:line="44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（4）属于同一集团、协会、商会等组织成员的投标人按照该组织要求协同投标；</w:t>
      </w:r>
    </w:p>
    <w:p>
      <w:pPr>
        <w:pStyle w:val="45"/>
        <w:kinsoku/>
        <w:wordWrap/>
        <w:overflowPunct/>
        <w:bidi w:val="0"/>
        <w:adjustRightInd w:val="0"/>
        <w:snapToGrid w:val="0"/>
        <w:spacing w:before="0" w:beforeAutospacing="0" w:after="0" w:afterAutospacing="0" w:line="44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（5）投标人之间为谋取中标或者排斥特定投标人而采取的其他联合行动；</w:t>
      </w:r>
    </w:p>
    <w:p>
      <w:pPr>
        <w:pStyle w:val="45"/>
        <w:kinsoku/>
        <w:wordWrap/>
        <w:overflowPunct/>
        <w:bidi w:val="0"/>
        <w:adjustRightInd w:val="0"/>
        <w:snapToGrid w:val="0"/>
        <w:spacing w:before="0" w:beforeAutospacing="0" w:after="0" w:afterAutospacing="0" w:line="44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（6）不同投标人的投标文件由同一单位或者个人编制；</w:t>
      </w:r>
    </w:p>
    <w:p>
      <w:pPr>
        <w:pStyle w:val="45"/>
        <w:kinsoku/>
        <w:wordWrap/>
        <w:overflowPunct/>
        <w:bidi w:val="0"/>
        <w:adjustRightInd w:val="0"/>
        <w:snapToGrid w:val="0"/>
        <w:spacing w:before="0" w:beforeAutospacing="0" w:after="0" w:afterAutospacing="0" w:line="44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（7）不同投标人委托同一单位或者个人办理投标事宜；</w:t>
      </w:r>
    </w:p>
    <w:p>
      <w:pPr>
        <w:pStyle w:val="45"/>
        <w:kinsoku/>
        <w:wordWrap/>
        <w:overflowPunct/>
        <w:bidi w:val="0"/>
        <w:adjustRightInd w:val="0"/>
        <w:snapToGrid w:val="0"/>
        <w:spacing w:before="0" w:beforeAutospacing="0" w:after="0" w:afterAutospacing="0" w:line="44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（8）不同投标人的投标文件载明的项目管理成员为同一人；</w:t>
      </w:r>
    </w:p>
    <w:p>
      <w:pPr>
        <w:pStyle w:val="45"/>
        <w:kinsoku/>
        <w:wordWrap/>
        <w:overflowPunct/>
        <w:bidi w:val="0"/>
        <w:adjustRightInd w:val="0"/>
        <w:snapToGrid w:val="0"/>
        <w:spacing w:before="0" w:beforeAutospacing="0" w:after="0" w:afterAutospacing="0" w:line="44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（9）不同投标人的投标文件异常一致或者投标报价呈规律性差异；</w:t>
      </w:r>
    </w:p>
    <w:p>
      <w:pPr>
        <w:pStyle w:val="45"/>
        <w:kinsoku/>
        <w:wordWrap/>
        <w:overflowPunct/>
        <w:bidi w:val="0"/>
        <w:adjustRightInd w:val="0"/>
        <w:snapToGrid w:val="0"/>
        <w:spacing w:before="0" w:beforeAutospacing="0" w:after="0" w:afterAutospacing="0" w:line="44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（10）不同投标人的投标文件相互混装；</w:t>
      </w:r>
    </w:p>
    <w:p>
      <w:pPr>
        <w:pStyle w:val="45"/>
        <w:kinsoku/>
        <w:wordWrap/>
        <w:overflowPunct/>
        <w:bidi w:val="0"/>
        <w:adjustRightInd w:val="0"/>
        <w:snapToGrid w:val="0"/>
        <w:spacing w:before="0" w:beforeAutospacing="0" w:after="0" w:afterAutospacing="0" w:line="44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（11）不同投标人的投标保证金从同一单位或者个人的账户转出；</w:t>
      </w:r>
    </w:p>
    <w:p>
      <w:pPr>
        <w:pStyle w:val="45"/>
        <w:kinsoku/>
        <w:wordWrap/>
        <w:overflowPunct/>
        <w:bidi w:val="0"/>
        <w:adjustRightInd w:val="0"/>
        <w:snapToGrid w:val="0"/>
        <w:spacing w:before="0" w:beforeAutospacing="0" w:after="0" w:afterAutospacing="0" w:line="44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（12）法律、法规或规章规定的其他串通投标行为。</w:t>
      </w:r>
    </w:p>
    <w:p>
      <w:pPr>
        <w:pStyle w:val="45"/>
        <w:kinsoku/>
        <w:wordWrap/>
        <w:overflowPunct/>
        <w:bidi w:val="0"/>
        <w:adjustRightInd w:val="0"/>
        <w:snapToGrid w:val="0"/>
        <w:spacing w:before="0" w:beforeAutospacing="0" w:after="0" w:afterAutospacing="0" w:line="440" w:lineRule="exact"/>
        <w:ind w:left="0" w:leftChars="0" w:right="0"/>
        <w:outlineLvl w:val="1"/>
        <w:rPr>
          <w:rFonts w:hint="eastAsia" w:ascii="仿宋" w:hAnsi="仿宋" w:eastAsia="仿宋" w:cs="仿宋"/>
          <w:b/>
          <w:color w:val="auto"/>
          <w:kern w:val="2"/>
          <w:sz w:val="24"/>
          <w:szCs w:val="24"/>
          <w:highlight w:val="none"/>
        </w:rPr>
      </w:pPr>
      <w:r>
        <w:rPr>
          <w:rFonts w:hint="eastAsia" w:ascii="仿宋" w:hAnsi="仿宋" w:eastAsia="仿宋" w:cs="仿宋"/>
          <w:b/>
          <w:color w:val="auto"/>
          <w:kern w:val="2"/>
          <w:sz w:val="24"/>
          <w:szCs w:val="24"/>
          <w:highlight w:val="none"/>
        </w:rPr>
        <w:t>（十三）开标</w:t>
      </w:r>
    </w:p>
    <w:p>
      <w:pPr>
        <w:pStyle w:val="45"/>
        <w:kinsoku/>
        <w:wordWrap/>
        <w:overflowPunct/>
        <w:bidi w:val="0"/>
        <w:adjustRightInd w:val="0"/>
        <w:snapToGrid w:val="0"/>
        <w:spacing w:before="0" w:beforeAutospacing="0" w:after="0" w:afterAutospacing="0" w:line="440" w:lineRule="exact"/>
        <w:ind w:left="0" w:leftChars="0" w:right="0"/>
        <w:rPr>
          <w:rStyle w:val="56"/>
          <w:rFonts w:hint="eastAsia" w:ascii="仿宋" w:hAnsi="仿宋" w:eastAsia="仿宋" w:cs="仿宋"/>
          <w:color w:val="auto"/>
          <w:sz w:val="24"/>
          <w:szCs w:val="24"/>
          <w:highlight w:val="none"/>
        </w:rPr>
      </w:pPr>
      <w:r>
        <w:rPr>
          <w:rStyle w:val="56"/>
          <w:rFonts w:hint="eastAsia" w:ascii="仿宋" w:hAnsi="仿宋" w:eastAsia="仿宋" w:cs="仿宋"/>
          <w:color w:val="auto"/>
          <w:sz w:val="24"/>
          <w:szCs w:val="24"/>
          <w:highlight w:val="none"/>
        </w:rPr>
        <w:t>13、开标</w:t>
      </w:r>
    </w:p>
    <w:p>
      <w:pPr>
        <w:kinsoku/>
        <w:wordWrap/>
        <w:overflowPunct/>
        <w:bidi w:val="0"/>
        <w:spacing w:beforeAutospacing="0" w:line="440" w:lineRule="exact"/>
        <w:ind w:left="0" w:leftChars="0" w:right="0"/>
        <w:rPr>
          <w:rFonts w:hint="eastAsia" w:ascii="仿宋" w:hAnsi="仿宋" w:eastAsia="仿宋" w:cs="仿宋"/>
          <w:b/>
          <w:bCs/>
          <w:color w:val="auto"/>
          <w:sz w:val="24"/>
          <w:szCs w:val="24"/>
          <w:highlight w:val="none"/>
        </w:rPr>
      </w:pPr>
      <w:r>
        <w:rPr>
          <w:rFonts w:hint="eastAsia" w:ascii="仿宋" w:hAnsi="仿宋" w:eastAsia="仿宋" w:cs="仿宋"/>
          <w:b/>
          <w:color w:val="auto"/>
          <w:sz w:val="24"/>
          <w:szCs w:val="24"/>
          <w:highlight w:val="none"/>
        </w:rPr>
        <w:t>13.1</w:t>
      </w:r>
      <w:r>
        <w:rPr>
          <w:rFonts w:hint="eastAsia" w:ascii="仿宋" w:hAnsi="仿宋" w:eastAsia="仿宋" w:cs="仿宋"/>
          <w:b/>
          <w:bCs/>
          <w:color w:val="auto"/>
          <w:sz w:val="24"/>
          <w:szCs w:val="24"/>
          <w:highlight w:val="none"/>
        </w:rPr>
        <w:t>开标仪式由招标代理机构组织，采购人代表(需提供单位授权函)、监管代表、投标人代表等参加。有关行政监督部门的工作人员将对投标人进行资格审查，如缺项将导致失去投标资格或废标。开标现场提供资格查验资料齐全、满足采购文件封装、标识、签章要求的投标人为合格有效投标人。</w:t>
      </w:r>
    </w:p>
    <w:p>
      <w:pPr>
        <w:kinsoku/>
        <w:wordWrap/>
        <w:overflowPunct/>
        <w:bidi w:val="0"/>
        <w:spacing w:beforeAutospacing="0" w:line="440" w:lineRule="exact"/>
        <w:ind w:left="0" w:leftChars="0" w:right="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资格审查：</w:t>
      </w:r>
    </w:p>
    <w:p>
      <w:pPr>
        <w:kinsoku/>
        <w:wordWrap/>
        <w:overflowPunct/>
        <w:bidi w:val="0"/>
        <w:adjustRightInd w:val="0"/>
        <w:snapToGrid w:val="0"/>
        <w:spacing w:beforeAutospacing="0" w:line="440" w:lineRule="exact"/>
        <w:ind w:left="0" w:leftChars="0" w:right="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开标时，投标委派的开标代表携带身份证原件并按如下要求提供有效证明材料进行资格审查。</w:t>
      </w:r>
    </w:p>
    <w:p>
      <w:pPr>
        <w:kinsoku/>
        <w:wordWrap/>
        <w:overflowPunct/>
        <w:bidi w:val="0"/>
        <w:adjustRightInd w:val="0"/>
        <w:snapToGrid w:val="0"/>
        <w:spacing w:beforeAutospacing="0" w:line="440" w:lineRule="exact"/>
        <w:ind w:left="0" w:leftChars="0" w:right="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资格查验资料：</w:t>
      </w:r>
    </w:p>
    <w:p>
      <w:pPr>
        <w:kinsoku/>
        <w:wordWrap/>
        <w:overflowPunct/>
        <w:bidi w:val="0"/>
        <w:adjustRightInd w:val="0"/>
        <w:snapToGrid w:val="0"/>
        <w:spacing w:beforeAutospacing="0" w:line="440" w:lineRule="exact"/>
        <w:ind w:left="0" w:leftChars="0" w:right="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（1）营业执照复印件加盖公章；</w:t>
      </w:r>
    </w:p>
    <w:p>
      <w:pPr>
        <w:kinsoku/>
        <w:wordWrap/>
        <w:overflowPunct/>
        <w:bidi w:val="0"/>
        <w:adjustRightInd w:val="0"/>
        <w:snapToGrid w:val="0"/>
        <w:spacing w:beforeAutospacing="0" w:line="440" w:lineRule="exact"/>
        <w:ind w:left="0" w:leftChars="0" w:right="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（2）法定代表人身份证明书原件并附法定代表人身份证复印件（如委托授权代表的，仅需提供法定代表人授权委托书原件并附代理人身份证复印件）；</w:t>
      </w:r>
    </w:p>
    <w:p>
      <w:pPr>
        <w:kinsoku/>
        <w:wordWrap/>
        <w:overflowPunct/>
        <w:bidi w:val="0"/>
        <w:adjustRightInd w:val="0"/>
        <w:snapToGrid w:val="0"/>
        <w:spacing w:beforeAutospacing="0" w:line="440" w:lineRule="exact"/>
        <w:ind w:left="0" w:leftChars="0" w:right="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（3）投标保证金缴款证明复印件加盖单位公章。</w:t>
      </w:r>
    </w:p>
    <w:p>
      <w:pPr>
        <w:kinsoku/>
        <w:wordWrap/>
        <w:overflowPunct/>
        <w:bidi w:val="0"/>
        <w:adjustRightInd w:val="0"/>
        <w:snapToGrid w:val="0"/>
        <w:spacing w:beforeAutospacing="0" w:line="440" w:lineRule="exact"/>
        <w:ind w:left="0" w:leftChars="0" w:right="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所投货物若属于医疗器械管理范畴，按照国家《医疗器械监督管理条例》，应符合以下标准：①投标人为制造商的，须提供《医疗器械生产企业许可证》（进口产品除外）；投标人为经销商的，投标货物若属于三类医疗器械，须提供 《医疗器械经营企业许可证》，投标货物若属于二类医疗器械，也可提供《二类医疗器械的经营备案凭证》，投标货物若属于一类医疗器械，则无须提供此项；②投标货物属于《医疗器械监督管理条例》规定的第一类医疗器械产品应提供《第一类医疗器械备案凭证》，属于第二类、第三类医疗器械产品应取得《医疗器械注册证》(如有注册登记表应提供)。所有证件必须在有效期内。（5）经信用中国（www.creditchina.gov.cn）、中国政府采购网（www.ccgp.gov.cn）、 国家企业信用信息公示（http://www.gsxt.gov.cn/）等渠道查询后，列入失信被执行人、重大税收违法案件当事人名单、政府采购严重违法失信行为记录名单的，取消投标资格。（提供“信用中国”《中国政府采购网》网站无任何不良记录的查询截图，时间为投标截止时间前20天内）</w:t>
      </w:r>
    </w:p>
    <w:p>
      <w:pPr>
        <w:kinsoku/>
        <w:wordWrap/>
        <w:overflowPunct/>
        <w:bidi w:val="0"/>
        <w:adjustRightInd w:val="0"/>
        <w:snapToGrid w:val="0"/>
        <w:spacing w:beforeAutospacing="0" w:line="440" w:lineRule="exact"/>
        <w:ind w:left="0" w:leftChars="0" w:right="0" w:firstLine="482" w:firstLineChars="200"/>
        <w:jc w:val="left"/>
        <w:rPr>
          <w:rFonts w:hint="eastAsia" w:ascii="仿宋" w:hAnsi="仿宋" w:eastAsia="仿宋" w:cs="仿宋"/>
          <w:color w:val="auto"/>
          <w:sz w:val="24"/>
          <w:szCs w:val="24"/>
          <w:highlight w:val="none"/>
          <w:lang w:val="zh-CN"/>
        </w:rPr>
      </w:pPr>
      <w:r>
        <w:rPr>
          <w:rFonts w:hint="eastAsia" w:ascii="仿宋" w:hAnsi="仿宋" w:eastAsia="仿宋" w:cs="仿宋"/>
          <w:b/>
          <w:bCs/>
          <w:color w:val="auto"/>
          <w:sz w:val="24"/>
          <w:szCs w:val="24"/>
          <w:highlight w:val="none"/>
        </w:rPr>
        <w:t>以上内容需单独封装、标识后提交</w:t>
      </w:r>
      <w:r>
        <w:rPr>
          <w:rFonts w:hint="eastAsia" w:ascii="仿宋" w:hAnsi="仿宋" w:eastAsia="仿宋" w:cs="仿宋"/>
          <w:color w:val="auto"/>
          <w:sz w:val="24"/>
          <w:szCs w:val="24"/>
          <w:highlight w:val="none"/>
        </w:rPr>
        <w:t>。在外封套表面加贴封条：注明“资格审查”、“项目名称、项目编号、投标人、授权代理人、联系电话”、标注“    年   月   日   时   分（开标时间）开标前不得开启”，并在启封处加盖公章、法定代表人印章，并应确保密封完好。</w:t>
      </w:r>
    </w:p>
    <w:p>
      <w:pPr>
        <w:kinsoku/>
        <w:wordWrap/>
        <w:overflowPunct/>
        <w:bidi w:val="0"/>
        <w:adjustRightInd w:val="0"/>
        <w:snapToGrid w:val="0"/>
        <w:spacing w:beforeAutospacing="0" w:line="440" w:lineRule="exact"/>
        <w:ind w:left="0" w:leftChars="0" w:right="0"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13.2本次招标按招标文件中投标邀请规定的时间地点进行开标，将邀请投标商的法定代表人或其授权委托人准时参加开标会。</w:t>
      </w:r>
    </w:p>
    <w:p>
      <w:pPr>
        <w:kinsoku/>
        <w:wordWrap/>
        <w:overflowPunct/>
        <w:bidi w:val="0"/>
        <w:adjustRightInd w:val="0"/>
        <w:snapToGrid w:val="0"/>
        <w:spacing w:beforeAutospacing="0" w:line="440" w:lineRule="exact"/>
        <w:ind w:left="0" w:leftChars="0" w:right="0"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13.3宣布投标文件开启顺序。</w:t>
      </w:r>
    </w:p>
    <w:p>
      <w:pPr>
        <w:kinsoku/>
        <w:wordWrap/>
        <w:overflowPunct/>
        <w:bidi w:val="0"/>
        <w:adjustRightInd w:val="0"/>
        <w:snapToGrid w:val="0"/>
        <w:spacing w:beforeAutospacing="0" w:line="440" w:lineRule="exact"/>
        <w:ind w:left="0" w:leftChars="0" w:right="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13.4开标时检查投标文件密封情况，确认无误后拆封唱标，唱正本</w:t>
      </w:r>
      <w:r>
        <w:rPr>
          <w:rFonts w:hint="eastAsia" w:ascii="仿宋" w:hAnsi="仿宋" w:eastAsia="仿宋" w:cs="仿宋"/>
          <w:color w:val="auto"/>
          <w:sz w:val="24"/>
          <w:szCs w:val="24"/>
          <w:highlight w:val="none"/>
        </w:rPr>
        <w:t>“开标一览表”内容，以及招标代理机构认为合适的其他内容并记录。</w:t>
      </w:r>
    </w:p>
    <w:p>
      <w:pPr>
        <w:kinsoku/>
        <w:wordWrap/>
        <w:overflowPunct/>
        <w:bidi w:val="0"/>
        <w:adjustRightInd w:val="0"/>
        <w:snapToGrid w:val="0"/>
        <w:spacing w:beforeAutospacing="0" w:line="440" w:lineRule="exact"/>
        <w:ind w:left="0" w:leftChars="0" w:right="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13.5评标原则在开标会议上宣布。</w:t>
      </w:r>
    </w:p>
    <w:p>
      <w:pPr>
        <w:kinsoku/>
        <w:wordWrap/>
        <w:overflowPunct/>
        <w:bidi w:val="0"/>
        <w:adjustRightInd w:val="0"/>
        <w:snapToGrid w:val="0"/>
        <w:spacing w:beforeAutospacing="0" w:line="440" w:lineRule="exact"/>
        <w:ind w:left="0" w:leftChars="0" w:right="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13.6 对招标人的纪律要求</w:t>
      </w:r>
    </w:p>
    <w:p>
      <w:pPr>
        <w:kinsoku/>
        <w:wordWrap/>
        <w:overflowPunct/>
        <w:bidi w:val="0"/>
        <w:adjustRightInd w:val="0"/>
        <w:snapToGrid w:val="0"/>
        <w:spacing w:beforeAutospacing="0" w:line="440" w:lineRule="exact"/>
        <w:ind w:left="0" w:leftChars="0" w:right="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招标人不得泄露招标投标活动中应当保密的情况和资料，不得与投标人串通损害国家利益、社会公共利益或者他人合法权益。</w:t>
      </w:r>
    </w:p>
    <w:p>
      <w:pPr>
        <w:kinsoku/>
        <w:wordWrap/>
        <w:overflowPunct/>
        <w:bidi w:val="0"/>
        <w:adjustRightInd w:val="0"/>
        <w:snapToGrid w:val="0"/>
        <w:spacing w:beforeAutospacing="0" w:line="440" w:lineRule="exact"/>
        <w:ind w:left="0" w:leftChars="0" w:right="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13.7对投标人的纪律要求</w:t>
      </w:r>
    </w:p>
    <w:p>
      <w:pPr>
        <w:kinsoku/>
        <w:wordWrap/>
        <w:overflowPunct/>
        <w:bidi w:val="0"/>
        <w:adjustRightInd w:val="0"/>
        <w:snapToGrid w:val="0"/>
        <w:spacing w:beforeAutospacing="0" w:line="440" w:lineRule="exact"/>
        <w:ind w:left="0" w:leftChars="0" w:right="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投标人不得互相串通投标或者与招标人串通投标，不得向招标人或者评标委员会成员行贿谋取中标，不得以他人名义投标或者以其他方式弄虚作假骗取中标；投标人不得以任何方式干扰、影响评标工作。</w:t>
      </w:r>
    </w:p>
    <w:p>
      <w:pPr>
        <w:kinsoku/>
        <w:wordWrap/>
        <w:overflowPunct/>
        <w:bidi w:val="0"/>
        <w:adjustRightInd w:val="0"/>
        <w:snapToGrid w:val="0"/>
        <w:spacing w:beforeAutospacing="0" w:line="440" w:lineRule="exact"/>
        <w:ind w:left="0" w:leftChars="0" w:right="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13.8 对与评标活动有关的工作人员的纪律要求</w:t>
      </w:r>
    </w:p>
    <w:p>
      <w:pPr>
        <w:kinsoku/>
        <w:wordWrap/>
        <w:overflowPunct/>
        <w:bidi w:val="0"/>
        <w:adjustRightInd w:val="0"/>
        <w:snapToGrid w:val="0"/>
        <w:spacing w:beforeAutospacing="0" w:line="440" w:lineRule="exact"/>
        <w:ind w:left="0" w:leftChars="0" w:right="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与评标活动有关的工作人员不得收受他人的财物或者好处，不得向其他人透露对投标文件的评审和比较、中标候选人的推荐情况及评标有关其他情况。在评标活动中，与评标活动有关的工作人员不得擅离职守，影响评标程序正常进行。</w:t>
      </w:r>
    </w:p>
    <w:p>
      <w:pPr>
        <w:kinsoku/>
        <w:wordWrap/>
        <w:overflowPunct/>
        <w:bidi w:val="0"/>
        <w:adjustRightInd w:val="0"/>
        <w:snapToGrid w:val="0"/>
        <w:spacing w:beforeAutospacing="0" w:line="440" w:lineRule="exact"/>
        <w:ind w:left="0" w:leftChars="0" w:right="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13.9对评标委员会成员要求评标纪律</w:t>
      </w:r>
    </w:p>
    <w:p>
      <w:pPr>
        <w:kinsoku/>
        <w:wordWrap/>
        <w:overflowPunct/>
        <w:bidi w:val="0"/>
        <w:adjustRightInd w:val="0"/>
        <w:snapToGrid w:val="0"/>
        <w:spacing w:beforeAutospacing="0" w:line="440" w:lineRule="exact"/>
        <w:ind w:left="0" w:leftChars="0" w:right="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13.9.1评委会应当依照有关法律法规的规定，按照招标文件确定的评标标准和办法客观、公正的对投标文件提出评审意见。招标文件设有规定的评标标准和方法不得作为评标依据。</w:t>
      </w:r>
    </w:p>
    <w:p>
      <w:pPr>
        <w:kinsoku/>
        <w:wordWrap/>
        <w:overflowPunct/>
        <w:bidi w:val="0"/>
        <w:adjustRightInd w:val="0"/>
        <w:snapToGrid w:val="0"/>
        <w:spacing w:beforeAutospacing="0" w:line="440" w:lineRule="exact"/>
        <w:ind w:left="0" w:leftChars="0" w:right="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13.9.2评标委员会成员不得私下接触投标人，不得收受投标人给予的财务或者其他好处，不得向招标人征询确定中标人意向。</w:t>
      </w:r>
    </w:p>
    <w:p>
      <w:pPr>
        <w:kinsoku/>
        <w:wordWrap/>
        <w:overflowPunct/>
        <w:bidi w:val="0"/>
        <w:adjustRightInd w:val="0"/>
        <w:snapToGrid w:val="0"/>
        <w:spacing w:beforeAutospacing="0" w:line="440" w:lineRule="exact"/>
        <w:ind w:left="0" w:leftChars="0" w:right="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13.9.3不得接受任何单位或个人明示或暗示提出的倾向或排斥特定投标人的要求。</w:t>
      </w:r>
    </w:p>
    <w:p>
      <w:pPr>
        <w:kinsoku/>
        <w:wordWrap/>
        <w:overflowPunct/>
        <w:bidi w:val="0"/>
        <w:adjustRightInd w:val="0"/>
        <w:snapToGrid w:val="0"/>
        <w:spacing w:beforeAutospacing="0" w:line="440" w:lineRule="exact"/>
        <w:ind w:left="0" w:leftChars="0" w:right="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13.9.4不得有其他不客观，不公正履行职务的行为。</w:t>
      </w:r>
    </w:p>
    <w:p>
      <w:pPr>
        <w:pStyle w:val="278"/>
        <w:kinsoku/>
        <w:wordWrap/>
        <w:overflowPunct/>
        <w:bidi w:val="0"/>
        <w:adjustRightInd w:val="0"/>
        <w:snapToGrid w:val="0"/>
        <w:spacing w:beforeAutospacing="0" w:line="440" w:lineRule="exact"/>
        <w:ind w:left="0" w:leftChars="0" w:right="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13.10无效投标条款和废标条款</w:t>
      </w:r>
    </w:p>
    <w:p>
      <w:pPr>
        <w:pStyle w:val="278"/>
        <w:kinsoku/>
        <w:wordWrap/>
        <w:overflowPunct/>
        <w:bidi w:val="0"/>
        <w:adjustRightInd w:val="0"/>
        <w:snapToGrid w:val="0"/>
        <w:spacing w:beforeAutospacing="0" w:line="440" w:lineRule="exact"/>
        <w:ind w:left="0" w:leftChars="0" w:right="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13.10.1无效投标条款</w:t>
      </w:r>
    </w:p>
    <w:p>
      <w:pPr>
        <w:pStyle w:val="278"/>
        <w:kinsoku/>
        <w:wordWrap/>
        <w:overflowPunct/>
        <w:bidi w:val="0"/>
        <w:adjustRightInd w:val="0"/>
        <w:snapToGrid w:val="0"/>
        <w:spacing w:beforeAutospacing="0" w:line="440" w:lineRule="exact"/>
        <w:ind w:left="0" w:leftChars="0" w:right="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13.10.2未按要求交纳投标保证金的；</w:t>
      </w:r>
    </w:p>
    <w:p>
      <w:pPr>
        <w:pStyle w:val="278"/>
        <w:kinsoku/>
        <w:wordWrap/>
        <w:overflowPunct/>
        <w:bidi w:val="0"/>
        <w:adjustRightInd w:val="0"/>
        <w:snapToGrid w:val="0"/>
        <w:spacing w:beforeAutospacing="0" w:line="440" w:lineRule="exact"/>
        <w:ind w:left="0" w:leftChars="0" w:right="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13.10.3未按照招标文件规定要求密封、签署、盖章的；</w:t>
      </w:r>
    </w:p>
    <w:p>
      <w:pPr>
        <w:pStyle w:val="278"/>
        <w:kinsoku/>
        <w:wordWrap/>
        <w:overflowPunct/>
        <w:bidi w:val="0"/>
        <w:adjustRightInd w:val="0"/>
        <w:snapToGrid w:val="0"/>
        <w:spacing w:beforeAutospacing="0" w:line="440" w:lineRule="exact"/>
        <w:ind w:left="0" w:leftChars="0" w:right="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13.10.4投标人在报价时采用选择性报价；</w:t>
      </w:r>
    </w:p>
    <w:p>
      <w:pPr>
        <w:pStyle w:val="278"/>
        <w:kinsoku/>
        <w:wordWrap/>
        <w:overflowPunct/>
        <w:bidi w:val="0"/>
        <w:adjustRightInd w:val="0"/>
        <w:snapToGrid w:val="0"/>
        <w:spacing w:beforeAutospacing="0" w:line="440" w:lineRule="exact"/>
        <w:ind w:left="0" w:leftChars="0" w:right="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13.10.5投标人不具备招标文件中规定资格要求的；</w:t>
      </w:r>
    </w:p>
    <w:p>
      <w:pPr>
        <w:pStyle w:val="278"/>
        <w:kinsoku/>
        <w:wordWrap/>
        <w:overflowPunct/>
        <w:bidi w:val="0"/>
        <w:adjustRightInd w:val="0"/>
        <w:snapToGrid w:val="0"/>
        <w:spacing w:beforeAutospacing="0" w:line="440" w:lineRule="exact"/>
        <w:ind w:left="0" w:leftChars="0" w:right="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13.10.6投标人的报价超过了采购预算的；</w:t>
      </w:r>
    </w:p>
    <w:p>
      <w:pPr>
        <w:pStyle w:val="278"/>
        <w:kinsoku/>
        <w:wordWrap/>
        <w:overflowPunct/>
        <w:bidi w:val="0"/>
        <w:adjustRightInd w:val="0"/>
        <w:snapToGrid w:val="0"/>
        <w:spacing w:beforeAutospacing="0" w:line="440" w:lineRule="exact"/>
        <w:ind w:left="0" w:leftChars="0" w:right="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13.10.7未通过符合性检查的；</w:t>
      </w:r>
    </w:p>
    <w:p>
      <w:pPr>
        <w:pStyle w:val="278"/>
        <w:kinsoku/>
        <w:wordWrap/>
        <w:overflowPunct/>
        <w:bidi w:val="0"/>
        <w:adjustRightInd w:val="0"/>
        <w:snapToGrid w:val="0"/>
        <w:spacing w:beforeAutospacing="0" w:line="440" w:lineRule="exact"/>
        <w:ind w:left="0" w:leftChars="0" w:right="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13.10.8不符合招标文件中规定的其他实质性要求和条件的；</w:t>
      </w:r>
    </w:p>
    <w:p>
      <w:pPr>
        <w:pStyle w:val="278"/>
        <w:kinsoku/>
        <w:wordWrap/>
        <w:overflowPunct/>
        <w:bidi w:val="0"/>
        <w:adjustRightInd w:val="0"/>
        <w:snapToGrid w:val="0"/>
        <w:spacing w:beforeAutospacing="0" w:line="440" w:lineRule="exact"/>
        <w:ind w:left="0" w:leftChars="0" w:right="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13.10.9投标人串通投标；</w:t>
      </w:r>
    </w:p>
    <w:p>
      <w:pPr>
        <w:pStyle w:val="278"/>
        <w:kinsoku/>
        <w:wordWrap/>
        <w:overflowPunct/>
        <w:bidi w:val="0"/>
        <w:adjustRightInd w:val="0"/>
        <w:snapToGrid w:val="0"/>
        <w:spacing w:beforeAutospacing="0" w:line="440" w:lineRule="exact"/>
        <w:ind w:left="0" w:leftChars="0" w:right="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13.10.10其他法律、法规及本招标文件规定的属无效投标的情形。</w:t>
      </w:r>
    </w:p>
    <w:p>
      <w:pPr>
        <w:pStyle w:val="278"/>
        <w:kinsoku/>
        <w:wordWrap/>
        <w:overflowPunct/>
        <w:bidi w:val="0"/>
        <w:adjustRightInd w:val="0"/>
        <w:snapToGrid w:val="0"/>
        <w:spacing w:beforeAutospacing="0" w:line="440" w:lineRule="exact"/>
        <w:ind w:left="0" w:leftChars="0" w:right="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13.11废标条款：                                                                                                                                                                                                                                                                                                                                                                                                                                                                                                                                                                                                                                                                                                                                                                                                                                                                                                                                                                                                                                                                                                                                                                                                                                                                                                                                                                                                                                                                         </w:t>
      </w:r>
    </w:p>
    <w:p>
      <w:pPr>
        <w:pStyle w:val="278"/>
        <w:kinsoku/>
        <w:wordWrap/>
        <w:overflowPunct/>
        <w:bidi w:val="0"/>
        <w:adjustRightInd w:val="0"/>
        <w:snapToGrid w:val="0"/>
        <w:spacing w:beforeAutospacing="0" w:line="440" w:lineRule="exact"/>
        <w:ind w:left="0" w:leftChars="0" w:right="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13.11.1符合专业条件的供应商或者对招标文件作实质响应的供应商不足三家的；30.2.2出现影响采购公正的违法、违规行为的；</w:t>
      </w:r>
    </w:p>
    <w:p>
      <w:pPr>
        <w:pStyle w:val="278"/>
        <w:kinsoku/>
        <w:wordWrap/>
        <w:overflowPunct/>
        <w:bidi w:val="0"/>
        <w:adjustRightInd w:val="0"/>
        <w:snapToGrid w:val="0"/>
        <w:spacing w:beforeAutospacing="0" w:line="440" w:lineRule="exact"/>
        <w:ind w:left="0" w:leftChars="0" w:right="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13.11.2因重大变故，采购任务取消的；</w:t>
      </w:r>
    </w:p>
    <w:p>
      <w:pPr>
        <w:pStyle w:val="278"/>
        <w:kinsoku/>
        <w:wordWrap/>
        <w:overflowPunct/>
        <w:bidi w:val="0"/>
        <w:adjustRightInd w:val="0"/>
        <w:snapToGrid w:val="0"/>
        <w:spacing w:beforeAutospacing="0" w:line="440" w:lineRule="exact"/>
        <w:ind w:left="0" w:leftChars="0" w:right="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13.11.3评标委员会认定招标文件存在歧义、 重大缺陷导致评审工作无法进行。</w:t>
      </w:r>
    </w:p>
    <w:p>
      <w:pPr>
        <w:pStyle w:val="278"/>
        <w:kinsoku/>
        <w:wordWrap/>
        <w:overflowPunct/>
        <w:bidi w:val="0"/>
        <w:adjustRightInd w:val="0"/>
        <w:snapToGrid w:val="0"/>
        <w:spacing w:beforeAutospacing="0" w:line="440" w:lineRule="exact"/>
        <w:ind w:left="0" w:leftChars="0" w:right="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13.11.4 投标截止时间结束后参加投标的供应商不足三家的处理：</w:t>
      </w:r>
    </w:p>
    <w:p>
      <w:pPr>
        <w:pStyle w:val="278"/>
        <w:kinsoku/>
        <w:wordWrap/>
        <w:overflowPunct/>
        <w:bidi w:val="0"/>
        <w:adjustRightInd w:val="0"/>
        <w:snapToGrid w:val="0"/>
        <w:spacing w:beforeAutospacing="0" w:line="440" w:lineRule="exact"/>
        <w:ind w:left="0" w:leftChars="0" w:right="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13.11.5如出现投标截止时间结束后参加投标的供应商或者在评标期间对招标文件做出实质响应的供应商不足三家情况，按财政部第八十七号令第四十三条的规定执行。</w:t>
      </w:r>
    </w:p>
    <w:p>
      <w:pPr>
        <w:pStyle w:val="278"/>
        <w:kinsoku/>
        <w:wordWrap/>
        <w:overflowPunct/>
        <w:bidi w:val="0"/>
        <w:adjustRightInd w:val="0"/>
        <w:snapToGrid w:val="0"/>
        <w:spacing w:beforeAutospacing="0" w:line="440" w:lineRule="exact"/>
        <w:ind w:left="0" w:leftChars="0" w:right="0" w:firstLineChars="0"/>
        <w:rPr>
          <w:rFonts w:hint="eastAsia" w:ascii="仿宋" w:hAnsi="仿宋" w:eastAsia="仿宋" w:cs="仿宋"/>
          <w:color w:val="auto"/>
          <w:sz w:val="24"/>
          <w:szCs w:val="24"/>
          <w:highlight w:val="none"/>
        </w:rPr>
      </w:pPr>
    </w:p>
    <w:p>
      <w:pPr>
        <w:pStyle w:val="45"/>
        <w:kinsoku/>
        <w:wordWrap/>
        <w:overflowPunct/>
        <w:bidi w:val="0"/>
        <w:adjustRightInd w:val="0"/>
        <w:snapToGrid w:val="0"/>
        <w:spacing w:before="0" w:beforeAutospacing="0" w:after="0" w:afterAutospacing="0" w:line="440" w:lineRule="exact"/>
        <w:ind w:left="0" w:leftChars="0" w:right="0"/>
        <w:outlineLvl w:val="1"/>
        <w:rPr>
          <w:rFonts w:hint="eastAsia" w:ascii="仿宋" w:hAnsi="仿宋" w:eastAsia="仿宋" w:cs="仿宋"/>
          <w:b/>
          <w:color w:val="auto"/>
          <w:kern w:val="2"/>
          <w:sz w:val="24"/>
          <w:szCs w:val="24"/>
          <w:highlight w:val="none"/>
        </w:rPr>
      </w:pPr>
      <w:r>
        <w:rPr>
          <w:rFonts w:hint="eastAsia" w:ascii="仿宋" w:hAnsi="仿宋" w:eastAsia="仿宋" w:cs="仿宋"/>
          <w:b/>
          <w:color w:val="auto"/>
          <w:kern w:val="2"/>
          <w:sz w:val="24"/>
          <w:szCs w:val="24"/>
          <w:highlight w:val="none"/>
        </w:rPr>
        <w:t>（十四）中标信息公布与投标人质疑</w:t>
      </w:r>
    </w:p>
    <w:p>
      <w:pPr>
        <w:kinsoku/>
        <w:wordWrap/>
        <w:overflowPunct/>
        <w:bidi w:val="0"/>
        <w:adjustRightInd w:val="0"/>
        <w:snapToGrid w:val="0"/>
        <w:spacing w:beforeAutospacing="0" w:line="440" w:lineRule="exact"/>
        <w:ind w:left="0" w:leftChars="0" w:right="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14.中标信息公布</w:t>
      </w:r>
    </w:p>
    <w:p>
      <w:pPr>
        <w:kinsoku/>
        <w:wordWrap/>
        <w:overflowPunct/>
        <w:autoSpaceDE w:val="0"/>
        <w:autoSpaceDN w:val="0"/>
        <w:bidi w:val="0"/>
        <w:adjustRightInd w:val="0"/>
        <w:snapToGrid w:val="0"/>
        <w:spacing w:beforeAutospacing="0" w:line="440" w:lineRule="exact"/>
        <w:ind w:left="0" w:leftChars="0" w:right="0"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14.1确定中标供应商后，中标信息将在本章指定的媒体上同步发布。</w:t>
      </w:r>
    </w:p>
    <w:p>
      <w:pPr>
        <w:kinsoku/>
        <w:wordWrap/>
        <w:overflowPunct/>
        <w:bidi w:val="0"/>
        <w:adjustRightInd w:val="0"/>
        <w:snapToGrid w:val="0"/>
        <w:spacing w:beforeAutospacing="0" w:line="440" w:lineRule="exact"/>
        <w:ind w:left="0" w:leftChars="0" w:right="0"/>
        <w:jc w:val="left"/>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15.投标人质疑</w:t>
      </w:r>
    </w:p>
    <w:p>
      <w:pPr>
        <w:kinsoku/>
        <w:wordWrap/>
        <w:overflowPunct/>
        <w:bidi w:val="0"/>
        <w:adjustRightInd w:val="0"/>
        <w:snapToGrid w:val="0"/>
        <w:spacing w:beforeAutospacing="0" w:line="440" w:lineRule="exact"/>
        <w:ind w:left="0" w:leftChars="0" w:right="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15.1投标人对政府采购活动事项有疑问的，可以向采购人或采购代理机构提出询问。采购人或采购代理机构将在三个工作日内做出答复。</w:t>
      </w:r>
    </w:p>
    <w:p>
      <w:pPr>
        <w:kinsoku/>
        <w:wordWrap/>
        <w:overflowPunct/>
        <w:bidi w:val="0"/>
        <w:adjustRightInd w:val="0"/>
        <w:snapToGrid w:val="0"/>
        <w:spacing w:beforeAutospacing="0" w:line="440" w:lineRule="exact"/>
        <w:ind w:left="0" w:leftChars="0" w:right="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 2投标人若认为采购过程和中标结果使自己的权益受到损害，应当在下列时间内以书面形式向采购人或采购代理机构提出：</w:t>
      </w:r>
    </w:p>
    <w:p>
      <w:pPr>
        <w:kinsoku/>
        <w:wordWrap/>
        <w:overflowPunct/>
        <w:bidi w:val="0"/>
        <w:adjustRightInd w:val="0"/>
        <w:snapToGrid w:val="0"/>
        <w:spacing w:beforeAutospacing="0" w:line="440" w:lineRule="exact"/>
        <w:ind w:left="0" w:leftChars="0" w:right="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（1）关于采购过程的质疑，应当在采购程序环节结束之日起七个工作日内提出。</w:t>
      </w:r>
    </w:p>
    <w:p>
      <w:pPr>
        <w:kinsoku/>
        <w:wordWrap/>
        <w:overflowPunct/>
        <w:bidi w:val="0"/>
        <w:adjustRightInd w:val="0"/>
        <w:snapToGrid w:val="0"/>
        <w:spacing w:beforeAutospacing="0" w:line="440" w:lineRule="exact"/>
        <w:ind w:left="0" w:leftChars="0" w:right="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（2）关于中标结果的质疑，应当在知道或者应知其权益受到损害之日起7个工作日内提出。</w:t>
      </w:r>
    </w:p>
    <w:p>
      <w:pPr>
        <w:pStyle w:val="29"/>
        <w:kinsoku/>
        <w:wordWrap/>
        <w:overflowPunct/>
        <w:bidi w:val="0"/>
        <w:adjustRightInd w:val="0"/>
        <w:snapToGrid w:val="0"/>
        <w:spacing w:beforeAutospacing="0" w:line="440" w:lineRule="exact"/>
        <w:ind w:left="0" w:leftChars="0" w:right="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15.3投标人提出质疑的，应提供质疑书原件。采购人或采购代理机构应当向质疑供应商签收回执。</w:t>
      </w:r>
    </w:p>
    <w:p>
      <w:pPr>
        <w:pStyle w:val="29"/>
        <w:kinsoku/>
        <w:wordWrap/>
        <w:overflowPunct/>
        <w:bidi w:val="0"/>
        <w:adjustRightInd w:val="0"/>
        <w:snapToGrid w:val="0"/>
        <w:spacing w:beforeAutospacing="0" w:line="440" w:lineRule="exact"/>
        <w:ind w:left="0" w:leftChars="0" w:right="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15.4质疑书应当包括下列内容：</w:t>
      </w:r>
    </w:p>
    <w:p>
      <w:pPr>
        <w:pStyle w:val="29"/>
        <w:kinsoku/>
        <w:wordWrap/>
        <w:overflowPunct/>
        <w:bidi w:val="0"/>
        <w:adjustRightInd w:val="0"/>
        <w:snapToGrid w:val="0"/>
        <w:spacing w:beforeAutospacing="0" w:line="440" w:lineRule="exact"/>
        <w:ind w:left="0" w:leftChars="0" w:right="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（1）质疑供应商的名称、地址及有效联系方式；</w:t>
      </w:r>
    </w:p>
    <w:p>
      <w:pPr>
        <w:pStyle w:val="29"/>
        <w:kinsoku/>
        <w:wordWrap/>
        <w:overflowPunct/>
        <w:bidi w:val="0"/>
        <w:adjustRightInd w:val="0"/>
        <w:snapToGrid w:val="0"/>
        <w:spacing w:beforeAutospacing="0" w:line="440" w:lineRule="exact"/>
        <w:ind w:left="0" w:leftChars="0" w:right="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（2）质疑事项；</w:t>
      </w:r>
    </w:p>
    <w:p>
      <w:pPr>
        <w:pStyle w:val="29"/>
        <w:kinsoku/>
        <w:wordWrap/>
        <w:overflowPunct/>
        <w:bidi w:val="0"/>
        <w:adjustRightInd w:val="0"/>
        <w:snapToGrid w:val="0"/>
        <w:spacing w:beforeAutospacing="0" w:line="440" w:lineRule="exact"/>
        <w:ind w:left="0" w:leftChars="0" w:right="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（3）事实依据及相关证明材料；</w:t>
      </w:r>
    </w:p>
    <w:p>
      <w:pPr>
        <w:pStyle w:val="29"/>
        <w:kinsoku/>
        <w:wordWrap/>
        <w:overflowPunct/>
        <w:bidi w:val="0"/>
        <w:adjustRightInd w:val="0"/>
        <w:snapToGrid w:val="0"/>
        <w:spacing w:beforeAutospacing="0" w:line="440" w:lineRule="exact"/>
        <w:ind w:left="0" w:leftChars="0" w:right="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（4）相关请求及主张。</w:t>
      </w:r>
    </w:p>
    <w:p>
      <w:pPr>
        <w:pStyle w:val="29"/>
        <w:kinsoku/>
        <w:wordWrap/>
        <w:overflowPunct/>
        <w:bidi w:val="0"/>
        <w:adjustRightInd w:val="0"/>
        <w:snapToGrid w:val="0"/>
        <w:spacing w:beforeAutospacing="0" w:line="440" w:lineRule="exact"/>
        <w:ind w:left="0" w:leftChars="0" w:right="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15.5 质疑书应当由投标人法定代表人或其授权的代理人签字并加盖投标人单位行政公章，质疑书由授权的代理人签字的应附投标人法定代表人授权委托书。</w:t>
      </w:r>
    </w:p>
    <w:p>
      <w:pPr>
        <w:kinsoku/>
        <w:wordWrap/>
        <w:overflowPunct/>
        <w:bidi w:val="0"/>
        <w:adjustRightInd w:val="0"/>
        <w:snapToGrid w:val="0"/>
        <w:spacing w:beforeAutospacing="0" w:line="440" w:lineRule="exact"/>
        <w:ind w:left="0" w:leftChars="0" w:right="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15.6 采购人或采购代理机构将在签收回执之日起七个工作日内做出书面答复，并以书面形式通知质疑投标人和其他有关的投标人。</w:t>
      </w:r>
    </w:p>
    <w:p>
      <w:pPr>
        <w:kinsoku/>
        <w:wordWrap/>
        <w:overflowPunct/>
        <w:bidi w:val="0"/>
        <w:adjustRightInd w:val="0"/>
        <w:snapToGrid w:val="0"/>
        <w:spacing w:beforeAutospacing="0" w:line="440" w:lineRule="exact"/>
        <w:ind w:left="0" w:leftChars="0" w:right="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15.7 投标人对采购人或采购代理机构无正当理由拒绝受理质疑的，投标人可书面向政府采购行政监管部门反映情况；投标人对采购人或采购代理机构的答复不满意，或采购人或采购代理机构未在规定的期限做出答复的，可在答复期满后十五个工作日内，按政府采购相关法律法规规章的规定及程序，向同级财政部门提出投诉。</w:t>
      </w:r>
    </w:p>
    <w:p>
      <w:pPr>
        <w:pStyle w:val="45"/>
        <w:kinsoku/>
        <w:wordWrap/>
        <w:overflowPunct/>
        <w:bidi w:val="0"/>
        <w:adjustRightInd w:val="0"/>
        <w:snapToGrid w:val="0"/>
        <w:spacing w:before="0" w:beforeAutospacing="0" w:after="0" w:afterAutospacing="0" w:line="440" w:lineRule="exact"/>
        <w:ind w:left="0" w:leftChars="0" w:right="0"/>
        <w:outlineLvl w:val="1"/>
        <w:rPr>
          <w:rFonts w:hint="eastAsia" w:ascii="仿宋" w:hAnsi="仿宋" w:eastAsia="仿宋" w:cs="仿宋"/>
          <w:b/>
          <w:color w:val="auto"/>
          <w:kern w:val="2"/>
          <w:sz w:val="24"/>
          <w:szCs w:val="24"/>
          <w:highlight w:val="none"/>
        </w:rPr>
      </w:pPr>
      <w:r>
        <w:rPr>
          <w:rFonts w:hint="eastAsia" w:ascii="仿宋" w:hAnsi="仿宋" w:eastAsia="仿宋" w:cs="仿宋"/>
          <w:b/>
          <w:color w:val="auto"/>
          <w:kern w:val="2"/>
          <w:sz w:val="24"/>
          <w:szCs w:val="24"/>
          <w:highlight w:val="none"/>
        </w:rPr>
        <w:t>（十五）合同签订</w:t>
      </w:r>
    </w:p>
    <w:p>
      <w:pPr>
        <w:kinsoku/>
        <w:wordWrap/>
        <w:overflowPunct/>
        <w:bidi w:val="0"/>
        <w:adjustRightInd w:val="0"/>
        <w:snapToGrid w:val="0"/>
        <w:spacing w:beforeAutospacing="0" w:line="440" w:lineRule="exact"/>
        <w:ind w:left="0" w:leftChars="0" w:right="0"/>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16.中标结果通知</w:t>
      </w:r>
    </w:p>
    <w:p>
      <w:pPr>
        <w:kinsoku/>
        <w:wordWrap/>
        <w:overflowPunct/>
        <w:bidi w:val="0"/>
        <w:adjustRightInd w:val="0"/>
        <w:snapToGrid w:val="0"/>
        <w:spacing w:beforeAutospacing="0" w:line="44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16.1 在本章规定的投标有效期内，采购代理机构将以书面形式向中标供应商发出《中标通知书》。中标通知书对采购人和中标供应商具有同等法律效力。  </w:t>
      </w:r>
    </w:p>
    <w:p>
      <w:pPr>
        <w:kinsoku/>
        <w:wordWrap/>
        <w:overflowPunct/>
        <w:bidi w:val="0"/>
        <w:adjustRightInd w:val="0"/>
        <w:snapToGrid w:val="0"/>
        <w:spacing w:beforeAutospacing="0" w:line="440" w:lineRule="exact"/>
        <w:ind w:left="0" w:leftChars="0" w:right="0"/>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17、履约担保</w:t>
      </w:r>
    </w:p>
    <w:p>
      <w:pPr>
        <w:kinsoku/>
        <w:wordWrap/>
        <w:overflowPunct/>
        <w:bidi w:val="0"/>
        <w:adjustRightInd w:val="0"/>
        <w:snapToGrid w:val="0"/>
        <w:spacing w:beforeAutospacing="0" w:line="44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17.1</w:t>
      </w:r>
      <w:r>
        <w:rPr>
          <w:rFonts w:hint="eastAsia" w:ascii="仿宋" w:hAnsi="仿宋" w:eastAsia="仿宋" w:cs="仿宋"/>
          <w:color w:val="auto"/>
          <w:sz w:val="24"/>
          <w:szCs w:val="24"/>
          <w:highlight w:val="none"/>
        </w:rPr>
        <w:t>中标供应商在收到采购代理机构的《中标通知书》后十日内，需向采购人提交履约担保的，应按照</w:t>
      </w:r>
      <w:r>
        <w:rPr>
          <w:rFonts w:hint="eastAsia" w:ascii="仿宋" w:hAnsi="仿宋" w:eastAsia="仿宋" w:cs="仿宋"/>
          <w:b/>
          <w:color w:val="auto"/>
          <w:sz w:val="24"/>
          <w:szCs w:val="24"/>
          <w:highlight w:val="none"/>
        </w:rPr>
        <w:t>投标人须知前附表</w:t>
      </w:r>
      <w:r>
        <w:rPr>
          <w:rFonts w:hint="eastAsia" w:ascii="仿宋" w:hAnsi="仿宋" w:eastAsia="仿宋" w:cs="仿宋"/>
          <w:color w:val="auto"/>
          <w:sz w:val="24"/>
          <w:szCs w:val="24"/>
          <w:highlight w:val="none"/>
        </w:rPr>
        <w:t>的规定提交。联合体中标的，履约担保由联合体各方或联合体中牵头人的名义提交。</w:t>
      </w:r>
    </w:p>
    <w:p>
      <w:pPr>
        <w:kinsoku/>
        <w:wordWrap/>
        <w:overflowPunct/>
        <w:bidi w:val="0"/>
        <w:adjustRightInd w:val="0"/>
        <w:snapToGrid w:val="0"/>
        <w:spacing w:beforeAutospacing="0" w:line="44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17.2 中标供应商</w:t>
      </w:r>
      <w:r>
        <w:rPr>
          <w:rFonts w:hint="eastAsia" w:ascii="仿宋" w:hAnsi="仿宋" w:eastAsia="仿宋" w:cs="仿宋"/>
          <w:color w:val="auto"/>
          <w:spacing w:val="4"/>
          <w:sz w:val="24"/>
          <w:szCs w:val="24"/>
          <w:highlight w:val="none"/>
        </w:rPr>
        <w:t>没有按照本章第33.1</w:t>
      </w:r>
      <w:r>
        <w:rPr>
          <w:rFonts w:hint="eastAsia" w:ascii="仿宋" w:hAnsi="仿宋" w:eastAsia="仿宋" w:cs="仿宋"/>
          <w:color w:val="auto"/>
          <w:kern w:val="0"/>
          <w:sz w:val="24"/>
          <w:szCs w:val="24"/>
          <w:highlight w:val="none"/>
          <w:lang w:val="zh-CN"/>
        </w:rPr>
        <w:t>款</w:t>
      </w:r>
      <w:r>
        <w:rPr>
          <w:rFonts w:hint="eastAsia" w:ascii="仿宋" w:hAnsi="仿宋" w:eastAsia="仿宋" w:cs="仿宋"/>
          <w:color w:val="auto"/>
          <w:spacing w:val="4"/>
          <w:sz w:val="24"/>
          <w:szCs w:val="24"/>
          <w:highlight w:val="none"/>
        </w:rPr>
        <w:t>规定</w:t>
      </w:r>
      <w:r>
        <w:rPr>
          <w:rFonts w:hint="eastAsia" w:ascii="仿宋" w:hAnsi="仿宋" w:eastAsia="仿宋" w:cs="仿宋"/>
          <w:color w:val="auto"/>
          <w:sz w:val="24"/>
          <w:szCs w:val="24"/>
          <w:highlight w:val="none"/>
        </w:rPr>
        <w:t>提交履约担保的</w:t>
      </w:r>
      <w:r>
        <w:rPr>
          <w:rFonts w:hint="eastAsia" w:ascii="仿宋" w:hAnsi="仿宋" w:eastAsia="仿宋" w:cs="仿宋"/>
          <w:color w:val="auto"/>
          <w:spacing w:val="4"/>
          <w:sz w:val="24"/>
          <w:szCs w:val="24"/>
          <w:highlight w:val="none"/>
        </w:rPr>
        <w:t>，视为放弃中标，</w:t>
      </w:r>
      <w:r>
        <w:rPr>
          <w:rFonts w:hint="eastAsia" w:ascii="仿宋" w:hAnsi="仿宋" w:eastAsia="仿宋" w:cs="仿宋"/>
          <w:color w:val="auto"/>
          <w:spacing w:val="2"/>
          <w:sz w:val="24"/>
          <w:szCs w:val="24"/>
          <w:highlight w:val="none"/>
        </w:rPr>
        <w:t>其投标保证金不予退还。</w:t>
      </w:r>
    </w:p>
    <w:p>
      <w:pPr>
        <w:kinsoku/>
        <w:wordWrap/>
        <w:overflowPunct/>
        <w:bidi w:val="0"/>
        <w:adjustRightInd w:val="0"/>
        <w:snapToGrid w:val="0"/>
        <w:spacing w:beforeAutospacing="0" w:line="440" w:lineRule="exact"/>
        <w:ind w:left="0" w:leftChars="0" w:right="0"/>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18、签订合同</w:t>
      </w:r>
    </w:p>
    <w:p>
      <w:pPr>
        <w:kinsoku/>
        <w:wordWrap/>
        <w:overflowPunct/>
        <w:bidi w:val="0"/>
        <w:adjustRightInd w:val="0"/>
        <w:snapToGrid w:val="0"/>
        <w:spacing w:beforeAutospacing="0" w:line="440" w:lineRule="exact"/>
        <w:ind w:left="0" w:leftChars="0" w:right="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18.1 采购人应自中标通知书发出之日起七日内，按指定的时间、地点与中标供应商签订政府采购合同。</w:t>
      </w:r>
    </w:p>
    <w:p>
      <w:pPr>
        <w:kinsoku/>
        <w:wordWrap/>
        <w:overflowPunct/>
        <w:bidi w:val="0"/>
        <w:adjustRightInd w:val="0"/>
        <w:snapToGrid w:val="0"/>
        <w:spacing w:beforeAutospacing="0" w:line="440" w:lineRule="exact"/>
        <w:ind w:left="0" w:leftChars="0" w:right="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18.2 招标文件、中标供应商的投标文件均为签订合同的依据。</w:t>
      </w:r>
    </w:p>
    <w:p>
      <w:pPr>
        <w:kinsoku/>
        <w:wordWrap/>
        <w:overflowPunct/>
        <w:bidi w:val="0"/>
        <w:adjustRightInd w:val="0"/>
        <w:snapToGrid w:val="0"/>
        <w:spacing w:beforeAutospacing="0" w:line="440" w:lineRule="exact"/>
        <w:ind w:left="0" w:leftChars="0" w:right="0"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18.3 中标供应商</w:t>
      </w:r>
      <w:r>
        <w:rPr>
          <w:rFonts w:hint="eastAsia" w:ascii="仿宋" w:hAnsi="仿宋" w:eastAsia="仿宋" w:cs="仿宋"/>
          <w:bCs/>
          <w:color w:val="auto"/>
          <w:sz w:val="24"/>
          <w:szCs w:val="24"/>
          <w:highlight w:val="none"/>
        </w:rPr>
        <w:t>应当按照合同约定履行义务。</w:t>
      </w:r>
      <w:r>
        <w:rPr>
          <w:rFonts w:hint="eastAsia" w:ascii="仿宋" w:hAnsi="仿宋" w:eastAsia="仿宋" w:cs="仿宋"/>
          <w:color w:val="auto"/>
          <w:sz w:val="24"/>
          <w:szCs w:val="24"/>
          <w:highlight w:val="none"/>
        </w:rPr>
        <w:t>中标人</w:t>
      </w:r>
      <w:r>
        <w:rPr>
          <w:rFonts w:hint="eastAsia" w:ascii="仿宋" w:hAnsi="仿宋" w:eastAsia="仿宋" w:cs="仿宋"/>
          <w:bCs/>
          <w:color w:val="auto"/>
          <w:sz w:val="24"/>
          <w:szCs w:val="24"/>
          <w:highlight w:val="none"/>
        </w:rPr>
        <w:t>不得向他人分包中标项目（</w:t>
      </w:r>
      <w:r>
        <w:rPr>
          <w:rFonts w:hint="eastAsia" w:ascii="仿宋" w:hAnsi="仿宋" w:eastAsia="仿宋" w:cs="仿宋"/>
          <w:color w:val="auto"/>
          <w:sz w:val="24"/>
          <w:szCs w:val="24"/>
          <w:highlight w:val="none"/>
        </w:rPr>
        <w:t>政府采购支持中小企业发展等政策规定的除外</w:t>
      </w:r>
      <w:r>
        <w:rPr>
          <w:rFonts w:hint="eastAsia" w:ascii="仿宋" w:hAnsi="仿宋" w:eastAsia="仿宋" w:cs="仿宋"/>
          <w:bCs/>
          <w:color w:val="auto"/>
          <w:sz w:val="24"/>
          <w:szCs w:val="24"/>
          <w:highlight w:val="none"/>
        </w:rPr>
        <w:t>）。</w:t>
      </w:r>
    </w:p>
    <w:p>
      <w:pPr>
        <w:kinsoku/>
        <w:wordWrap/>
        <w:overflowPunct/>
        <w:bidi w:val="0"/>
        <w:adjustRightInd w:val="0"/>
        <w:snapToGrid w:val="0"/>
        <w:spacing w:beforeAutospacing="0" w:line="440" w:lineRule="exact"/>
        <w:ind w:left="0" w:leftChars="0" w:right="0"/>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19、</w:t>
      </w:r>
      <w:r>
        <w:rPr>
          <w:rFonts w:hint="eastAsia" w:ascii="仿宋" w:hAnsi="仿宋" w:eastAsia="仿宋" w:cs="仿宋"/>
          <w:b/>
          <w:color w:val="auto"/>
          <w:sz w:val="24"/>
          <w:szCs w:val="24"/>
          <w:highlight w:val="none"/>
        </w:rPr>
        <w:t xml:space="preserve"> 政府采购合同履行中</w:t>
      </w:r>
      <w:r>
        <w:rPr>
          <w:rFonts w:hint="eastAsia" w:ascii="仿宋" w:hAnsi="仿宋" w:eastAsia="仿宋" w:cs="仿宋"/>
          <w:b/>
          <w:bCs/>
          <w:color w:val="auto"/>
          <w:sz w:val="24"/>
          <w:szCs w:val="24"/>
          <w:highlight w:val="none"/>
        </w:rPr>
        <w:t>数量的变更</w:t>
      </w:r>
    </w:p>
    <w:p>
      <w:pPr>
        <w:pStyle w:val="29"/>
        <w:kinsoku/>
        <w:wordWrap/>
        <w:overflowPunct/>
        <w:bidi w:val="0"/>
        <w:adjustRightInd w:val="0"/>
        <w:snapToGrid w:val="0"/>
        <w:spacing w:beforeAutospacing="0" w:line="440" w:lineRule="exact"/>
        <w:ind w:left="0" w:leftChars="0" w:right="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19.1政府采购合同履行中，采购人需追加与合同标的相同的货物服务的，在不改变合同其他条款的前提下，可以与中标供应商协商签订补充合同，但所有补充合同的采购金额不得超过原合同采购金额的百分之十。</w:t>
      </w:r>
    </w:p>
    <w:p>
      <w:pPr>
        <w:pStyle w:val="45"/>
        <w:kinsoku/>
        <w:wordWrap/>
        <w:overflowPunct/>
        <w:bidi w:val="0"/>
        <w:adjustRightInd w:val="0"/>
        <w:snapToGrid w:val="0"/>
        <w:spacing w:before="0" w:beforeAutospacing="0" w:after="0" w:afterAutospacing="0" w:line="440" w:lineRule="exact"/>
        <w:ind w:left="0" w:leftChars="0" w:right="0"/>
        <w:outlineLvl w:val="1"/>
        <w:rPr>
          <w:rFonts w:hint="eastAsia" w:ascii="仿宋" w:hAnsi="仿宋" w:eastAsia="仿宋" w:cs="仿宋"/>
          <w:b/>
          <w:color w:val="auto"/>
          <w:kern w:val="2"/>
          <w:sz w:val="24"/>
          <w:szCs w:val="24"/>
          <w:highlight w:val="none"/>
        </w:rPr>
      </w:pPr>
      <w:r>
        <w:rPr>
          <w:rFonts w:hint="eastAsia" w:ascii="仿宋" w:hAnsi="仿宋" w:eastAsia="仿宋" w:cs="仿宋"/>
          <w:b/>
          <w:color w:val="auto"/>
          <w:kern w:val="2"/>
          <w:sz w:val="24"/>
          <w:szCs w:val="24"/>
          <w:highlight w:val="none"/>
        </w:rPr>
        <w:t>（十六）其他规定</w:t>
      </w:r>
    </w:p>
    <w:p>
      <w:pPr>
        <w:tabs>
          <w:tab w:val="left" w:pos="690"/>
          <w:tab w:val="left" w:pos="7560"/>
          <w:tab w:val="left" w:pos="7740"/>
          <w:tab w:val="left" w:pos="7920"/>
        </w:tabs>
        <w:kinsoku/>
        <w:wordWrap/>
        <w:overflowPunct/>
        <w:bidi w:val="0"/>
        <w:adjustRightInd w:val="0"/>
        <w:snapToGrid w:val="0"/>
        <w:spacing w:beforeAutospacing="0" w:line="440" w:lineRule="exact"/>
        <w:ind w:left="0" w:leftChars="0" w:right="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1、招标代理服务费</w:t>
      </w:r>
    </w:p>
    <w:p>
      <w:pPr>
        <w:tabs>
          <w:tab w:val="left" w:pos="420"/>
          <w:tab w:val="left" w:pos="7560"/>
          <w:tab w:val="left" w:pos="7740"/>
          <w:tab w:val="left" w:pos="7920"/>
        </w:tabs>
        <w:kinsoku/>
        <w:wordWrap/>
        <w:overflowPunct/>
        <w:bidi w:val="0"/>
        <w:adjustRightInd w:val="0"/>
        <w:snapToGrid w:val="0"/>
        <w:spacing w:beforeAutospacing="0" w:line="44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1.1参照原国家计委《招标代理服务收费管理暂行办法的通知》（计价格［2002］1980号）文件、《国家发展改革委办公厅关于招标代理服务收费有关问题的通知》（发改办价格[2003]857号 ）中规定的收费标准下浮计取。</w:t>
      </w:r>
    </w:p>
    <w:p>
      <w:pPr>
        <w:tabs>
          <w:tab w:val="left" w:pos="420"/>
          <w:tab w:val="left" w:pos="7560"/>
          <w:tab w:val="left" w:pos="7740"/>
          <w:tab w:val="left" w:pos="7920"/>
        </w:tabs>
        <w:kinsoku/>
        <w:wordWrap/>
        <w:overflowPunct/>
        <w:bidi w:val="0"/>
        <w:adjustRightInd w:val="0"/>
        <w:snapToGrid w:val="0"/>
        <w:spacing w:beforeAutospacing="0" w:line="440" w:lineRule="exact"/>
        <w:ind w:left="0" w:leftChars="0" w:right="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 其他规定</w:t>
      </w:r>
    </w:p>
    <w:p>
      <w:pPr>
        <w:pStyle w:val="29"/>
        <w:kinsoku/>
        <w:wordWrap/>
        <w:overflowPunct/>
        <w:bidi w:val="0"/>
        <w:adjustRightInd w:val="0"/>
        <w:snapToGrid w:val="0"/>
        <w:spacing w:beforeAutospacing="0" w:line="440" w:lineRule="exact"/>
        <w:ind w:left="0" w:leftChars="0" w:right="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2.1招标文件的其他规定见</w:t>
      </w:r>
      <w:r>
        <w:rPr>
          <w:rFonts w:hint="eastAsia" w:ascii="仿宋" w:hAnsi="仿宋" w:eastAsia="仿宋" w:cs="仿宋"/>
          <w:b/>
          <w:color w:val="auto"/>
          <w:sz w:val="24"/>
          <w:szCs w:val="24"/>
          <w:highlight w:val="none"/>
        </w:rPr>
        <w:t>投标人须知前附表</w:t>
      </w:r>
      <w:r>
        <w:rPr>
          <w:rFonts w:hint="eastAsia" w:ascii="仿宋" w:hAnsi="仿宋" w:eastAsia="仿宋" w:cs="仿宋"/>
          <w:color w:val="auto"/>
          <w:sz w:val="24"/>
          <w:szCs w:val="24"/>
          <w:highlight w:val="none"/>
        </w:rPr>
        <w:t>。</w:t>
      </w:r>
    </w:p>
    <w:p>
      <w:pPr>
        <w:pStyle w:val="29"/>
        <w:kinsoku/>
        <w:wordWrap/>
        <w:overflowPunct/>
        <w:bidi w:val="0"/>
        <w:adjustRightInd w:val="0"/>
        <w:snapToGrid w:val="0"/>
        <w:spacing w:beforeAutospacing="0" w:line="440" w:lineRule="exact"/>
        <w:ind w:left="0" w:leftChars="0" w:right="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采购人或采购代理机构可在中标人签订采购合同前通过“信用中国”网站、中国政府采购网、国家企业信用信息公示等渠道查询相关中标人及其主体的信用记录，对中标人被列入失信被执行人、重大税收违法案件当事人名单、政府采购严重违法失信行为记录名单及其他不符合《中华人民共和国政府采购法》第二十二条规定条件的供应商，采购人有权随时取消其中标资格和终止其合同签订及其履行。</w:t>
      </w:r>
    </w:p>
    <w:p>
      <w:pPr>
        <w:kinsoku/>
        <w:wordWrap/>
        <w:overflowPunct/>
        <w:bidi w:val="0"/>
        <w:snapToGrid w:val="0"/>
        <w:spacing w:beforeAutospacing="0" w:line="440" w:lineRule="exact"/>
        <w:ind w:left="0" w:leftChars="0" w:right="0"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评标</w:t>
      </w:r>
    </w:p>
    <w:p>
      <w:pPr>
        <w:kinsoku/>
        <w:wordWrap/>
        <w:overflowPunct/>
        <w:bidi w:val="0"/>
        <w:spacing w:beforeAutospacing="0" w:line="440" w:lineRule="exact"/>
        <w:ind w:left="0" w:leftChars="0" w:right="0" w:firstLine="424" w:firstLineChars="17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中华人民共和国政府采购法》、《政府采购货物和服务招标投标管理办法》（财政部令第18号）》及有关规定，评标坚持公正、公平、公开及科学、择优的原则。采用百分制记分方法，根据排名先后确定中标供应商。</w:t>
      </w:r>
    </w:p>
    <w:p>
      <w:pPr>
        <w:pStyle w:val="278"/>
        <w:kinsoku/>
        <w:wordWrap/>
        <w:overflowPunct/>
        <w:bidi w:val="0"/>
        <w:adjustRightInd w:val="0"/>
        <w:snapToGrid w:val="0"/>
        <w:spacing w:beforeAutospacing="0" w:line="440" w:lineRule="exact"/>
        <w:ind w:left="0" w:leftChars="0" w:right="0" w:firstLine="426" w:firstLineChars="177"/>
        <w:rPr>
          <w:rFonts w:hint="eastAsia" w:ascii="仿宋" w:hAnsi="仿宋" w:eastAsia="仿宋" w:cs="仿宋"/>
          <w:bCs/>
          <w:color w:val="auto"/>
          <w:sz w:val="24"/>
          <w:szCs w:val="24"/>
          <w:highlight w:val="none"/>
        </w:rPr>
      </w:pPr>
      <w:r>
        <w:rPr>
          <w:rFonts w:hint="eastAsia" w:ascii="仿宋" w:hAnsi="仿宋" w:eastAsia="仿宋" w:cs="仿宋"/>
          <w:b/>
          <w:bCs/>
          <w:color w:val="auto"/>
          <w:sz w:val="24"/>
          <w:szCs w:val="24"/>
          <w:highlight w:val="none"/>
        </w:rPr>
        <w:t>采用最低评标价法的采购项目</w:t>
      </w:r>
      <w:r>
        <w:rPr>
          <w:rFonts w:hint="eastAsia" w:ascii="仿宋" w:hAnsi="仿宋" w:eastAsia="仿宋" w:cs="仿宋"/>
          <w:bCs/>
          <w:color w:val="auto"/>
          <w:sz w:val="24"/>
          <w:szCs w:val="24"/>
          <w:highlight w:val="none"/>
        </w:rPr>
        <w:t>，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pPr>
        <w:pStyle w:val="278"/>
        <w:kinsoku/>
        <w:wordWrap/>
        <w:overflowPunct/>
        <w:bidi w:val="0"/>
        <w:adjustRightInd w:val="0"/>
        <w:snapToGrid w:val="0"/>
        <w:spacing w:beforeAutospacing="0" w:line="440" w:lineRule="exact"/>
        <w:ind w:left="0" w:leftChars="0" w:right="0" w:firstLine="426" w:firstLineChars="177"/>
        <w:rPr>
          <w:rFonts w:hint="eastAsia" w:ascii="仿宋" w:hAnsi="仿宋" w:eastAsia="仿宋" w:cs="仿宋"/>
          <w:bCs/>
          <w:color w:val="auto"/>
          <w:sz w:val="24"/>
          <w:szCs w:val="24"/>
          <w:highlight w:val="none"/>
        </w:rPr>
      </w:pPr>
      <w:r>
        <w:rPr>
          <w:rFonts w:hint="eastAsia" w:ascii="仿宋" w:hAnsi="仿宋" w:eastAsia="仿宋" w:cs="仿宋"/>
          <w:b/>
          <w:bCs/>
          <w:color w:val="auto"/>
          <w:sz w:val="24"/>
          <w:szCs w:val="24"/>
          <w:highlight w:val="none"/>
        </w:rPr>
        <w:t>使用综合评分法的采购项目</w:t>
      </w:r>
      <w:r>
        <w:rPr>
          <w:rFonts w:hint="eastAsia" w:ascii="仿宋" w:hAnsi="仿宋" w:eastAsia="仿宋" w:cs="仿宋"/>
          <w:bCs/>
          <w:color w:val="auto"/>
          <w:sz w:val="24"/>
          <w:szCs w:val="24"/>
          <w:highlight w:val="none"/>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pStyle w:val="278"/>
        <w:kinsoku/>
        <w:wordWrap/>
        <w:overflowPunct/>
        <w:bidi w:val="0"/>
        <w:adjustRightInd w:val="0"/>
        <w:snapToGrid w:val="0"/>
        <w:spacing w:beforeAutospacing="0" w:line="440" w:lineRule="exact"/>
        <w:ind w:left="0" w:leftChars="0" w:right="0" w:firstLine="426" w:firstLineChars="177"/>
        <w:rPr>
          <w:rFonts w:hint="eastAsia" w:ascii="仿宋" w:hAnsi="仿宋" w:eastAsia="仿宋" w:cs="仿宋"/>
          <w:bCs/>
          <w:color w:val="auto"/>
          <w:sz w:val="24"/>
          <w:szCs w:val="24"/>
          <w:highlight w:val="none"/>
        </w:rPr>
      </w:pPr>
      <w:r>
        <w:rPr>
          <w:rFonts w:hint="eastAsia" w:ascii="仿宋" w:hAnsi="仿宋" w:eastAsia="仿宋" w:cs="仿宋"/>
          <w:b/>
          <w:bCs/>
          <w:color w:val="auto"/>
          <w:sz w:val="24"/>
          <w:szCs w:val="24"/>
          <w:highlight w:val="none"/>
        </w:rPr>
        <w:t>非单一产品采购项目</w:t>
      </w:r>
      <w:r>
        <w:rPr>
          <w:rFonts w:hint="eastAsia" w:ascii="仿宋" w:hAnsi="仿宋" w:eastAsia="仿宋" w:cs="仿宋"/>
          <w:bCs/>
          <w:color w:val="auto"/>
          <w:sz w:val="24"/>
          <w:szCs w:val="24"/>
          <w:highlight w:val="none"/>
        </w:rPr>
        <w:t>，采购人应当根据采购项目技术构成、产品价格比重等合理确定核心产品，并在招标文件中载明。多家投标人提供的核心产品品牌相同的，按前两款规定处理。(87号令第31条)</w:t>
      </w:r>
    </w:p>
    <w:p>
      <w:pPr>
        <w:pStyle w:val="278"/>
        <w:kinsoku/>
        <w:wordWrap/>
        <w:overflowPunct/>
        <w:bidi w:val="0"/>
        <w:adjustRightInd w:val="0"/>
        <w:snapToGrid w:val="0"/>
        <w:spacing w:beforeAutospacing="0" w:line="440" w:lineRule="exact"/>
        <w:ind w:left="0" w:leftChars="0" w:right="0" w:firstLine="424" w:firstLineChars="177"/>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(87号令第60条)</w:t>
      </w:r>
    </w:p>
    <w:p>
      <w:pPr>
        <w:pStyle w:val="45"/>
        <w:kinsoku/>
        <w:wordWrap/>
        <w:overflowPunct/>
        <w:bidi w:val="0"/>
        <w:adjustRightInd w:val="0"/>
        <w:snapToGrid w:val="0"/>
        <w:spacing w:before="0" w:beforeAutospacing="0" w:after="0" w:afterAutospacing="0" w:line="440" w:lineRule="exact"/>
        <w:ind w:left="0" w:leftChars="0" w:right="0"/>
        <w:jc w:val="both"/>
        <w:outlineLvl w:val="1"/>
        <w:rPr>
          <w:rFonts w:hint="eastAsia" w:ascii="仿宋" w:hAnsi="仿宋" w:eastAsia="仿宋" w:cs="仿宋"/>
          <w:b/>
          <w:bCs/>
          <w:color w:val="auto"/>
          <w:sz w:val="24"/>
          <w:szCs w:val="24"/>
          <w:highlight w:val="none"/>
        </w:rPr>
      </w:pPr>
      <w:bookmarkStart w:id="2" w:name="_Toc13139"/>
      <w:r>
        <w:rPr>
          <w:rFonts w:hint="eastAsia" w:ascii="仿宋" w:hAnsi="仿宋" w:eastAsia="仿宋" w:cs="仿宋"/>
          <w:b/>
          <w:color w:val="auto"/>
          <w:kern w:val="2"/>
          <w:sz w:val="24"/>
          <w:szCs w:val="24"/>
          <w:highlight w:val="none"/>
        </w:rPr>
        <w:t>（十七）</w:t>
      </w:r>
      <w:r>
        <w:rPr>
          <w:rFonts w:hint="eastAsia" w:ascii="仿宋" w:hAnsi="仿宋" w:eastAsia="仿宋" w:cs="仿宋"/>
          <w:b/>
          <w:bCs/>
          <w:color w:val="auto"/>
          <w:sz w:val="24"/>
          <w:szCs w:val="24"/>
          <w:highlight w:val="none"/>
        </w:rPr>
        <w:t>评标办法及评分标准</w:t>
      </w:r>
      <w:bookmarkEnd w:id="2"/>
    </w:p>
    <w:p>
      <w:pPr>
        <w:kinsoku/>
        <w:wordWrap/>
        <w:overflowPunct/>
        <w:bidi w:val="0"/>
        <w:spacing w:beforeAutospacing="0" w:line="440" w:lineRule="exact"/>
        <w:ind w:left="600" w:leftChars="0" w:right="0" w:hanging="600" w:hangingChars="250"/>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b/>
          <w:color w:val="auto"/>
          <w:sz w:val="24"/>
          <w:szCs w:val="24"/>
          <w:highlight w:val="none"/>
        </w:rPr>
        <w:t>组建评审委员会</w:t>
      </w:r>
    </w:p>
    <w:p>
      <w:pPr>
        <w:pStyle w:val="29"/>
        <w:kinsoku/>
        <w:wordWrap/>
        <w:overflowPunct/>
        <w:bidi w:val="0"/>
        <w:snapToGrid w:val="0"/>
        <w:spacing w:beforeAutospacing="0" w:line="44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评标由依法组成的评标委员会负责。</w:t>
      </w:r>
    </w:p>
    <w:p>
      <w:pPr>
        <w:numPr>
          <w:ilvl w:val="0"/>
          <w:numId w:val="10"/>
        </w:numPr>
        <w:kinsoku/>
        <w:wordWrap/>
        <w:overflowPunct/>
        <w:bidi w:val="0"/>
        <w:spacing w:beforeAutospacing="0" w:line="440" w:lineRule="exact"/>
        <w:ind w:left="0" w:leftChars="0" w:right="0"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评标的依据为招标文件和投标文件。</w:t>
      </w:r>
    </w:p>
    <w:p>
      <w:pPr>
        <w:numPr>
          <w:ilvl w:val="0"/>
          <w:numId w:val="10"/>
        </w:numPr>
        <w:kinsoku/>
        <w:wordWrap/>
        <w:overflowPunct/>
        <w:bidi w:val="0"/>
        <w:spacing w:beforeAutospacing="0" w:line="440" w:lineRule="exact"/>
        <w:ind w:left="0" w:leftChars="0" w:right="0"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开标后评委会将组织审查投标文件是否完整，是否有计算错误，要求的保证金是否提供，文件是否恰当地签署。</w:t>
      </w:r>
    </w:p>
    <w:p>
      <w:pPr>
        <w:numPr>
          <w:ilvl w:val="0"/>
          <w:numId w:val="10"/>
        </w:numPr>
        <w:kinsoku/>
        <w:wordWrap/>
        <w:overflowPunct/>
        <w:bidi w:val="0"/>
        <w:spacing w:beforeAutospacing="0" w:line="440" w:lineRule="exact"/>
        <w:ind w:left="0" w:leftChars="0" w:right="0"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在对投标文件进行详细评估之前，评委会将依据投标商提供的资格证明文件审查投标商的财务、技术和生产能力。如果确定投标商无资格履行合同，其投标将被拒绝。</w:t>
      </w:r>
    </w:p>
    <w:p>
      <w:pPr>
        <w:kinsoku/>
        <w:wordWrap/>
        <w:overflowPunct/>
        <w:bidi w:val="0"/>
        <w:spacing w:beforeAutospacing="0" w:line="440" w:lineRule="exact"/>
        <w:ind w:left="0" w:leftChars="0" w:right="0" w:firstLine="3012" w:firstLineChars="1250"/>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投标文件符合性审查表</w:t>
      </w:r>
    </w:p>
    <w:tbl>
      <w:tblPr>
        <w:tblStyle w:val="51"/>
        <w:tblW w:w="98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567"/>
        <w:gridCol w:w="5951"/>
        <w:gridCol w:w="709"/>
        <w:gridCol w:w="709"/>
        <w:gridCol w:w="708"/>
        <w:gridCol w:w="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8" w:hRule="atLeast"/>
        </w:trPr>
        <w:tc>
          <w:tcPr>
            <w:tcW w:w="534" w:type="dxa"/>
            <w:tcBorders>
              <w:top w:val="single" w:color="auto" w:sz="4" w:space="0"/>
              <w:left w:val="single" w:color="auto" w:sz="4" w:space="0"/>
              <w:bottom w:val="single" w:color="auto" w:sz="4" w:space="0"/>
              <w:right w:val="single" w:color="auto" w:sz="4" w:space="0"/>
            </w:tcBorders>
            <w:vAlign w:val="center"/>
          </w:tcPr>
          <w:p>
            <w:pPr>
              <w:shd w:val="clear" w:color="auto" w:fill="FFFFFF"/>
              <w:kinsoku/>
              <w:wordWrap/>
              <w:overflowPunct/>
              <w:bidi w:val="0"/>
              <w:spacing w:beforeAutospacing="0" w:line="440" w:lineRule="exact"/>
              <w:ind w:left="0" w:leftChars="0" w:right="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项目</w:t>
            </w:r>
          </w:p>
        </w:tc>
        <w:tc>
          <w:tcPr>
            <w:tcW w:w="6520" w:type="dxa"/>
            <w:gridSpan w:val="2"/>
            <w:tcBorders>
              <w:top w:val="single" w:color="auto" w:sz="4" w:space="0"/>
              <w:left w:val="single" w:color="auto" w:sz="4" w:space="0"/>
              <w:bottom w:val="single" w:color="auto" w:sz="4" w:space="0"/>
              <w:right w:val="single" w:color="auto" w:sz="4" w:space="0"/>
            </w:tcBorders>
            <w:vAlign w:val="center"/>
          </w:tcPr>
          <w:p>
            <w:pPr>
              <w:shd w:val="clear" w:color="auto" w:fill="FFFFFF"/>
              <w:kinsoku/>
              <w:wordWrap/>
              <w:overflowPunct/>
              <w:bidi w:val="0"/>
              <w:spacing w:beforeAutospacing="0" w:line="440" w:lineRule="exact"/>
              <w:ind w:left="0" w:leftChars="0" w:right="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  审  内  容</w:t>
            </w:r>
          </w:p>
        </w:tc>
        <w:tc>
          <w:tcPr>
            <w:tcW w:w="709" w:type="dxa"/>
            <w:tcBorders>
              <w:top w:val="single" w:color="auto" w:sz="4" w:space="0"/>
              <w:left w:val="single" w:color="auto" w:sz="4" w:space="0"/>
              <w:bottom w:val="single" w:color="auto" w:sz="4" w:space="0"/>
              <w:right w:val="single" w:color="auto" w:sz="4" w:space="0"/>
            </w:tcBorders>
            <w:vAlign w:val="center"/>
          </w:tcPr>
          <w:p>
            <w:pPr>
              <w:shd w:val="clear" w:color="auto" w:fill="FFFFFF"/>
              <w:kinsoku/>
              <w:wordWrap/>
              <w:overflowPunct/>
              <w:bidi w:val="0"/>
              <w:spacing w:beforeAutospacing="0" w:line="440" w:lineRule="exact"/>
              <w:ind w:left="0" w:leftChars="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投标人1</w:t>
            </w:r>
          </w:p>
        </w:tc>
        <w:tc>
          <w:tcPr>
            <w:tcW w:w="709" w:type="dxa"/>
            <w:tcBorders>
              <w:top w:val="single" w:color="auto" w:sz="4" w:space="0"/>
              <w:left w:val="single" w:color="auto" w:sz="4" w:space="0"/>
              <w:bottom w:val="single" w:color="auto" w:sz="4" w:space="0"/>
              <w:right w:val="single" w:color="auto" w:sz="4" w:space="0"/>
            </w:tcBorders>
            <w:vAlign w:val="center"/>
          </w:tcPr>
          <w:p>
            <w:pPr>
              <w:shd w:val="clear" w:color="auto" w:fill="FFFFFF"/>
              <w:kinsoku/>
              <w:wordWrap/>
              <w:overflowPunct/>
              <w:bidi w:val="0"/>
              <w:spacing w:beforeAutospacing="0" w:line="440" w:lineRule="exact"/>
              <w:ind w:left="0" w:leftChars="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投标人2</w:t>
            </w:r>
          </w:p>
        </w:tc>
        <w:tc>
          <w:tcPr>
            <w:tcW w:w="708" w:type="dxa"/>
            <w:tcBorders>
              <w:top w:val="single" w:color="auto" w:sz="4" w:space="0"/>
              <w:left w:val="single" w:color="auto" w:sz="4" w:space="0"/>
              <w:bottom w:val="single" w:color="auto" w:sz="4" w:space="0"/>
              <w:right w:val="single" w:color="auto" w:sz="4" w:space="0"/>
            </w:tcBorders>
            <w:vAlign w:val="center"/>
          </w:tcPr>
          <w:p>
            <w:pPr>
              <w:shd w:val="clear" w:color="auto" w:fill="FFFFFF"/>
              <w:kinsoku/>
              <w:wordWrap/>
              <w:overflowPunct/>
              <w:bidi w:val="0"/>
              <w:spacing w:beforeAutospacing="0" w:line="440" w:lineRule="exact"/>
              <w:ind w:left="0" w:leftChars="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投标人3</w:t>
            </w:r>
          </w:p>
        </w:tc>
        <w:tc>
          <w:tcPr>
            <w:tcW w:w="651" w:type="dxa"/>
            <w:tcBorders>
              <w:top w:val="single" w:color="auto" w:sz="4" w:space="0"/>
              <w:left w:val="single" w:color="auto" w:sz="4" w:space="0"/>
              <w:bottom w:val="single" w:color="auto" w:sz="4" w:space="0"/>
              <w:right w:val="single" w:color="auto" w:sz="4" w:space="0"/>
            </w:tcBorders>
            <w:vAlign w:val="center"/>
          </w:tcPr>
          <w:p>
            <w:pPr>
              <w:shd w:val="clear" w:color="auto" w:fill="FFFFFF"/>
              <w:kinsoku/>
              <w:wordWrap/>
              <w:overflowPunct/>
              <w:bidi w:val="0"/>
              <w:spacing w:beforeAutospacing="0" w:line="440" w:lineRule="exact"/>
              <w:ind w:left="0" w:leftChars="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534" w:type="dxa"/>
            <w:vMerge w:val="restart"/>
            <w:tcBorders>
              <w:top w:val="single" w:color="auto" w:sz="4" w:space="0"/>
              <w:left w:val="single" w:color="auto" w:sz="4" w:space="0"/>
              <w:bottom w:val="single" w:color="auto" w:sz="4" w:space="0"/>
              <w:right w:val="single" w:color="auto" w:sz="4" w:space="0"/>
            </w:tcBorders>
            <w:vAlign w:val="center"/>
          </w:tcPr>
          <w:p>
            <w:pPr>
              <w:shd w:val="clear" w:color="auto" w:fill="FFFFFF"/>
              <w:kinsoku/>
              <w:wordWrap/>
              <w:overflowPunct/>
              <w:bidi w:val="0"/>
              <w:spacing w:beforeAutospacing="0" w:line="440" w:lineRule="exact"/>
              <w:ind w:left="0" w:leftChars="0" w:right="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初</w:t>
            </w:r>
          </w:p>
          <w:p>
            <w:pPr>
              <w:shd w:val="clear" w:color="auto" w:fill="FFFFFF"/>
              <w:kinsoku/>
              <w:wordWrap/>
              <w:overflowPunct/>
              <w:bidi w:val="0"/>
              <w:spacing w:beforeAutospacing="0" w:line="440" w:lineRule="exact"/>
              <w:ind w:left="0" w:leftChars="0" w:right="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步</w:t>
            </w:r>
          </w:p>
          <w:p>
            <w:pPr>
              <w:shd w:val="clear" w:color="auto" w:fill="FFFFFF"/>
              <w:kinsoku/>
              <w:wordWrap/>
              <w:overflowPunct/>
              <w:bidi w:val="0"/>
              <w:spacing w:beforeAutospacing="0" w:line="440" w:lineRule="exact"/>
              <w:ind w:left="0" w:leftChars="0" w:right="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w:t>
            </w:r>
          </w:p>
          <w:p>
            <w:pPr>
              <w:shd w:val="clear" w:color="auto" w:fill="FFFFFF"/>
              <w:kinsoku/>
              <w:wordWrap/>
              <w:overflowPunct/>
              <w:bidi w:val="0"/>
              <w:spacing w:beforeAutospacing="0" w:line="440" w:lineRule="exact"/>
              <w:ind w:left="0" w:leftChars="0" w:right="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审</w:t>
            </w:r>
          </w:p>
          <w:p>
            <w:pPr>
              <w:shd w:val="clear" w:color="auto" w:fill="FFFFFF"/>
              <w:kinsoku/>
              <w:wordWrap/>
              <w:overflowPunct/>
              <w:bidi w:val="0"/>
              <w:spacing w:beforeAutospacing="0" w:line="440" w:lineRule="exact"/>
              <w:ind w:left="0" w:leftChars="0" w:right="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w:t>
            </w:r>
          </w:p>
          <w:p>
            <w:pPr>
              <w:shd w:val="clear" w:color="auto" w:fill="FFFFFF"/>
              <w:kinsoku/>
              <w:wordWrap/>
              <w:overflowPunct/>
              <w:bidi w:val="0"/>
              <w:spacing w:beforeAutospacing="0" w:line="440" w:lineRule="exact"/>
              <w:ind w:left="0" w:leftChars="0" w:right="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符</w:t>
            </w:r>
          </w:p>
          <w:p>
            <w:pPr>
              <w:shd w:val="clear" w:color="auto" w:fill="FFFFFF"/>
              <w:kinsoku/>
              <w:wordWrap/>
              <w:overflowPunct/>
              <w:bidi w:val="0"/>
              <w:spacing w:beforeAutospacing="0" w:line="440" w:lineRule="exact"/>
              <w:ind w:left="0" w:leftChars="0" w:right="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合</w:t>
            </w:r>
          </w:p>
          <w:p>
            <w:pPr>
              <w:shd w:val="clear" w:color="auto" w:fill="FFFFFF"/>
              <w:kinsoku/>
              <w:wordWrap/>
              <w:overflowPunct/>
              <w:bidi w:val="0"/>
              <w:spacing w:beforeAutospacing="0" w:line="440" w:lineRule="exact"/>
              <w:ind w:left="0" w:leftChars="0" w:right="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性</w:t>
            </w:r>
          </w:p>
          <w:p>
            <w:pPr>
              <w:shd w:val="clear" w:color="auto" w:fill="FFFFFF"/>
              <w:kinsoku/>
              <w:wordWrap/>
              <w:overflowPunct/>
              <w:bidi w:val="0"/>
              <w:spacing w:beforeAutospacing="0" w:line="440" w:lineRule="exact"/>
              <w:ind w:left="0" w:leftChars="0" w:right="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审</w:t>
            </w:r>
          </w:p>
          <w:p>
            <w:pPr>
              <w:shd w:val="clear" w:color="auto" w:fill="FFFFFF"/>
              <w:kinsoku/>
              <w:wordWrap/>
              <w:overflowPunct/>
              <w:bidi w:val="0"/>
              <w:spacing w:beforeAutospacing="0" w:line="440" w:lineRule="exact"/>
              <w:ind w:left="0" w:leftChars="0" w:right="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查</w:t>
            </w:r>
          </w:p>
          <w:p>
            <w:pPr>
              <w:shd w:val="clear" w:color="auto" w:fill="FFFFFF"/>
              <w:kinsoku/>
              <w:wordWrap/>
              <w:overflowPunct/>
              <w:bidi w:val="0"/>
              <w:spacing w:beforeAutospacing="0" w:line="440" w:lineRule="exact"/>
              <w:ind w:left="0" w:leftChars="0" w:right="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表</w:t>
            </w:r>
          </w:p>
          <w:p>
            <w:pPr>
              <w:shd w:val="clear" w:color="auto" w:fill="FFFFFF"/>
              <w:kinsoku/>
              <w:wordWrap/>
              <w:overflowPunct/>
              <w:bidi w:val="0"/>
              <w:spacing w:beforeAutospacing="0" w:line="440" w:lineRule="exact"/>
              <w:ind w:left="0" w:leftChars="0" w:right="0"/>
              <w:jc w:val="center"/>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w:t>
            </w:r>
          </w:p>
        </w:tc>
        <w:tc>
          <w:tcPr>
            <w:tcW w:w="567" w:type="dxa"/>
            <w:tcBorders>
              <w:top w:val="single" w:color="auto" w:sz="4" w:space="0"/>
              <w:left w:val="single" w:color="auto" w:sz="4" w:space="0"/>
              <w:bottom w:val="single" w:color="auto" w:sz="4" w:space="0"/>
              <w:right w:val="single" w:color="auto" w:sz="4" w:space="0"/>
            </w:tcBorders>
            <w:vAlign w:val="center"/>
          </w:tcPr>
          <w:p>
            <w:pPr>
              <w:shd w:val="clear" w:color="auto" w:fill="FFFFFF"/>
              <w:kinsoku/>
              <w:wordWrap/>
              <w:overflowPunct/>
              <w:bidi w:val="0"/>
              <w:spacing w:beforeAutospacing="0" w:line="440" w:lineRule="exact"/>
              <w:ind w:left="0" w:leftChars="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5953" w:type="dxa"/>
            <w:tcBorders>
              <w:top w:val="single" w:color="auto" w:sz="4" w:space="0"/>
              <w:left w:val="single" w:color="auto" w:sz="4" w:space="0"/>
              <w:bottom w:val="single" w:color="auto" w:sz="4" w:space="0"/>
              <w:right w:val="single" w:color="auto" w:sz="4" w:space="0"/>
            </w:tcBorders>
            <w:vAlign w:val="center"/>
          </w:tcPr>
          <w:p>
            <w:pPr>
              <w:shd w:val="clear" w:color="auto" w:fill="FFFFFF"/>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投标文件是否按采购文件要求签字盖章；</w:t>
            </w:r>
          </w:p>
        </w:tc>
        <w:tc>
          <w:tcPr>
            <w:tcW w:w="709" w:type="dxa"/>
            <w:tcBorders>
              <w:top w:val="single" w:color="auto" w:sz="4" w:space="0"/>
              <w:left w:val="single" w:color="auto" w:sz="4" w:space="0"/>
              <w:bottom w:val="single" w:color="auto" w:sz="4" w:space="0"/>
              <w:right w:val="single" w:color="auto" w:sz="4" w:space="0"/>
            </w:tcBorders>
            <w:vAlign w:val="center"/>
          </w:tcPr>
          <w:p>
            <w:pPr>
              <w:shd w:val="clear" w:color="auto" w:fill="FFFFFF"/>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pPr>
              <w:shd w:val="clear" w:color="auto" w:fill="FFFFFF"/>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p>
        </w:tc>
        <w:tc>
          <w:tcPr>
            <w:tcW w:w="708" w:type="dxa"/>
            <w:tcBorders>
              <w:top w:val="single" w:color="auto" w:sz="4" w:space="0"/>
              <w:left w:val="single" w:color="auto" w:sz="4" w:space="0"/>
              <w:bottom w:val="single" w:color="auto" w:sz="4" w:space="0"/>
              <w:right w:val="single" w:color="auto" w:sz="4" w:space="0"/>
            </w:tcBorders>
            <w:vAlign w:val="center"/>
          </w:tcPr>
          <w:p>
            <w:pPr>
              <w:shd w:val="clear" w:color="auto" w:fill="FFFFFF"/>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p>
        </w:tc>
        <w:tc>
          <w:tcPr>
            <w:tcW w:w="651" w:type="dxa"/>
            <w:tcBorders>
              <w:top w:val="single" w:color="auto" w:sz="4" w:space="0"/>
              <w:left w:val="single" w:color="auto" w:sz="4" w:space="0"/>
              <w:bottom w:val="single" w:color="auto" w:sz="4" w:space="0"/>
              <w:right w:val="single" w:color="auto" w:sz="4" w:space="0"/>
            </w:tcBorders>
            <w:vAlign w:val="center"/>
          </w:tcPr>
          <w:p>
            <w:pPr>
              <w:shd w:val="clear" w:color="auto" w:fill="FFFFFF"/>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trPr>
        <w:tc>
          <w:tcPr>
            <w:tcW w:w="9831" w:type="dxa"/>
            <w:vMerge w:val="continue"/>
            <w:tcBorders>
              <w:top w:val="single" w:color="auto" w:sz="4" w:space="0"/>
              <w:left w:val="single" w:color="auto" w:sz="4" w:space="0"/>
              <w:bottom w:val="single" w:color="auto" w:sz="4" w:space="0"/>
              <w:right w:val="single" w:color="auto" w:sz="4" w:space="0"/>
            </w:tcBorders>
            <w:vAlign w:val="center"/>
          </w:tcPr>
          <w:p>
            <w:pPr>
              <w:widowControl/>
              <w:kinsoku/>
              <w:wordWrap/>
              <w:overflowPunct/>
              <w:bidi w:val="0"/>
              <w:spacing w:beforeAutospacing="0" w:line="440" w:lineRule="exact"/>
              <w:ind w:left="0" w:leftChars="0" w:right="0"/>
              <w:jc w:val="left"/>
              <w:rPr>
                <w:rFonts w:hint="eastAsia" w:ascii="仿宋" w:hAnsi="仿宋" w:eastAsia="仿宋" w:cs="仿宋"/>
                <w:color w:val="auto"/>
                <w:sz w:val="24"/>
                <w:szCs w:val="24"/>
                <w:highlight w:val="none"/>
              </w:rPr>
            </w:pPr>
          </w:p>
        </w:tc>
        <w:tc>
          <w:tcPr>
            <w:tcW w:w="567" w:type="dxa"/>
            <w:tcBorders>
              <w:top w:val="single" w:color="auto" w:sz="4" w:space="0"/>
              <w:left w:val="single" w:color="auto" w:sz="4" w:space="0"/>
              <w:bottom w:val="single" w:color="auto" w:sz="4" w:space="0"/>
              <w:right w:val="single" w:color="auto" w:sz="4" w:space="0"/>
            </w:tcBorders>
            <w:vAlign w:val="center"/>
          </w:tcPr>
          <w:p>
            <w:pPr>
              <w:shd w:val="clear" w:color="auto" w:fill="FFFFFF"/>
              <w:kinsoku/>
              <w:wordWrap/>
              <w:overflowPunct/>
              <w:bidi w:val="0"/>
              <w:spacing w:beforeAutospacing="0" w:line="440" w:lineRule="exact"/>
              <w:ind w:left="0" w:leftChars="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5953" w:type="dxa"/>
            <w:tcBorders>
              <w:top w:val="single" w:color="auto" w:sz="4" w:space="0"/>
              <w:left w:val="single" w:color="auto" w:sz="4" w:space="0"/>
              <w:bottom w:val="single" w:color="auto" w:sz="4" w:space="0"/>
              <w:right w:val="single" w:color="auto" w:sz="4" w:space="0"/>
            </w:tcBorders>
            <w:vAlign w:val="center"/>
          </w:tcPr>
          <w:p>
            <w:pPr>
              <w:shd w:val="clear" w:color="auto" w:fill="FFFFFF"/>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投标报价是否高于本项目的最高限价；</w:t>
            </w:r>
          </w:p>
        </w:tc>
        <w:tc>
          <w:tcPr>
            <w:tcW w:w="709" w:type="dxa"/>
            <w:tcBorders>
              <w:top w:val="single" w:color="auto" w:sz="4" w:space="0"/>
              <w:left w:val="single" w:color="auto" w:sz="4" w:space="0"/>
              <w:bottom w:val="single" w:color="auto" w:sz="4" w:space="0"/>
              <w:right w:val="single" w:color="auto" w:sz="4" w:space="0"/>
            </w:tcBorders>
            <w:vAlign w:val="center"/>
          </w:tcPr>
          <w:p>
            <w:pPr>
              <w:shd w:val="clear" w:color="auto" w:fill="FFFFFF"/>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pPr>
              <w:shd w:val="clear" w:color="auto" w:fill="FFFFFF"/>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p>
        </w:tc>
        <w:tc>
          <w:tcPr>
            <w:tcW w:w="708" w:type="dxa"/>
            <w:tcBorders>
              <w:top w:val="single" w:color="auto" w:sz="4" w:space="0"/>
              <w:left w:val="single" w:color="auto" w:sz="4" w:space="0"/>
              <w:bottom w:val="single" w:color="auto" w:sz="4" w:space="0"/>
              <w:right w:val="single" w:color="auto" w:sz="4" w:space="0"/>
            </w:tcBorders>
            <w:vAlign w:val="center"/>
          </w:tcPr>
          <w:p>
            <w:pPr>
              <w:shd w:val="clear" w:color="auto" w:fill="FFFFFF"/>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p>
        </w:tc>
        <w:tc>
          <w:tcPr>
            <w:tcW w:w="651" w:type="dxa"/>
            <w:tcBorders>
              <w:top w:val="single" w:color="auto" w:sz="4" w:space="0"/>
              <w:left w:val="single" w:color="auto" w:sz="4" w:space="0"/>
              <w:bottom w:val="single" w:color="auto" w:sz="4" w:space="0"/>
              <w:right w:val="single" w:color="auto" w:sz="4" w:space="0"/>
            </w:tcBorders>
            <w:vAlign w:val="center"/>
          </w:tcPr>
          <w:p>
            <w:pPr>
              <w:shd w:val="clear" w:color="auto" w:fill="FFFFFF"/>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trPr>
        <w:tc>
          <w:tcPr>
            <w:tcW w:w="9831" w:type="dxa"/>
            <w:vMerge w:val="continue"/>
            <w:tcBorders>
              <w:top w:val="single" w:color="auto" w:sz="4" w:space="0"/>
              <w:left w:val="single" w:color="auto" w:sz="4" w:space="0"/>
              <w:bottom w:val="single" w:color="auto" w:sz="4" w:space="0"/>
              <w:right w:val="single" w:color="auto" w:sz="4" w:space="0"/>
            </w:tcBorders>
            <w:vAlign w:val="center"/>
          </w:tcPr>
          <w:p>
            <w:pPr>
              <w:widowControl/>
              <w:kinsoku/>
              <w:wordWrap/>
              <w:overflowPunct/>
              <w:bidi w:val="0"/>
              <w:spacing w:beforeAutospacing="0" w:line="440" w:lineRule="exact"/>
              <w:ind w:left="0" w:leftChars="0" w:right="0"/>
              <w:jc w:val="left"/>
              <w:rPr>
                <w:rFonts w:hint="eastAsia" w:ascii="仿宋" w:hAnsi="仿宋" w:eastAsia="仿宋" w:cs="仿宋"/>
                <w:color w:val="auto"/>
                <w:sz w:val="24"/>
                <w:szCs w:val="24"/>
                <w:highlight w:val="none"/>
              </w:rPr>
            </w:pPr>
          </w:p>
        </w:tc>
        <w:tc>
          <w:tcPr>
            <w:tcW w:w="567" w:type="dxa"/>
            <w:tcBorders>
              <w:top w:val="single" w:color="auto" w:sz="4" w:space="0"/>
              <w:left w:val="single" w:color="auto" w:sz="4" w:space="0"/>
              <w:bottom w:val="single" w:color="auto" w:sz="4" w:space="0"/>
              <w:right w:val="single" w:color="auto" w:sz="4" w:space="0"/>
            </w:tcBorders>
            <w:vAlign w:val="center"/>
          </w:tcPr>
          <w:p>
            <w:pPr>
              <w:shd w:val="clear" w:color="auto" w:fill="FFFFFF"/>
              <w:kinsoku/>
              <w:wordWrap/>
              <w:overflowPunct/>
              <w:bidi w:val="0"/>
              <w:spacing w:beforeAutospacing="0" w:line="440" w:lineRule="exact"/>
              <w:ind w:left="0" w:leftChars="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5953" w:type="dxa"/>
            <w:tcBorders>
              <w:top w:val="single" w:color="auto" w:sz="4" w:space="0"/>
              <w:left w:val="single" w:color="auto" w:sz="4" w:space="0"/>
              <w:bottom w:val="single" w:color="auto" w:sz="4" w:space="0"/>
              <w:right w:val="single" w:color="auto" w:sz="4" w:space="0"/>
            </w:tcBorders>
            <w:vAlign w:val="center"/>
          </w:tcPr>
          <w:p>
            <w:pPr>
              <w:shd w:val="clear" w:color="auto" w:fill="FFFFFF"/>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投标人是否对同一招标项目做出两个以上报价且未明确效力的；</w:t>
            </w:r>
          </w:p>
        </w:tc>
        <w:tc>
          <w:tcPr>
            <w:tcW w:w="709" w:type="dxa"/>
            <w:tcBorders>
              <w:top w:val="single" w:color="auto" w:sz="4" w:space="0"/>
              <w:left w:val="single" w:color="auto" w:sz="4" w:space="0"/>
              <w:bottom w:val="single" w:color="auto" w:sz="4" w:space="0"/>
              <w:right w:val="single" w:color="auto" w:sz="4" w:space="0"/>
            </w:tcBorders>
            <w:vAlign w:val="center"/>
          </w:tcPr>
          <w:p>
            <w:pPr>
              <w:shd w:val="clear" w:color="auto" w:fill="FFFFFF"/>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pPr>
              <w:shd w:val="clear" w:color="auto" w:fill="FFFFFF"/>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p>
        </w:tc>
        <w:tc>
          <w:tcPr>
            <w:tcW w:w="708" w:type="dxa"/>
            <w:tcBorders>
              <w:top w:val="single" w:color="auto" w:sz="4" w:space="0"/>
              <w:left w:val="single" w:color="auto" w:sz="4" w:space="0"/>
              <w:bottom w:val="single" w:color="auto" w:sz="4" w:space="0"/>
              <w:right w:val="single" w:color="auto" w:sz="4" w:space="0"/>
            </w:tcBorders>
            <w:vAlign w:val="center"/>
          </w:tcPr>
          <w:p>
            <w:pPr>
              <w:shd w:val="clear" w:color="auto" w:fill="FFFFFF"/>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p>
        </w:tc>
        <w:tc>
          <w:tcPr>
            <w:tcW w:w="651" w:type="dxa"/>
            <w:tcBorders>
              <w:top w:val="single" w:color="auto" w:sz="4" w:space="0"/>
              <w:left w:val="single" w:color="auto" w:sz="4" w:space="0"/>
              <w:bottom w:val="single" w:color="auto" w:sz="4" w:space="0"/>
              <w:right w:val="single" w:color="auto" w:sz="4" w:space="0"/>
            </w:tcBorders>
            <w:vAlign w:val="center"/>
          </w:tcPr>
          <w:p>
            <w:pPr>
              <w:shd w:val="clear" w:color="auto" w:fill="FFFFFF"/>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9831" w:type="dxa"/>
            <w:vMerge w:val="continue"/>
            <w:tcBorders>
              <w:top w:val="single" w:color="auto" w:sz="4" w:space="0"/>
              <w:left w:val="single" w:color="auto" w:sz="4" w:space="0"/>
              <w:bottom w:val="single" w:color="auto" w:sz="4" w:space="0"/>
              <w:right w:val="single" w:color="auto" w:sz="4" w:space="0"/>
            </w:tcBorders>
            <w:vAlign w:val="center"/>
          </w:tcPr>
          <w:p>
            <w:pPr>
              <w:widowControl/>
              <w:kinsoku/>
              <w:wordWrap/>
              <w:overflowPunct/>
              <w:bidi w:val="0"/>
              <w:spacing w:beforeAutospacing="0" w:line="440" w:lineRule="exact"/>
              <w:ind w:left="0" w:leftChars="0" w:right="0"/>
              <w:jc w:val="left"/>
              <w:rPr>
                <w:rFonts w:hint="eastAsia" w:ascii="仿宋" w:hAnsi="仿宋" w:eastAsia="仿宋" w:cs="仿宋"/>
                <w:color w:val="auto"/>
                <w:sz w:val="24"/>
                <w:szCs w:val="24"/>
                <w:highlight w:val="none"/>
              </w:rPr>
            </w:pPr>
          </w:p>
        </w:tc>
        <w:tc>
          <w:tcPr>
            <w:tcW w:w="567" w:type="dxa"/>
            <w:tcBorders>
              <w:top w:val="single" w:color="auto" w:sz="4" w:space="0"/>
              <w:left w:val="single" w:color="auto" w:sz="4" w:space="0"/>
              <w:bottom w:val="single" w:color="auto" w:sz="4" w:space="0"/>
              <w:right w:val="single" w:color="auto" w:sz="4" w:space="0"/>
            </w:tcBorders>
            <w:vAlign w:val="center"/>
          </w:tcPr>
          <w:p>
            <w:pPr>
              <w:shd w:val="clear" w:color="auto" w:fill="FFFFFF"/>
              <w:kinsoku/>
              <w:wordWrap/>
              <w:overflowPunct/>
              <w:bidi w:val="0"/>
              <w:spacing w:beforeAutospacing="0" w:line="440" w:lineRule="exact"/>
              <w:ind w:left="0" w:leftChars="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5953" w:type="dxa"/>
            <w:tcBorders>
              <w:top w:val="single" w:color="auto" w:sz="4" w:space="0"/>
              <w:left w:val="single" w:color="auto" w:sz="4" w:space="0"/>
              <w:bottom w:val="single" w:color="auto" w:sz="4" w:space="0"/>
              <w:right w:val="single" w:color="auto" w:sz="4" w:space="0"/>
            </w:tcBorders>
            <w:vAlign w:val="center"/>
          </w:tcPr>
          <w:p>
            <w:pPr>
              <w:shd w:val="clear" w:color="auto" w:fill="FFFFFF"/>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投标文件的供货期是否满足采购文件要求；</w:t>
            </w:r>
          </w:p>
        </w:tc>
        <w:tc>
          <w:tcPr>
            <w:tcW w:w="709" w:type="dxa"/>
            <w:tcBorders>
              <w:top w:val="single" w:color="auto" w:sz="4" w:space="0"/>
              <w:left w:val="single" w:color="auto" w:sz="4" w:space="0"/>
              <w:bottom w:val="single" w:color="auto" w:sz="4" w:space="0"/>
              <w:right w:val="single" w:color="auto" w:sz="4" w:space="0"/>
            </w:tcBorders>
            <w:vAlign w:val="center"/>
          </w:tcPr>
          <w:p>
            <w:pPr>
              <w:shd w:val="clear" w:color="auto" w:fill="FFFFFF"/>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pPr>
              <w:shd w:val="clear" w:color="auto" w:fill="FFFFFF"/>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p>
        </w:tc>
        <w:tc>
          <w:tcPr>
            <w:tcW w:w="708" w:type="dxa"/>
            <w:tcBorders>
              <w:top w:val="single" w:color="auto" w:sz="4" w:space="0"/>
              <w:left w:val="single" w:color="auto" w:sz="4" w:space="0"/>
              <w:bottom w:val="single" w:color="auto" w:sz="4" w:space="0"/>
              <w:right w:val="single" w:color="auto" w:sz="4" w:space="0"/>
            </w:tcBorders>
            <w:vAlign w:val="center"/>
          </w:tcPr>
          <w:p>
            <w:pPr>
              <w:shd w:val="clear" w:color="auto" w:fill="FFFFFF"/>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p>
        </w:tc>
        <w:tc>
          <w:tcPr>
            <w:tcW w:w="651" w:type="dxa"/>
            <w:tcBorders>
              <w:top w:val="single" w:color="auto" w:sz="4" w:space="0"/>
              <w:left w:val="single" w:color="auto" w:sz="4" w:space="0"/>
              <w:bottom w:val="single" w:color="auto" w:sz="4" w:space="0"/>
              <w:right w:val="single" w:color="auto" w:sz="4" w:space="0"/>
            </w:tcBorders>
            <w:vAlign w:val="center"/>
          </w:tcPr>
          <w:p>
            <w:pPr>
              <w:shd w:val="clear" w:color="auto" w:fill="FFFFFF"/>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9831" w:type="dxa"/>
            <w:vMerge w:val="continue"/>
            <w:tcBorders>
              <w:top w:val="single" w:color="auto" w:sz="4" w:space="0"/>
              <w:left w:val="single" w:color="auto" w:sz="4" w:space="0"/>
              <w:bottom w:val="single" w:color="auto" w:sz="4" w:space="0"/>
              <w:right w:val="single" w:color="auto" w:sz="4" w:space="0"/>
            </w:tcBorders>
            <w:vAlign w:val="center"/>
          </w:tcPr>
          <w:p>
            <w:pPr>
              <w:widowControl/>
              <w:kinsoku/>
              <w:wordWrap/>
              <w:overflowPunct/>
              <w:bidi w:val="0"/>
              <w:spacing w:beforeAutospacing="0" w:line="440" w:lineRule="exact"/>
              <w:ind w:left="0" w:leftChars="0" w:right="0"/>
              <w:jc w:val="left"/>
              <w:rPr>
                <w:rFonts w:hint="eastAsia" w:ascii="仿宋" w:hAnsi="仿宋" w:eastAsia="仿宋" w:cs="仿宋"/>
                <w:color w:val="auto"/>
                <w:sz w:val="24"/>
                <w:szCs w:val="24"/>
                <w:highlight w:val="none"/>
              </w:rPr>
            </w:pPr>
          </w:p>
        </w:tc>
        <w:tc>
          <w:tcPr>
            <w:tcW w:w="567" w:type="dxa"/>
            <w:tcBorders>
              <w:top w:val="single" w:color="auto" w:sz="4" w:space="0"/>
              <w:left w:val="single" w:color="auto" w:sz="4" w:space="0"/>
              <w:bottom w:val="single" w:color="auto" w:sz="4" w:space="0"/>
              <w:right w:val="single" w:color="auto" w:sz="4" w:space="0"/>
            </w:tcBorders>
            <w:vAlign w:val="center"/>
          </w:tcPr>
          <w:p>
            <w:pPr>
              <w:shd w:val="clear" w:color="auto" w:fill="FFFFFF"/>
              <w:kinsoku/>
              <w:wordWrap/>
              <w:overflowPunct/>
              <w:bidi w:val="0"/>
              <w:spacing w:beforeAutospacing="0" w:line="440" w:lineRule="exact"/>
              <w:ind w:left="0" w:leftChars="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5953" w:type="dxa"/>
            <w:tcBorders>
              <w:top w:val="single" w:color="auto" w:sz="4" w:space="0"/>
              <w:left w:val="single" w:color="auto" w:sz="4" w:space="0"/>
              <w:bottom w:val="single" w:color="auto" w:sz="4" w:space="0"/>
              <w:right w:val="single" w:color="auto" w:sz="4" w:space="0"/>
            </w:tcBorders>
            <w:vAlign w:val="center"/>
          </w:tcPr>
          <w:p>
            <w:pPr>
              <w:shd w:val="clear" w:color="auto" w:fill="FFFFFF"/>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投标保证金的缴纳主体是否与投标人一致、提供投标担保或者所提供的投标担保不符合采购文件要求；</w:t>
            </w:r>
          </w:p>
        </w:tc>
        <w:tc>
          <w:tcPr>
            <w:tcW w:w="709" w:type="dxa"/>
            <w:tcBorders>
              <w:top w:val="single" w:color="auto" w:sz="4" w:space="0"/>
              <w:left w:val="single" w:color="auto" w:sz="4" w:space="0"/>
              <w:bottom w:val="single" w:color="auto" w:sz="4" w:space="0"/>
              <w:right w:val="single" w:color="auto" w:sz="4" w:space="0"/>
            </w:tcBorders>
            <w:vAlign w:val="center"/>
          </w:tcPr>
          <w:p>
            <w:pPr>
              <w:shd w:val="clear" w:color="auto" w:fill="FFFFFF"/>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pPr>
              <w:shd w:val="clear" w:color="auto" w:fill="FFFFFF"/>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p>
        </w:tc>
        <w:tc>
          <w:tcPr>
            <w:tcW w:w="708" w:type="dxa"/>
            <w:tcBorders>
              <w:top w:val="single" w:color="auto" w:sz="4" w:space="0"/>
              <w:left w:val="single" w:color="auto" w:sz="4" w:space="0"/>
              <w:bottom w:val="single" w:color="auto" w:sz="4" w:space="0"/>
              <w:right w:val="single" w:color="auto" w:sz="4" w:space="0"/>
            </w:tcBorders>
            <w:vAlign w:val="center"/>
          </w:tcPr>
          <w:p>
            <w:pPr>
              <w:shd w:val="clear" w:color="auto" w:fill="FFFFFF"/>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p>
        </w:tc>
        <w:tc>
          <w:tcPr>
            <w:tcW w:w="651" w:type="dxa"/>
            <w:tcBorders>
              <w:top w:val="single" w:color="auto" w:sz="4" w:space="0"/>
              <w:left w:val="single" w:color="auto" w:sz="4" w:space="0"/>
              <w:bottom w:val="single" w:color="auto" w:sz="4" w:space="0"/>
              <w:right w:val="single" w:color="auto" w:sz="4" w:space="0"/>
            </w:tcBorders>
            <w:vAlign w:val="center"/>
          </w:tcPr>
          <w:p>
            <w:pPr>
              <w:shd w:val="clear" w:color="auto" w:fill="FFFFFF"/>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9831" w:type="dxa"/>
            <w:vMerge w:val="continue"/>
            <w:tcBorders>
              <w:top w:val="single" w:color="auto" w:sz="4" w:space="0"/>
              <w:left w:val="single" w:color="auto" w:sz="4" w:space="0"/>
              <w:bottom w:val="single" w:color="auto" w:sz="4" w:space="0"/>
              <w:right w:val="single" w:color="auto" w:sz="4" w:space="0"/>
            </w:tcBorders>
            <w:vAlign w:val="center"/>
          </w:tcPr>
          <w:p>
            <w:pPr>
              <w:widowControl/>
              <w:kinsoku/>
              <w:wordWrap/>
              <w:overflowPunct/>
              <w:bidi w:val="0"/>
              <w:spacing w:beforeAutospacing="0" w:line="440" w:lineRule="exact"/>
              <w:ind w:left="0" w:leftChars="0" w:right="0"/>
              <w:jc w:val="left"/>
              <w:rPr>
                <w:rFonts w:hint="eastAsia" w:ascii="仿宋" w:hAnsi="仿宋" w:eastAsia="仿宋" w:cs="仿宋"/>
                <w:color w:val="auto"/>
                <w:sz w:val="24"/>
                <w:szCs w:val="24"/>
                <w:highlight w:val="none"/>
              </w:rPr>
            </w:pPr>
          </w:p>
        </w:tc>
        <w:tc>
          <w:tcPr>
            <w:tcW w:w="567" w:type="dxa"/>
            <w:tcBorders>
              <w:top w:val="single" w:color="auto" w:sz="4" w:space="0"/>
              <w:left w:val="single" w:color="auto" w:sz="4" w:space="0"/>
              <w:bottom w:val="single" w:color="auto" w:sz="4" w:space="0"/>
              <w:right w:val="single" w:color="auto" w:sz="4" w:space="0"/>
            </w:tcBorders>
            <w:vAlign w:val="center"/>
          </w:tcPr>
          <w:p>
            <w:pPr>
              <w:shd w:val="clear" w:color="auto" w:fill="FFFFFF"/>
              <w:kinsoku/>
              <w:wordWrap/>
              <w:overflowPunct/>
              <w:bidi w:val="0"/>
              <w:spacing w:beforeAutospacing="0" w:line="440" w:lineRule="exact"/>
              <w:ind w:left="0" w:leftChars="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p>
        </w:tc>
        <w:tc>
          <w:tcPr>
            <w:tcW w:w="5953" w:type="dxa"/>
            <w:tcBorders>
              <w:top w:val="single" w:color="auto" w:sz="4" w:space="0"/>
              <w:left w:val="single" w:color="auto" w:sz="4" w:space="0"/>
              <w:bottom w:val="single" w:color="auto" w:sz="4" w:space="0"/>
              <w:right w:val="single" w:color="auto" w:sz="4" w:space="0"/>
            </w:tcBorders>
            <w:vAlign w:val="center"/>
          </w:tcPr>
          <w:p>
            <w:pPr>
              <w:shd w:val="clear" w:color="auto" w:fill="FFFFFF"/>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项目负责人是否符合采购文件要求、并按采购文件要求提供相关资料；</w:t>
            </w:r>
            <w:r>
              <w:rPr>
                <w:rFonts w:hint="eastAsia" w:ascii="仿宋" w:hAnsi="仿宋" w:eastAsia="仿宋" w:cs="仿宋"/>
                <w:color w:val="auto"/>
                <w:sz w:val="24"/>
                <w:szCs w:val="24"/>
                <w:highlight w:val="none"/>
                <w:lang w:eastAsia="zh-CN"/>
              </w:rPr>
              <w:t>产品</w:t>
            </w:r>
            <w:r>
              <w:rPr>
                <w:rFonts w:hint="eastAsia" w:ascii="仿宋" w:hAnsi="仿宋" w:eastAsia="仿宋" w:cs="仿宋"/>
                <w:color w:val="auto"/>
                <w:sz w:val="24"/>
                <w:szCs w:val="24"/>
                <w:highlight w:val="none"/>
              </w:rPr>
              <w:t>授权书</w:t>
            </w:r>
            <w:r>
              <w:rPr>
                <w:rFonts w:hint="eastAsia" w:ascii="仿宋" w:hAnsi="仿宋" w:eastAsia="仿宋" w:cs="仿宋"/>
                <w:bCs/>
                <w:color w:val="auto"/>
                <w:sz w:val="24"/>
                <w:szCs w:val="24"/>
                <w:highlight w:val="none"/>
              </w:rPr>
              <w:t>是否符合采购文件要求</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并按采购文件要求提供相关资料；</w:t>
            </w:r>
          </w:p>
        </w:tc>
        <w:tc>
          <w:tcPr>
            <w:tcW w:w="709" w:type="dxa"/>
            <w:tcBorders>
              <w:top w:val="single" w:color="auto" w:sz="4" w:space="0"/>
              <w:left w:val="single" w:color="auto" w:sz="4" w:space="0"/>
              <w:bottom w:val="single" w:color="auto" w:sz="4" w:space="0"/>
              <w:right w:val="single" w:color="auto" w:sz="4" w:space="0"/>
            </w:tcBorders>
            <w:vAlign w:val="center"/>
          </w:tcPr>
          <w:p>
            <w:pPr>
              <w:shd w:val="clear" w:color="auto" w:fill="FFFFFF"/>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pPr>
              <w:shd w:val="clear" w:color="auto" w:fill="FFFFFF"/>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p>
        </w:tc>
        <w:tc>
          <w:tcPr>
            <w:tcW w:w="708" w:type="dxa"/>
            <w:tcBorders>
              <w:top w:val="single" w:color="auto" w:sz="4" w:space="0"/>
              <w:left w:val="single" w:color="auto" w:sz="4" w:space="0"/>
              <w:bottom w:val="single" w:color="auto" w:sz="4" w:space="0"/>
              <w:right w:val="single" w:color="auto" w:sz="4" w:space="0"/>
            </w:tcBorders>
            <w:vAlign w:val="center"/>
          </w:tcPr>
          <w:p>
            <w:pPr>
              <w:shd w:val="clear" w:color="auto" w:fill="FFFFFF"/>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p>
        </w:tc>
        <w:tc>
          <w:tcPr>
            <w:tcW w:w="651" w:type="dxa"/>
            <w:tcBorders>
              <w:top w:val="single" w:color="auto" w:sz="4" w:space="0"/>
              <w:left w:val="single" w:color="auto" w:sz="4" w:space="0"/>
              <w:bottom w:val="single" w:color="auto" w:sz="4" w:space="0"/>
              <w:right w:val="single" w:color="auto" w:sz="4" w:space="0"/>
            </w:tcBorders>
            <w:vAlign w:val="center"/>
          </w:tcPr>
          <w:p>
            <w:pPr>
              <w:shd w:val="clear" w:color="auto" w:fill="FFFFFF"/>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trPr>
        <w:tc>
          <w:tcPr>
            <w:tcW w:w="9831" w:type="dxa"/>
            <w:vMerge w:val="continue"/>
            <w:tcBorders>
              <w:top w:val="single" w:color="auto" w:sz="4" w:space="0"/>
              <w:left w:val="single" w:color="auto" w:sz="4" w:space="0"/>
              <w:bottom w:val="single" w:color="auto" w:sz="4" w:space="0"/>
              <w:right w:val="single" w:color="auto" w:sz="4" w:space="0"/>
            </w:tcBorders>
            <w:vAlign w:val="center"/>
          </w:tcPr>
          <w:p>
            <w:pPr>
              <w:widowControl/>
              <w:kinsoku/>
              <w:wordWrap/>
              <w:overflowPunct/>
              <w:bidi w:val="0"/>
              <w:spacing w:beforeAutospacing="0" w:line="440" w:lineRule="exact"/>
              <w:ind w:left="0" w:leftChars="0" w:right="0"/>
              <w:jc w:val="left"/>
              <w:rPr>
                <w:rFonts w:hint="eastAsia" w:ascii="仿宋" w:hAnsi="仿宋" w:eastAsia="仿宋" w:cs="仿宋"/>
                <w:color w:val="auto"/>
                <w:sz w:val="24"/>
                <w:szCs w:val="24"/>
                <w:highlight w:val="none"/>
              </w:rPr>
            </w:pPr>
          </w:p>
        </w:tc>
        <w:tc>
          <w:tcPr>
            <w:tcW w:w="567" w:type="dxa"/>
            <w:tcBorders>
              <w:top w:val="single" w:color="auto" w:sz="4" w:space="0"/>
              <w:left w:val="single" w:color="auto" w:sz="4" w:space="0"/>
              <w:bottom w:val="single" w:color="auto" w:sz="4" w:space="0"/>
              <w:right w:val="single" w:color="auto" w:sz="4" w:space="0"/>
            </w:tcBorders>
            <w:vAlign w:val="center"/>
          </w:tcPr>
          <w:p>
            <w:pPr>
              <w:shd w:val="clear" w:color="auto" w:fill="FFFFFF"/>
              <w:kinsoku/>
              <w:wordWrap/>
              <w:overflowPunct/>
              <w:bidi w:val="0"/>
              <w:spacing w:beforeAutospacing="0" w:line="440" w:lineRule="exact"/>
              <w:ind w:left="0" w:leftChars="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p>
        </w:tc>
        <w:tc>
          <w:tcPr>
            <w:tcW w:w="5953" w:type="dxa"/>
            <w:tcBorders>
              <w:top w:val="single" w:color="auto" w:sz="4" w:space="0"/>
              <w:left w:val="single" w:color="auto" w:sz="4" w:space="0"/>
              <w:bottom w:val="single" w:color="auto" w:sz="4" w:space="0"/>
              <w:right w:val="single" w:color="auto" w:sz="4" w:space="0"/>
            </w:tcBorders>
            <w:vAlign w:val="center"/>
          </w:tcPr>
          <w:p>
            <w:pPr>
              <w:shd w:val="clear" w:color="auto" w:fill="FFFFFF"/>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投标文件封面右上角是否注明“正本”或“副本”字样；</w:t>
            </w:r>
          </w:p>
        </w:tc>
        <w:tc>
          <w:tcPr>
            <w:tcW w:w="709" w:type="dxa"/>
            <w:tcBorders>
              <w:top w:val="single" w:color="auto" w:sz="4" w:space="0"/>
              <w:left w:val="single" w:color="auto" w:sz="4" w:space="0"/>
              <w:bottom w:val="single" w:color="auto" w:sz="4" w:space="0"/>
              <w:right w:val="single" w:color="auto" w:sz="4" w:space="0"/>
            </w:tcBorders>
            <w:vAlign w:val="center"/>
          </w:tcPr>
          <w:p>
            <w:pPr>
              <w:shd w:val="clear" w:color="auto" w:fill="FFFFFF"/>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pPr>
              <w:shd w:val="clear" w:color="auto" w:fill="FFFFFF"/>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p>
        </w:tc>
        <w:tc>
          <w:tcPr>
            <w:tcW w:w="708" w:type="dxa"/>
            <w:tcBorders>
              <w:top w:val="single" w:color="auto" w:sz="4" w:space="0"/>
              <w:left w:val="single" w:color="auto" w:sz="4" w:space="0"/>
              <w:bottom w:val="single" w:color="auto" w:sz="4" w:space="0"/>
              <w:right w:val="single" w:color="auto" w:sz="4" w:space="0"/>
            </w:tcBorders>
            <w:vAlign w:val="center"/>
          </w:tcPr>
          <w:p>
            <w:pPr>
              <w:shd w:val="clear" w:color="auto" w:fill="FFFFFF"/>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p>
        </w:tc>
        <w:tc>
          <w:tcPr>
            <w:tcW w:w="651" w:type="dxa"/>
            <w:tcBorders>
              <w:top w:val="single" w:color="auto" w:sz="4" w:space="0"/>
              <w:left w:val="single" w:color="auto" w:sz="4" w:space="0"/>
              <w:bottom w:val="single" w:color="auto" w:sz="4" w:space="0"/>
              <w:right w:val="single" w:color="auto" w:sz="4" w:space="0"/>
            </w:tcBorders>
            <w:vAlign w:val="center"/>
          </w:tcPr>
          <w:p>
            <w:pPr>
              <w:shd w:val="clear" w:color="auto" w:fill="FFFFFF"/>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trPr>
        <w:tc>
          <w:tcPr>
            <w:tcW w:w="9831" w:type="dxa"/>
            <w:vMerge w:val="continue"/>
            <w:tcBorders>
              <w:top w:val="single" w:color="auto" w:sz="4" w:space="0"/>
              <w:left w:val="single" w:color="auto" w:sz="4" w:space="0"/>
              <w:bottom w:val="single" w:color="auto" w:sz="4" w:space="0"/>
              <w:right w:val="single" w:color="auto" w:sz="4" w:space="0"/>
            </w:tcBorders>
            <w:vAlign w:val="center"/>
          </w:tcPr>
          <w:p>
            <w:pPr>
              <w:widowControl/>
              <w:kinsoku/>
              <w:wordWrap/>
              <w:overflowPunct/>
              <w:bidi w:val="0"/>
              <w:spacing w:beforeAutospacing="0" w:line="440" w:lineRule="exact"/>
              <w:ind w:left="0" w:leftChars="0" w:right="0"/>
              <w:jc w:val="left"/>
              <w:rPr>
                <w:rFonts w:hint="eastAsia" w:ascii="仿宋" w:hAnsi="仿宋" w:eastAsia="仿宋" w:cs="仿宋"/>
                <w:color w:val="auto"/>
                <w:sz w:val="24"/>
                <w:szCs w:val="24"/>
                <w:highlight w:val="none"/>
              </w:rPr>
            </w:pPr>
          </w:p>
        </w:tc>
        <w:tc>
          <w:tcPr>
            <w:tcW w:w="567" w:type="dxa"/>
            <w:tcBorders>
              <w:top w:val="single" w:color="auto" w:sz="4" w:space="0"/>
              <w:left w:val="single" w:color="auto" w:sz="4" w:space="0"/>
              <w:bottom w:val="single" w:color="auto" w:sz="4" w:space="0"/>
              <w:right w:val="single" w:color="auto" w:sz="4" w:space="0"/>
            </w:tcBorders>
            <w:vAlign w:val="center"/>
          </w:tcPr>
          <w:p>
            <w:pPr>
              <w:shd w:val="clear" w:color="auto" w:fill="FFFFFF"/>
              <w:kinsoku/>
              <w:wordWrap/>
              <w:overflowPunct/>
              <w:bidi w:val="0"/>
              <w:spacing w:beforeAutospacing="0" w:line="440" w:lineRule="exact"/>
              <w:ind w:left="0" w:leftChars="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w:t>
            </w:r>
          </w:p>
        </w:tc>
        <w:tc>
          <w:tcPr>
            <w:tcW w:w="5953" w:type="dxa"/>
            <w:tcBorders>
              <w:top w:val="single" w:color="auto" w:sz="4" w:space="0"/>
              <w:left w:val="single" w:color="auto" w:sz="4" w:space="0"/>
              <w:bottom w:val="single" w:color="auto" w:sz="4" w:space="0"/>
              <w:right w:val="single" w:color="auto" w:sz="4" w:space="0"/>
            </w:tcBorders>
            <w:vAlign w:val="center"/>
          </w:tcPr>
          <w:p>
            <w:pPr>
              <w:shd w:val="clear" w:color="auto" w:fill="FFFFFF"/>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投标承诺书是否按采购文件规定格式完整提供、且按采购文件要求签字或盖章；</w:t>
            </w:r>
          </w:p>
        </w:tc>
        <w:tc>
          <w:tcPr>
            <w:tcW w:w="709" w:type="dxa"/>
            <w:tcBorders>
              <w:top w:val="single" w:color="auto" w:sz="4" w:space="0"/>
              <w:left w:val="single" w:color="auto" w:sz="4" w:space="0"/>
              <w:bottom w:val="single" w:color="auto" w:sz="4" w:space="0"/>
              <w:right w:val="single" w:color="auto" w:sz="4" w:space="0"/>
            </w:tcBorders>
            <w:vAlign w:val="center"/>
          </w:tcPr>
          <w:p>
            <w:pPr>
              <w:shd w:val="clear" w:color="auto" w:fill="FFFFFF"/>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pPr>
              <w:shd w:val="clear" w:color="auto" w:fill="FFFFFF"/>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p>
        </w:tc>
        <w:tc>
          <w:tcPr>
            <w:tcW w:w="708" w:type="dxa"/>
            <w:tcBorders>
              <w:top w:val="single" w:color="auto" w:sz="4" w:space="0"/>
              <w:left w:val="single" w:color="auto" w:sz="4" w:space="0"/>
              <w:bottom w:val="single" w:color="auto" w:sz="4" w:space="0"/>
              <w:right w:val="single" w:color="auto" w:sz="4" w:space="0"/>
            </w:tcBorders>
            <w:vAlign w:val="center"/>
          </w:tcPr>
          <w:p>
            <w:pPr>
              <w:shd w:val="clear" w:color="auto" w:fill="FFFFFF"/>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p>
        </w:tc>
        <w:tc>
          <w:tcPr>
            <w:tcW w:w="651" w:type="dxa"/>
            <w:tcBorders>
              <w:top w:val="single" w:color="auto" w:sz="4" w:space="0"/>
              <w:left w:val="single" w:color="auto" w:sz="4" w:space="0"/>
              <w:bottom w:val="single" w:color="auto" w:sz="4" w:space="0"/>
              <w:right w:val="single" w:color="auto" w:sz="4" w:space="0"/>
            </w:tcBorders>
            <w:vAlign w:val="center"/>
          </w:tcPr>
          <w:p>
            <w:pPr>
              <w:shd w:val="clear" w:color="auto" w:fill="FFFFFF"/>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9831" w:type="dxa"/>
            <w:vMerge w:val="continue"/>
            <w:tcBorders>
              <w:top w:val="single" w:color="auto" w:sz="4" w:space="0"/>
              <w:left w:val="single" w:color="auto" w:sz="4" w:space="0"/>
              <w:bottom w:val="single" w:color="auto" w:sz="4" w:space="0"/>
              <w:right w:val="single" w:color="auto" w:sz="4" w:space="0"/>
            </w:tcBorders>
            <w:vAlign w:val="center"/>
          </w:tcPr>
          <w:p>
            <w:pPr>
              <w:widowControl/>
              <w:kinsoku/>
              <w:wordWrap/>
              <w:overflowPunct/>
              <w:bidi w:val="0"/>
              <w:spacing w:beforeAutospacing="0" w:line="440" w:lineRule="exact"/>
              <w:ind w:left="0" w:leftChars="0" w:right="0"/>
              <w:jc w:val="left"/>
              <w:rPr>
                <w:rFonts w:hint="eastAsia" w:ascii="仿宋" w:hAnsi="仿宋" w:eastAsia="仿宋" w:cs="仿宋"/>
                <w:color w:val="auto"/>
                <w:sz w:val="24"/>
                <w:szCs w:val="24"/>
                <w:highlight w:val="none"/>
              </w:rPr>
            </w:pPr>
          </w:p>
        </w:tc>
        <w:tc>
          <w:tcPr>
            <w:tcW w:w="567" w:type="dxa"/>
            <w:tcBorders>
              <w:top w:val="single" w:color="auto" w:sz="4" w:space="0"/>
              <w:left w:val="single" w:color="auto" w:sz="4" w:space="0"/>
              <w:bottom w:val="single" w:color="auto" w:sz="4" w:space="0"/>
              <w:right w:val="single" w:color="auto" w:sz="4" w:space="0"/>
            </w:tcBorders>
            <w:vAlign w:val="center"/>
          </w:tcPr>
          <w:p>
            <w:pPr>
              <w:shd w:val="clear" w:color="auto" w:fill="FFFFFF"/>
              <w:kinsoku/>
              <w:wordWrap/>
              <w:overflowPunct/>
              <w:bidi w:val="0"/>
              <w:spacing w:beforeAutospacing="0" w:line="440" w:lineRule="exact"/>
              <w:ind w:left="0" w:leftChars="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w:t>
            </w:r>
          </w:p>
        </w:tc>
        <w:tc>
          <w:tcPr>
            <w:tcW w:w="5953" w:type="dxa"/>
            <w:tcBorders>
              <w:top w:val="single" w:color="auto" w:sz="4" w:space="0"/>
              <w:left w:val="single" w:color="auto" w:sz="4" w:space="0"/>
              <w:bottom w:val="single" w:color="auto" w:sz="4" w:space="0"/>
              <w:right w:val="single" w:color="auto" w:sz="4" w:space="0"/>
            </w:tcBorders>
            <w:vAlign w:val="center"/>
          </w:tcPr>
          <w:p>
            <w:pPr>
              <w:shd w:val="clear" w:color="auto" w:fill="FFFFFF"/>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法定代表人身份证明书及法定代表人授权委托书是否按采购文件规定格式完整提供、并按采购文件要求签字或盖章。</w:t>
            </w:r>
          </w:p>
        </w:tc>
        <w:tc>
          <w:tcPr>
            <w:tcW w:w="709" w:type="dxa"/>
            <w:tcBorders>
              <w:top w:val="single" w:color="auto" w:sz="4" w:space="0"/>
              <w:left w:val="single" w:color="auto" w:sz="4" w:space="0"/>
              <w:bottom w:val="single" w:color="auto" w:sz="4" w:space="0"/>
              <w:right w:val="single" w:color="auto" w:sz="4" w:space="0"/>
            </w:tcBorders>
            <w:vAlign w:val="center"/>
          </w:tcPr>
          <w:p>
            <w:pPr>
              <w:shd w:val="clear" w:color="auto" w:fill="FFFFFF"/>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pPr>
              <w:shd w:val="clear" w:color="auto" w:fill="FFFFFF"/>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p>
        </w:tc>
        <w:tc>
          <w:tcPr>
            <w:tcW w:w="708" w:type="dxa"/>
            <w:tcBorders>
              <w:top w:val="single" w:color="auto" w:sz="4" w:space="0"/>
              <w:left w:val="single" w:color="auto" w:sz="4" w:space="0"/>
              <w:bottom w:val="single" w:color="auto" w:sz="4" w:space="0"/>
              <w:right w:val="single" w:color="auto" w:sz="4" w:space="0"/>
            </w:tcBorders>
            <w:vAlign w:val="center"/>
          </w:tcPr>
          <w:p>
            <w:pPr>
              <w:shd w:val="clear" w:color="auto" w:fill="FFFFFF"/>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p>
        </w:tc>
        <w:tc>
          <w:tcPr>
            <w:tcW w:w="651" w:type="dxa"/>
            <w:tcBorders>
              <w:top w:val="single" w:color="auto" w:sz="4" w:space="0"/>
              <w:left w:val="single" w:color="auto" w:sz="4" w:space="0"/>
              <w:bottom w:val="single" w:color="auto" w:sz="4" w:space="0"/>
              <w:right w:val="single" w:color="auto" w:sz="4" w:space="0"/>
            </w:tcBorders>
            <w:vAlign w:val="center"/>
          </w:tcPr>
          <w:p>
            <w:pPr>
              <w:shd w:val="clear" w:color="auto" w:fill="FFFFFF"/>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4" w:hRule="atLeast"/>
        </w:trPr>
        <w:tc>
          <w:tcPr>
            <w:tcW w:w="9831" w:type="dxa"/>
            <w:vMerge w:val="continue"/>
            <w:tcBorders>
              <w:top w:val="single" w:color="auto" w:sz="4" w:space="0"/>
              <w:left w:val="single" w:color="auto" w:sz="4" w:space="0"/>
              <w:bottom w:val="single" w:color="auto" w:sz="4" w:space="0"/>
              <w:right w:val="single" w:color="auto" w:sz="4" w:space="0"/>
            </w:tcBorders>
            <w:vAlign w:val="center"/>
          </w:tcPr>
          <w:p>
            <w:pPr>
              <w:widowControl/>
              <w:kinsoku/>
              <w:wordWrap/>
              <w:overflowPunct/>
              <w:bidi w:val="0"/>
              <w:spacing w:beforeAutospacing="0" w:line="440" w:lineRule="exact"/>
              <w:ind w:left="0" w:leftChars="0" w:right="0"/>
              <w:jc w:val="left"/>
              <w:rPr>
                <w:rFonts w:hint="eastAsia" w:ascii="仿宋" w:hAnsi="仿宋" w:eastAsia="仿宋" w:cs="仿宋"/>
                <w:color w:val="auto"/>
                <w:sz w:val="24"/>
                <w:szCs w:val="24"/>
                <w:highlight w:val="none"/>
              </w:rPr>
            </w:pPr>
          </w:p>
        </w:tc>
        <w:tc>
          <w:tcPr>
            <w:tcW w:w="567" w:type="dxa"/>
            <w:tcBorders>
              <w:top w:val="single" w:color="auto" w:sz="4" w:space="0"/>
              <w:left w:val="single" w:color="auto" w:sz="4" w:space="0"/>
              <w:bottom w:val="single" w:color="auto" w:sz="4" w:space="0"/>
              <w:right w:val="single" w:color="auto" w:sz="4" w:space="0"/>
            </w:tcBorders>
            <w:vAlign w:val="center"/>
          </w:tcPr>
          <w:p>
            <w:pPr>
              <w:shd w:val="clear" w:color="auto" w:fill="FFFFFF"/>
              <w:kinsoku/>
              <w:wordWrap/>
              <w:overflowPunct/>
              <w:bidi w:val="0"/>
              <w:spacing w:beforeAutospacing="0" w:line="440" w:lineRule="exact"/>
              <w:ind w:left="0" w:leftChars="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w:t>
            </w:r>
          </w:p>
        </w:tc>
        <w:tc>
          <w:tcPr>
            <w:tcW w:w="5953" w:type="dxa"/>
            <w:tcBorders>
              <w:top w:val="single" w:color="auto" w:sz="4" w:space="0"/>
              <w:left w:val="single" w:color="auto" w:sz="4" w:space="0"/>
              <w:bottom w:val="single" w:color="auto" w:sz="4" w:space="0"/>
              <w:right w:val="single" w:color="auto" w:sz="4" w:space="0"/>
            </w:tcBorders>
            <w:vAlign w:val="center"/>
          </w:tcPr>
          <w:p>
            <w:pPr>
              <w:shd w:val="clear" w:color="auto" w:fill="FFFFFF"/>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企业信誉是否满足采购文件的要求</w:t>
            </w:r>
          </w:p>
        </w:tc>
        <w:tc>
          <w:tcPr>
            <w:tcW w:w="709" w:type="dxa"/>
            <w:tcBorders>
              <w:top w:val="single" w:color="auto" w:sz="4" w:space="0"/>
              <w:left w:val="single" w:color="auto" w:sz="4" w:space="0"/>
              <w:bottom w:val="single" w:color="auto" w:sz="4" w:space="0"/>
              <w:right w:val="single" w:color="auto" w:sz="4" w:space="0"/>
            </w:tcBorders>
            <w:vAlign w:val="center"/>
          </w:tcPr>
          <w:p>
            <w:pPr>
              <w:shd w:val="clear" w:color="auto" w:fill="FFFFFF"/>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pPr>
              <w:shd w:val="clear" w:color="auto" w:fill="FFFFFF"/>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p>
        </w:tc>
        <w:tc>
          <w:tcPr>
            <w:tcW w:w="708" w:type="dxa"/>
            <w:tcBorders>
              <w:top w:val="single" w:color="auto" w:sz="4" w:space="0"/>
              <w:left w:val="single" w:color="auto" w:sz="4" w:space="0"/>
              <w:bottom w:val="single" w:color="auto" w:sz="4" w:space="0"/>
              <w:right w:val="single" w:color="auto" w:sz="4" w:space="0"/>
            </w:tcBorders>
            <w:vAlign w:val="center"/>
          </w:tcPr>
          <w:p>
            <w:pPr>
              <w:shd w:val="clear" w:color="auto" w:fill="FFFFFF"/>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p>
        </w:tc>
        <w:tc>
          <w:tcPr>
            <w:tcW w:w="651" w:type="dxa"/>
            <w:tcBorders>
              <w:top w:val="single" w:color="auto" w:sz="4" w:space="0"/>
              <w:left w:val="single" w:color="auto" w:sz="4" w:space="0"/>
              <w:bottom w:val="single" w:color="auto" w:sz="4" w:space="0"/>
              <w:right w:val="single" w:color="auto" w:sz="4" w:space="0"/>
            </w:tcBorders>
            <w:vAlign w:val="center"/>
          </w:tcPr>
          <w:p>
            <w:pPr>
              <w:shd w:val="clear" w:color="auto" w:fill="FFFFFF"/>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4" w:hRule="atLeast"/>
        </w:trPr>
        <w:tc>
          <w:tcPr>
            <w:tcW w:w="9831" w:type="dxa"/>
            <w:vMerge w:val="continue"/>
            <w:tcBorders>
              <w:top w:val="single" w:color="auto" w:sz="4" w:space="0"/>
              <w:left w:val="single" w:color="auto" w:sz="4" w:space="0"/>
              <w:bottom w:val="single" w:color="auto" w:sz="4" w:space="0"/>
              <w:right w:val="single" w:color="auto" w:sz="4" w:space="0"/>
            </w:tcBorders>
            <w:vAlign w:val="center"/>
          </w:tcPr>
          <w:p>
            <w:pPr>
              <w:widowControl/>
              <w:kinsoku/>
              <w:wordWrap/>
              <w:overflowPunct/>
              <w:bidi w:val="0"/>
              <w:spacing w:beforeAutospacing="0" w:line="440" w:lineRule="exact"/>
              <w:ind w:left="0" w:leftChars="0" w:right="0"/>
              <w:jc w:val="left"/>
              <w:rPr>
                <w:rFonts w:hint="eastAsia" w:ascii="仿宋" w:hAnsi="仿宋" w:eastAsia="仿宋" w:cs="仿宋"/>
                <w:color w:val="auto"/>
                <w:sz w:val="24"/>
                <w:szCs w:val="24"/>
                <w:highlight w:val="none"/>
              </w:rPr>
            </w:pPr>
          </w:p>
        </w:tc>
        <w:tc>
          <w:tcPr>
            <w:tcW w:w="567" w:type="dxa"/>
            <w:tcBorders>
              <w:top w:val="single" w:color="auto" w:sz="4" w:space="0"/>
              <w:left w:val="single" w:color="auto" w:sz="4" w:space="0"/>
              <w:bottom w:val="single" w:color="auto" w:sz="4" w:space="0"/>
              <w:right w:val="single" w:color="auto" w:sz="4" w:space="0"/>
            </w:tcBorders>
            <w:vAlign w:val="center"/>
          </w:tcPr>
          <w:p>
            <w:pPr>
              <w:shd w:val="clear" w:color="auto" w:fill="FFFFFF"/>
              <w:kinsoku/>
              <w:wordWrap/>
              <w:overflowPunct/>
              <w:bidi w:val="0"/>
              <w:spacing w:beforeAutospacing="0" w:line="440" w:lineRule="exact"/>
              <w:ind w:left="0" w:leftChars="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w:t>
            </w:r>
          </w:p>
        </w:tc>
        <w:tc>
          <w:tcPr>
            <w:tcW w:w="5953" w:type="dxa"/>
            <w:tcBorders>
              <w:top w:val="single" w:color="auto" w:sz="4" w:space="0"/>
              <w:left w:val="single" w:color="auto" w:sz="4" w:space="0"/>
              <w:bottom w:val="single" w:color="auto" w:sz="4" w:space="0"/>
              <w:right w:val="single" w:color="auto" w:sz="4" w:space="0"/>
            </w:tcBorders>
            <w:vAlign w:val="center"/>
          </w:tcPr>
          <w:p>
            <w:pPr>
              <w:shd w:val="clear" w:color="auto" w:fill="FFFFFF"/>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投标文件是否附有采购人不能接受的条件</w:t>
            </w:r>
          </w:p>
        </w:tc>
        <w:tc>
          <w:tcPr>
            <w:tcW w:w="709" w:type="dxa"/>
            <w:tcBorders>
              <w:top w:val="single" w:color="auto" w:sz="4" w:space="0"/>
              <w:left w:val="single" w:color="auto" w:sz="4" w:space="0"/>
              <w:bottom w:val="single" w:color="auto" w:sz="4" w:space="0"/>
              <w:right w:val="single" w:color="auto" w:sz="4" w:space="0"/>
            </w:tcBorders>
            <w:vAlign w:val="center"/>
          </w:tcPr>
          <w:p>
            <w:pPr>
              <w:shd w:val="clear" w:color="auto" w:fill="FFFFFF"/>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pPr>
              <w:shd w:val="clear" w:color="auto" w:fill="FFFFFF"/>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p>
        </w:tc>
        <w:tc>
          <w:tcPr>
            <w:tcW w:w="708" w:type="dxa"/>
            <w:tcBorders>
              <w:top w:val="single" w:color="auto" w:sz="4" w:space="0"/>
              <w:left w:val="single" w:color="auto" w:sz="4" w:space="0"/>
              <w:bottom w:val="single" w:color="auto" w:sz="4" w:space="0"/>
              <w:right w:val="single" w:color="auto" w:sz="4" w:space="0"/>
            </w:tcBorders>
            <w:vAlign w:val="center"/>
          </w:tcPr>
          <w:p>
            <w:pPr>
              <w:shd w:val="clear" w:color="auto" w:fill="FFFFFF"/>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p>
        </w:tc>
        <w:tc>
          <w:tcPr>
            <w:tcW w:w="651" w:type="dxa"/>
            <w:tcBorders>
              <w:top w:val="single" w:color="auto" w:sz="4" w:space="0"/>
              <w:left w:val="single" w:color="auto" w:sz="4" w:space="0"/>
              <w:bottom w:val="single" w:color="auto" w:sz="4" w:space="0"/>
              <w:right w:val="single" w:color="auto" w:sz="4" w:space="0"/>
            </w:tcBorders>
            <w:vAlign w:val="center"/>
          </w:tcPr>
          <w:p>
            <w:pPr>
              <w:shd w:val="clear" w:color="auto" w:fill="FFFFFF"/>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trPr>
        <w:tc>
          <w:tcPr>
            <w:tcW w:w="9831" w:type="dxa"/>
            <w:vMerge w:val="continue"/>
            <w:tcBorders>
              <w:top w:val="single" w:color="auto" w:sz="4" w:space="0"/>
              <w:left w:val="single" w:color="auto" w:sz="4" w:space="0"/>
              <w:bottom w:val="single" w:color="auto" w:sz="4" w:space="0"/>
              <w:right w:val="single" w:color="auto" w:sz="4" w:space="0"/>
            </w:tcBorders>
            <w:vAlign w:val="center"/>
          </w:tcPr>
          <w:p>
            <w:pPr>
              <w:widowControl/>
              <w:kinsoku/>
              <w:wordWrap/>
              <w:overflowPunct/>
              <w:bidi w:val="0"/>
              <w:spacing w:beforeAutospacing="0" w:line="440" w:lineRule="exact"/>
              <w:ind w:left="0" w:leftChars="0" w:right="0"/>
              <w:jc w:val="left"/>
              <w:rPr>
                <w:rFonts w:hint="eastAsia" w:ascii="仿宋" w:hAnsi="仿宋" w:eastAsia="仿宋" w:cs="仿宋"/>
                <w:color w:val="auto"/>
                <w:sz w:val="24"/>
                <w:szCs w:val="24"/>
                <w:highlight w:val="none"/>
              </w:rPr>
            </w:pPr>
          </w:p>
        </w:tc>
        <w:tc>
          <w:tcPr>
            <w:tcW w:w="567" w:type="dxa"/>
            <w:tcBorders>
              <w:top w:val="single" w:color="auto" w:sz="4" w:space="0"/>
              <w:left w:val="single" w:color="auto" w:sz="4" w:space="0"/>
              <w:bottom w:val="single" w:color="auto" w:sz="4" w:space="0"/>
              <w:right w:val="single" w:color="auto" w:sz="4" w:space="0"/>
            </w:tcBorders>
            <w:vAlign w:val="center"/>
          </w:tcPr>
          <w:p>
            <w:pPr>
              <w:shd w:val="clear" w:color="auto" w:fill="FFFFFF"/>
              <w:kinsoku/>
              <w:wordWrap/>
              <w:overflowPunct/>
              <w:bidi w:val="0"/>
              <w:spacing w:beforeAutospacing="0" w:line="440" w:lineRule="exact"/>
              <w:ind w:left="0" w:leftChars="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w:t>
            </w:r>
          </w:p>
        </w:tc>
        <w:tc>
          <w:tcPr>
            <w:tcW w:w="5953" w:type="dxa"/>
            <w:tcBorders>
              <w:top w:val="single" w:color="auto" w:sz="4" w:space="0"/>
              <w:left w:val="single" w:color="auto" w:sz="4" w:space="0"/>
              <w:bottom w:val="single" w:color="auto" w:sz="4" w:space="0"/>
              <w:right w:val="single" w:color="auto" w:sz="4" w:space="0"/>
            </w:tcBorders>
            <w:vAlign w:val="center"/>
          </w:tcPr>
          <w:p>
            <w:pPr>
              <w:shd w:val="clear" w:color="auto" w:fill="FFFFFF"/>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技术服务等是否满足采购文件要求；</w:t>
            </w:r>
          </w:p>
        </w:tc>
        <w:tc>
          <w:tcPr>
            <w:tcW w:w="709" w:type="dxa"/>
            <w:tcBorders>
              <w:top w:val="single" w:color="auto" w:sz="4" w:space="0"/>
              <w:left w:val="single" w:color="auto" w:sz="4" w:space="0"/>
              <w:bottom w:val="single" w:color="auto" w:sz="4" w:space="0"/>
              <w:right w:val="single" w:color="auto" w:sz="4" w:space="0"/>
            </w:tcBorders>
            <w:vAlign w:val="center"/>
          </w:tcPr>
          <w:p>
            <w:pPr>
              <w:shd w:val="clear" w:color="auto" w:fill="FFFFFF"/>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pPr>
              <w:shd w:val="clear" w:color="auto" w:fill="FFFFFF"/>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p>
        </w:tc>
        <w:tc>
          <w:tcPr>
            <w:tcW w:w="708" w:type="dxa"/>
            <w:tcBorders>
              <w:top w:val="single" w:color="auto" w:sz="4" w:space="0"/>
              <w:left w:val="single" w:color="auto" w:sz="4" w:space="0"/>
              <w:bottom w:val="single" w:color="auto" w:sz="4" w:space="0"/>
              <w:right w:val="single" w:color="auto" w:sz="4" w:space="0"/>
            </w:tcBorders>
            <w:vAlign w:val="center"/>
          </w:tcPr>
          <w:p>
            <w:pPr>
              <w:shd w:val="clear" w:color="auto" w:fill="FFFFFF"/>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p>
        </w:tc>
        <w:tc>
          <w:tcPr>
            <w:tcW w:w="651" w:type="dxa"/>
            <w:tcBorders>
              <w:top w:val="single" w:color="auto" w:sz="4" w:space="0"/>
              <w:left w:val="single" w:color="auto" w:sz="4" w:space="0"/>
              <w:bottom w:val="single" w:color="auto" w:sz="4" w:space="0"/>
              <w:right w:val="single" w:color="auto" w:sz="4" w:space="0"/>
            </w:tcBorders>
            <w:vAlign w:val="center"/>
          </w:tcPr>
          <w:p>
            <w:pPr>
              <w:shd w:val="clear" w:color="auto" w:fill="FFFFFF"/>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trPr>
        <w:tc>
          <w:tcPr>
            <w:tcW w:w="9831" w:type="dxa"/>
            <w:vMerge w:val="continue"/>
            <w:tcBorders>
              <w:top w:val="single" w:color="auto" w:sz="4" w:space="0"/>
              <w:left w:val="single" w:color="auto" w:sz="4" w:space="0"/>
              <w:bottom w:val="single" w:color="auto" w:sz="4" w:space="0"/>
              <w:right w:val="single" w:color="auto" w:sz="4" w:space="0"/>
            </w:tcBorders>
            <w:vAlign w:val="center"/>
          </w:tcPr>
          <w:p>
            <w:pPr>
              <w:widowControl/>
              <w:kinsoku/>
              <w:wordWrap/>
              <w:overflowPunct/>
              <w:bidi w:val="0"/>
              <w:spacing w:beforeAutospacing="0" w:line="440" w:lineRule="exact"/>
              <w:ind w:left="0" w:leftChars="0" w:right="0"/>
              <w:jc w:val="left"/>
              <w:rPr>
                <w:rFonts w:hint="eastAsia" w:ascii="仿宋" w:hAnsi="仿宋" w:eastAsia="仿宋" w:cs="仿宋"/>
                <w:color w:val="auto"/>
                <w:sz w:val="24"/>
                <w:szCs w:val="24"/>
                <w:highlight w:val="none"/>
              </w:rPr>
            </w:pPr>
          </w:p>
        </w:tc>
        <w:tc>
          <w:tcPr>
            <w:tcW w:w="567" w:type="dxa"/>
            <w:tcBorders>
              <w:top w:val="single" w:color="auto" w:sz="4" w:space="0"/>
              <w:left w:val="single" w:color="auto" w:sz="4" w:space="0"/>
              <w:bottom w:val="single" w:color="auto" w:sz="4" w:space="0"/>
              <w:right w:val="single" w:color="auto" w:sz="4" w:space="0"/>
            </w:tcBorders>
            <w:vAlign w:val="center"/>
          </w:tcPr>
          <w:p>
            <w:pPr>
              <w:shd w:val="clear" w:color="auto" w:fill="FFFFFF"/>
              <w:kinsoku/>
              <w:wordWrap/>
              <w:overflowPunct/>
              <w:bidi w:val="0"/>
              <w:spacing w:beforeAutospacing="0" w:line="440" w:lineRule="exact"/>
              <w:ind w:left="0" w:leftChars="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w:t>
            </w:r>
          </w:p>
        </w:tc>
        <w:tc>
          <w:tcPr>
            <w:tcW w:w="5953" w:type="dxa"/>
            <w:tcBorders>
              <w:top w:val="single" w:color="auto" w:sz="4" w:space="0"/>
              <w:left w:val="single" w:color="auto" w:sz="4" w:space="0"/>
              <w:bottom w:val="single" w:color="auto" w:sz="4" w:space="0"/>
              <w:right w:val="single" w:color="auto" w:sz="4" w:space="0"/>
            </w:tcBorders>
            <w:vAlign w:val="center"/>
          </w:tcPr>
          <w:p>
            <w:pPr>
              <w:shd w:val="clear" w:color="auto" w:fill="FFFFFF"/>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是否满足采购文件实质性要求的其他情形</w:t>
            </w:r>
          </w:p>
        </w:tc>
        <w:tc>
          <w:tcPr>
            <w:tcW w:w="709" w:type="dxa"/>
            <w:tcBorders>
              <w:top w:val="single" w:color="auto" w:sz="4" w:space="0"/>
              <w:left w:val="single" w:color="auto" w:sz="4" w:space="0"/>
              <w:bottom w:val="single" w:color="auto" w:sz="4" w:space="0"/>
              <w:right w:val="single" w:color="auto" w:sz="4" w:space="0"/>
            </w:tcBorders>
            <w:vAlign w:val="center"/>
          </w:tcPr>
          <w:p>
            <w:pPr>
              <w:shd w:val="clear" w:color="auto" w:fill="FFFFFF"/>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pPr>
              <w:shd w:val="clear" w:color="auto" w:fill="FFFFFF"/>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p>
        </w:tc>
        <w:tc>
          <w:tcPr>
            <w:tcW w:w="708" w:type="dxa"/>
            <w:tcBorders>
              <w:top w:val="single" w:color="auto" w:sz="4" w:space="0"/>
              <w:left w:val="single" w:color="auto" w:sz="4" w:space="0"/>
              <w:bottom w:val="single" w:color="auto" w:sz="4" w:space="0"/>
              <w:right w:val="single" w:color="auto" w:sz="4" w:space="0"/>
            </w:tcBorders>
            <w:vAlign w:val="center"/>
          </w:tcPr>
          <w:p>
            <w:pPr>
              <w:shd w:val="clear" w:color="auto" w:fill="FFFFFF"/>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p>
        </w:tc>
        <w:tc>
          <w:tcPr>
            <w:tcW w:w="651" w:type="dxa"/>
            <w:tcBorders>
              <w:top w:val="single" w:color="auto" w:sz="4" w:space="0"/>
              <w:left w:val="single" w:color="auto" w:sz="4" w:space="0"/>
              <w:bottom w:val="single" w:color="auto" w:sz="4" w:space="0"/>
              <w:right w:val="single" w:color="auto" w:sz="4" w:space="0"/>
            </w:tcBorders>
            <w:vAlign w:val="center"/>
          </w:tcPr>
          <w:p>
            <w:pPr>
              <w:shd w:val="clear" w:color="auto" w:fill="FFFFFF"/>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atLeast"/>
        </w:trPr>
        <w:tc>
          <w:tcPr>
            <w:tcW w:w="9831" w:type="dxa"/>
            <w:gridSpan w:val="7"/>
            <w:tcBorders>
              <w:top w:val="single" w:color="auto" w:sz="4" w:space="0"/>
              <w:left w:val="single" w:color="auto" w:sz="4" w:space="0"/>
              <w:bottom w:val="single" w:color="auto" w:sz="4" w:space="0"/>
              <w:right w:val="single" w:color="auto" w:sz="4" w:space="0"/>
            </w:tcBorders>
            <w:vAlign w:val="center"/>
          </w:tcPr>
          <w:p>
            <w:pPr>
              <w:shd w:val="clear" w:color="auto" w:fill="FFFFFF"/>
              <w:kinsoku/>
              <w:wordWrap/>
              <w:overflowPunct/>
              <w:bidi w:val="0"/>
              <w:spacing w:beforeAutospacing="0" w:line="440" w:lineRule="exact"/>
              <w:ind w:left="0" w:leftChars="0" w:right="0"/>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结论：是否通过初步评审</w:t>
            </w:r>
            <w:r>
              <w:rPr>
                <w:rFonts w:hint="eastAsia" w:ascii="仿宋" w:hAnsi="仿宋" w:eastAsia="仿宋" w:cs="仿宋"/>
                <w:b/>
                <w:color w:val="auto"/>
                <w:sz w:val="24"/>
                <w:szCs w:val="24"/>
                <w:highlight w:val="none"/>
              </w:rPr>
              <w:t>（</w:t>
            </w:r>
            <w:r>
              <w:rPr>
                <w:rFonts w:hint="eastAsia" w:ascii="仿宋" w:hAnsi="仿宋" w:eastAsia="仿宋" w:cs="仿宋"/>
                <w:color w:val="auto"/>
                <w:sz w:val="24"/>
                <w:szCs w:val="24"/>
                <w:highlight w:val="none"/>
              </w:rPr>
              <w:t>初步评审合格后方可进入详细评审阶段</w:t>
            </w:r>
            <w:r>
              <w:rPr>
                <w:rFonts w:hint="eastAsia" w:ascii="仿宋" w:hAnsi="仿宋" w:eastAsia="仿宋" w:cs="仿宋"/>
                <w:b/>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7" w:hRule="atLeast"/>
        </w:trPr>
        <w:tc>
          <w:tcPr>
            <w:tcW w:w="9831" w:type="dxa"/>
            <w:gridSpan w:val="7"/>
            <w:tcBorders>
              <w:top w:val="single" w:color="auto" w:sz="4" w:space="0"/>
              <w:left w:val="single" w:color="auto" w:sz="4" w:space="0"/>
              <w:bottom w:val="single" w:color="auto" w:sz="4" w:space="0"/>
              <w:right w:val="single" w:color="auto" w:sz="4" w:space="0"/>
            </w:tcBorders>
          </w:tcPr>
          <w:p>
            <w:pPr>
              <w:shd w:val="clear" w:color="auto" w:fill="FFFFFF"/>
              <w:kinsoku/>
              <w:wordWrap/>
              <w:overflowPunct/>
              <w:bidi w:val="0"/>
              <w:spacing w:beforeAutospacing="0" w:line="440" w:lineRule="exact"/>
              <w:ind w:left="0" w:leftChars="0" w:right="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评标委员会成员签名：</w:t>
            </w:r>
          </w:p>
          <w:p>
            <w:pPr>
              <w:shd w:val="clear" w:color="auto" w:fill="FFFFFF"/>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0" w:hRule="atLeast"/>
        </w:trPr>
        <w:tc>
          <w:tcPr>
            <w:tcW w:w="9831" w:type="dxa"/>
            <w:gridSpan w:val="7"/>
            <w:tcBorders>
              <w:top w:val="single" w:color="auto" w:sz="4" w:space="0"/>
              <w:left w:val="single" w:color="auto" w:sz="4" w:space="0"/>
              <w:bottom w:val="single" w:color="auto" w:sz="4" w:space="0"/>
              <w:right w:val="single" w:color="auto" w:sz="4" w:space="0"/>
            </w:tcBorders>
            <w:vAlign w:val="center"/>
          </w:tcPr>
          <w:p>
            <w:pPr>
              <w:shd w:val="clear" w:color="auto" w:fill="FFFFFF"/>
              <w:kinsoku/>
              <w:wordWrap/>
              <w:overflowPunct/>
              <w:bidi w:val="0"/>
              <w:spacing w:beforeAutospacing="0" w:line="440" w:lineRule="exact"/>
              <w:ind w:left="0" w:leftChars="0" w:right="0"/>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备注：如果投标文件中有一项未通过上述审查标准，评标委员会将认定整个投标文件不响应采购文件而予以投标无效，并且不允许投标人通过修改或撤销其不符合要求的差异或保留，使之成为具有响应性的投标。通过重大偏差审核的以“√”标记；未通过重大偏差审核的以“×”标记，并予以说明。</w:t>
            </w:r>
          </w:p>
        </w:tc>
      </w:tr>
    </w:tbl>
    <w:p>
      <w:pPr>
        <w:numPr>
          <w:ilvl w:val="0"/>
          <w:numId w:val="10"/>
        </w:numPr>
        <w:kinsoku/>
        <w:wordWrap/>
        <w:overflowPunct/>
        <w:bidi w:val="0"/>
        <w:spacing w:beforeAutospacing="0" w:line="440" w:lineRule="exact"/>
        <w:ind w:left="0" w:leftChars="0" w:right="0"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标委员会确定每一投标是否对招标文件的要求作出了实质性的响应，而没有重大偏离。实质性响应的投标是指投标符合招标文件的所有条款、条件和规定且没有重大偏离或保留。重大偏离或保留系指影响到招标文件规定的供货范围、质量和性能，或限制了买方的权利和投标商的义务的规定，而纠正这些偏离将影响到其他提交实质性响应投标的投标商的公平竞争地位。其中，供应商的报价超出采购预算的、供应商未按招标文件要求提供完整资料的，均视为未实质性响应招标文件的要求，其投标文件可能被拒绝或导致废标。</w:t>
      </w:r>
    </w:p>
    <w:p>
      <w:pPr>
        <w:numPr>
          <w:ilvl w:val="0"/>
          <w:numId w:val="10"/>
        </w:num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对投标文件的评估和比较</w:t>
      </w:r>
    </w:p>
    <w:p>
      <w:pPr>
        <w:kinsoku/>
        <w:wordWrap/>
        <w:overflowPunct/>
        <w:bidi w:val="0"/>
        <w:spacing w:beforeAutospacing="0" w:line="440" w:lineRule="exact"/>
        <w:ind w:left="0" w:leftChars="0" w:right="0"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对投标文件的评估和比较分为两步进行，评标委员会按照招标文件要求对投标文件中的投标商资格、投标商资格证明文件、重要技术指标以及技术和商务上要求的其它重要内容进行审核，审核合格后即视为实质性响应的投标文件，进行第二个步骤：对实质性响应的投标文件进行评估和比较采用综合评分法进行打分评比，打分方法：</w:t>
      </w:r>
    </w:p>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评价指标及权重：</w:t>
      </w:r>
    </w:p>
    <w:tbl>
      <w:tblPr>
        <w:tblStyle w:val="51"/>
        <w:tblW w:w="9212" w:type="dxa"/>
        <w:jc w:val="center"/>
        <w:tblLayout w:type="fixed"/>
        <w:tblCellMar>
          <w:top w:w="0" w:type="dxa"/>
          <w:left w:w="0" w:type="dxa"/>
          <w:bottom w:w="0" w:type="dxa"/>
          <w:right w:w="0" w:type="dxa"/>
        </w:tblCellMar>
      </w:tblPr>
      <w:tblGrid>
        <w:gridCol w:w="2537"/>
        <w:gridCol w:w="2614"/>
        <w:gridCol w:w="1728"/>
        <w:gridCol w:w="2333"/>
      </w:tblGrid>
      <w:tr>
        <w:tblPrEx>
          <w:tblCellMar>
            <w:top w:w="0" w:type="dxa"/>
            <w:left w:w="0" w:type="dxa"/>
            <w:bottom w:w="0" w:type="dxa"/>
            <w:right w:w="0" w:type="dxa"/>
          </w:tblCellMar>
        </w:tblPrEx>
        <w:trPr>
          <w:trHeight w:val="382" w:hRule="atLeast"/>
          <w:jc w:val="center"/>
        </w:trPr>
        <w:tc>
          <w:tcPr>
            <w:tcW w:w="253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insoku/>
              <w:wordWrap/>
              <w:overflowPunct/>
              <w:bidi w:val="0"/>
              <w:spacing w:beforeAutospacing="0" w:line="440" w:lineRule="exact"/>
              <w:ind w:left="0" w:leftChars="0" w:right="0"/>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评分项目</w:t>
            </w:r>
          </w:p>
        </w:tc>
        <w:tc>
          <w:tcPr>
            <w:tcW w:w="26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insoku/>
              <w:wordWrap/>
              <w:overflowPunct/>
              <w:bidi w:val="0"/>
              <w:spacing w:beforeAutospacing="0" w:line="440" w:lineRule="exact"/>
              <w:ind w:left="0" w:leftChars="0" w:right="0"/>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技术评分</w:t>
            </w:r>
          </w:p>
        </w:tc>
        <w:tc>
          <w:tcPr>
            <w:tcW w:w="172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insoku/>
              <w:wordWrap/>
              <w:overflowPunct/>
              <w:bidi w:val="0"/>
              <w:spacing w:beforeAutospacing="0" w:line="440" w:lineRule="exact"/>
              <w:ind w:left="0" w:leftChars="0" w:right="0"/>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商务评分</w:t>
            </w:r>
          </w:p>
        </w:tc>
        <w:tc>
          <w:tcPr>
            <w:tcW w:w="23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insoku/>
              <w:wordWrap/>
              <w:overflowPunct/>
              <w:bidi w:val="0"/>
              <w:spacing w:beforeAutospacing="0" w:line="440" w:lineRule="exact"/>
              <w:ind w:left="0" w:leftChars="0" w:right="0"/>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价格评分</w:t>
            </w:r>
          </w:p>
        </w:tc>
      </w:tr>
      <w:tr>
        <w:tblPrEx>
          <w:tblCellMar>
            <w:top w:w="0" w:type="dxa"/>
            <w:left w:w="0" w:type="dxa"/>
            <w:bottom w:w="0" w:type="dxa"/>
            <w:right w:w="0" w:type="dxa"/>
          </w:tblCellMar>
        </w:tblPrEx>
        <w:trPr>
          <w:trHeight w:val="402" w:hRule="atLeast"/>
          <w:jc w:val="center"/>
        </w:trPr>
        <w:tc>
          <w:tcPr>
            <w:tcW w:w="253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insoku/>
              <w:wordWrap/>
              <w:overflowPunct/>
              <w:bidi w:val="0"/>
              <w:spacing w:beforeAutospacing="0" w:line="440" w:lineRule="exact"/>
              <w:ind w:left="0" w:leftChars="0" w:right="0"/>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分值</w:t>
            </w:r>
          </w:p>
        </w:tc>
        <w:tc>
          <w:tcPr>
            <w:tcW w:w="26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insoku/>
              <w:wordWrap/>
              <w:overflowPunct/>
              <w:bidi w:val="0"/>
              <w:spacing w:beforeAutospacing="0" w:line="440" w:lineRule="exact"/>
              <w:ind w:left="0" w:leftChars="0" w:right="0"/>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55分</w:t>
            </w:r>
          </w:p>
        </w:tc>
        <w:tc>
          <w:tcPr>
            <w:tcW w:w="172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insoku/>
              <w:wordWrap/>
              <w:overflowPunct/>
              <w:bidi w:val="0"/>
              <w:spacing w:beforeAutospacing="0" w:line="440" w:lineRule="exact"/>
              <w:ind w:left="0" w:leftChars="0" w:right="0"/>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15分</w:t>
            </w:r>
          </w:p>
        </w:tc>
        <w:tc>
          <w:tcPr>
            <w:tcW w:w="23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insoku/>
              <w:wordWrap/>
              <w:overflowPunct/>
              <w:bidi w:val="0"/>
              <w:spacing w:beforeAutospacing="0" w:line="440" w:lineRule="exact"/>
              <w:ind w:left="0" w:leftChars="0" w:right="0"/>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30分</w:t>
            </w:r>
          </w:p>
        </w:tc>
      </w:tr>
    </w:tbl>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价格部分（30分）</w:t>
      </w:r>
    </w:p>
    <w:p>
      <w:pPr>
        <w:kinsoku/>
        <w:wordWrap/>
        <w:overflowPunct/>
        <w:bidi w:val="0"/>
        <w:spacing w:beforeAutospacing="0" w:line="440" w:lineRule="exact"/>
        <w:ind w:left="0" w:leftChars="0" w:right="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投标报价的初步评审：</w:t>
      </w:r>
    </w:p>
    <w:p>
      <w:pPr>
        <w:kinsoku/>
        <w:wordWrap/>
        <w:overflowPunct/>
        <w:bidi w:val="0"/>
        <w:spacing w:beforeAutospacing="0" w:line="44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依据《中华人民共和国招投标法》第33条、第41条及财政部令第87号（以下简称87号令）第六十条、《反不正当竞争法》中相关法律条款的内容规定。投标人须积极响应相关法律条文规定。</w:t>
      </w:r>
    </w:p>
    <w:p>
      <w:pPr>
        <w:kinsoku/>
        <w:wordWrap/>
        <w:overflowPunct/>
        <w:bidi w:val="0"/>
        <w:spacing w:beforeAutospacing="0" w:line="44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当投标报价明显低于其他投标报价时，评标委员会将对其进行重点评审。评标委员会认为低于成本价的，应当要求该投标人作出书面说明并提供证明不低于其研发、生产、制造成本的证明材料（要求：①证明材料必须能符合或优于本项目所采购货物的实际情况；②证明材料必须以扫描</w:t>
      </w:r>
      <w:bookmarkStart w:id="33" w:name="_GoBack"/>
      <w:bookmarkEnd w:id="33"/>
      <w:r>
        <w:rPr>
          <w:rFonts w:hint="eastAsia" w:ascii="仿宋" w:hAnsi="仿宋" w:eastAsia="仿宋" w:cs="仿宋"/>
          <w:color w:val="auto"/>
          <w:sz w:val="24"/>
          <w:szCs w:val="24"/>
          <w:highlight w:val="none"/>
        </w:rPr>
        <w:t>件的形式插入投标文件相关章节中；③证明材料的原件开标时须携带备查；④提供证明材料的期限为竞标当日评标开始至评标结束，逾期不作任何解释；⑤证明材料的真实性必须有依据，以备当场核查）。投标人不能合理说明或者不能提供相关证明材料的，由评标委员会认定该投标人以低于成本报价竞价，应当否决其投标。</w:t>
      </w:r>
    </w:p>
    <w:p>
      <w:pPr>
        <w:kinsoku/>
        <w:wordWrap/>
        <w:overflowPunct/>
        <w:bidi w:val="0"/>
        <w:spacing w:beforeAutospacing="0" w:line="440" w:lineRule="exact"/>
        <w:ind w:left="0" w:leftChars="0" w:right="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投标报价得分的评分方法：</w:t>
      </w:r>
    </w:p>
    <w:p>
      <w:pPr>
        <w:widowControl/>
        <w:kinsoku/>
        <w:wordWrap/>
        <w:overflowPunct/>
        <w:bidi w:val="0"/>
        <w:spacing w:beforeAutospacing="0" w:line="440" w:lineRule="exact"/>
        <w:ind w:left="0" w:leftChars="0" w:right="0" w:firstLine="544" w:firstLineChars="227"/>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只对通过评标委员会对投标报价的初步评审的投标企业进入价格得分计算；</w:t>
      </w:r>
    </w:p>
    <w:p>
      <w:pPr>
        <w:widowControl/>
        <w:kinsoku/>
        <w:wordWrap/>
        <w:overflowPunct/>
        <w:bidi w:val="0"/>
        <w:spacing w:beforeAutospacing="0" w:line="440" w:lineRule="exact"/>
        <w:ind w:left="0" w:leftChars="0" w:right="0" w:firstLine="544" w:firstLineChars="227"/>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用低价优先法计算，即满足招标文件要求且经评审的投标价格最低的投标报价为评标基准价，其价格得分为满分。其他投标人的价格得分统一按照下列公式计算：价格得分=（评标基准价/投标报价）×30%×100，如此类推，算出所有投标供应商的价格得分。</w:t>
      </w:r>
    </w:p>
    <w:p>
      <w:pPr>
        <w:widowControl/>
        <w:kinsoku/>
        <w:wordWrap/>
        <w:overflowPunct/>
        <w:bidi w:val="0"/>
        <w:spacing w:beforeAutospacing="0" w:line="440" w:lineRule="exact"/>
        <w:ind w:left="0" w:leftChars="0" w:right="0" w:firstLine="544" w:firstLineChars="227"/>
        <w:jc w:val="left"/>
        <w:rPr>
          <w:rFonts w:hint="eastAsia" w:ascii="仿宋" w:hAnsi="仿宋" w:eastAsia="仿宋" w:cs="仿宋"/>
          <w:color w:val="auto"/>
          <w:sz w:val="24"/>
          <w:szCs w:val="24"/>
          <w:highlight w:val="none"/>
        </w:rPr>
      </w:pPr>
    </w:p>
    <w:p>
      <w:pPr>
        <w:widowControl/>
        <w:kinsoku/>
        <w:wordWrap/>
        <w:overflowPunct/>
        <w:bidi w:val="0"/>
        <w:spacing w:beforeAutospacing="0" w:line="440" w:lineRule="exact"/>
        <w:ind w:left="0" w:leftChars="0" w:right="0" w:firstLine="544" w:firstLineChars="227"/>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法律、法规、规章和省级以上财政部门涉及政府采购政策功能及其他规定，见投标人须知前附表。评委会应根据招标文件规定，优先推荐节能环保产品，优先考虑中小企业。</w:t>
      </w:r>
    </w:p>
    <w:p>
      <w:pPr>
        <w:widowControl/>
        <w:kinsoku/>
        <w:wordWrap/>
        <w:overflowPunct/>
        <w:bidi w:val="0"/>
        <w:spacing w:beforeAutospacing="0" w:line="440" w:lineRule="exact"/>
        <w:ind w:left="0" w:leftChars="0" w:right="0" w:firstLine="544" w:firstLineChars="227"/>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投标人获得相应政府采购政策优惠的，应提供相关证明材料。</w:t>
      </w:r>
    </w:p>
    <w:p>
      <w:pPr>
        <w:widowControl/>
        <w:kinsoku/>
        <w:wordWrap/>
        <w:overflowPunct/>
        <w:bidi w:val="0"/>
        <w:spacing w:beforeAutospacing="0" w:line="440" w:lineRule="exact"/>
        <w:ind w:left="0" w:leftChars="0" w:right="0" w:firstLine="544" w:firstLineChars="227"/>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对中小微企业执行财库〔2011〕181号文件的规定，对其投标报价按6%扣除后的价格作为其评标价。不符合财库〔2011〕181号文件的规定企业的产品价格不予扣除，其投标报价即为评标价。</w:t>
      </w:r>
    </w:p>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评分细则</w:t>
      </w:r>
    </w:p>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p>
    <w:tbl>
      <w:tblPr>
        <w:tblStyle w:val="51"/>
        <w:tblW w:w="9350"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0" w:type="dxa"/>
          <w:bottom w:w="0" w:type="dxa"/>
          <w:right w:w="0" w:type="dxa"/>
        </w:tblCellMar>
      </w:tblPr>
      <w:tblGrid>
        <w:gridCol w:w="1001"/>
        <w:gridCol w:w="2150"/>
        <w:gridCol w:w="6199"/>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431" w:hRule="atLeast"/>
          <w:jc w:val="center"/>
        </w:trPr>
        <w:tc>
          <w:tcPr>
            <w:tcW w:w="1001" w:type="dxa"/>
            <w:vAlign w:val="center"/>
          </w:tcPr>
          <w:p>
            <w:pPr>
              <w:kinsoku/>
              <w:wordWrap/>
              <w:overflowPunct/>
              <w:bidi w:val="0"/>
              <w:spacing w:beforeAutospacing="0" w:line="440" w:lineRule="exact"/>
              <w:ind w:left="0" w:leftChars="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评审项目</w:t>
            </w:r>
          </w:p>
        </w:tc>
        <w:tc>
          <w:tcPr>
            <w:tcW w:w="2150" w:type="dxa"/>
            <w:vAlign w:val="center"/>
          </w:tcPr>
          <w:p>
            <w:pPr>
              <w:kinsoku/>
              <w:wordWrap/>
              <w:overflowPunct/>
              <w:bidi w:val="0"/>
              <w:spacing w:beforeAutospacing="0" w:line="440" w:lineRule="exact"/>
              <w:ind w:left="0" w:leftChars="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标准分</w:t>
            </w:r>
          </w:p>
        </w:tc>
        <w:tc>
          <w:tcPr>
            <w:tcW w:w="6199" w:type="dxa"/>
            <w:vAlign w:val="center"/>
          </w:tcPr>
          <w:p>
            <w:pPr>
              <w:kinsoku/>
              <w:wordWrap/>
              <w:overflowPunct/>
              <w:bidi w:val="0"/>
              <w:spacing w:beforeAutospacing="0" w:line="440" w:lineRule="exact"/>
              <w:ind w:left="0" w:leftChars="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  分  标  准</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1474" w:hRule="atLeast"/>
          <w:jc w:val="center"/>
        </w:trPr>
        <w:tc>
          <w:tcPr>
            <w:tcW w:w="1001" w:type="dxa"/>
            <w:vAlign w:val="center"/>
          </w:tcPr>
          <w:p>
            <w:pPr>
              <w:kinsoku/>
              <w:wordWrap/>
              <w:overflowPunct/>
              <w:bidi w:val="0"/>
              <w:spacing w:beforeAutospacing="0" w:line="440" w:lineRule="exact"/>
              <w:ind w:left="0" w:leftChars="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报价部分</w:t>
            </w:r>
          </w:p>
          <w:p>
            <w:pPr>
              <w:kinsoku/>
              <w:wordWrap/>
              <w:overflowPunct/>
              <w:bidi w:val="0"/>
              <w:spacing w:beforeAutospacing="0" w:line="440" w:lineRule="exact"/>
              <w:ind w:left="0" w:leftChars="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（30分）</w:t>
            </w:r>
          </w:p>
        </w:tc>
        <w:tc>
          <w:tcPr>
            <w:tcW w:w="2150" w:type="dxa"/>
            <w:vAlign w:val="center"/>
          </w:tcPr>
          <w:p>
            <w:pPr>
              <w:kinsoku/>
              <w:wordWrap/>
              <w:overflowPunct/>
              <w:bidi w:val="0"/>
              <w:spacing w:beforeAutospacing="0" w:line="440" w:lineRule="exact"/>
              <w:ind w:left="0" w:leftChars="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评标价格（30分）</w:t>
            </w:r>
          </w:p>
        </w:tc>
        <w:tc>
          <w:tcPr>
            <w:tcW w:w="6199" w:type="dxa"/>
            <w:vAlign w:val="center"/>
          </w:tcPr>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（1）确定评审基准价：自所有投标人的有效报价中，满足招标文件要求且投标价格最低的投标报价为评标基准价。</w:t>
            </w:r>
          </w:p>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（2）各投标人的报价得分=（评标基准价/各投标人的投标报价）×30</w:t>
            </w:r>
          </w:p>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若投标人投标报价超出采购预算的，作为无效投标处理。</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trHeight w:val="592" w:hRule="atLeast"/>
          <w:jc w:val="center"/>
        </w:trPr>
        <w:tc>
          <w:tcPr>
            <w:tcW w:w="9350" w:type="dxa"/>
            <w:gridSpan w:val="3"/>
            <w:vAlign w:val="center"/>
          </w:tcPr>
          <w:p>
            <w:pPr>
              <w:kinsoku/>
              <w:wordWrap/>
              <w:overflowPunct/>
              <w:bidi w:val="0"/>
              <w:spacing w:beforeAutospacing="0" w:line="440" w:lineRule="exact"/>
              <w:ind w:left="0" w:leftChars="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商务部分（15分）</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500" w:hRule="atLeast"/>
          <w:jc w:val="center"/>
        </w:trPr>
        <w:tc>
          <w:tcPr>
            <w:tcW w:w="1001" w:type="dxa"/>
            <w:vMerge w:val="restart"/>
            <w:vAlign w:val="center"/>
          </w:tcPr>
          <w:p>
            <w:pPr>
              <w:kinsoku/>
              <w:wordWrap/>
              <w:overflowPunct/>
              <w:bidi w:val="0"/>
              <w:spacing w:beforeAutospacing="0" w:line="440" w:lineRule="exact"/>
              <w:ind w:left="0" w:leftChars="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商务部分</w:t>
            </w:r>
          </w:p>
          <w:p>
            <w:pPr>
              <w:kinsoku/>
              <w:wordWrap/>
              <w:overflowPunct/>
              <w:bidi w:val="0"/>
              <w:spacing w:beforeAutospacing="0" w:line="440" w:lineRule="exact"/>
              <w:ind w:left="0" w:leftChars="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（15分）</w:t>
            </w:r>
          </w:p>
        </w:tc>
        <w:tc>
          <w:tcPr>
            <w:tcW w:w="2150" w:type="dxa"/>
            <w:tcBorders>
              <w:bottom w:val="single" w:color="auto" w:sz="4" w:space="0"/>
            </w:tcBorders>
            <w:vAlign w:val="center"/>
          </w:tcPr>
          <w:p>
            <w:pPr>
              <w:kinsoku/>
              <w:wordWrap/>
              <w:overflowPunct/>
              <w:bidi w:val="0"/>
              <w:adjustRightInd w:val="0"/>
              <w:snapToGrid w:val="0"/>
              <w:spacing w:beforeAutospacing="0" w:line="440" w:lineRule="exact"/>
              <w:ind w:left="0" w:leftChars="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近三年业绩（6分）</w:t>
            </w:r>
          </w:p>
        </w:tc>
        <w:tc>
          <w:tcPr>
            <w:tcW w:w="6199" w:type="dxa"/>
            <w:tcBorders>
              <w:bottom w:val="single" w:color="auto" w:sz="4" w:space="0"/>
            </w:tcBorders>
            <w:vAlign w:val="center"/>
          </w:tcPr>
          <w:p>
            <w:pPr>
              <w:kinsoku/>
              <w:wordWrap/>
              <w:overflowPunct/>
              <w:bidi w:val="0"/>
              <w:adjustRightInd w:val="0"/>
              <w:snapToGrid w:val="0"/>
              <w:spacing w:beforeAutospacing="0" w:line="440" w:lineRule="exact"/>
              <w:ind w:left="0" w:leftChars="0" w:right="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提供近三年投标产品业绩，需提供中标通知书和合同或协议，不提供不得分，（2018年6月至今，以合同或协议签字日期为准）在中国境内的销售业绩进行评价，有1项业绩得1分，最高得6分。</w:t>
            </w:r>
          </w:p>
          <w:p>
            <w:pPr>
              <w:kinsoku/>
              <w:wordWrap/>
              <w:overflowPunct/>
              <w:bidi w:val="0"/>
              <w:adjustRightInd w:val="0"/>
              <w:snapToGrid w:val="0"/>
              <w:spacing w:beforeAutospacing="0" w:line="440" w:lineRule="exact"/>
              <w:ind w:left="0" w:leftChars="0" w:right="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注：1、投标人需提供中标通知书（中标通知书）、采购合同或协议（含首页、采购设备品牌型号页，签字和盖章页）复印件，否则业绩不予认可。</w:t>
            </w:r>
          </w:p>
          <w:p>
            <w:pPr>
              <w:kinsoku/>
              <w:wordWrap/>
              <w:overflowPunct/>
              <w:bidi w:val="0"/>
              <w:adjustRightInd w:val="0"/>
              <w:snapToGrid w:val="0"/>
              <w:spacing w:beforeAutospacing="0" w:line="440" w:lineRule="exact"/>
              <w:ind w:left="0" w:leftChars="0" w:right="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2、投标产品销售给经销商或代理商的销售业绩不予认可。</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312" w:hRule="atLeast"/>
          <w:jc w:val="center"/>
        </w:trPr>
        <w:tc>
          <w:tcPr>
            <w:tcW w:w="1001" w:type="dxa"/>
            <w:vMerge w:val="continue"/>
            <w:vAlign w:val="center"/>
          </w:tcPr>
          <w:p>
            <w:pPr>
              <w:kinsoku/>
              <w:wordWrap/>
              <w:overflowPunct/>
              <w:bidi w:val="0"/>
              <w:spacing w:beforeAutospacing="0" w:line="440" w:lineRule="exact"/>
              <w:ind w:left="0" w:leftChars="0" w:right="0"/>
              <w:jc w:val="center"/>
              <w:rPr>
                <w:rFonts w:hint="eastAsia" w:ascii="仿宋" w:hAnsi="仿宋" w:eastAsia="仿宋" w:cs="仿宋"/>
                <w:color w:val="auto"/>
                <w:sz w:val="24"/>
                <w:szCs w:val="24"/>
                <w:highlight w:val="none"/>
              </w:rPr>
            </w:pPr>
          </w:p>
        </w:tc>
        <w:tc>
          <w:tcPr>
            <w:tcW w:w="2150" w:type="dxa"/>
            <w:tcBorders>
              <w:top w:val="single" w:color="auto" w:sz="4" w:space="0"/>
            </w:tcBorders>
            <w:vAlign w:val="center"/>
          </w:tcPr>
          <w:p>
            <w:pPr>
              <w:kinsoku/>
              <w:wordWrap/>
              <w:overflowPunct/>
              <w:bidi w:val="0"/>
              <w:spacing w:beforeAutospacing="0" w:line="440" w:lineRule="exact"/>
              <w:ind w:left="0" w:leftChars="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对招标文件商务条款的响应程度（2分）</w:t>
            </w:r>
          </w:p>
        </w:tc>
        <w:tc>
          <w:tcPr>
            <w:tcW w:w="6199" w:type="dxa"/>
            <w:tcBorders>
              <w:top w:val="single" w:color="auto" w:sz="4" w:space="0"/>
            </w:tcBorders>
            <w:vAlign w:val="center"/>
          </w:tcPr>
          <w:p>
            <w:pPr>
              <w:kinsoku/>
              <w:wordWrap/>
              <w:overflowPunct/>
              <w:bidi w:val="0"/>
              <w:adjustRightInd w:val="0"/>
              <w:snapToGrid w:val="0"/>
              <w:spacing w:beforeAutospacing="0" w:line="440" w:lineRule="exact"/>
              <w:ind w:left="0" w:leftChars="0" w:right="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响应全面，全部符合，得2分，响应不全面或有不符合的情况适当减分，最低分为0分。</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312" w:hRule="atLeast"/>
          <w:jc w:val="center"/>
        </w:trPr>
        <w:tc>
          <w:tcPr>
            <w:tcW w:w="1001" w:type="dxa"/>
            <w:vMerge w:val="continue"/>
            <w:vAlign w:val="center"/>
          </w:tcPr>
          <w:p>
            <w:pPr>
              <w:kinsoku/>
              <w:wordWrap/>
              <w:overflowPunct/>
              <w:bidi w:val="0"/>
              <w:spacing w:beforeAutospacing="0" w:line="440" w:lineRule="exact"/>
              <w:ind w:left="0" w:leftChars="0" w:right="0"/>
              <w:jc w:val="center"/>
              <w:rPr>
                <w:rFonts w:hint="eastAsia" w:ascii="仿宋" w:hAnsi="仿宋" w:eastAsia="仿宋" w:cs="仿宋"/>
                <w:color w:val="auto"/>
                <w:sz w:val="24"/>
                <w:szCs w:val="24"/>
                <w:highlight w:val="none"/>
              </w:rPr>
            </w:pPr>
          </w:p>
        </w:tc>
        <w:tc>
          <w:tcPr>
            <w:tcW w:w="2150" w:type="dxa"/>
            <w:tcBorders>
              <w:top w:val="single" w:color="auto" w:sz="4" w:space="0"/>
            </w:tcBorders>
            <w:vAlign w:val="center"/>
          </w:tcPr>
          <w:p>
            <w:pPr>
              <w:kinsoku/>
              <w:wordWrap/>
              <w:overflowPunct/>
              <w:bidi w:val="0"/>
              <w:spacing w:beforeAutospacing="0" w:line="440" w:lineRule="exact"/>
              <w:ind w:left="0" w:leftChars="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政府采购节约能源、环境保护评分（1分）</w:t>
            </w:r>
          </w:p>
        </w:tc>
        <w:tc>
          <w:tcPr>
            <w:tcW w:w="6199" w:type="dxa"/>
            <w:tcBorders>
              <w:top w:val="single" w:color="auto" w:sz="4" w:space="0"/>
            </w:tcBorders>
            <w:vAlign w:val="center"/>
          </w:tcPr>
          <w:p>
            <w:pPr>
              <w:kinsoku/>
              <w:wordWrap/>
              <w:overflowPunct/>
              <w:bidi w:val="0"/>
              <w:adjustRightInd w:val="0"/>
              <w:snapToGrid w:val="0"/>
              <w:spacing w:beforeAutospacing="0" w:line="440" w:lineRule="exact"/>
              <w:ind w:left="0" w:leftChars="0" w:right="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政府采购的强制采购产品除外：（1）投标产品属于财政部、发展改革委公布的“节能产品政府采购品目清单”范围的，且投标人出具了国家确定的认证机构出具的、处于有效期之内的节能产品认证证书的得0.5分；不是的为0分；</w:t>
            </w:r>
          </w:p>
          <w:p>
            <w:pPr>
              <w:kinsoku/>
              <w:wordWrap/>
              <w:overflowPunct/>
              <w:bidi w:val="0"/>
              <w:adjustRightInd w:val="0"/>
              <w:snapToGrid w:val="0"/>
              <w:spacing w:beforeAutospacing="0" w:line="440" w:lineRule="exact"/>
              <w:ind w:left="0" w:leftChars="0" w:right="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（2）投标产品属于财政部、生态环境部公布的“环境标志产品政府采购品目清单”范围的，且投标人出具了国家确定的认证机构出具的、处于有效期之内的节能产品认证证书的得0.5分；不是的为0分；</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312" w:hRule="atLeast"/>
          <w:jc w:val="center"/>
        </w:trPr>
        <w:tc>
          <w:tcPr>
            <w:tcW w:w="1001" w:type="dxa"/>
            <w:vMerge w:val="continue"/>
            <w:vAlign w:val="center"/>
          </w:tcPr>
          <w:p>
            <w:pPr>
              <w:kinsoku/>
              <w:wordWrap/>
              <w:overflowPunct/>
              <w:bidi w:val="0"/>
              <w:spacing w:beforeAutospacing="0" w:line="440" w:lineRule="exact"/>
              <w:ind w:left="0" w:leftChars="0" w:right="0"/>
              <w:jc w:val="center"/>
              <w:rPr>
                <w:rFonts w:hint="eastAsia" w:ascii="仿宋" w:hAnsi="仿宋" w:eastAsia="仿宋" w:cs="仿宋"/>
                <w:color w:val="auto"/>
                <w:sz w:val="24"/>
                <w:szCs w:val="24"/>
                <w:highlight w:val="none"/>
              </w:rPr>
            </w:pPr>
          </w:p>
        </w:tc>
        <w:tc>
          <w:tcPr>
            <w:tcW w:w="2150" w:type="dxa"/>
            <w:tcBorders>
              <w:top w:val="single" w:color="auto" w:sz="4" w:space="0"/>
            </w:tcBorders>
            <w:vAlign w:val="center"/>
          </w:tcPr>
          <w:p>
            <w:pPr>
              <w:kinsoku/>
              <w:wordWrap/>
              <w:overflowPunct/>
              <w:bidi w:val="0"/>
              <w:spacing w:beforeAutospacing="0" w:line="440" w:lineRule="exact"/>
              <w:ind w:left="0" w:leftChars="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售后服务体系（4分）</w:t>
            </w:r>
          </w:p>
          <w:p>
            <w:pPr>
              <w:kinsoku/>
              <w:wordWrap/>
              <w:overflowPunct/>
              <w:bidi w:val="0"/>
              <w:spacing w:beforeAutospacing="0" w:line="440" w:lineRule="exact"/>
              <w:ind w:left="0" w:leftChars="0" w:right="0"/>
              <w:jc w:val="center"/>
              <w:rPr>
                <w:rFonts w:hint="eastAsia" w:ascii="仿宋" w:hAnsi="仿宋" w:eastAsia="仿宋" w:cs="仿宋"/>
                <w:color w:val="auto"/>
                <w:sz w:val="24"/>
                <w:szCs w:val="24"/>
                <w:highlight w:val="none"/>
              </w:rPr>
            </w:pPr>
          </w:p>
        </w:tc>
        <w:tc>
          <w:tcPr>
            <w:tcW w:w="6199" w:type="dxa"/>
            <w:tcBorders>
              <w:top w:val="single" w:color="auto" w:sz="4" w:space="0"/>
            </w:tcBorders>
            <w:vAlign w:val="center"/>
          </w:tcPr>
          <w:p>
            <w:pPr>
              <w:pStyle w:val="399"/>
              <w:kinsoku/>
              <w:wordWrap/>
              <w:overflowPunct/>
              <w:bidi w:val="0"/>
              <w:spacing w:beforeAutospacing="0" w:line="440" w:lineRule="exact"/>
              <w:ind w:left="0" w:leftChars="0" w:right="0" w:firstLine="0" w:firstLineChars="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1.具有专职维修工程师，保证设备的日常维护及故障排除（1分）；</w:t>
            </w:r>
          </w:p>
          <w:p>
            <w:pPr>
              <w:pStyle w:val="399"/>
              <w:kinsoku/>
              <w:wordWrap/>
              <w:overflowPunct/>
              <w:bidi w:val="0"/>
              <w:spacing w:beforeAutospacing="0" w:line="440" w:lineRule="exact"/>
              <w:ind w:left="0" w:leftChars="0" w:right="0" w:firstLine="0" w:firstLineChars="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2.生产厂家在疆内设有售后服务机构（1分），拥有完善的售后服务保障体系（1分），设有常驻专业维修工程师以提供技术服务支持（1分）</w:t>
            </w:r>
          </w:p>
          <w:p>
            <w:pPr>
              <w:kinsoku/>
              <w:wordWrap/>
              <w:overflowPunct/>
              <w:bidi w:val="0"/>
              <w:adjustRightInd w:val="0"/>
              <w:snapToGrid w:val="0"/>
              <w:spacing w:beforeAutospacing="0" w:line="440" w:lineRule="exact"/>
              <w:ind w:left="0" w:leftChars="0" w:right="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附相应证明材料，否则不得分。</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312" w:hRule="atLeast"/>
          <w:jc w:val="center"/>
        </w:trPr>
        <w:tc>
          <w:tcPr>
            <w:tcW w:w="1001" w:type="dxa"/>
            <w:vMerge w:val="continue"/>
            <w:vAlign w:val="center"/>
          </w:tcPr>
          <w:p>
            <w:pPr>
              <w:kinsoku/>
              <w:wordWrap/>
              <w:overflowPunct/>
              <w:bidi w:val="0"/>
              <w:spacing w:beforeAutospacing="0" w:line="440" w:lineRule="exact"/>
              <w:ind w:left="0" w:leftChars="0" w:right="0"/>
              <w:jc w:val="center"/>
              <w:rPr>
                <w:rFonts w:hint="eastAsia" w:ascii="仿宋" w:hAnsi="仿宋" w:eastAsia="仿宋" w:cs="仿宋"/>
                <w:color w:val="auto"/>
                <w:sz w:val="24"/>
                <w:szCs w:val="24"/>
                <w:highlight w:val="none"/>
              </w:rPr>
            </w:pPr>
          </w:p>
        </w:tc>
        <w:tc>
          <w:tcPr>
            <w:tcW w:w="2150" w:type="dxa"/>
            <w:tcBorders>
              <w:top w:val="single" w:color="auto" w:sz="4" w:space="0"/>
            </w:tcBorders>
            <w:vAlign w:val="center"/>
          </w:tcPr>
          <w:p>
            <w:pPr>
              <w:pStyle w:val="399"/>
              <w:kinsoku/>
              <w:wordWrap/>
              <w:overflowPunct/>
              <w:bidi w:val="0"/>
              <w:spacing w:beforeAutospacing="0" w:line="440" w:lineRule="exact"/>
              <w:ind w:left="0" w:leftChars="0" w:right="0" w:firstLine="0" w:firstLineChars="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服务承诺（2分）</w:t>
            </w:r>
          </w:p>
        </w:tc>
        <w:tc>
          <w:tcPr>
            <w:tcW w:w="6199" w:type="dxa"/>
            <w:tcBorders>
              <w:top w:val="single" w:color="auto" w:sz="4" w:space="0"/>
            </w:tcBorders>
            <w:vAlign w:val="center"/>
          </w:tcPr>
          <w:p>
            <w:pPr>
              <w:pStyle w:val="399"/>
              <w:kinsoku/>
              <w:wordWrap/>
              <w:overflowPunct/>
              <w:bidi w:val="0"/>
              <w:spacing w:beforeAutospacing="0" w:line="440" w:lineRule="exact"/>
              <w:ind w:left="0" w:leftChars="0" w:right="0" w:firstLine="0" w:firstLineChars="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投标人提供的设备满足本项目质保期要求，质保期每增加1年加1分，满分2分；</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312" w:hRule="atLeast"/>
          <w:jc w:val="center"/>
        </w:trPr>
        <w:tc>
          <w:tcPr>
            <w:tcW w:w="9350" w:type="dxa"/>
            <w:gridSpan w:val="3"/>
            <w:vAlign w:val="center"/>
          </w:tcPr>
          <w:p>
            <w:pPr>
              <w:kinsoku/>
              <w:wordWrap/>
              <w:overflowPunct/>
              <w:bidi w:val="0"/>
              <w:spacing w:beforeAutospacing="0" w:line="440" w:lineRule="exact"/>
              <w:ind w:left="0" w:leftChars="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技术部分（55分）</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498" w:hRule="atLeast"/>
          <w:jc w:val="center"/>
        </w:trPr>
        <w:tc>
          <w:tcPr>
            <w:tcW w:w="1001" w:type="dxa"/>
            <w:vMerge w:val="restart"/>
            <w:vAlign w:val="center"/>
          </w:tcPr>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技术部分</w:t>
            </w:r>
          </w:p>
          <w:p>
            <w:pPr>
              <w:kinsoku/>
              <w:wordWrap/>
              <w:overflowPunct/>
              <w:bidi w:val="0"/>
              <w:spacing w:beforeAutospacing="0" w:line="440" w:lineRule="exact"/>
              <w:ind w:left="0" w:leftChars="0" w:right="0"/>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（55分）</w:t>
            </w:r>
          </w:p>
        </w:tc>
        <w:tc>
          <w:tcPr>
            <w:tcW w:w="2150" w:type="dxa"/>
            <w:vAlign w:val="center"/>
          </w:tcPr>
          <w:p>
            <w:pPr>
              <w:kinsoku/>
              <w:wordWrap/>
              <w:overflowPunct/>
              <w:bidi w:val="0"/>
              <w:adjustRightInd w:val="0"/>
              <w:snapToGrid w:val="0"/>
              <w:spacing w:beforeAutospacing="0" w:line="440" w:lineRule="exact"/>
              <w:ind w:left="0" w:leftChars="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对招标文件技术规格要求的响应程度（35分）</w:t>
            </w:r>
          </w:p>
        </w:tc>
        <w:tc>
          <w:tcPr>
            <w:tcW w:w="6199" w:type="dxa"/>
            <w:vAlign w:val="center"/>
          </w:tcPr>
          <w:p>
            <w:pPr>
              <w:kinsoku/>
              <w:wordWrap/>
              <w:overflowPunct/>
              <w:bidi w:val="0"/>
              <w:spacing w:beforeAutospacing="0" w:line="440" w:lineRule="exact"/>
              <w:ind w:left="0" w:leftChars="0" w:right="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技术规格响应全部满足招标要求的为35分，*条款不满足的扣5分，非*条款不满足的扣3分，扣完为止。</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498" w:hRule="atLeast"/>
          <w:jc w:val="center"/>
        </w:trPr>
        <w:tc>
          <w:tcPr>
            <w:tcW w:w="1001" w:type="dxa"/>
            <w:vMerge w:val="continue"/>
            <w:vAlign w:val="center"/>
          </w:tcPr>
          <w:p>
            <w:pPr>
              <w:kinsoku/>
              <w:wordWrap/>
              <w:overflowPunct/>
              <w:bidi w:val="0"/>
              <w:adjustRightInd w:val="0"/>
              <w:snapToGrid w:val="0"/>
              <w:spacing w:beforeAutospacing="0" w:line="440" w:lineRule="exact"/>
              <w:ind w:left="0" w:leftChars="0" w:right="0"/>
              <w:jc w:val="center"/>
              <w:rPr>
                <w:rFonts w:hint="eastAsia" w:ascii="仿宋" w:hAnsi="仿宋" w:eastAsia="仿宋" w:cs="仿宋"/>
                <w:bCs/>
                <w:color w:val="auto"/>
                <w:sz w:val="24"/>
                <w:szCs w:val="24"/>
                <w:highlight w:val="none"/>
              </w:rPr>
            </w:pPr>
          </w:p>
        </w:tc>
        <w:tc>
          <w:tcPr>
            <w:tcW w:w="2150" w:type="dxa"/>
            <w:vAlign w:val="center"/>
          </w:tcPr>
          <w:p>
            <w:pPr>
              <w:kinsoku/>
              <w:wordWrap/>
              <w:overflowPunct/>
              <w:bidi w:val="0"/>
              <w:adjustRightInd w:val="0"/>
              <w:snapToGrid w:val="0"/>
              <w:spacing w:beforeAutospacing="0" w:line="440" w:lineRule="exact"/>
              <w:ind w:left="0" w:leftChars="0" w:right="0"/>
              <w:jc w:val="center"/>
              <w:rPr>
                <w:rFonts w:hint="eastAsia" w:ascii="仿宋" w:hAnsi="仿宋" w:eastAsia="仿宋" w:cs="仿宋"/>
                <w:bCs/>
                <w:color w:val="auto"/>
                <w:sz w:val="24"/>
                <w:szCs w:val="24"/>
                <w:highlight w:val="none"/>
              </w:rPr>
            </w:pPr>
            <w:r>
              <w:rPr>
                <w:rFonts w:hint="eastAsia" w:ascii="仿宋" w:hAnsi="仿宋" w:eastAsia="仿宋" w:cs="仿宋"/>
                <w:color w:val="auto"/>
                <w:kern w:val="0"/>
                <w:sz w:val="24"/>
                <w:szCs w:val="24"/>
                <w:highlight w:val="none"/>
              </w:rPr>
              <w:t>技术先进性（5分）</w:t>
            </w:r>
          </w:p>
        </w:tc>
        <w:tc>
          <w:tcPr>
            <w:tcW w:w="6199" w:type="dxa"/>
            <w:vAlign w:val="center"/>
          </w:tcPr>
          <w:p>
            <w:pPr>
              <w:kinsoku/>
              <w:wordWrap/>
              <w:overflowPunct/>
              <w:bidi w:val="0"/>
              <w:spacing w:beforeAutospacing="0" w:line="440" w:lineRule="exact"/>
              <w:ind w:left="0" w:leftChars="0" w:right="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以利于医疗工作需要为前提，关键性参数高于招标要求的，每项1分，加满为止；否则不得分，有负偏离者，正偏离项不加分。</w:t>
            </w:r>
          </w:p>
          <w:p>
            <w:pPr>
              <w:kinsoku/>
              <w:wordWrap/>
              <w:overflowPunct/>
              <w:bidi w:val="0"/>
              <w:spacing w:beforeAutospacing="0" w:line="440" w:lineRule="exact"/>
              <w:ind w:left="0" w:leftChars="0" w:right="0"/>
              <w:rPr>
                <w:rFonts w:hint="eastAsia" w:ascii="仿宋" w:hAnsi="仿宋" w:eastAsia="仿宋" w:cs="仿宋"/>
                <w:bCs/>
                <w:color w:val="auto"/>
                <w:sz w:val="24"/>
                <w:szCs w:val="24"/>
                <w:highlight w:val="none"/>
              </w:rPr>
            </w:pPr>
            <w:r>
              <w:rPr>
                <w:rFonts w:hint="eastAsia" w:ascii="仿宋" w:hAnsi="仿宋" w:eastAsia="仿宋" w:cs="仿宋"/>
                <w:color w:val="auto"/>
                <w:kern w:val="0"/>
                <w:sz w:val="24"/>
                <w:szCs w:val="24"/>
                <w:highlight w:val="none"/>
              </w:rPr>
              <w:t>其他有利于临床工作需求的优惠条件，有得2分，没有不得分</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1304" w:hRule="atLeast"/>
          <w:jc w:val="center"/>
        </w:trPr>
        <w:tc>
          <w:tcPr>
            <w:tcW w:w="1001" w:type="dxa"/>
            <w:vMerge w:val="continue"/>
            <w:vAlign w:val="center"/>
          </w:tcPr>
          <w:p>
            <w:pPr>
              <w:kinsoku/>
              <w:wordWrap/>
              <w:overflowPunct/>
              <w:bidi w:val="0"/>
              <w:spacing w:beforeAutospacing="0" w:line="440" w:lineRule="exact"/>
              <w:ind w:left="0" w:leftChars="0" w:right="0"/>
              <w:jc w:val="center"/>
              <w:rPr>
                <w:rFonts w:hint="eastAsia" w:ascii="仿宋" w:hAnsi="仿宋" w:eastAsia="仿宋" w:cs="仿宋"/>
                <w:color w:val="auto"/>
                <w:sz w:val="24"/>
                <w:szCs w:val="24"/>
                <w:highlight w:val="none"/>
              </w:rPr>
            </w:pPr>
          </w:p>
        </w:tc>
        <w:tc>
          <w:tcPr>
            <w:tcW w:w="2150" w:type="dxa"/>
            <w:vAlign w:val="center"/>
          </w:tcPr>
          <w:p>
            <w:pPr>
              <w:kinsoku/>
              <w:wordWrap/>
              <w:overflowPunct/>
              <w:bidi w:val="0"/>
              <w:spacing w:beforeAutospacing="0" w:line="440" w:lineRule="exact"/>
              <w:ind w:left="0" w:leftChars="0" w:right="0"/>
              <w:jc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产品性能（10分）</w:t>
            </w:r>
          </w:p>
        </w:tc>
        <w:tc>
          <w:tcPr>
            <w:tcW w:w="6199" w:type="dxa"/>
            <w:vAlign w:val="center"/>
          </w:tcPr>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根据所投产品在日常使用中的情况进行评分，科学合理、详细完整,技术指标配置提供齐全，能够详细说明投标货物的计10分。配置欠合理、不详，技术参数不清，缺漏项的，每处扣1分,扣完为止。有偏离的,每项扣1分,扣完为止</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1377" w:hRule="atLeast"/>
          <w:jc w:val="center"/>
        </w:trPr>
        <w:tc>
          <w:tcPr>
            <w:tcW w:w="1001" w:type="dxa"/>
            <w:vMerge w:val="continue"/>
            <w:vAlign w:val="center"/>
          </w:tcPr>
          <w:p>
            <w:pPr>
              <w:kinsoku/>
              <w:wordWrap/>
              <w:overflowPunct/>
              <w:bidi w:val="0"/>
              <w:spacing w:beforeAutospacing="0" w:line="440" w:lineRule="exact"/>
              <w:ind w:left="0" w:leftChars="0" w:right="0"/>
              <w:jc w:val="center"/>
              <w:rPr>
                <w:rFonts w:hint="eastAsia" w:ascii="仿宋" w:hAnsi="仿宋" w:eastAsia="仿宋" w:cs="仿宋"/>
                <w:color w:val="auto"/>
                <w:sz w:val="24"/>
                <w:szCs w:val="24"/>
                <w:highlight w:val="none"/>
              </w:rPr>
            </w:pPr>
          </w:p>
        </w:tc>
        <w:tc>
          <w:tcPr>
            <w:tcW w:w="2150" w:type="dxa"/>
            <w:vAlign w:val="center"/>
          </w:tcPr>
          <w:p>
            <w:pPr>
              <w:pStyle w:val="397"/>
              <w:kinsoku/>
              <w:wordWrap/>
              <w:overflowPunct/>
              <w:bidi w:val="0"/>
              <w:spacing w:beforeAutospacing="0" w:line="440" w:lineRule="exact"/>
              <w:ind w:left="0" w:leftChars="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整体配置（5分）</w:t>
            </w:r>
          </w:p>
        </w:tc>
        <w:tc>
          <w:tcPr>
            <w:tcW w:w="6199" w:type="dxa"/>
            <w:vAlign w:val="center"/>
          </w:tcPr>
          <w:p>
            <w:pPr>
              <w:kinsoku/>
              <w:wordWrap/>
              <w:overflowPunct/>
              <w:bidi w:val="0"/>
              <w:spacing w:beforeAutospacing="0" w:line="440" w:lineRule="exact"/>
              <w:ind w:left="0" w:leftChars="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所投货物配置科学合理、详细完整,技术指标配置提供齐全，安装调试计划及实施各阶段的人员配备情况。详细计5分。配置欠合理、不详，技术参数不清，缺漏项的，每处扣1分,扣完为止。有偏离的,每项扣1分,扣完为止</w:t>
            </w:r>
          </w:p>
        </w:tc>
      </w:tr>
    </w:tbl>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6、评标过程的保密性</w:t>
      </w:r>
    </w:p>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后，直到授予合同为止，凡是属于审查、澄清、评价和比较的有关资料以及授标建议等评委或参与评标的有关工作人员均不得向投标商或其他无关的人员透露，违者给予警告、取消担任评委的资格，不得再参加任何项目的评标。</w:t>
      </w:r>
    </w:p>
    <w:p>
      <w:pPr>
        <w:kinsoku/>
        <w:wordWrap/>
        <w:overflowPunct/>
        <w:bidi w:val="0"/>
        <w:spacing w:beforeAutospacing="0" w:line="440" w:lineRule="exact"/>
        <w:ind w:left="552" w:leftChars="0" w:right="0" w:hanging="552" w:hangingChars="23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7、投标商在评标过程中，所进行的力图影响评标结果的不符合《招投标法》、《政府采购法》及本次招标中有关规定的活动，将被取消其中标资格。</w:t>
      </w:r>
    </w:p>
    <w:p>
      <w:pPr>
        <w:kinsoku/>
        <w:wordWrap/>
        <w:overflowPunct/>
        <w:bidi w:val="0"/>
        <w:adjustRightInd w:val="0"/>
        <w:snapToGrid w:val="0"/>
        <w:spacing w:beforeAutospacing="0" w:line="440" w:lineRule="exact"/>
        <w:ind w:left="0" w:leftChars="0" w:right="0"/>
        <w:rPr>
          <w:rFonts w:hint="eastAsia" w:ascii="仿宋" w:hAnsi="仿宋" w:eastAsia="仿宋" w:cs="仿宋"/>
          <w:bCs/>
          <w:color w:val="auto"/>
          <w:sz w:val="24"/>
          <w:szCs w:val="24"/>
          <w:highlight w:val="none"/>
        </w:rPr>
      </w:pPr>
      <w:r>
        <w:rPr>
          <w:rFonts w:hint="eastAsia" w:ascii="仿宋" w:hAnsi="仿宋" w:eastAsia="仿宋" w:cs="仿宋"/>
          <w:b/>
          <w:bCs/>
          <w:color w:val="auto"/>
          <w:sz w:val="24"/>
          <w:szCs w:val="24"/>
          <w:highlight w:val="none"/>
        </w:rPr>
        <w:t>22澄清有关问题</w:t>
      </w:r>
    </w:p>
    <w:p>
      <w:pPr>
        <w:kinsoku/>
        <w:wordWrap/>
        <w:overflowPunct/>
        <w:bidi w:val="0"/>
        <w:adjustRightInd w:val="0"/>
        <w:snapToGrid w:val="0"/>
        <w:spacing w:beforeAutospacing="0" w:line="44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22.1 对投标文件中含义不明确、同类问题表述不一致或者有明显文字和计算错误的内容，评标委员会将以书面形式通知投标人做出必要的澄清、说明，但不得超出投标文件的范围或对投标文件做实质性的修改（计算错误修正除外）。评标委员会不接受投标人主动提出的澄清、说明。</w:t>
      </w:r>
    </w:p>
    <w:p>
      <w:pPr>
        <w:tabs>
          <w:tab w:val="left" w:pos="0"/>
        </w:tabs>
        <w:kinsoku/>
        <w:wordWrap/>
        <w:overflowPunct/>
        <w:bidi w:val="0"/>
        <w:adjustRightInd w:val="0"/>
        <w:snapToGrid w:val="0"/>
        <w:spacing w:beforeAutospacing="0" w:line="440" w:lineRule="exact"/>
        <w:ind w:left="0" w:leftChars="0" w:right="0" w:firstLine="480" w:firstLineChars="200"/>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22.2投标人不得对下列内容</w:t>
      </w:r>
      <w:r>
        <w:rPr>
          <w:rFonts w:hint="eastAsia" w:ascii="仿宋" w:hAnsi="仿宋" w:eastAsia="仿宋" w:cs="仿宋"/>
          <w:bCs/>
          <w:color w:val="auto"/>
          <w:sz w:val="24"/>
          <w:szCs w:val="24"/>
          <w:highlight w:val="none"/>
        </w:rPr>
        <w:t>其进行澄清或补充：</w:t>
      </w:r>
    </w:p>
    <w:p>
      <w:pPr>
        <w:tabs>
          <w:tab w:val="left" w:pos="0"/>
        </w:tabs>
        <w:kinsoku/>
        <w:wordWrap/>
        <w:overflowPunct/>
        <w:bidi w:val="0"/>
        <w:adjustRightInd w:val="0"/>
        <w:snapToGrid w:val="0"/>
        <w:spacing w:beforeAutospacing="0" w:line="440" w:lineRule="exact"/>
        <w:ind w:left="0" w:leftChars="0" w:right="0" w:firstLine="480" w:firstLineChars="200"/>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（1）开标时，</w:t>
      </w:r>
      <w:r>
        <w:rPr>
          <w:rFonts w:hint="eastAsia" w:ascii="仿宋" w:hAnsi="仿宋" w:eastAsia="仿宋" w:cs="仿宋"/>
          <w:bCs/>
          <w:color w:val="auto"/>
          <w:sz w:val="24"/>
          <w:szCs w:val="24"/>
          <w:highlight w:val="none"/>
        </w:rPr>
        <w:t>未宣读的投标价格、价格折扣和</w:t>
      </w:r>
      <w:r>
        <w:rPr>
          <w:rFonts w:hint="eastAsia" w:ascii="仿宋" w:hAnsi="仿宋" w:eastAsia="仿宋" w:cs="仿宋"/>
          <w:color w:val="auto"/>
          <w:sz w:val="24"/>
          <w:szCs w:val="24"/>
          <w:highlight w:val="none"/>
        </w:rPr>
        <w:t>第一章“投标须知”第16.3</w:t>
      </w:r>
      <w:r>
        <w:rPr>
          <w:rFonts w:hint="eastAsia" w:ascii="仿宋" w:hAnsi="仿宋" w:eastAsia="仿宋" w:cs="仿宋"/>
          <w:color w:val="auto"/>
          <w:kern w:val="0"/>
          <w:sz w:val="24"/>
          <w:szCs w:val="24"/>
          <w:highlight w:val="none"/>
          <w:lang w:val="zh-CN"/>
        </w:rPr>
        <w:t>款</w:t>
      </w:r>
      <w:r>
        <w:rPr>
          <w:rFonts w:hint="eastAsia" w:ascii="仿宋" w:hAnsi="仿宋" w:eastAsia="仿宋" w:cs="仿宋"/>
          <w:bCs/>
          <w:color w:val="auto"/>
          <w:sz w:val="24"/>
          <w:szCs w:val="24"/>
          <w:highlight w:val="none"/>
        </w:rPr>
        <w:t>允许提</w:t>
      </w:r>
      <w:r>
        <w:rPr>
          <w:rFonts w:hint="eastAsia" w:ascii="仿宋" w:hAnsi="仿宋" w:eastAsia="仿宋" w:cs="仿宋"/>
          <w:color w:val="auto"/>
          <w:sz w:val="24"/>
          <w:szCs w:val="24"/>
          <w:highlight w:val="none"/>
        </w:rPr>
        <w:t>交</w:t>
      </w:r>
      <w:r>
        <w:rPr>
          <w:rFonts w:hint="eastAsia" w:ascii="仿宋" w:hAnsi="仿宋" w:eastAsia="仿宋" w:cs="仿宋"/>
          <w:bCs/>
          <w:color w:val="auto"/>
          <w:sz w:val="24"/>
          <w:szCs w:val="24"/>
          <w:highlight w:val="none"/>
        </w:rPr>
        <w:t>的备选方案等实质性内容。</w:t>
      </w:r>
    </w:p>
    <w:p>
      <w:pPr>
        <w:tabs>
          <w:tab w:val="left" w:pos="0"/>
        </w:tabs>
        <w:kinsoku/>
        <w:wordWrap/>
        <w:overflowPunct/>
        <w:bidi w:val="0"/>
        <w:adjustRightInd w:val="0"/>
        <w:snapToGrid w:val="0"/>
        <w:spacing w:beforeAutospacing="0" w:line="440" w:lineRule="exact"/>
        <w:ind w:left="0" w:leftChars="0" w:right="0" w:firstLine="480" w:firstLineChars="200"/>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（2）不满足第一章投标须知第10.2</w:t>
      </w:r>
      <w:r>
        <w:rPr>
          <w:rFonts w:hint="eastAsia" w:ascii="仿宋" w:hAnsi="仿宋" w:eastAsia="仿宋" w:cs="仿宋"/>
          <w:color w:val="auto"/>
          <w:kern w:val="0"/>
          <w:sz w:val="24"/>
          <w:szCs w:val="24"/>
          <w:highlight w:val="none"/>
          <w:lang w:val="zh-CN"/>
        </w:rPr>
        <w:t>款</w:t>
      </w:r>
      <w:r>
        <w:rPr>
          <w:rFonts w:hint="eastAsia" w:ascii="仿宋" w:hAnsi="仿宋" w:eastAsia="仿宋" w:cs="仿宋"/>
          <w:bCs/>
          <w:color w:val="auto"/>
          <w:sz w:val="24"/>
          <w:szCs w:val="24"/>
          <w:highlight w:val="none"/>
        </w:rPr>
        <w:t>规定的</w:t>
      </w:r>
      <w:r>
        <w:rPr>
          <w:rFonts w:hint="eastAsia" w:ascii="仿宋" w:hAnsi="仿宋" w:eastAsia="仿宋" w:cs="仿宋"/>
          <w:color w:val="auto"/>
          <w:sz w:val="24"/>
          <w:szCs w:val="24"/>
          <w:highlight w:val="none"/>
        </w:rPr>
        <w:t>实质性要求的</w:t>
      </w:r>
      <w:r>
        <w:rPr>
          <w:rFonts w:hint="eastAsia" w:ascii="仿宋" w:hAnsi="仿宋" w:eastAsia="仿宋" w:cs="仿宋"/>
          <w:bCs/>
          <w:color w:val="auto"/>
          <w:sz w:val="24"/>
          <w:szCs w:val="24"/>
          <w:highlight w:val="none"/>
        </w:rPr>
        <w:t>投标文件内容</w:t>
      </w:r>
      <w:r>
        <w:rPr>
          <w:rFonts w:hint="eastAsia" w:ascii="仿宋" w:hAnsi="仿宋" w:eastAsia="仿宋" w:cs="仿宋"/>
          <w:color w:val="auto"/>
          <w:sz w:val="24"/>
          <w:szCs w:val="24"/>
          <w:highlight w:val="none"/>
        </w:rPr>
        <w:t>，</w:t>
      </w:r>
    </w:p>
    <w:p>
      <w:pPr>
        <w:tabs>
          <w:tab w:val="left" w:pos="0"/>
        </w:tabs>
        <w:kinsoku/>
        <w:wordWrap/>
        <w:overflowPunct/>
        <w:bidi w:val="0"/>
        <w:adjustRightInd w:val="0"/>
        <w:snapToGrid w:val="0"/>
        <w:spacing w:beforeAutospacing="0" w:line="44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22.3 计算错误将按以下方法修正：如果投标文件的大写金额和小写金额不一致的，以大写金额为准；总价金额与按单价汇总金额不一致的，以单价金额计算结果为准；单价金额小数点有明显错位的，应以总价为准，并修改单价；若文字大写表示的数据与数字表示的有差别，则以文字大写表示的数据为准。若投标人拒绝接受上述修正，在评标时将其视为无效投标。</w:t>
      </w:r>
    </w:p>
    <w:p>
      <w:pPr>
        <w:tabs>
          <w:tab w:val="left" w:pos="0"/>
        </w:tabs>
        <w:kinsoku/>
        <w:wordWrap/>
        <w:overflowPunct/>
        <w:bidi w:val="0"/>
        <w:adjustRightInd w:val="0"/>
        <w:snapToGrid w:val="0"/>
        <w:spacing w:beforeAutospacing="0" w:line="44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22.4 投标人的澄清、说明或者补正应该采用书面形式，由法定代表人或其授权的代理人签字，并按评标委员会的通知要求递交。</w:t>
      </w:r>
    </w:p>
    <w:p>
      <w:pPr>
        <w:tabs>
          <w:tab w:val="left" w:pos="0"/>
        </w:tabs>
        <w:kinsoku/>
        <w:wordWrap/>
        <w:overflowPunct/>
        <w:bidi w:val="0"/>
        <w:adjustRightInd w:val="0"/>
        <w:snapToGrid w:val="0"/>
        <w:spacing w:beforeAutospacing="0" w:line="44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22.5 有效的书面澄清材料，是投标文件的补充材料，成为投标文件的组成部分。</w:t>
      </w:r>
    </w:p>
    <w:p>
      <w:pPr>
        <w:widowControl/>
        <w:kinsoku/>
        <w:wordWrap/>
        <w:overflowPunct/>
        <w:bidi w:val="0"/>
        <w:adjustRightInd w:val="0"/>
        <w:snapToGrid w:val="0"/>
        <w:spacing w:beforeAutospacing="0" w:line="440" w:lineRule="exact"/>
        <w:ind w:left="0" w:leftChars="0" w:right="0" w:firstLine="482" w:firstLineChars="200"/>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23 推荐中标候选人名单</w:t>
      </w:r>
    </w:p>
    <w:p>
      <w:pPr>
        <w:tabs>
          <w:tab w:val="left" w:pos="0"/>
        </w:tabs>
        <w:kinsoku/>
        <w:wordWrap/>
        <w:overflowPunct/>
        <w:bidi w:val="0"/>
        <w:adjustRightInd w:val="0"/>
        <w:snapToGrid w:val="0"/>
        <w:spacing w:beforeAutospacing="0" w:line="440" w:lineRule="exact"/>
        <w:ind w:left="0" w:leftChars="0" w:right="0" w:firstLine="480" w:firstLineChars="200"/>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23.1</w:t>
      </w:r>
      <w:r>
        <w:rPr>
          <w:rFonts w:hint="eastAsia" w:ascii="仿宋" w:hAnsi="仿宋" w:eastAsia="仿宋" w:cs="仿宋"/>
          <w:bCs/>
          <w:color w:val="auto"/>
          <w:sz w:val="24"/>
          <w:szCs w:val="24"/>
          <w:highlight w:val="none"/>
        </w:rPr>
        <w:t>按评审后得分由高到低顺序排列。得分相同的，按投标报价由低到高顺序排列。得分且投标报价相同的，按技术指标优劣顺序排列。</w:t>
      </w:r>
    </w:p>
    <w:p>
      <w:pPr>
        <w:tabs>
          <w:tab w:val="left" w:pos="0"/>
        </w:tabs>
        <w:kinsoku/>
        <w:wordWrap/>
        <w:overflowPunct/>
        <w:bidi w:val="0"/>
        <w:adjustRightInd w:val="0"/>
        <w:snapToGrid w:val="0"/>
        <w:spacing w:beforeAutospacing="0" w:line="440" w:lineRule="exact"/>
        <w:ind w:left="0" w:leftChars="0" w:right="0" w:firstLine="480" w:firstLineChars="200"/>
        <w:rPr>
          <w:rFonts w:hint="eastAsia" w:ascii="仿宋" w:hAnsi="仿宋" w:eastAsia="仿宋" w:cs="仿宋"/>
          <w:b/>
          <w:color w:val="auto"/>
          <w:sz w:val="24"/>
          <w:szCs w:val="24"/>
          <w:highlight w:val="none"/>
        </w:rPr>
      </w:pPr>
      <w:r>
        <w:rPr>
          <w:rFonts w:hint="eastAsia" w:ascii="仿宋" w:hAnsi="仿宋" w:eastAsia="仿宋" w:cs="仿宋"/>
          <w:bCs/>
          <w:color w:val="auto"/>
          <w:sz w:val="24"/>
          <w:szCs w:val="24"/>
          <w:highlight w:val="none"/>
        </w:rPr>
        <w:t>23.2</w:t>
      </w:r>
      <w:r>
        <w:rPr>
          <w:rFonts w:hint="eastAsia" w:ascii="仿宋" w:hAnsi="仿宋" w:eastAsia="仿宋" w:cs="仿宋"/>
          <w:color w:val="auto"/>
          <w:sz w:val="24"/>
          <w:szCs w:val="24"/>
          <w:highlight w:val="none"/>
        </w:rPr>
        <w:t>中标候选人数量为1-3名，本次招标采购推荐的中标候选人数量见</w:t>
      </w:r>
      <w:r>
        <w:rPr>
          <w:rFonts w:hint="eastAsia" w:ascii="仿宋" w:hAnsi="仿宋" w:eastAsia="仿宋" w:cs="仿宋"/>
          <w:b/>
          <w:color w:val="auto"/>
          <w:sz w:val="24"/>
          <w:szCs w:val="24"/>
          <w:highlight w:val="none"/>
        </w:rPr>
        <w:t>投标人须知前附表。</w:t>
      </w:r>
    </w:p>
    <w:p>
      <w:pPr>
        <w:tabs>
          <w:tab w:val="left" w:pos="0"/>
        </w:tabs>
        <w:kinsoku/>
        <w:wordWrap/>
        <w:overflowPunct/>
        <w:bidi w:val="0"/>
        <w:adjustRightInd w:val="0"/>
        <w:snapToGrid w:val="0"/>
        <w:spacing w:beforeAutospacing="0" w:line="440" w:lineRule="exact"/>
        <w:ind w:left="0" w:leftChars="0" w:right="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24 编写评标报告</w:t>
      </w:r>
    </w:p>
    <w:p>
      <w:pPr>
        <w:tabs>
          <w:tab w:val="left" w:pos="0"/>
        </w:tabs>
        <w:kinsoku/>
        <w:wordWrap/>
        <w:overflowPunct/>
        <w:bidi w:val="0"/>
        <w:adjustRightInd w:val="0"/>
        <w:snapToGrid w:val="0"/>
        <w:spacing w:beforeAutospacing="0" w:line="440" w:lineRule="exact"/>
        <w:ind w:left="0" w:leftChars="0" w:right="0" w:firstLine="480" w:firstLineChars="200"/>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24.1评标委员会根据全体评标成员签字的原始评标记录和评标结果编写评标报告</w:t>
      </w:r>
    </w:p>
    <w:p>
      <w:pPr>
        <w:tabs>
          <w:tab w:val="left" w:pos="0"/>
        </w:tabs>
        <w:kinsoku/>
        <w:wordWrap/>
        <w:overflowPunct/>
        <w:bidi w:val="0"/>
        <w:adjustRightInd w:val="0"/>
        <w:snapToGrid w:val="0"/>
        <w:spacing w:beforeAutospacing="0" w:line="440" w:lineRule="exact"/>
        <w:ind w:left="0" w:leftChars="0" w:right="0"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九、合同授予</w:t>
      </w:r>
    </w:p>
    <w:p>
      <w:pPr>
        <w:tabs>
          <w:tab w:val="left" w:pos="8820"/>
          <w:tab w:val="left" w:pos="9345"/>
          <w:tab w:val="left" w:pos="9765"/>
        </w:tabs>
        <w:kinsoku/>
        <w:wordWrap/>
        <w:overflowPunct/>
        <w:bidi w:val="0"/>
        <w:adjustRightInd w:val="0"/>
        <w:snapToGrid w:val="0"/>
        <w:spacing w:beforeAutospacing="0" w:line="440" w:lineRule="exact"/>
        <w:ind w:left="0" w:leftChars="0" w:right="0"/>
        <w:rPr>
          <w:rFonts w:hint="eastAsia" w:ascii="仿宋" w:hAnsi="仿宋" w:eastAsia="仿宋" w:cs="仿宋"/>
          <w:b/>
          <w:bCs/>
          <w:color w:val="auto"/>
          <w:sz w:val="24"/>
          <w:szCs w:val="24"/>
          <w:highlight w:val="none"/>
        </w:rPr>
      </w:pPr>
      <w:r>
        <w:rPr>
          <w:rFonts w:hint="eastAsia" w:ascii="仿宋" w:hAnsi="仿宋" w:eastAsia="仿宋" w:cs="仿宋"/>
          <w:b/>
          <w:color w:val="auto"/>
          <w:sz w:val="24"/>
          <w:szCs w:val="24"/>
          <w:highlight w:val="none"/>
        </w:rPr>
        <w:t>1.</w:t>
      </w:r>
      <w:r>
        <w:rPr>
          <w:rFonts w:hint="eastAsia" w:ascii="仿宋" w:hAnsi="仿宋" w:eastAsia="仿宋" w:cs="仿宋"/>
          <w:b/>
          <w:bCs/>
          <w:color w:val="auto"/>
          <w:sz w:val="24"/>
          <w:szCs w:val="24"/>
          <w:highlight w:val="none"/>
        </w:rPr>
        <w:t>定义</w:t>
      </w:r>
    </w:p>
    <w:p>
      <w:pPr>
        <w:kinsoku/>
        <w:wordWrap/>
        <w:overflowPunct/>
        <w:autoSpaceDE w:val="0"/>
        <w:autoSpaceDN w:val="0"/>
        <w:bidi w:val="0"/>
        <w:adjustRightInd w:val="0"/>
        <w:snapToGrid w:val="0"/>
        <w:spacing w:beforeAutospacing="0" w:line="44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1.1合同当事人</w:t>
      </w:r>
    </w:p>
    <w:p>
      <w:pPr>
        <w:kinsoku/>
        <w:wordWrap/>
        <w:overflowPunct/>
        <w:autoSpaceDE w:val="0"/>
        <w:autoSpaceDN w:val="0"/>
        <w:bidi w:val="0"/>
        <w:adjustRightInd w:val="0"/>
        <w:snapToGrid w:val="0"/>
        <w:spacing w:beforeAutospacing="0" w:line="44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（1）采购人(以下称甲方)是指使用财政性资金，通过政府采购程序向供应商购买货物、服务的国家机关、事业单位、团体组织。本次采购的甲方名称、地址见</w:t>
      </w:r>
      <w:r>
        <w:rPr>
          <w:rFonts w:hint="eastAsia" w:ascii="仿宋" w:hAnsi="仿宋" w:eastAsia="仿宋" w:cs="仿宋"/>
          <w:b/>
          <w:color w:val="auto"/>
          <w:sz w:val="24"/>
          <w:szCs w:val="24"/>
          <w:highlight w:val="none"/>
        </w:rPr>
        <w:t>投标人须知前附表。</w:t>
      </w:r>
    </w:p>
    <w:p>
      <w:pPr>
        <w:kinsoku/>
        <w:wordWrap/>
        <w:overflowPunct/>
        <w:autoSpaceDE w:val="0"/>
        <w:autoSpaceDN w:val="0"/>
        <w:bidi w:val="0"/>
        <w:adjustRightInd w:val="0"/>
        <w:snapToGrid w:val="0"/>
        <w:spacing w:beforeAutospacing="0" w:line="440" w:lineRule="exact"/>
        <w:ind w:left="0" w:leftChars="0" w:right="0" w:firstLine="480" w:firstLineChars="200"/>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（2）供应商(以下称乙方)是指参加政府采购活动而取得中标或中标结果，并向采购人提供货物、服务的法人、其他组织或者自然人。</w:t>
      </w:r>
    </w:p>
    <w:p>
      <w:pPr>
        <w:tabs>
          <w:tab w:val="left" w:pos="570"/>
          <w:tab w:val="left" w:pos="9240"/>
          <w:tab w:val="left" w:pos="9555"/>
        </w:tabs>
        <w:kinsoku/>
        <w:wordWrap/>
        <w:overflowPunct/>
        <w:bidi w:val="0"/>
        <w:adjustRightInd w:val="0"/>
        <w:snapToGrid w:val="0"/>
        <w:spacing w:beforeAutospacing="0" w:line="44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1.2本合同下列术语应解释为：</w:t>
      </w:r>
    </w:p>
    <w:p>
      <w:pPr>
        <w:tabs>
          <w:tab w:val="left" w:pos="570"/>
          <w:tab w:val="left" w:pos="9240"/>
          <w:tab w:val="left" w:pos="9555"/>
        </w:tabs>
        <w:kinsoku/>
        <w:wordWrap/>
        <w:overflowPunct/>
        <w:bidi w:val="0"/>
        <w:adjustRightInd w:val="0"/>
        <w:snapToGrid w:val="0"/>
        <w:spacing w:beforeAutospacing="0" w:line="44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（1）“合同”系指甲乙双方签署的、政府采购合同协议书中载明的甲乙双方所达成的协议，包括所有的附件、附录和上述文件所提到的构成合同的所有文件。</w:t>
      </w:r>
    </w:p>
    <w:p>
      <w:pPr>
        <w:tabs>
          <w:tab w:val="left" w:pos="570"/>
          <w:tab w:val="left" w:pos="9240"/>
          <w:tab w:val="left" w:pos="9555"/>
        </w:tabs>
        <w:kinsoku/>
        <w:wordWrap/>
        <w:overflowPunct/>
        <w:bidi w:val="0"/>
        <w:adjustRightInd w:val="0"/>
        <w:snapToGrid w:val="0"/>
        <w:spacing w:beforeAutospacing="0" w:line="44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（2）“合同价”系指根据本合同规定乙方在正确地完全履行合同义务后甲方应支付给乙方的价款。</w:t>
      </w:r>
    </w:p>
    <w:p>
      <w:pPr>
        <w:tabs>
          <w:tab w:val="left" w:pos="570"/>
          <w:tab w:val="left" w:pos="9240"/>
          <w:tab w:val="left" w:pos="9555"/>
        </w:tabs>
        <w:kinsoku/>
        <w:wordWrap/>
        <w:overflowPunct/>
        <w:bidi w:val="0"/>
        <w:adjustRightInd w:val="0"/>
        <w:snapToGrid w:val="0"/>
        <w:spacing w:beforeAutospacing="0" w:line="44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（3）“货物”系指乙方根据本合同规定须向甲方提供的各种形态和种类的物品，包括原材料、设备、产品(包括软件)及相关的其备品备件、工具、手册及其他技术资料和材料。</w:t>
      </w:r>
    </w:p>
    <w:p>
      <w:pPr>
        <w:tabs>
          <w:tab w:val="left" w:pos="570"/>
          <w:tab w:val="left" w:pos="8880"/>
          <w:tab w:val="left" w:pos="9555"/>
        </w:tabs>
        <w:kinsoku/>
        <w:wordWrap/>
        <w:overflowPunct/>
        <w:bidi w:val="0"/>
        <w:adjustRightInd w:val="0"/>
        <w:snapToGrid w:val="0"/>
        <w:spacing w:beforeAutospacing="0" w:line="44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（4）“伴随服务”系指根据本合同规定乙方承担与供货有关的辅助服务，如运输、保</w:t>
      </w:r>
      <w:r>
        <w:rPr>
          <w:rFonts w:hint="eastAsia" w:ascii="仿宋" w:hAnsi="仿宋" w:eastAsia="仿宋" w:cs="仿宋"/>
          <w:color w:val="auto"/>
          <w:spacing w:val="2"/>
          <w:sz w:val="24"/>
          <w:szCs w:val="24"/>
          <w:highlight w:val="none"/>
        </w:rPr>
        <w:t>险以及其他的伴随服务，例如安装、调试、提供技术</w:t>
      </w:r>
      <w:r>
        <w:rPr>
          <w:rFonts w:hint="eastAsia" w:ascii="仿宋" w:hAnsi="仿宋" w:eastAsia="仿宋" w:cs="仿宋"/>
          <w:color w:val="auto"/>
          <w:sz w:val="24"/>
          <w:szCs w:val="24"/>
          <w:highlight w:val="none"/>
        </w:rPr>
        <w:t>协</w:t>
      </w:r>
      <w:r>
        <w:rPr>
          <w:rFonts w:hint="eastAsia" w:ascii="仿宋" w:hAnsi="仿宋" w:eastAsia="仿宋" w:cs="仿宋"/>
          <w:color w:val="auto"/>
          <w:spacing w:val="2"/>
          <w:sz w:val="24"/>
          <w:szCs w:val="24"/>
          <w:highlight w:val="none"/>
        </w:rPr>
        <w:t>助、培训和合同中规定</w:t>
      </w:r>
      <w:r>
        <w:rPr>
          <w:rFonts w:hint="eastAsia" w:ascii="仿宋" w:hAnsi="仿宋" w:eastAsia="仿宋" w:cs="仿宋"/>
          <w:color w:val="auto"/>
          <w:sz w:val="24"/>
          <w:szCs w:val="24"/>
          <w:highlight w:val="none"/>
        </w:rPr>
        <w:t>乙方应承担的其他义务。</w:t>
      </w:r>
    </w:p>
    <w:p>
      <w:pPr>
        <w:tabs>
          <w:tab w:val="left" w:pos="570"/>
          <w:tab w:val="left" w:pos="9240"/>
          <w:tab w:val="left" w:pos="9555"/>
        </w:tabs>
        <w:kinsoku/>
        <w:wordWrap/>
        <w:overflowPunct/>
        <w:bidi w:val="0"/>
        <w:adjustRightInd w:val="0"/>
        <w:snapToGrid w:val="0"/>
        <w:spacing w:beforeAutospacing="0" w:line="44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（5）“合同条款”系指本合同条款。</w:t>
      </w:r>
    </w:p>
    <w:p>
      <w:pPr>
        <w:tabs>
          <w:tab w:val="left" w:pos="570"/>
          <w:tab w:val="left" w:pos="9240"/>
          <w:tab w:val="left" w:pos="9555"/>
        </w:tabs>
        <w:kinsoku/>
        <w:wordWrap/>
        <w:overflowPunct/>
        <w:bidi w:val="0"/>
        <w:adjustRightInd w:val="0"/>
        <w:snapToGrid w:val="0"/>
        <w:spacing w:beforeAutospacing="0" w:line="44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（6）“项目现场”系指本合同项下货物安装、运行的现场，其名称在</w:t>
      </w:r>
      <w:r>
        <w:rPr>
          <w:rFonts w:hint="eastAsia" w:ascii="仿宋" w:hAnsi="仿宋" w:eastAsia="仿宋" w:cs="仿宋"/>
          <w:b/>
          <w:color w:val="auto"/>
          <w:sz w:val="24"/>
          <w:szCs w:val="24"/>
          <w:highlight w:val="none"/>
        </w:rPr>
        <w:t>投标人须知前附表</w:t>
      </w:r>
      <w:r>
        <w:rPr>
          <w:rFonts w:hint="eastAsia" w:ascii="仿宋" w:hAnsi="仿宋" w:eastAsia="仿宋" w:cs="仿宋"/>
          <w:color w:val="auto"/>
          <w:sz w:val="24"/>
          <w:szCs w:val="24"/>
          <w:highlight w:val="none"/>
        </w:rPr>
        <w:t>指明。</w:t>
      </w:r>
    </w:p>
    <w:p>
      <w:pPr>
        <w:kinsoku/>
        <w:wordWrap/>
        <w:overflowPunct/>
        <w:autoSpaceDE w:val="0"/>
        <w:autoSpaceDN w:val="0"/>
        <w:bidi w:val="0"/>
        <w:adjustRightInd w:val="0"/>
        <w:snapToGrid w:val="0"/>
        <w:spacing w:beforeAutospacing="0" w:line="440" w:lineRule="exact"/>
        <w:ind w:left="0" w:leftChars="0" w:right="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2.合同的适用范围</w:t>
      </w:r>
    </w:p>
    <w:p>
      <w:pPr>
        <w:kinsoku/>
        <w:wordWrap/>
        <w:overflowPunct/>
        <w:autoSpaceDE w:val="0"/>
        <w:autoSpaceDN w:val="0"/>
        <w:bidi w:val="0"/>
        <w:adjustRightInd w:val="0"/>
        <w:snapToGrid w:val="0"/>
        <w:spacing w:beforeAutospacing="0" w:line="44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 本合同条款适用于没有被本合同其他部分的条款所取代的范围。</w:t>
      </w:r>
    </w:p>
    <w:p>
      <w:pPr>
        <w:kinsoku/>
        <w:wordWrap/>
        <w:overflowPunct/>
        <w:autoSpaceDE w:val="0"/>
        <w:autoSpaceDN w:val="0"/>
        <w:bidi w:val="0"/>
        <w:adjustRightInd w:val="0"/>
        <w:snapToGrid w:val="0"/>
        <w:spacing w:beforeAutospacing="0" w:line="44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 合同内容根据招标文件、投标文件而确定。</w:t>
      </w:r>
    </w:p>
    <w:p>
      <w:pPr>
        <w:kinsoku/>
        <w:wordWrap/>
        <w:overflowPunct/>
        <w:autoSpaceDE w:val="0"/>
        <w:autoSpaceDN w:val="0"/>
        <w:bidi w:val="0"/>
        <w:adjustRightInd w:val="0"/>
        <w:snapToGrid w:val="0"/>
        <w:spacing w:beforeAutospacing="0" w:line="440" w:lineRule="exact"/>
        <w:ind w:left="0" w:leftChars="0" w:right="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3.</w:t>
      </w:r>
      <w:r>
        <w:rPr>
          <w:rFonts w:hint="eastAsia" w:ascii="仿宋" w:hAnsi="仿宋" w:eastAsia="仿宋" w:cs="仿宋"/>
          <w:b/>
          <w:color w:val="auto"/>
          <w:sz w:val="24"/>
          <w:szCs w:val="24"/>
          <w:highlight w:val="none"/>
        </w:rPr>
        <w:t>合同标的及金额</w:t>
      </w:r>
    </w:p>
    <w:p>
      <w:pPr>
        <w:kinsoku/>
        <w:wordWrap/>
        <w:overflowPunct/>
        <w:autoSpaceDE w:val="0"/>
        <w:autoSpaceDN w:val="0"/>
        <w:bidi w:val="0"/>
        <w:adjustRightInd w:val="0"/>
        <w:snapToGrid w:val="0"/>
        <w:spacing w:beforeAutospacing="0" w:line="44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 合同标的及金额应与中标或中标结果一致。</w:t>
      </w:r>
    </w:p>
    <w:p>
      <w:pPr>
        <w:kinsoku/>
        <w:wordWrap/>
        <w:overflowPunct/>
        <w:autoSpaceDE w:val="0"/>
        <w:autoSpaceDN w:val="0"/>
        <w:bidi w:val="0"/>
        <w:adjustRightInd w:val="0"/>
        <w:snapToGrid w:val="0"/>
        <w:spacing w:beforeAutospacing="0" w:line="440" w:lineRule="exact"/>
        <w:ind w:left="0" w:leftChars="0" w:right="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4.</w:t>
      </w:r>
      <w:r>
        <w:rPr>
          <w:rFonts w:hint="eastAsia" w:ascii="仿宋" w:hAnsi="仿宋" w:eastAsia="仿宋" w:cs="仿宋"/>
          <w:b/>
          <w:color w:val="auto"/>
          <w:sz w:val="24"/>
          <w:szCs w:val="24"/>
          <w:highlight w:val="none"/>
        </w:rPr>
        <w:t>合同价款</w:t>
      </w:r>
    </w:p>
    <w:p>
      <w:pPr>
        <w:kinsoku/>
        <w:wordWrap/>
        <w:overflowPunct/>
        <w:bidi w:val="0"/>
        <w:adjustRightInd w:val="0"/>
        <w:snapToGrid w:val="0"/>
        <w:spacing w:beforeAutospacing="0" w:line="440" w:lineRule="exact"/>
        <w:ind w:left="0" w:leftChars="0" w:right="0" w:firstLine="560"/>
        <w:rPr>
          <w:rFonts w:hint="eastAsia" w:ascii="仿宋" w:hAnsi="仿宋" w:eastAsia="仿宋" w:cs="仿宋"/>
          <w:b/>
          <w:bCs/>
          <w:i/>
          <w:iCs/>
          <w:color w:val="auto"/>
          <w:sz w:val="24"/>
          <w:szCs w:val="24"/>
          <w:highlight w:val="none"/>
        </w:rPr>
      </w:pPr>
      <w:r>
        <w:rPr>
          <w:rFonts w:hint="eastAsia" w:ascii="仿宋" w:hAnsi="仿宋" w:eastAsia="仿宋" w:cs="仿宋"/>
          <w:color w:val="auto"/>
          <w:sz w:val="24"/>
          <w:szCs w:val="24"/>
          <w:highlight w:val="none"/>
        </w:rPr>
        <w:t>4.1具体合同价款见本合同第3.1条。乙方为履行本合同而发生的所有费用均应包含在合同价款中</w:t>
      </w:r>
      <w:r>
        <w:rPr>
          <w:rFonts w:hint="eastAsia" w:ascii="仿宋" w:hAnsi="仿宋" w:eastAsia="仿宋" w:cs="仿宋"/>
          <w:b/>
          <w:color w:val="auto"/>
          <w:sz w:val="24"/>
          <w:szCs w:val="24"/>
          <w:highlight w:val="none"/>
        </w:rPr>
        <w:t>(固定总价合同)</w:t>
      </w:r>
      <w:r>
        <w:rPr>
          <w:rFonts w:hint="eastAsia" w:ascii="仿宋" w:hAnsi="仿宋" w:eastAsia="仿宋" w:cs="仿宋"/>
          <w:color w:val="auto"/>
          <w:sz w:val="24"/>
          <w:szCs w:val="24"/>
          <w:highlight w:val="none"/>
        </w:rPr>
        <w:t>，甲方不再另行支付其他任何费用。</w:t>
      </w:r>
    </w:p>
    <w:p>
      <w:pPr>
        <w:kinsoku/>
        <w:wordWrap/>
        <w:overflowPunct/>
        <w:bidi w:val="0"/>
        <w:adjustRightInd w:val="0"/>
        <w:snapToGrid w:val="0"/>
        <w:spacing w:beforeAutospacing="0" w:line="440" w:lineRule="exact"/>
        <w:ind w:left="0" w:leftChars="0" w:right="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5.履行合同的时间、地点和方式</w:t>
      </w:r>
    </w:p>
    <w:p>
      <w:pPr>
        <w:kinsoku/>
        <w:wordWrap/>
        <w:overflowPunct/>
        <w:autoSpaceDE w:val="0"/>
        <w:autoSpaceDN w:val="0"/>
        <w:bidi w:val="0"/>
        <w:adjustRightInd w:val="0"/>
        <w:snapToGrid w:val="0"/>
        <w:spacing w:beforeAutospacing="0" w:line="44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5.1 乙方应当在甲方确定的时间、指定的地点履行合同，具体的交货时间、地点和方式见</w:t>
      </w:r>
      <w:r>
        <w:rPr>
          <w:rFonts w:hint="eastAsia" w:ascii="仿宋" w:hAnsi="仿宋" w:eastAsia="仿宋" w:cs="仿宋"/>
          <w:b/>
          <w:color w:val="auto"/>
          <w:sz w:val="24"/>
          <w:szCs w:val="24"/>
          <w:highlight w:val="none"/>
        </w:rPr>
        <w:t>投标人须知前附表</w:t>
      </w:r>
      <w:r>
        <w:rPr>
          <w:rFonts w:hint="eastAsia" w:ascii="仿宋" w:hAnsi="仿宋" w:eastAsia="仿宋" w:cs="仿宋"/>
          <w:color w:val="auto"/>
          <w:sz w:val="24"/>
          <w:szCs w:val="24"/>
          <w:highlight w:val="none"/>
        </w:rPr>
        <w:t>。</w:t>
      </w:r>
    </w:p>
    <w:p>
      <w:pPr>
        <w:kinsoku/>
        <w:wordWrap/>
        <w:overflowPunct/>
        <w:autoSpaceDE w:val="0"/>
        <w:autoSpaceDN w:val="0"/>
        <w:bidi w:val="0"/>
        <w:adjustRightInd w:val="0"/>
        <w:snapToGrid w:val="0"/>
        <w:spacing w:beforeAutospacing="0" w:line="44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5.2 乙方提供服务的应当在甲方指定的地点完成服务项目。</w:t>
      </w:r>
    </w:p>
    <w:p>
      <w:pPr>
        <w:kinsoku/>
        <w:wordWrap/>
        <w:overflowPunct/>
        <w:bidi w:val="0"/>
        <w:adjustRightInd w:val="0"/>
        <w:snapToGrid w:val="0"/>
        <w:spacing w:beforeAutospacing="0" w:line="440" w:lineRule="exact"/>
        <w:ind w:left="0" w:leftChars="0" w:right="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6.</w:t>
      </w:r>
      <w:r>
        <w:rPr>
          <w:rFonts w:hint="eastAsia" w:ascii="仿宋" w:hAnsi="仿宋" w:eastAsia="仿宋" w:cs="仿宋"/>
          <w:b/>
          <w:color w:val="auto"/>
          <w:sz w:val="24"/>
          <w:szCs w:val="24"/>
          <w:highlight w:val="none"/>
        </w:rPr>
        <w:t>货物的验收</w:t>
      </w:r>
    </w:p>
    <w:p>
      <w:pPr>
        <w:kinsoku/>
        <w:wordWrap/>
        <w:overflowPunct/>
        <w:autoSpaceDE w:val="0"/>
        <w:autoSpaceDN w:val="0"/>
        <w:bidi w:val="0"/>
        <w:adjustRightInd w:val="0"/>
        <w:snapToGrid w:val="0"/>
        <w:spacing w:beforeAutospacing="0" w:line="44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6.1 甲方在收到乙方交付的货物后应当及时组织验收。</w:t>
      </w:r>
    </w:p>
    <w:p>
      <w:pPr>
        <w:kinsoku/>
        <w:wordWrap/>
        <w:overflowPunct/>
        <w:autoSpaceDE w:val="0"/>
        <w:autoSpaceDN w:val="0"/>
        <w:bidi w:val="0"/>
        <w:adjustRightInd w:val="0"/>
        <w:snapToGrid w:val="0"/>
        <w:spacing w:beforeAutospacing="0" w:line="44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6.2 货物的表面瑕疵，甲方应在验收时当面提出；对质量问题有异议的应在安装调试后十个工作日内提出。</w:t>
      </w:r>
    </w:p>
    <w:p>
      <w:pPr>
        <w:kinsoku/>
        <w:wordWrap/>
        <w:overflowPunct/>
        <w:autoSpaceDE w:val="0"/>
        <w:autoSpaceDN w:val="0"/>
        <w:bidi w:val="0"/>
        <w:adjustRightInd w:val="0"/>
        <w:snapToGrid w:val="0"/>
        <w:spacing w:beforeAutospacing="0" w:line="44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6.3 在验收过程中发现数量不足或有质量、技术等问题，乙方应负责按照甲方的要求采取补足、更换或退货等处理措施，并承担由此发生的一切费用和损失。</w:t>
      </w:r>
    </w:p>
    <w:p>
      <w:pPr>
        <w:kinsoku/>
        <w:wordWrap/>
        <w:overflowPunct/>
        <w:autoSpaceDE w:val="0"/>
        <w:autoSpaceDN w:val="0"/>
        <w:bidi w:val="0"/>
        <w:adjustRightInd w:val="0"/>
        <w:snapToGrid w:val="0"/>
        <w:spacing w:beforeAutospacing="0" w:line="44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6.4 甲方在乙方按合同规定交货或安装、调试后，无正当理由而拖延接收、验收或拒绝接收、验收的，应承担因此给乙方造成的直接损失。</w:t>
      </w:r>
    </w:p>
    <w:p>
      <w:pPr>
        <w:kinsoku/>
        <w:wordWrap/>
        <w:overflowPunct/>
        <w:autoSpaceDE w:val="0"/>
        <w:autoSpaceDN w:val="0"/>
        <w:bidi w:val="0"/>
        <w:adjustRightInd w:val="0"/>
        <w:snapToGrid w:val="0"/>
        <w:spacing w:beforeAutospacing="0" w:line="44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6.5 甲方对货物进行检查验收合格后，应当收取发票并在《交货验收单》上签署验收意见及加盖单位印章。</w:t>
      </w:r>
    </w:p>
    <w:p>
      <w:pPr>
        <w:kinsoku/>
        <w:wordWrap/>
        <w:overflowPunct/>
        <w:autoSpaceDE w:val="0"/>
        <w:autoSpaceDN w:val="0"/>
        <w:bidi w:val="0"/>
        <w:adjustRightInd w:val="0"/>
        <w:snapToGrid w:val="0"/>
        <w:spacing w:beforeAutospacing="0" w:line="44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6.6 大型或者复杂的货物采购项目，甲方可以邀请国家认可的质量检测机构参加验收工作，并由其出具验收报告单。</w:t>
      </w:r>
    </w:p>
    <w:p>
      <w:pPr>
        <w:kinsoku/>
        <w:wordWrap/>
        <w:overflowPunct/>
        <w:autoSpaceDE w:val="0"/>
        <w:autoSpaceDN w:val="0"/>
        <w:bidi w:val="0"/>
        <w:adjustRightInd w:val="0"/>
        <w:snapToGrid w:val="0"/>
        <w:spacing w:beforeAutospacing="0" w:line="44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6.7 乙方提供的进口产品，乙方应出示中华人民共和国进出口商品检验部门出具的检验证书（招标文件第三章“采购需求”另有约定的除外）。</w:t>
      </w:r>
    </w:p>
    <w:p>
      <w:pPr>
        <w:kinsoku/>
        <w:wordWrap/>
        <w:overflowPunct/>
        <w:bidi w:val="0"/>
        <w:spacing w:beforeAutospacing="0" w:line="44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6.8</w:t>
      </w:r>
      <w:r>
        <w:rPr>
          <w:rFonts w:hint="eastAsia" w:ascii="仿宋" w:hAnsi="仿宋" w:eastAsia="仿宋" w:cs="仿宋"/>
          <w:color w:val="auto"/>
          <w:kern w:val="0"/>
          <w:sz w:val="24"/>
          <w:szCs w:val="24"/>
          <w:highlight w:val="none"/>
        </w:rPr>
        <w:t>政府采购当事人在合同履约和验收工作中，应当自觉接受财政部门和对政府采购负有行政监督职责的政府其他有关部门的监督检查,</w:t>
      </w:r>
      <w:r>
        <w:rPr>
          <w:rFonts w:hint="eastAsia" w:ascii="仿宋" w:hAnsi="仿宋" w:eastAsia="仿宋" w:cs="仿宋"/>
          <w:color w:val="auto"/>
          <w:sz w:val="24"/>
          <w:szCs w:val="24"/>
          <w:highlight w:val="none"/>
        </w:rPr>
        <w:t>在合同履约验收工作中合同当事人有下列情形的，将追究相关违法、违纪责任：</w:t>
      </w:r>
    </w:p>
    <w:p>
      <w:pPr>
        <w:kinsoku/>
        <w:wordWrap/>
        <w:overflowPunct/>
        <w:bidi w:val="0"/>
        <w:spacing w:beforeAutospacing="0" w:line="440" w:lineRule="exact"/>
        <w:ind w:left="0" w:leftChars="0" w:right="0" w:firstLine="552" w:firstLineChars="23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（1）甲方无正当理由推迟项目验收时间的；</w:t>
      </w:r>
    </w:p>
    <w:p>
      <w:pPr>
        <w:kinsoku/>
        <w:wordWrap/>
        <w:overflowPunct/>
        <w:bidi w:val="0"/>
        <w:spacing w:beforeAutospacing="0" w:line="440" w:lineRule="exact"/>
        <w:ind w:left="0" w:leftChars="0" w:right="0" w:firstLine="552" w:firstLineChars="23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（2）甲乙双方相互串通通过减少货物数量、调换物品、更改配置、降低服务标准或虚开发票等手段，套取财政资金的；</w:t>
      </w:r>
    </w:p>
    <w:p>
      <w:pPr>
        <w:kinsoku/>
        <w:wordWrap/>
        <w:overflowPunct/>
        <w:bidi w:val="0"/>
        <w:spacing w:beforeAutospacing="0" w:line="440" w:lineRule="exact"/>
        <w:ind w:left="0" w:leftChars="0" w:right="0" w:firstLine="348" w:firstLineChars="14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kern w:val="0"/>
          <w:sz w:val="24"/>
          <w:szCs w:val="24"/>
          <w:highlight w:val="none"/>
        </w:rPr>
        <w:t>发现问题未向财政部门反映，私自与对方协商改变中标、中标结果的；</w:t>
      </w:r>
    </w:p>
    <w:p>
      <w:pPr>
        <w:kinsoku/>
        <w:wordWrap/>
        <w:overflowPunct/>
        <w:bidi w:val="0"/>
        <w:spacing w:beforeAutospacing="0" w:line="440" w:lineRule="exact"/>
        <w:ind w:left="0" w:leftChars="0" w:right="0" w:firstLine="348" w:firstLineChars="14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（4）行贿、受贿或谋取不正当利益的；</w:t>
      </w:r>
    </w:p>
    <w:p>
      <w:pPr>
        <w:kinsoku/>
        <w:wordWrap/>
        <w:overflowPunct/>
        <w:bidi w:val="0"/>
        <w:spacing w:beforeAutospacing="0" w:line="440" w:lineRule="exact"/>
        <w:ind w:left="0" w:leftChars="0" w:right="0" w:firstLine="348" w:firstLineChars="145"/>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（5）拒绝有关部门依法实施监督检查的。</w:t>
      </w:r>
    </w:p>
    <w:p>
      <w:pPr>
        <w:kinsoku/>
        <w:wordWrap/>
        <w:overflowPunct/>
        <w:bidi w:val="0"/>
        <w:adjustRightInd w:val="0"/>
        <w:snapToGrid w:val="0"/>
        <w:spacing w:beforeAutospacing="0" w:line="440" w:lineRule="exact"/>
        <w:ind w:left="0" w:leftChars="0" w:right="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7.货物包装要求</w:t>
      </w:r>
    </w:p>
    <w:p>
      <w:pPr>
        <w:kinsoku/>
        <w:wordWrap/>
        <w:overflowPunct/>
        <w:autoSpaceDE w:val="0"/>
        <w:autoSpaceDN w:val="0"/>
        <w:bidi w:val="0"/>
        <w:adjustRightInd w:val="0"/>
        <w:snapToGrid w:val="0"/>
        <w:spacing w:beforeAutospacing="0" w:line="44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7.1 乙方所出售的全部货物均应按标准保护措施进行包装，包装应适应于远距离运输、防潮、防震、防锈和防野蛮装卸等要求，以确保货物安全无损地运抵指定现场。由于包装防护措施不妥而引起的损坏、丢失由乙方负责。</w:t>
      </w:r>
    </w:p>
    <w:p>
      <w:pPr>
        <w:kinsoku/>
        <w:wordWrap/>
        <w:overflowPunct/>
        <w:autoSpaceDE w:val="0"/>
        <w:autoSpaceDN w:val="0"/>
        <w:bidi w:val="0"/>
        <w:adjustRightInd w:val="0"/>
        <w:snapToGrid w:val="0"/>
        <w:spacing w:beforeAutospacing="0" w:line="44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7.2 每一个包装箱内应附一份详细装箱单、质量证书和保修保养证书。</w:t>
      </w:r>
    </w:p>
    <w:p>
      <w:pPr>
        <w:kinsoku/>
        <w:wordWrap/>
        <w:overflowPunct/>
        <w:bidi w:val="0"/>
        <w:adjustRightInd w:val="0"/>
        <w:snapToGrid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8.运输和保险</w:t>
      </w:r>
    </w:p>
    <w:p>
      <w:pPr>
        <w:kinsoku/>
        <w:wordWrap/>
        <w:overflowPunct/>
        <w:bidi w:val="0"/>
        <w:adjustRightInd w:val="0"/>
        <w:snapToGrid w:val="0"/>
        <w:spacing w:beforeAutospacing="0" w:line="44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8.1乙方负责办理将货物运抵本合同第5.1条规定的交货地点的一切运输事项，相关费用应包括在合同总价中。</w:t>
      </w:r>
    </w:p>
    <w:p>
      <w:pPr>
        <w:kinsoku/>
        <w:wordWrap/>
        <w:overflowPunct/>
        <w:bidi w:val="0"/>
        <w:adjustRightInd w:val="0"/>
        <w:snapToGrid w:val="0"/>
        <w:spacing w:beforeAutospacing="0" w:line="44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8.2乙方应向保险公司投保以甲方为受益人的发运合同货物发票金额的110％运输一切险。</w:t>
      </w:r>
    </w:p>
    <w:p>
      <w:pPr>
        <w:kinsoku/>
        <w:wordWrap/>
        <w:overflowPunct/>
        <w:bidi w:val="0"/>
        <w:adjustRightInd w:val="0"/>
        <w:snapToGrid w:val="0"/>
        <w:spacing w:beforeAutospacing="0" w:line="440" w:lineRule="exact"/>
        <w:ind w:left="0" w:leftChars="0" w:right="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9.质量标准和保证</w:t>
      </w:r>
    </w:p>
    <w:p>
      <w:pPr>
        <w:pStyle w:val="29"/>
        <w:kinsoku/>
        <w:wordWrap/>
        <w:overflowPunct/>
        <w:bidi w:val="0"/>
        <w:adjustRightInd w:val="0"/>
        <w:snapToGrid w:val="0"/>
        <w:spacing w:beforeAutospacing="0" w:line="440" w:lineRule="exact"/>
        <w:ind w:left="0" w:leftChars="0" w:right="0" w:firstLine="480" w:firstLineChars="200"/>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9.1 质量标准</w:t>
      </w:r>
    </w:p>
    <w:p>
      <w:pPr>
        <w:kinsoku/>
        <w:wordWrap/>
        <w:overflowPunct/>
        <w:autoSpaceDE w:val="0"/>
        <w:autoSpaceDN w:val="0"/>
        <w:bidi w:val="0"/>
        <w:adjustRightInd w:val="0"/>
        <w:snapToGrid w:val="0"/>
        <w:spacing w:beforeAutospacing="0" w:line="44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（1）本合同下交付的货物应符合第三章“采购需求”所述的标准。如果没有提及适用标准，则应符合中华人民共和国有关机构发布的最新版本的标准。</w:t>
      </w:r>
    </w:p>
    <w:p>
      <w:pPr>
        <w:pStyle w:val="29"/>
        <w:kinsoku/>
        <w:wordWrap/>
        <w:overflowPunct/>
        <w:bidi w:val="0"/>
        <w:adjustRightInd w:val="0"/>
        <w:snapToGrid w:val="0"/>
        <w:spacing w:beforeAutospacing="0" w:line="44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（2）采用中华人民共和国法定计量单位。</w:t>
      </w:r>
    </w:p>
    <w:p>
      <w:pPr>
        <w:kinsoku/>
        <w:wordWrap/>
        <w:overflowPunct/>
        <w:autoSpaceDE w:val="0"/>
        <w:autoSpaceDN w:val="0"/>
        <w:bidi w:val="0"/>
        <w:adjustRightInd w:val="0"/>
        <w:snapToGrid w:val="0"/>
        <w:spacing w:beforeAutospacing="0" w:line="44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（3）乙方所出售的货物还应符合国家有关安全、环保、卫生之规定。</w:t>
      </w:r>
    </w:p>
    <w:p>
      <w:pPr>
        <w:kinsoku/>
        <w:wordWrap/>
        <w:overflowPunct/>
        <w:autoSpaceDE w:val="0"/>
        <w:autoSpaceDN w:val="0"/>
        <w:bidi w:val="0"/>
        <w:adjustRightInd w:val="0"/>
        <w:snapToGrid w:val="0"/>
        <w:spacing w:beforeAutospacing="0" w:line="44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9.2 保证</w:t>
      </w:r>
    </w:p>
    <w:p>
      <w:pPr>
        <w:kinsoku/>
        <w:wordWrap/>
        <w:overflowPunct/>
        <w:autoSpaceDE w:val="0"/>
        <w:autoSpaceDN w:val="0"/>
        <w:bidi w:val="0"/>
        <w:adjustRightInd w:val="0"/>
        <w:snapToGrid w:val="0"/>
        <w:spacing w:beforeAutospacing="0" w:line="44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乙方应保证所供货物是全新的、未使用过的，并完全符合合同规定的质量、规格和性能的要求。乙方应保证其货物在正确安装、正常使用和保养条件下，在其使用寿命期内应具有满意的性能，或者没有因乙方的行为或疏忽而产生的缺陷。在货物最终交付验收后不少于</w:t>
      </w:r>
      <w:r>
        <w:rPr>
          <w:rFonts w:hint="eastAsia" w:ascii="仿宋" w:hAnsi="仿宋" w:eastAsia="仿宋" w:cs="仿宋"/>
          <w:b/>
          <w:color w:val="auto"/>
          <w:sz w:val="24"/>
          <w:szCs w:val="24"/>
          <w:highlight w:val="none"/>
        </w:rPr>
        <w:t>投标人须知前附表</w:t>
      </w:r>
      <w:r>
        <w:rPr>
          <w:rFonts w:hint="eastAsia" w:ascii="仿宋" w:hAnsi="仿宋" w:eastAsia="仿宋" w:cs="仿宋"/>
          <w:color w:val="auto"/>
          <w:sz w:val="24"/>
          <w:szCs w:val="24"/>
          <w:highlight w:val="none"/>
        </w:rPr>
        <w:t>规定或乙方承诺（两者以较长的为准）的质量保证期内，本保证保持有效。</w:t>
      </w:r>
    </w:p>
    <w:p>
      <w:pPr>
        <w:kinsoku/>
        <w:wordWrap/>
        <w:overflowPunct/>
        <w:autoSpaceDE w:val="0"/>
        <w:autoSpaceDN w:val="0"/>
        <w:bidi w:val="0"/>
        <w:adjustRightInd w:val="0"/>
        <w:snapToGrid w:val="0"/>
        <w:spacing w:beforeAutospacing="0" w:line="44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（2）在质量保证期内所发现的缺陷，甲方应尽快以书面形式通知乙方。</w:t>
      </w:r>
    </w:p>
    <w:p>
      <w:pPr>
        <w:kinsoku/>
        <w:wordWrap/>
        <w:overflowPunct/>
        <w:autoSpaceDE w:val="0"/>
        <w:autoSpaceDN w:val="0"/>
        <w:bidi w:val="0"/>
        <w:adjustRightInd w:val="0"/>
        <w:snapToGrid w:val="0"/>
        <w:spacing w:beforeAutospacing="0" w:line="44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（3）乙方收到通知后应在</w:t>
      </w:r>
      <w:r>
        <w:rPr>
          <w:rFonts w:hint="eastAsia" w:ascii="仿宋" w:hAnsi="仿宋" w:eastAsia="仿宋" w:cs="仿宋"/>
          <w:b/>
          <w:color w:val="auto"/>
          <w:sz w:val="24"/>
          <w:szCs w:val="24"/>
          <w:highlight w:val="none"/>
        </w:rPr>
        <w:t>投标人须知前附表</w:t>
      </w:r>
      <w:r>
        <w:rPr>
          <w:rFonts w:hint="eastAsia" w:ascii="仿宋" w:hAnsi="仿宋" w:eastAsia="仿宋" w:cs="仿宋"/>
          <w:color w:val="auto"/>
          <w:sz w:val="24"/>
          <w:szCs w:val="24"/>
          <w:highlight w:val="none"/>
        </w:rPr>
        <w:t>规定的响应时间内以合理的速度免费维修或更换有缺陷的货物或部件。</w:t>
      </w:r>
    </w:p>
    <w:p>
      <w:pPr>
        <w:kinsoku/>
        <w:wordWrap/>
        <w:overflowPunct/>
        <w:autoSpaceDE w:val="0"/>
        <w:autoSpaceDN w:val="0"/>
        <w:bidi w:val="0"/>
        <w:adjustRightInd w:val="0"/>
        <w:snapToGrid w:val="0"/>
        <w:spacing w:beforeAutospacing="0" w:line="44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（4）在质量保证期内，如果货物的质量或规格与合同不符，或证实货物是有缺陷的，包括潜在的缺陷或使用不符合要求的材料等，甲方可以根据本合同第15.1条规定以书面形式向乙方提出补救措施或索赔。</w:t>
      </w:r>
    </w:p>
    <w:p>
      <w:pPr>
        <w:kinsoku/>
        <w:wordWrap/>
        <w:overflowPunct/>
        <w:bidi w:val="0"/>
        <w:adjustRightInd w:val="0"/>
        <w:snapToGrid w:val="0"/>
        <w:spacing w:beforeAutospacing="0" w:line="440" w:lineRule="exact"/>
        <w:ind w:left="0" w:leftChars="0" w:right="0" w:firstLine="480" w:firstLineChars="200"/>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（5）乙方在约定的时间内未能弥补缺陷，甲方可采取必要的补救措施，但其风险和费用将由乙方承担，甲方根据合同规定对乙方行使的其他权利不受影响。</w:t>
      </w:r>
    </w:p>
    <w:p>
      <w:pPr>
        <w:kinsoku/>
        <w:wordWrap/>
        <w:overflowPunct/>
        <w:bidi w:val="0"/>
        <w:adjustRightInd w:val="0"/>
        <w:snapToGrid w:val="0"/>
        <w:spacing w:beforeAutospacing="0" w:line="440" w:lineRule="exact"/>
        <w:ind w:left="0" w:leftChars="0" w:right="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10.权利瑕疵担保</w:t>
      </w:r>
    </w:p>
    <w:p>
      <w:pPr>
        <w:kinsoku/>
        <w:wordWrap/>
        <w:overflowPunct/>
        <w:autoSpaceDE w:val="0"/>
        <w:autoSpaceDN w:val="0"/>
        <w:bidi w:val="0"/>
        <w:adjustRightInd w:val="0"/>
        <w:snapToGrid w:val="0"/>
        <w:spacing w:beforeAutospacing="0" w:line="44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10.1 乙方保证对其出售的货物享有合法的权利。</w:t>
      </w:r>
    </w:p>
    <w:p>
      <w:pPr>
        <w:kinsoku/>
        <w:wordWrap/>
        <w:overflowPunct/>
        <w:autoSpaceDE w:val="0"/>
        <w:autoSpaceDN w:val="0"/>
        <w:bidi w:val="0"/>
        <w:adjustRightInd w:val="0"/>
        <w:snapToGrid w:val="0"/>
        <w:spacing w:beforeAutospacing="0" w:line="44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10.2 乙方保证在其出售的货物上不存在任何未曾向甲方透露的担保物权，如抵押权、质押权、留置权等。</w:t>
      </w:r>
    </w:p>
    <w:p>
      <w:pPr>
        <w:kinsoku/>
        <w:wordWrap/>
        <w:overflowPunct/>
        <w:autoSpaceDE w:val="0"/>
        <w:autoSpaceDN w:val="0"/>
        <w:bidi w:val="0"/>
        <w:adjustRightInd w:val="0"/>
        <w:snapToGrid w:val="0"/>
        <w:spacing w:beforeAutospacing="0" w:line="44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10.3 如甲方使用该货物构成上述侵权的，则由乙方承担全部责任。</w:t>
      </w:r>
    </w:p>
    <w:p>
      <w:pPr>
        <w:kinsoku/>
        <w:wordWrap/>
        <w:overflowPunct/>
        <w:autoSpaceDE w:val="0"/>
        <w:autoSpaceDN w:val="0"/>
        <w:bidi w:val="0"/>
        <w:adjustRightInd w:val="0"/>
        <w:snapToGrid w:val="0"/>
        <w:spacing w:beforeAutospacing="0" w:line="440" w:lineRule="exact"/>
        <w:ind w:left="0" w:leftChars="0" w:right="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11.知识产权保护</w:t>
      </w:r>
    </w:p>
    <w:p>
      <w:pPr>
        <w:kinsoku/>
        <w:wordWrap/>
        <w:overflowPunct/>
        <w:autoSpaceDE w:val="0"/>
        <w:autoSpaceDN w:val="0"/>
        <w:bidi w:val="0"/>
        <w:adjustRightInd w:val="0"/>
        <w:snapToGrid w:val="0"/>
        <w:spacing w:beforeAutospacing="0" w:line="44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11.1 乙方对其所销售的货物应当享有知识产权或经权利人合法授权，保证没有侵犯任何第三人的知识产权和商业秘密等权利。</w:t>
      </w:r>
    </w:p>
    <w:p>
      <w:pPr>
        <w:kinsoku/>
        <w:wordWrap/>
        <w:overflowPunct/>
        <w:autoSpaceDE w:val="0"/>
        <w:autoSpaceDN w:val="0"/>
        <w:bidi w:val="0"/>
        <w:adjustRightInd w:val="0"/>
        <w:snapToGrid w:val="0"/>
        <w:spacing w:beforeAutospacing="0" w:line="44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11.2 甲方使用乙方提供的货物对第三人构成侵权的，应当由乙方承担全部法律责任，给甲方造成损害的，乙方应当承担赔偿责任。</w:t>
      </w:r>
    </w:p>
    <w:p>
      <w:pPr>
        <w:kinsoku/>
        <w:wordWrap/>
        <w:overflowPunct/>
        <w:autoSpaceDE w:val="0"/>
        <w:autoSpaceDN w:val="0"/>
        <w:bidi w:val="0"/>
        <w:adjustRightInd w:val="0"/>
        <w:snapToGrid w:val="0"/>
        <w:spacing w:beforeAutospacing="0" w:line="44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11.3 甲方委托乙方开发的产品，甲方享有知识产权，未经甲方许可不得转让任何第三人。</w:t>
      </w:r>
    </w:p>
    <w:p>
      <w:pPr>
        <w:kinsoku/>
        <w:wordWrap/>
        <w:overflowPunct/>
        <w:autoSpaceDE w:val="0"/>
        <w:autoSpaceDN w:val="0"/>
        <w:bidi w:val="0"/>
        <w:adjustRightInd w:val="0"/>
        <w:snapToGrid w:val="0"/>
        <w:spacing w:beforeAutospacing="0" w:line="440" w:lineRule="exact"/>
        <w:ind w:left="0" w:leftChars="0" w:right="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12.保密义务</w:t>
      </w:r>
    </w:p>
    <w:p>
      <w:pPr>
        <w:kinsoku/>
        <w:wordWrap/>
        <w:overflowPunct/>
        <w:autoSpaceDE w:val="0"/>
        <w:autoSpaceDN w:val="0"/>
        <w:bidi w:val="0"/>
        <w:adjustRightInd w:val="0"/>
        <w:snapToGrid w:val="0"/>
        <w:spacing w:beforeAutospacing="0" w:line="44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12.1 甲、乙双方在采购和履行合同过程中所获悉的对方属于保密的内容，双方均有保密义务。</w:t>
      </w:r>
    </w:p>
    <w:p>
      <w:pPr>
        <w:kinsoku/>
        <w:wordWrap/>
        <w:overflowPunct/>
        <w:autoSpaceDE w:val="0"/>
        <w:autoSpaceDN w:val="0"/>
        <w:bidi w:val="0"/>
        <w:adjustRightInd w:val="0"/>
        <w:snapToGrid w:val="0"/>
        <w:spacing w:beforeAutospacing="0" w:line="440" w:lineRule="exact"/>
        <w:ind w:left="0" w:leftChars="0" w:right="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13.合同价款支付</w:t>
      </w:r>
    </w:p>
    <w:p>
      <w:pPr>
        <w:kinsoku/>
        <w:wordWrap/>
        <w:overflowPunct/>
        <w:bidi w:val="0"/>
        <w:adjustRightInd w:val="0"/>
        <w:snapToGrid w:val="0"/>
        <w:spacing w:beforeAutospacing="0" w:line="44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13.1验收合格后，乙方出具正规发票给甲方，凭甲方开具的《政府采购合同验收报告单》办理合同价</w:t>
      </w:r>
      <w:r>
        <w:rPr>
          <w:rFonts w:hint="eastAsia" w:ascii="仿宋" w:hAnsi="仿宋" w:eastAsia="仿宋" w:cs="仿宋"/>
          <w:bCs/>
          <w:color w:val="auto"/>
          <w:sz w:val="24"/>
          <w:szCs w:val="24"/>
          <w:highlight w:val="none"/>
        </w:rPr>
        <w:t>款</w:t>
      </w:r>
      <w:r>
        <w:rPr>
          <w:rFonts w:hint="eastAsia" w:ascii="仿宋" w:hAnsi="仿宋" w:eastAsia="仿宋" w:cs="仿宋"/>
          <w:color w:val="auto"/>
          <w:sz w:val="24"/>
          <w:szCs w:val="24"/>
          <w:highlight w:val="none"/>
        </w:rPr>
        <w:t>结算手续。</w:t>
      </w:r>
    </w:p>
    <w:p>
      <w:pPr>
        <w:kinsoku/>
        <w:wordWrap/>
        <w:overflowPunct/>
        <w:autoSpaceDE w:val="0"/>
        <w:autoSpaceDN w:val="0"/>
        <w:bidi w:val="0"/>
        <w:adjustRightInd w:val="0"/>
        <w:snapToGrid w:val="0"/>
        <w:spacing w:beforeAutospacing="0" w:line="44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13.2 合同价款构成中应当由财政支付的部分，甲方应当在货物验收合格后的十五个工作日内向国库管理部门申请支付，经国库管理部门审核后直接支付给乙方。</w:t>
      </w:r>
    </w:p>
    <w:p>
      <w:pPr>
        <w:kinsoku/>
        <w:wordWrap/>
        <w:overflowPunct/>
        <w:bidi w:val="0"/>
        <w:adjustRightInd w:val="0"/>
        <w:snapToGrid w:val="0"/>
        <w:spacing w:beforeAutospacing="0" w:line="44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13.3 合同价款构成中应当由甲方自行支付的部分，甲方应当在货物验收合格后十五个工作内支付。</w:t>
      </w:r>
    </w:p>
    <w:p>
      <w:pPr>
        <w:kinsoku/>
        <w:wordWrap/>
        <w:overflowPunct/>
        <w:bidi w:val="0"/>
        <w:adjustRightInd w:val="0"/>
        <w:snapToGrid w:val="0"/>
        <w:spacing w:beforeAutospacing="0" w:line="44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13.4支付合同价</w:t>
      </w:r>
      <w:r>
        <w:rPr>
          <w:rFonts w:hint="eastAsia" w:ascii="仿宋" w:hAnsi="仿宋" w:eastAsia="仿宋" w:cs="仿宋"/>
          <w:bCs/>
          <w:color w:val="auto"/>
          <w:sz w:val="24"/>
          <w:szCs w:val="24"/>
          <w:highlight w:val="none"/>
        </w:rPr>
        <w:t>款</w:t>
      </w:r>
      <w:r>
        <w:rPr>
          <w:rFonts w:hint="eastAsia" w:ascii="仿宋" w:hAnsi="仿宋" w:eastAsia="仿宋" w:cs="仿宋"/>
          <w:color w:val="auto"/>
          <w:sz w:val="24"/>
          <w:szCs w:val="24"/>
          <w:highlight w:val="none"/>
        </w:rPr>
        <w:t>时，一律不向乙方以外的任何第三方办理付款手续。开户行和账号以签订的政府采购合同为准，如果乙方要求变更，则乙方必须提供加盖了财务专用章、法定代表人签字的证明文件，报经甲方审查同意。</w:t>
      </w:r>
    </w:p>
    <w:p>
      <w:pPr>
        <w:kinsoku/>
        <w:wordWrap/>
        <w:overflowPunct/>
        <w:autoSpaceDE w:val="0"/>
        <w:autoSpaceDN w:val="0"/>
        <w:bidi w:val="0"/>
        <w:adjustRightInd w:val="0"/>
        <w:snapToGrid w:val="0"/>
        <w:spacing w:beforeAutospacing="0" w:line="44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13.5 合同价款支付方式</w:t>
      </w:r>
      <w:r>
        <w:rPr>
          <w:rFonts w:hint="eastAsia" w:ascii="仿宋" w:hAnsi="仿宋" w:eastAsia="仿宋" w:cs="仿宋"/>
          <w:bCs/>
          <w:color w:val="auto"/>
          <w:sz w:val="24"/>
          <w:szCs w:val="24"/>
          <w:highlight w:val="none"/>
        </w:rPr>
        <w:t>和条件在</w:t>
      </w:r>
      <w:r>
        <w:rPr>
          <w:rFonts w:hint="eastAsia" w:ascii="仿宋" w:hAnsi="仿宋" w:eastAsia="仿宋" w:cs="仿宋"/>
          <w:b/>
          <w:color w:val="auto"/>
          <w:sz w:val="24"/>
          <w:szCs w:val="24"/>
          <w:highlight w:val="none"/>
        </w:rPr>
        <w:t>投标人须知前附表</w:t>
      </w:r>
      <w:r>
        <w:rPr>
          <w:rFonts w:hint="eastAsia" w:ascii="仿宋" w:hAnsi="仿宋" w:eastAsia="仿宋" w:cs="仿宋"/>
          <w:color w:val="auto"/>
          <w:sz w:val="24"/>
          <w:szCs w:val="24"/>
          <w:highlight w:val="none"/>
        </w:rPr>
        <w:t>中另有规定。</w:t>
      </w:r>
    </w:p>
    <w:p>
      <w:pPr>
        <w:kinsoku/>
        <w:wordWrap/>
        <w:overflowPunct/>
        <w:autoSpaceDE w:val="0"/>
        <w:autoSpaceDN w:val="0"/>
        <w:bidi w:val="0"/>
        <w:adjustRightInd w:val="0"/>
        <w:snapToGrid w:val="0"/>
        <w:spacing w:beforeAutospacing="0" w:line="440" w:lineRule="exact"/>
        <w:ind w:left="0" w:leftChars="0" w:right="0"/>
        <w:rPr>
          <w:rFonts w:hint="eastAsia" w:ascii="仿宋" w:hAnsi="仿宋" w:eastAsia="仿宋" w:cs="仿宋"/>
          <w:b/>
          <w:color w:val="auto"/>
          <w:sz w:val="24"/>
          <w:szCs w:val="24"/>
          <w:highlight w:val="none"/>
        </w:rPr>
      </w:pPr>
      <w:r>
        <w:rPr>
          <w:rFonts w:hint="eastAsia" w:ascii="仿宋" w:hAnsi="仿宋" w:eastAsia="仿宋" w:cs="仿宋"/>
          <w:b/>
          <w:bCs/>
          <w:color w:val="auto"/>
          <w:sz w:val="24"/>
          <w:szCs w:val="24"/>
          <w:highlight w:val="none"/>
        </w:rPr>
        <w:t>14.</w:t>
      </w:r>
      <w:r>
        <w:rPr>
          <w:rFonts w:hint="eastAsia" w:ascii="仿宋" w:hAnsi="仿宋" w:eastAsia="仿宋" w:cs="仿宋"/>
          <w:b/>
          <w:color w:val="auto"/>
          <w:sz w:val="24"/>
          <w:szCs w:val="24"/>
          <w:highlight w:val="none"/>
        </w:rPr>
        <w:t>伴随服务</w:t>
      </w:r>
    </w:p>
    <w:p>
      <w:pPr>
        <w:kinsoku/>
        <w:wordWrap/>
        <w:overflowPunct/>
        <w:autoSpaceDE w:val="0"/>
        <w:autoSpaceDN w:val="0"/>
        <w:bidi w:val="0"/>
        <w:adjustRightInd w:val="0"/>
        <w:snapToGrid w:val="0"/>
        <w:spacing w:beforeAutospacing="0" w:line="44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14.1 乙方应向甲方提交所提供货物的技术文件，包括相应的中文技术文件，如：产品目录、图纸、操作手册、使用说明、维护手册或服务指南。这些文件应包装好随同货物一起发运。</w:t>
      </w:r>
    </w:p>
    <w:p>
      <w:pPr>
        <w:kinsoku/>
        <w:wordWrap/>
        <w:overflowPunct/>
        <w:autoSpaceDE w:val="0"/>
        <w:autoSpaceDN w:val="0"/>
        <w:bidi w:val="0"/>
        <w:adjustRightInd w:val="0"/>
        <w:snapToGrid w:val="0"/>
        <w:spacing w:beforeAutospacing="0" w:line="44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14.2 乙方还应提供下列服务：</w:t>
      </w:r>
    </w:p>
    <w:p>
      <w:pPr>
        <w:kinsoku/>
        <w:wordWrap/>
        <w:overflowPunct/>
        <w:autoSpaceDE w:val="0"/>
        <w:autoSpaceDN w:val="0"/>
        <w:bidi w:val="0"/>
        <w:adjustRightInd w:val="0"/>
        <w:snapToGrid w:val="0"/>
        <w:spacing w:beforeAutospacing="0" w:line="44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（1）货物的现场移动、安装、调试、启动监督及技术支持；</w:t>
      </w:r>
    </w:p>
    <w:p>
      <w:pPr>
        <w:kinsoku/>
        <w:wordWrap/>
        <w:overflowPunct/>
        <w:autoSpaceDE w:val="0"/>
        <w:autoSpaceDN w:val="0"/>
        <w:bidi w:val="0"/>
        <w:adjustRightInd w:val="0"/>
        <w:snapToGrid w:val="0"/>
        <w:spacing w:beforeAutospacing="0" w:line="44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（2）提供货物组装和维修所需的专用工具和辅助材料；</w:t>
      </w:r>
    </w:p>
    <w:p>
      <w:pPr>
        <w:kinsoku/>
        <w:wordWrap/>
        <w:overflowPunct/>
        <w:autoSpaceDE w:val="0"/>
        <w:autoSpaceDN w:val="0"/>
        <w:bidi w:val="0"/>
        <w:adjustRightInd w:val="0"/>
        <w:snapToGrid w:val="0"/>
        <w:spacing w:beforeAutospacing="0" w:line="44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（3）在合同各方商定的一定期限内对所有的货物实施运行监督、维修，但前提条件是该服务并不能免除乙方在质量保证期内所承担的义务；</w:t>
      </w:r>
    </w:p>
    <w:p>
      <w:pPr>
        <w:kinsoku/>
        <w:wordWrap/>
        <w:overflowPunct/>
        <w:autoSpaceDE w:val="0"/>
        <w:autoSpaceDN w:val="0"/>
        <w:bidi w:val="0"/>
        <w:adjustRightInd w:val="0"/>
        <w:snapToGrid w:val="0"/>
        <w:spacing w:beforeAutospacing="0" w:line="44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（4）在制造商或项目现场就货物的安装、启动、运营、维护对甲方操作人员进行培训。</w:t>
      </w:r>
    </w:p>
    <w:p>
      <w:pPr>
        <w:kinsoku/>
        <w:wordWrap/>
        <w:overflowPunct/>
        <w:autoSpaceDE w:val="0"/>
        <w:autoSpaceDN w:val="0"/>
        <w:bidi w:val="0"/>
        <w:adjustRightInd w:val="0"/>
        <w:snapToGrid w:val="0"/>
        <w:spacing w:beforeAutospacing="0" w:line="44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r>
        <w:rPr>
          <w:rFonts w:hint="eastAsia" w:ascii="仿宋" w:hAnsi="仿宋" w:eastAsia="仿宋" w:cs="仿宋"/>
          <w:b/>
          <w:color w:val="auto"/>
          <w:sz w:val="24"/>
          <w:szCs w:val="24"/>
          <w:highlight w:val="none"/>
        </w:rPr>
        <w:t>投标人须知前附表</w:t>
      </w:r>
      <w:r>
        <w:rPr>
          <w:rFonts w:hint="eastAsia" w:ascii="仿宋" w:hAnsi="仿宋" w:eastAsia="仿宋" w:cs="仿宋"/>
          <w:color w:val="auto"/>
          <w:sz w:val="24"/>
          <w:szCs w:val="24"/>
          <w:highlight w:val="none"/>
        </w:rPr>
        <w:t>与第三章“采购需求”规定的其他伴随服务</w:t>
      </w:r>
    </w:p>
    <w:p>
      <w:pPr>
        <w:kinsoku/>
        <w:wordWrap/>
        <w:overflowPunct/>
        <w:autoSpaceDE w:val="0"/>
        <w:autoSpaceDN w:val="0"/>
        <w:bidi w:val="0"/>
        <w:adjustRightInd w:val="0"/>
        <w:snapToGrid w:val="0"/>
        <w:spacing w:beforeAutospacing="0" w:line="44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14.3 乙方提供的伴随服务的费用应包含在合同价款中，甲方不再另行支付。</w:t>
      </w:r>
    </w:p>
    <w:p>
      <w:pPr>
        <w:kinsoku/>
        <w:wordWrap/>
        <w:overflowPunct/>
        <w:bidi w:val="0"/>
        <w:adjustRightInd w:val="0"/>
        <w:snapToGrid w:val="0"/>
        <w:spacing w:beforeAutospacing="0" w:line="440" w:lineRule="exact"/>
        <w:ind w:left="0" w:leftChars="0" w:right="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15.违约责任</w:t>
      </w:r>
    </w:p>
    <w:p>
      <w:pPr>
        <w:kinsoku/>
        <w:wordWrap/>
        <w:overflowPunct/>
        <w:bidi w:val="0"/>
        <w:adjustRightInd w:val="0"/>
        <w:snapToGrid w:val="0"/>
        <w:spacing w:beforeAutospacing="0" w:line="440" w:lineRule="exact"/>
        <w:ind w:left="0" w:leftChars="0" w:right="0" w:firstLine="360" w:firstLineChars="15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15.1质量瑕疵的补救措施和索赔</w:t>
      </w:r>
    </w:p>
    <w:p>
      <w:pPr>
        <w:kinsoku/>
        <w:wordWrap/>
        <w:overflowPunct/>
        <w:autoSpaceDE w:val="0"/>
        <w:autoSpaceDN w:val="0"/>
        <w:bidi w:val="0"/>
        <w:adjustRightInd w:val="0"/>
        <w:snapToGrid w:val="0"/>
        <w:spacing w:beforeAutospacing="0" w:line="44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如果乙方提供的产品不符合质量标准或存在产品质量缺陷，而甲方在合同条款第9条或合同的其他条款规定的检验、安装、调试、验收和质量保证期内，根据法定质量检测部门出具的检验证书向乙方提出了索赔，乙方应按照甲方同意的下列一种或几种方式结合起来解决索赔事宜：</w:t>
      </w:r>
    </w:p>
    <w:p>
      <w:pPr>
        <w:kinsoku/>
        <w:wordWrap/>
        <w:overflowPunct/>
        <w:autoSpaceDE w:val="0"/>
        <w:autoSpaceDN w:val="0"/>
        <w:bidi w:val="0"/>
        <w:adjustRightInd w:val="0"/>
        <w:snapToGrid w:val="0"/>
        <w:spacing w:beforeAutospacing="0" w:line="44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①乙方同意退货并将货款退还给甲方，由此发生的一切费用和损失由乙方承担。</w:t>
      </w:r>
    </w:p>
    <w:p>
      <w:pPr>
        <w:kinsoku/>
        <w:wordWrap/>
        <w:overflowPunct/>
        <w:autoSpaceDE w:val="0"/>
        <w:autoSpaceDN w:val="0"/>
        <w:bidi w:val="0"/>
        <w:adjustRightInd w:val="0"/>
        <w:snapToGrid w:val="0"/>
        <w:spacing w:beforeAutospacing="0" w:line="44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②根据货物的质量状况以及甲方所遭受的损失，经过甲乙双方商定降低货物的价格。</w:t>
      </w:r>
    </w:p>
    <w:p>
      <w:pPr>
        <w:kinsoku/>
        <w:wordWrap/>
        <w:overflowPunct/>
        <w:autoSpaceDE w:val="0"/>
        <w:autoSpaceDN w:val="0"/>
        <w:bidi w:val="0"/>
        <w:adjustRightInd w:val="0"/>
        <w:snapToGrid w:val="0"/>
        <w:spacing w:beforeAutospacing="0" w:line="44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③乙方应在接到甲方通知后七日内负责采用符合合同规定的规格、质量和性能要求的新零件、部件和设备来更换有缺陷的部分或修补缺陷部分，其费用由乙方负担。同时，乙方应在约定的质量保证期基础上相应延长修补和更换件的质量保证期。</w:t>
      </w:r>
    </w:p>
    <w:p>
      <w:pPr>
        <w:kinsoku/>
        <w:wordWrap/>
        <w:overflowPunct/>
        <w:autoSpaceDE w:val="0"/>
        <w:autoSpaceDN w:val="0"/>
        <w:bidi w:val="0"/>
        <w:adjustRightInd w:val="0"/>
        <w:snapToGrid w:val="0"/>
        <w:spacing w:beforeAutospacing="0" w:line="44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如果在甲方发出索赔通知后十日内乙方未作答复，上述索赔应视为已被乙方接受。如果乙方未能在甲方发出索赔通知后十日内或甲方同意延长的期限内，按照上述规定的任何一种方法采取补救措施，甲方有权从应付货款中扣除索赔金额或者没收质量保证金，如不足以弥补甲方损失的，甲方有权进一步要求乙方赔偿。</w:t>
      </w:r>
    </w:p>
    <w:p>
      <w:pPr>
        <w:kinsoku/>
        <w:wordWrap/>
        <w:overflowPunct/>
        <w:autoSpaceDE w:val="0"/>
        <w:autoSpaceDN w:val="0"/>
        <w:bidi w:val="0"/>
        <w:adjustRightInd w:val="0"/>
        <w:snapToGrid w:val="0"/>
        <w:spacing w:beforeAutospacing="0" w:line="440" w:lineRule="exact"/>
        <w:ind w:left="0" w:leftChars="0" w:right="0"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15.2 迟延交货的违约责任</w:t>
      </w:r>
    </w:p>
    <w:p>
      <w:pPr>
        <w:kinsoku/>
        <w:wordWrap/>
        <w:overflowPunct/>
        <w:autoSpaceDE w:val="0"/>
        <w:autoSpaceDN w:val="0"/>
        <w:bidi w:val="0"/>
        <w:adjustRightInd w:val="0"/>
        <w:snapToGrid w:val="0"/>
        <w:spacing w:beforeAutospacing="0" w:line="44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乙方应按照本合同规定的时间、地点交货和提供服务。在履行合同过程中，如果乙方遇到可能妨碍按时交货和提供服务的情形时，应及时以书面形式将迟延的事实、可能迟延的期限和理由通知甲方。甲方在收到乙方通知后，应尽快对情况进行评价，并确定是否同意迟延交货时间或延期提供服务。</w:t>
      </w:r>
    </w:p>
    <w:p>
      <w:pPr>
        <w:kinsoku/>
        <w:wordWrap/>
        <w:overflowPunct/>
        <w:autoSpaceDE w:val="0"/>
        <w:autoSpaceDN w:val="0"/>
        <w:bidi w:val="0"/>
        <w:adjustRightInd w:val="0"/>
        <w:snapToGrid w:val="0"/>
        <w:spacing w:beforeAutospacing="0" w:line="44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（2）除本合同</w:t>
      </w:r>
      <w:r>
        <w:rPr>
          <w:rFonts w:hint="eastAsia" w:ascii="仿宋" w:hAnsi="仿宋" w:eastAsia="仿宋" w:cs="仿宋"/>
          <w:bCs/>
          <w:color w:val="auto"/>
          <w:sz w:val="24"/>
          <w:szCs w:val="24"/>
          <w:highlight w:val="none"/>
        </w:rPr>
        <w:t>第20条</w:t>
      </w:r>
      <w:r>
        <w:rPr>
          <w:rFonts w:hint="eastAsia" w:ascii="仿宋" w:hAnsi="仿宋" w:eastAsia="仿宋" w:cs="仿宋"/>
          <w:color w:val="auto"/>
          <w:sz w:val="24"/>
          <w:szCs w:val="24"/>
          <w:highlight w:val="none"/>
        </w:rPr>
        <w:t>规定情况外，如果乙方没有按照合同规定的时间交货和提供服务，甲方有权从货款中扣除误期赔偿费而不影响合同项下的其他补救方法，赔偿费按每周（一周按七天计算，不足七日按一周计算）赔偿迟交货物的交货价或延期服务的服务费用的百分之零点五（0.5%）计收，直至交货或提供服务为止。但误期赔偿费的最高限额不超过合同价的百分之五（5%）。一旦达到误期赔偿的最高限额，甲方可以终止合同。</w:t>
      </w:r>
    </w:p>
    <w:p>
      <w:pPr>
        <w:kinsoku/>
        <w:wordWrap/>
        <w:overflowPunct/>
        <w:autoSpaceDE w:val="0"/>
        <w:autoSpaceDN w:val="0"/>
        <w:bidi w:val="0"/>
        <w:adjustRightInd w:val="0"/>
        <w:snapToGrid w:val="0"/>
        <w:spacing w:beforeAutospacing="0" w:line="44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如果乙方迟延交货，甲方有权终止全部或部分合同，并依其认为适当的条件和方法购买与未交货物类似的货物，乙方应对购买类似货物所超出的那部分费用负责。但是，乙方应继续执行合同中未终止的部分。</w:t>
      </w:r>
    </w:p>
    <w:p>
      <w:pPr>
        <w:kinsoku/>
        <w:wordWrap/>
        <w:overflowPunct/>
        <w:autoSpaceDE w:val="0"/>
        <w:autoSpaceDN w:val="0"/>
        <w:bidi w:val="0"/>
        <w:adjustRightInd w:val="0"/>
        <w:snapToGrid w:val="0"/>
        <w:spacing w:beforeAutospacing="0" w:line="440" w:lineRule="exact"/>
        <w:ind w:left="0" w:leftChars="0" w:right="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16.合同的变更</w:t>
      </w:r>
    </w:p>
    <w:p>
      <w:pPr>
        <w:kinsoku/>
        <w:wordWrap/>
        <w:overflowPunct/>
        <w:autoSpaceDE w:val="0"/>
        <w:autoSpaceDN w:val="0"/>
        <w:bidi w:val="0"/>
        <w:adjustRightInd w:val="0"/>
        <w:snapToGrid w:val="0"/>
        <w:spacing w:beforeAutospacing="0" w:line="44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16.1 在合同履行过程中，甲、乙双方可就合同履行的时间、地点和方式等协商进行变更。协商一致后，双方应签订书面的补充协议。</w:t>
      </w:r>
    </w:p>
    <w:p>
      <w:pPr>
        <w:kinsoku/>
        <w:wordWrap/>
        <w:overflowPunct/>
        <w:autoSpaceDE w:val="0"/>
        <w:autoSpaceDN w:val="0"/>
        <w:bidi w:val="0"/>
        <w:adjustRightInd w:val="0"/>
        <w:snapToGrid w:val="0"/>
        <w:spacing w:beforeAutospacing="0" w:line="44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16.2 在不改变合同其他条款的前提下，甲方有权在合同价款百分之十的范围内追加与合同标的相同的货物或服务，并就此与乙方签订补充合同，乙方不得拒绝。</w:t>
      </w:r>
    </w:p>
    <w:p>
      <w:pPr>
        <w:kinsoku/>
        <w:wordWrap/>
        <w:overflowPunct/>
        <w:autoSpaceDE w:val="0"/>
        <w:autoSpaceDN w:val="0"/>
        <w:bidi w:val="0"/>
        <w:adjustRightInd w:val="0"/>
        <w:snapToGrid w:val="0"/>
        <w:spacing w:beforeAutospacing="0" w:line="44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16.3 除双方签署书面协议，并成为合同不可分割的一部分外，本合同条件不得有任何变更。</w:t>
      </w:r>
    </w:p>
    <w:p>
      <w:pPr>
        <w:kinsoku/>
        <w:wordWrap/>
        <w:overflowPunct/>
        <w:autoSpaceDE w:val="0"/>
        <w:autoSpaceDN w:val="0"/>
        <w:bidi w:val="0"/>
        <w:adjustRightInd w:val="0"/>
        <w:snapToGrid w:val="0"/>
        <w:spacing w:beforeAutospacing="0" w:line="440" w:lineRule="exact"/>
        <w:ind w:left="0" w:leftChars="0" w:right="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17.合同中止与终止</w:t>
      </w:r>
    </w:p>
    <w:p>
      <w:pPr>
        <w:kinsoku/>
        <w:wordWrap/>
        <w:overflowPunct/>
        <w:bidi w:val="0"/>
        <w:adjustRightInd w:val="0"/>
        <w:snapToGrid w:val="0"/>
        <w:spacing w:beforeAutospacing="0" w:line="44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17.1合同的中止</w:t>
      </w:r>
    </w:p>
    <w:p>
      <w:pPr>
        <w:kinsoku/>
        <w:wordWrap/>
        <w:overflowPunct/>
        <w:autoSpaceDE w:val="0"/>
        <w:autoSpaceDN w:val="0"/>
        <w:bidi w:val="0"/>
        <w:adjustRightInd w:val="0"/>
        <w:snapToGrid w:val="0"/>
        <w:spacing w:beforeAutospacing="0" w:line="44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（1）合同在履行过程中，因采购计划调整，甲方可以要求中止履行，待计划确定后继续履行；</w:t>
      </w:r>
    </w:p>
    <w:p>
      <w:pPr>
        <w:kinsoku/>
        <w:wordWrap/>
        <w:overflowPunct/>
        <w:autoSpaceDE w:val="0"/>
        <w:autoSpaceDN w:val="0"/>
        <w:bidi w:val="0"/>
        <w:adjustRightInd w:val="0"/>
        <w:snapToGrid w:val="0"/>
        <w:spacing w:beforeAutospacing="0" w:line="44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（2）合同履行过程中因供应商就采购过程或结果提起投诉的，甲方认为有必要或财政部门责令中止的，应当中止合同的履行。</w:t>
      </w:r>
    </w:p>
    <w:p>
      <w:pPr>
        <w:kinsoku/>
        <w:wordWrap/>
        <w:overflowPunct/>
        <w:bidi w:val="0"/>
        <w:adjustRightInd w:val="0"/>
        <w:snapToGrid w:val="0"/>
        <w:spacing w:beforeAutospacing="0" w:line="44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17.2合同的终止</w:t>
      </w:r>
    </w:p>
    <w:p>
      <w:pPr>
        <w:kinsoku/>
        <w:wordWrap/>
        <w:overflowPunct/>
        <w:autoSpaceDE w:val="0"/>
        <w:autoSpaceDN w:val="0"/>
        <w:bidi w:val="0"/>
        <w:adjustRightInd w:val="0"/>
        <w:snapToGrid w:val="0"/>
        <w:spacing w:beforeAutospacing="0" w:line="44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（1）合同因有效期限届满而终止；</w:t>
      </w:r>
    </w:p>
    <w:p>
      <w:pPr>
        <w:kinsoku/>
        <w:wordWrap/>
        <w:overflowPunct/>
        <w:autoSpaceDE w:val="0"/>
        <w:autoSpaceDN w:val="0"/>
        <w:bidi w:val="0"/>
        <w:adjustRightInd w:val="0"/>
        <w:snapToGrid w:val="0"/>
        <w:spacing w:beforeAutospacing="0" w:line="44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（2）乙方未能依照本合同约定条件履行合同，已构成根本性违约的，甲方有权终止本合同，并追究乙方的违约责任。</w:t>
      </w:r>
    </w:p>
    <w:p>
      <w:pPr>
        <w:kinsoku/>
        <w:wordWrap/>
        <w:overflowPunct/>
        <w:autoSpaceDE w:val="0"/>
        <w:autoSpaceDN w:val="0"/>
        <w:bidi w:val="0"/>
        <w:adjustRightInd w:val="0"/>
        <w:snapToGrid w:val="0"/>
        <w:spacing w:beforeAutospacing="0" w:line="44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（3）如果乙方丧失履约能力或被宣告破产，甲方可在任何时候以书面形式通知乙方终止合同而不给乙方补偿。</w:t>
      </w:r>
    </w:p>
    <w:p>
      <w:pPr>
        <w:kinsoku/>
        <w:wordWrap/>
        <w:overflowPunct/>
        <w:autoSpaceDE w:val="0"/>
        <w:autoSpaceDN w:val="0"/>
        <w:bidi w:val="0"/>
        <w:adjustRightInd w:val="0"/>
        <w:snapToGrid w:val="0"/>
        <w:spacing w:beforeAutospacing="0" w:line="44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（4）如果乙方在履行合同过程中有不正当竞争行为，甲方有权解除合同，并按《中华人民共和国反不正当竞争法》规定由有关部门追究其法律责任。</w:t>
      </w:r>
    </w:p>
    <w:p>
      <w:pPr>
        <w:kinsoku/>
        <w:wordWrap/>
        <w:overflowPunct/>
        <w:autoSpaceDE w:val="0"/>
        <w:autoSpaceDN w:val="0"/>
        <w:bidi w:val="0"/>
        <w:adjustRightInd w:val="0"/>
        <w:snapToGrid w:val="0"/>
        <w:spacing w:beforeAutospacing="0" w:line="44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（5）如果合同的履行将损害国家利益或社会公共利益，甲方有权终止合同的履行，给乙方造成损失的予以相应补偿。</w:t>
      </w:r>
    </w:p>
    <w:p>
      <w:pPr>
        <w:kinsoku/>
        <w:wordWrap/>
        <w:overflowPunct/>
        <w:autoSpaceDE w:val="0"/>
        <w:autoSpaceDN w:val="0"/>
        <w:bidi w:val="0"/>
        <w:adjustRightInd w:val="0"/>
        <w:snapToGrid w:val="0"/>
        <w:spacing w:beforeAutospacing="0" w:line="440" w:lineRule="exact"/>
        <w:ind w:left="0" w:leftChars="0" w:right="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18.合同转让和分包</w:t>
      </w:r>
    </w:p>
    <w:p>
      <w:pPr>
        <w:kinsoku/>
        <w:wordWrap/>
        <w:overflowPunct/>
        <w:autoSpaceDE w:val="0"/>
        <w:autoSpaceDN w:val="0"/>
        <w:bidi w:val="0"/>
        <w:adjustRightInd w:val="0"/>
        <w:snapToGrid w:val="0"/>
        <w:spacing w:beforeAutospacing="0" w:line="44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18.1 乙方不得以任何形式将合同约定的乙方义务转包。</w:t>
      </w:r>
    </w:p>
    <w:p>
      <w:pPr>
        <w:kinsoku/>
        <w:wordWrap/>
        <w:overflowPunct/>
        <w:autoSpaceDE w:val="0"/>
        <w:autoSpaceDN w:val="0"/>
        <w:bidi w:val="0"/>
        <w:adjustRightInd w:val="0"/>
        <w:snapToGrid w:val="0"/>
        <w:spacing w:beforeAutospacing="0" w:line="44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18.2 乙方未在投标文件中说明，不得将</w:t>
      </w:r>
      <w:r>
        <w:rPr>
          <w:rFonts w:hint="eastAsia" w:ascii="仿宋" w:hAnsi="仿宋" w:eastAsia="仿宋" w:cs="仿宋"/>
          <w:bCs/>
          <w:color w:val="auto"/>
          <w:sz w:val="24"/>
          <w:szCs w:val="24"/>
          <w:highlight w:val="none"/>
        </w:rPr>
        <w:t>合同约定的乙方义务</w:t>
      </w:r>
      <w:r>
        <w:rPr>
          <w:rFonts w:hint="eastAsia" w:ascii="仿宋" w:hAnsi="仿宋" w:eastAsia="仿宋" w:cs="仿宋"/>
          <w:color w:val="auto"/>
          <w:sz w:val="24"/>
          <w:szCs w:val="24"/>
          <w:highlight w:val="none"/>
        </w:rPr>
        <w:t>分包给他人。</w:t>
      </w:r>
    </w:p>
    <w:p>
      <w:pPr>
        <w:kinsoku/>
        <w:wordWrap/>
        <w:overflowPunct/>
        <w:autoSpaceDE w:val="0"/>
        <w:autoSpaceDN w:val="0"/>
        <w:bidi w:val="0"/>
        <w:adjustRightInd w:val="0"/>
        <w:snapToGrid w:val="0"/>
        <w:spacing w:beforeAutospacing="0" w:line="44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18.3 根据政府采购</w:t>
      </w:r>
      <w:r>
        <w:rPr>
          <w:rFonts w:hint="eastAsia" w:ascii="仿宋" w:hAnsi="仿宋" w:eastAsia="仿宋" w:cs="仿宋"/>
          <w:bCs/>
          <w:color w:val="auto"/>
          <w:kern w:val="0"/>
          <w:sz w:val="24"/>
          <w:szCs w:val="24"/>
          <w:highlight w:val="none"/>
        </w:rPr>
        <w:t>支持</w:t>
      </w:r>
      <w:r>
        <w:rPr>
          <w:rFonts w:hint="eastAsia" w:ascii="仿宋" w:hAnsi="仿宋" w:eastAsia="仿宋" w:cs="仿宋"/>
          <w:color w:val="auto"/>
          <w:sz w:val="24"/>
          <w:szCs w:val="24"/>
          <w:highlight w:val="none"/>
        </w:rPr>
        <w:t>中小企业发展政策规定，经甲方同意，获得政府采购合同的大型企业可依法向中小企业分包。</w:t>
      </w:r>
    </w:p>
    <w:p>
      <w:pPr>
        <w:kinsoku/>
        <w:wordWrap/>
        <w:overflowPunct/>
        <w:autoSpaceDE w:val="0"/>
        <w:autoSpaceDN w:val="0"/>
        <w:bidi w:val="0"/>
        <w:adjustRightInd w:val="0"/>
        <w:snapToGrid w:val="0"/>
        <w:spacing w:beforeAutospacing="0" w:line="440" w:lineRule="exact"/>
        <w:ind w:left="0" w:leftChars="0" w:right="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19.供应商的广告或宣传</w:t>
      </w:r>
    </w:p>
    <w:p>
      <w:pPr>
        <w:kinsoku/>
        <w:wordWrap/>
        <w:overflowPunct/>
        <w:autoSpaceDE w:val="0"/>
        <w:autoSpaceDN w:val="0"/>
        <w:bidi w:val="0"/>
        <w:adjustRightInd w:val="0"/>
        <w:snapToGrid w:val="0"/>
        <w:spacing w:beforeAutospacing="0" w:line="44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19.1 未经甲方事先书面许可，乙方不得以履行本政府采购合同为由，以广告或其他形式宣称其是政府采购指定供应商或其产品是政府采购指定产品。</w:t>
      </w:r>
    </w:p>
    <w:p>
      <w:pPr>
        <w:kinsoku/>
        <w:wordWrap/>
        <w:overflowPunct/>
        <w:autoSpaceDE w:val="0"/>
        <w:autoSpaceDN w:val="0"/>
        <w:bidi w:val="0"/>
        <w:adjustRightInd w:val="0"/>
        <w:snapToGrid w:val="0"/>
        <w:spacing w:beforeAutospacing="0" w:line="440" w:lineRule="exact"/>
        <w:ind w:left="0" w:leftChars="0" w:right="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20.不可抗力</w:t>
      </w:r>
    </w:p>
    <w:p>
      <w:pPr>
        <w:kinsoku/>
        <w:wordWrap/>
        <w:overflowPunct/>
        <w:autoSpaceDE w:val="0"/>
        <w:autoSpaceDN w:val="0"/>
        <w:bidi w:val="0"/>
        <w:adjustRightInd w:val="0"/>
        <w:snapToGrid w:val="0"/>
        <w:spacing w:beforeAutospacing="0" w:line="44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20.1 不可抗力是指合同双方不可预见、不可避免、不可克服的自然灾害和社会事件。</w:t>
      </w:r>
    </w:p>
    <w:p>
      <w:pPr>
        <w:kinsoku/>
        <w:wordWrap/>
        <w:overflowPunct/>
        <w:autoSpaceDE w:val="0"/>
        <w:autoSpaceDN w:val="0"/>
        <w:bidi w:val="0"/>
        <w:adjustRightInd w:val="0"/>
        <w:snapToGrid w:val="0"/>
        <w:spacing w:beforeAutospacing="0" w:line="44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20.2 任何一方对由于不可抗力造成的部分或全部不能履行合同不承担违约责任。但迟延履行后发生不可抗力的，不能免除责任。</w:t>
      </w:r>
    </w:p>
    <w:p>
      <w:pPr>
        <w:pStyle w:val="278"/>
        <w:kinsoku/>
        <w:wordWrap/>
        <w:overflowPunct/>
        <w:bidi w:val="0"/>
        <w:adjustRightInd w:val="0"/>
        <w:snapToGrid w:val="0"/>
        <w:spacing w:beforeAutospacing="0" w:line="440" w:lineRule="exact"/>
        <w:ind w:left="0" w:leftChars="0" w:right="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20.3 遇有不可抗力的一方，应在三日内将事件的情况以书面形式通知另一方，并在事件发生后十日内，向另一方提交合同不能履行或部分不能履行或需要延期履行理由的报告。</w:t>
      </w:r>
    </w:p>
    <w:p>
      <w:pPr>
        <w:kinsoku/>
        <w:wordWrap/>
        <w:overflowPunct/>
        <w:autoSpaceDE w:val="0"/>
        <w:autoSpaceDN w:val="0"/>
        <w:bidi w:val="0"/>
        <w:adjustRightInd w:val="0"/>
        <w:snapToGrid w:val="0"/>
        <w:spacing w:beforeAutospacing="0" w:line="440" w:lineRule="exact"/>
        <w:ind w:left="0" w:leftChars="0" w:right="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21.解决争议的方法</w:t>
      </w:r>
    </w:p>
    <w:p>
      <w:pPr>
        <w:kinsoku/>
        <w:wordWrap/>
        <w:overflowPunct/>
        <w:autoSpaceDE w:val="0"/>
        <w:autoSpaceDN w:val="0"/>
        <w:bidi w:val="0"/>
        <w:adjustRightInd w:val="0"/>
        <w:snapToGrid w:val="0"/>
        <w:spacing w:beforeAutospacing="0" w:line="44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21.1 合同各方应通过友好协商，解决在执行合同过程中所发生的或与合同有关的一切争端。如从协商开始后十日内仍不能解决，可以向财政部门提请调解。</w:t>
      </w:r>
    </w:p>
    <w:p>
      <w:pPr>
        <w:kinsoku/>
        <w:wordWrap/>
        <w:overflowPunct/>
        <w:autoSpaceDE w:val="0"/>
        <w:autoSpaceDN w:val="0"/>
        <w:bidi w:val="0"/>
        <w:adjustRightInd w:val="0"/>
        <w:snapToGrid w:val="0"/>
        <w:spacing w:beforeAutospacing="0" w:line="44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21.2 调解不成可以按</w:t>
      </w:r>
      <w:r>
        <w:rPr>
          <w:rFonts w:hint="eastAsia" w:ascii="仿宋" w:hAnsi="仿宋" w:eastAsia="仿宋" w:cs="仿宋"/>
          <w:b/>
          <w:color w:val="auto"/>
          <w:sz w:val="24"/>
          <w:szCs w:val="24"/>
          <w:highlight w:val="none"/>
        </w:rPr>
        <w:t>投标人须知前附表</w:t>
      </w:r>
      <w:r>
        <w:rPr>
          <w:rFonts w:hint="eastAsia" w:ascii="仿宋" w:hAnsi="仿宋" w:eastAsia="仿宋" w:cs="仿宋"/>
          <w:color w:val="auto"/>
          <w:sz w:val="24"/>
          <w:szCs w:val="24"/>
          <w:highlight w:val="none"/>
        </w:rPr>
        <w:t>中规定下列方式之一提起仲裁或诉讼：</w:t>
      </w:r>
    </w:p>
    <w:p>
      <w:pPr>
        <w:kinsoku/>
        <w:wordWrap/>
        <w:overflowPunct/>
        <w:autoSpaceDE w:val="0"/>
        <w:autoSpaceDN w:val="0"/>
        <w:bidi w:val="0"/>
        <w:adjustRightInd w:val="0"/>
        <w:snapToGrid w:val="0"/>
        <w:spacing w:beforeAutospacing="0" w:line="44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（1）向甲方所在地仲裁机构提起仲裁；</w:t>
      </w:r>
    </w:p>
    <w:p>
      <w:pPr>
        <w:kinsoku/>
        <w:wordWrap/>
        <w:overflowPunct/>
        <w:autoSpaceDE w:val="0"/>
        <w:autoSpaceDN w:val="0"/>
        <w:bidi w:val="0"/>
        <w:adjustRightInd w:val="0"/>
        <w:snapToGrid w:val="0"/>
        <w:spacing w:beforeAutospacing="0" w:line="44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（2）向甲方所在地人民法院提起诉讼。</w:t>
      </w:r>
    </w:p>
    <w:p>
      <w:pPr>
        <w:kinsoku/>
        <w:wordWrap/>
        <w:overflowPunct/>
        <w:autoSpaceDE w:val="0"/>
        <w:autoSpaceDN w:val="0"/>
        <w:bidi w:val="0"/>
        <w:adjustRightInd w:val="0"/>
        <w:snapToGrid w:val="0"/>
        <w:spacing w:beforeAutospacing="0" w:line="44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21.3 如仲裁或诉讼事项不影响合同其他部分的履行，则在仲裁或诉讼期间，除正在进行仲裁或诉讼的部分外，合同的其他部分应继续执行。</w:t>
      </w:r>
    </w:p>
    <w:p>
      <w:pPr>
        <w:kinsoku/>
        <w:wordWrap/>
        <w:overflowPunct/>
        <w:autoSpaceDE w:val="0"/>
        <w:autoSpaceDN w:val="0"/>
        <w:bidi w:val="0"/>
        <w:adjustRightInd w:val="0"/>
        <w:snapToGrid w:val="0"/>
        <w:spacing w:beforeAutospacing="0" w:line="440" w:lineRule="exact"/>
        <w:ind w:left="0" w:leftChars="0" w:right="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22.法律适用</w:t>
      </w:r>
    </w:p>
    <w:p>
      <w:pPr>
        <w:kinsoku/>
        <w:wordWrap/>
        <w:overflowPunct/>
        <w:autoSpaceDE w:val="0"/>
        <w:autoSpaceDN w:val="0"/>
        <w:bidi w:val="0"/>
        <w:adjustRightInd w:val="0"/>
        <w:snapToGrid w:val="0"/>
        <w:spacing w:beforeAutospacing="0" w:line="44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22.1 本合同适用中华人民共和国现行法律、行政法规和规章，如合同条款与法律、行政法规和规章不一致的，按照法律、行政法规和规章修改本合同。</w:t>
      </w:r>
    </w:p>
    <w:p>
      <w:pPr>
        <w:kinsoku/>
        <w:wordWrap/>
        <w:overflowPunct/>
        <w:autoSpaceDE w:val="0"/>
        <w:autoSpaceDN w:val="0"/>
        <w:bidi w:val="0"/>
        <w:adjustRightInd w:val="0"/>
        <w:snapToGrid w:val="0"/>
        <w:spacing w:beforeAutospacing="0" w:line="440" w:lineRule="exact"/>
        <w:ind w:left="0" w:leftChars="0" w:right="0"/>
        <w:rPr>
          <w:rFonts w:hint="eastAsia" w:ascii="仿宋" w:hAnsi="仿宋" w:eastAsia="仿宋" w:cs="仿宋"/>
          <w:b/>
          <w:color w:val="auto"/>
          <w:sz w:val="24"/>
          <w:szCs w:val="24"/>
          <w:highlight w:val="none"/>
        </w:rPr>
      </w:pPr>
      <w:r>
        <w:rPr>
          <w:rFonts w:hint="eastAsia" w:ascii="仿宋" w:hAnsi="仿宋" w:eastAsia="仿宋" w:cs="仿宋"/>
          <w:b/>
          <w:bCs/>
          <w:color w:val="auto"/>
          <w:sz w:val="24"/>
          <w:szCs w:val="24"/>
          <w:highlight w:val="none"/>
        </w:rPr>
        <w:t>23.</w:t>
      </w:r>
      <w:r>
        <w:rPr>
          <w:rFonts w:hint="eastAsia" w:ascii="仿宋" w:hAnsi="仿宋" w:eastAsia="仿宋" w:cs="仿宋"/>
          <w:b/>
          <w:color w:val="auto"/>
          <w:sz w:val="24"/>
          <w:szCs w:val="24"/>
          <w:highlight w:val="none"/>
        </w:rPr>
        <w:t>通知</w:t>
      </w:r>
    </w:p>
    <w:p>
      <w:pPr>
        <w:kinsoku/>
        <w:wordWrap/>
        <w:overflowPunct/>
        <w:bidi w:val="0"/>
        <w:adjustRightInd w:val="0"/>
        <w:snapToGrid w:val="0"/>
        <w:spacing w:beforeAutospacing="0" w:line="44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23.1本合同一方给另一方的通知均应采用书面形式，传真或快递送到本合同中规定的对方的地址和办理签收手续，</w:t>
      </w:r>
    </w:p>
    <w:p>
      <w:pPr>
        <w:kinsoku/>
        <w:wordWrap/>
        <w:overflowPunct/>
        <w:bidi w:val="0"/>
        <w:adjustRightInd w:val="0"/>
        <w:snapToGrid w:val="0"/>
        <w:spacing w:beforeAutospacing="0" w:line="44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23.2通知以送到之日或通知书中规定的生效之日起生效，两者中以较迟之日为准。</w:t>
      </w:r>
    </w:p>
    <w:p>
      <w:pPr>
        <w:kinsoku/>
        <w:wordWrap/>
        <w:overflowPunct/>
        <w:bidi w:val="0"/>
        <w:adjustRightInd w:val="0"/>
        <w:snapToGrid w:val="0"/>
        <w:spacing w:beforeAutospacing="0" w:line="440" w:lineRule="exact"/>
        <w:ind w:left="0" w:leftChars="0" w:right="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24.合同未尽事项</w:t>
      </w:r>
    </w:p>
    <w:p>
      <w:pPr>
        <w:kinsoku/>
        <w:wordWrap/>
        <w:overflowPunct/>
        <w:bidi w:val="0"/>
        <w:adjustRightInd w:val="0"/>
        <w:snapToGrid w:val="0"/>
        <w:spacing w:beforeAutospacing="0" w:line="440" w:lineRule="exact"/>
        <w:ind w:left="0" w:leftChars="0" w:right="0" w:firstLine="480" w:firstLineChars="200"/>
        <w:rPr>
          <w:rFonts w:hint="eastAsia" w:ascii="仿宋" w:hAnsi="仿宋" w:eastAsia="仿宋" w:cs="仿宋"/>
          <w:b/>
          <w:color w:val="auto"/>
          <w:sz w:val="24"/>
          <w:szCs w:val="24"/>
          <w:highlight w:val="none"/>
        </w:rPr>
      </w:pPr>
      <w:r>
        <w:rPr>
          <w:rFonts w:hint="eastAsia" w:ascii="仿宋" w:hAnsi="仿宋" w:eastAsia="仿宋" w:cs="仿宋"/>
          <w:bCs/>
          <w:color w:val="auto"/>
          <w:sz w:val="24"/>
          <w:szCs w:val="24"/>
          <w:highlight w:val="none"/>
        </w:rPr>
        <w:t>24.1合同未尽事项见</w:t>
      </w:r>
      <w:r>
        <w:rPr>
          <w:rFonts w:hint="eastAsia" w:ascii="仿宋" w:hAnsi="仿宋" w:eastAsia="仿宋" w:cs="仿宋"/>
          <w:b/>
          <w:color w:val="auto"/>
          <w:sz w:val="24"/>
          <w:szCs w:val="24"/>
          <w:highlight w:val="none"/>
        </w:rPr>
        <w:t>投标人须知前附表。</w:t>
      </w:r>
    </w:p>
    <w:p>
      <w:pPr>
        <w:kinsoku/>
        <w:wordWrap/>
        <w:overflowPunct/>
        <w:bidi w:val="0"/>
        <w:adjustRightInd w:val="0"/>
        <w:snapToGrid w:val="0"/>
        <w:spacing w:beforeAutospacing="0" w:line="440" w:lineRule="exact"/>
        <w:ind w:left="0" w:leftChars="0" w:right="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25.合同份数及生效</w:t>
      </w:r>
    </w:p>
    <w:p>
      <w:pPr>
        <w:kinsoku/>
        <w:wordWrap/>
        <w:overflowPunct/>
        <w:bidi w:val="0"/>
        <w:adjustRightInd w:val="0"/>
        <w:snapToGrid w:val="0"/>
        <w:spacing w:beforeAutospacing="0" w:line="440" w:lineRule="exact"/>
        <w:ind w:left="0" w:leftChars="0" w:right="0"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25.1合同份数见</w:t>
      </w:r>
      <w:r>
        <w:rPr>
          <w:rFonts w:hint="eastAsia" w:ascii="仿宋" w:hAnsi="仿宋" w:eastAsia="仿宋" w:cs="仿宋"/>
          <w:b/>
          <w:color w:val="auto"/>
          <w:sz w:val="24"/>
          <w:szCs w:val="24"/>
          <w:highlight w:val="none"/>
        </w:rPr>
        <w:t>投标人须知前附表</w:t>
      </w:r>
      <w:r>
        <w:rPr>
          <w:rFonts w:hint="eastAsia" w:ascii="仿宋" w:hAnsi="仿宋" w:eastAsia="仿宋" w:cs="仿宋"/>
          <w:color w:val="auto"/>
          <w:sz w:val="24"/>
          <w:szCs w:val="24"/>
          <w:highlight w:val="none"/>
        </w:rPr>
        <w:t>。</w:t>
      </w:r>
    </w:p>
    <w:p>
      <w:pPr>
        <w:kinsoku/>
        <w:wordWrap/>
        <w:overflowPunct/>
        <w:bidi w:val="0"/>
        <w:snapToGrid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25.2合同自甲乙双方法定代表人或授权代表签字并加盖单位公章之日起生效。</w:t>
      </w:r>
    </w:p>
    <w:p>
      <w:pPr>
        <w:kinsoku/>
        <w:wordWrap/>
        <w:overflowPunct/>
        <w:bidi w:val="0"/>
        <w:snapToGrid w:val="0"/>
        <w:spacing w:beforeAutospacing="0" w:line="440" w:lineRule="exact"/>
        <w:ind w:left="0" w:leftChars="0" w:right="0"/>
        <w:jc w:val="center"/>
        <w:rPr>
          <w:rFonts w:hint="eastAsia" w:ascii="仿宋" w:hAnsi="仿宋" w:eastAsia="仿宋" w:cs="仿宋"/>
          <w:b/>
          <w:color w:val="auto"/>
          <w:sz w:val="24"/>
          <w:szCs w:val="24"/>
          <w:highlight w:val="none"/>
        </w:rPr>
      </w:pPr>
    </w:p>
    <w:p>
      <w:pPr>
        <w:kinsoku/>
        <w:wordWrap/>
        <w:overflowPunct/>
        <w:bidi w:val="0"/>
        <w:snapToGrid w:val="0"/>
        <w:spacing w:beforeAutospacing="0" w:line="440" w:lineRule="exact"/>
        <w:ind w:left="0" w:leftChars="0" w:right="0"/>
        <w:jc w:val="center"/>
        <w:rPr>
          <w:rFonts w:hint="eastAsia" w:ascii="仿宋" w:hAnsi="仿宋" w:eastAsia="仿宋" w:cs="仿宋"/>
          <w:b/>
          <w:color w:val="auto"/>
          <w:sz w:val="24"/>
          <w:szCs w:val="24"/>
          <w:highlight w:val="none"/>
        </w:rPr>
      </w:pPr>
    </w:p>
    <w:p>
      <w:pPr>
        <w:kinsoku/>
        <w:wordWrap/>
        <w:overflowPunct/>
        <w:bidi w:val="0"/>
        <w:snapToGrid w:val="0"/>
        <w:spacing w:beforeAutospacing="0" w:line="440" w:lineRule="exact"/>
        <w:ind w:left="0" w:leftChars="0" w:right="0"/>
        <w:jc w:val="center"/>
        <w:rPr>
          <w:rFonts w:hint="eastAsia" w:ascii="仿宋" w:hAnsi="仿宋" w:eastAsia="仿宋" w:cs="仿宋"/>
          <w:b/>
          <w:color w:val="auto"/>
          <w:sz w:val="24"/>
          <w:szCs w:val="24"/>
          <w:highlight w:val="none"/>
        </w:rPr>
      </w:pPr>
    </w:p>
    <w:p>
      <w:pPr>
        <w:kinsoku/>
        <w:wordWrap/>
        <w:overflowPunct/>
        <w:bidi w:val="0"/>
        <w:snapToGrid w:val="0"/>
        <w:spacing w:beforeAutospacing="0" w:line="440" w:lineRule="exact"/>
        <w:ind w:left="0" w:leftChars="0" w:right="0"/>
        <w:jc w:val="center"/>
        <w:rPr>
          <w:rFonts w:hint="eastAsia" w:ascii="仿宋" w:hAnsi="仿宋" w:eastAsia="仿宋" w:cs="仿宋"/>
          <w:b/>
          <w:color w:val="auto"/>
          <w:sz w:val="24"/>
          <w:szCs w:val="24"/>
          <w:highlight w:val="none"/>
        </w:rPr>
      </w:pPr>
    </w:p>
    <w:p>
      <w:pPr>
        <w:kinsoku/>
        <w:wordWrap/>
        <w:overflowPunct/>
        <w:bidi w:val="0"/>
        <w:snapToGrid w:val="0"/>
        <w:spacing w:beforeAutospacing="0" w:line="440" w:lineRule="exact"/>
        <w:ind w:left="0" w:leftChars="0" w:right="0"/>
        <w:jc w:val="center"/>
        <w:rPr>
          <w:rFonts w:hint="eastAsia" w:ascii="仿宋" w:hAnsi="仿宋" w:eastAsia="仿宋" w:cs="仿宋"/>
          <w:b/>
          <w:color w:val="auto"/>
          <w:sz w:val="24"/>
          <w:szCs w:val="24"/>
          <w:highlight w:val="none"/>
        </w:rPr>
      </w:pPr>
    </w:p>
    <w:p>
      <w:pPr>
        <w:kinsoku/>
        <w:wordWrap/>
        <w:overflowPunct/>
        <w:bidi w:val="0"/>
        <w:snapToGrid w:val="0"/>
        <w:spacing w:beforeAutospacing="0" w:line="440" w:lineRule="exact"/>
        <w:ind w:left="0" w:leftChars="0" w:right="0"/>
        <w:jc w:val="center"/>
        <w:rPr>
          <w:rFonts w:hint="eastAsia" w:ascii="仿宋" w:hAnsi="仿宋" w:eastAsia="仿宋" w:cs="仿宋"/>
          <w:b/>
          <w:color w:val="auto"/>
          <w:sz w:val="24"/>
          <w:szCs w:val="24"/>
          <w:highlight w:val="none"/>
        </w:rPr>
      </w:pPr>
    </w:p>
    <w:p>
      <w:pPr>
        <w:kinsoku/>
        <w:wordWrap/>
        <w:overflowPunct/>
        <w:bidi w:val="0"/>
        <w:snapToGrid w:val="0"/>
        <w:spacing w:beforeAutospacing="0" w:line="440" w:lineRule="exact"/>
        <w:ind w:left="0" w:leftChars="0" w:right="0"/>
        <w:jc w:val="center"/>
        <w:rPr>
          <w:rFonts w:hint="eastAsia" w:ascii="仿宋" w:hAnsi="仿宋" w:eastAsia="仿宋" w:cs="仿宋"/>
          <w:b/>
          <w:color w:val="auto"/>
          <w:sz w:val="24"/>
          <w:szCs w:val="24"/>
          <w:highlight w:val="none"/>
        </w:rPr>
      </w:pPr>
    </w:p>
    <w:p>
      <w:pPr>
        <w:kinsoku/>
        <w:wordWrap/>
        <w:overflowPunct/>
        <w:bidi w:val="0"/>
        <w:snapToGrid w:val="0"/>
        <w:spacing w:beforeAutospacing="0" w:line="440" w:lineRule="exact"/>
        <w:ind w:left="0" w:leftChars="0" w:right="0"/>
        <w:jc w:val="center"/>
        <w:rPr>
          <w:rFonts w:hint="eastAsia" w:ascii="仿宋" w:hAnsi="仿宋" w:eastAsia="仿宋" w:cs="仿宋"/>
          <w:b/>
          <w:color w:val="auto"/>
          <w:sz w:val="24"/>
          <w:szCs w:val="24"/>
          <w:highlight w:val="none"/>
        </w:rPr>
      </w:pPr>
    </w:p>
    <w:p>
      <w:pPr>
        <w:kinsoku/>
        <w:wordWrap/>
        <w:overflowPunct/>
        <w:bidi w:val="0"/>
        <w:spacing w:beforeAutospacing="0" w:line="440" w:lineRule="exact"/>
        <w:ind w:left="0" w:leftChars="0" w:right="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br w:type="page"/>
      </w:r>
    </w:p>
    <w:p>
      <w:pPr>
        <w:widowControl/>
        <w:numPr>
          <w:ilvl w:val="0"/>
          <w:numId w:val="11"/>
        </w:numPr>
        <w:kinsoku/>
        <w:wordWrap/>
        <w:overflowPunct/>
        <w:bidi w:val="0"/>
        <w:spacing w:beforeAutospacing="0" w:line="440" w:lineRule="exact"/>
        <w:ind w:left="0" w:leftChars="0" w:right="0"/>
        <w:jc w:val="center"/>
        <w:outlineLvl w:val="0"/>
        <w:rPr>
          <w:rFonts w:hint="eastAsia" w:ascii="仿宋" w:hAnsi="仿宋" w:eastAsia="仿宋" w:cs="仿宋"/>
          <w:b/>
          <w:color w:val="auto"/>
          <w:sz w:val="24"/>
          <w:szCs w:val="24"/>
          <w:highlight w:val="none"/>
        </w:rPr>
      </w:pPr>
      <w:bookmarkStart w:id="3" w:name="_Toc10316"/>
      <w:r>
        <w:rPr>
          <w:rFonts w:hint="eastAsia" w:ascii="仿宋" w:hAnsi="仿宋" w:eastAsia="仿宋" w:cs="仿宋"/>
          <w:b/>
          <w:color w:val="auto"/>
          <w:sz w:val="24"/>
          <w:szCs w:val="24"/>
          <w:highlight w:val="none"/>
          <w:lang w:val="en-US" w:eastAsia="zh-CN"/>
        </w:rPr>
        <w:t xml:space="preserve">  </w:t>
      </w:r>
      <w:r>
        <w:rPr>
          <w:rFonts w:hint="eastAsia" w:ascii="仿宋" w:hAnsi="仿宋" w:eastAsia="仿宋" w:cs="仿宋"/>
          <w:b/>
          <w:color w:val="auto"/>
          <w:sz w:val="24"/>
          <w:szCs w:val="24"/>
          <w:highlight w:val="none"/>
        </w:rPr>
        <w:t>采购需求</w:t>
      </w:r>
      <w:bookmarkEnd w:id="3"/>
    </w:p>
    <w:p>
      <w:pPr>
        <w:kinsoku/>
        <w:wordWrap/>
        <w:overflowPunct/>
        <w:bidi w:val="0"/>
        <w:spacing w:beforeAutospacing="0" w:line="440" w:lineRule="exact"/>
        <w:ind w:left="0" w:leftChars="0" w:right="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一、工作条件： </w:t>
      </w:r>
    </w:p>
    <w:p>
      <w:pPr>
        <w:kinsoku/>
        <w:wordWrap/>
        <w:overflowPunct/>
        <w:bidi w:val="0"/>
        <w:spacing w:beforeAutospacing="0" w:line="440" w:lineRule="exact"/>
        <w:ind w:left="0" w:leftChars="0" w:right="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 产品主机可直接使用交流电源工作，也可以使用内置12V可充电锂电池工作。</w:t>
      </w:r>
    </w:p>
    <w:p>
      <w:pPr>
        <w:kinsoku/>
        <w:wordWrap/>
        <w:overflowPunct/>
        <w:bidi w:val="0"/>
        <w:spacing w:beforeAutospacing="0" w:line="440" w:lineRule="exact"/>
        <w:ind w:left="0" w:leftChars="0" w:right="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 ECG</w:t>
      </w:r>
    </w:p>
    <w:p>
      <w:pPr>
        <w:kinsoku/>
        <w:wordWrap/>
        <w:overflowPunct/>
        <w:bidi w:val="0"/>
        <w:spacing w:beforeAutospacing="0" w:line="440" w:lineRule="exact"/>
        <w:ind w:left="0" w:leftChars="0" w:right="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  ECG输入通道：标准12导联心电信息同步采集，</w:t>
      </w:r>
    </w:p>
    <w:p>
      <w:pPr>
        <w:kinsoku/>
        <w:wordWrap/>
        <w:overflowPunct/>
        <w:bidi w:val="0"/>
        <w:spacing w:beforeAutospacing="0" w:line="440" w:lineRule="exact"/>
        <w:ind w:left="0" w:leftChars="0" w:right="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  导联选择：手动/自动可选，支持Cabrera 导联体系</w:t>
      </w:r>
    </w:p>
    <w:p>
      <w:pPr>
        <w:kinsoku/>
        <w:wordWrap/>
        <w:overflowPunct/>
        <w:bidi w:val="0"/>
        <w:spacing w:beforeAutospacing="0" w:line="440" w:lineRule="exact"/>
        <w:ind w:left="0" w:leftChars="0" w:right="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  输入回路电流： ≤0.1µA</w:t>
      </w:r>
    </w:p>
    <w:p>
      <w:pPr>
        <w:kinsoku/>
        <w:wordWrap/>
        <w:overflowPunct/>
        <w:bidi w:val="0"/>
        <w:spacing w:beforeAutospacing="0" w:line="440" w:lineRule="exact"/>
        <w:ind w:left="0" w:leftChars="0" w:right="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  抗干扰能力： 10V共模信号，各导联都连接不平衡阻抗时振幅≤4mm</w:t>
      </w:r>
    </w:p>
    <w:p>
      <w:pPr>
        <w:kinsoku/>
        <w:wordWrap/>
        <w:overflowPunct/>
        <w:bidi w:val="0"/>
        <w:spacing w:beforeAutospacing="0" w:line="440" w:lineRule="exact"/>
        <w:ind w:left="0" w:leftChars="0" w:right="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2.5  定标电压：1mV±0.1%</w:t>
      </w:r>
    </w:p>
    <w:p>
      <w:pPr>
        <w:kinsoku/>
        <w:wordWrap/>
        <w:overflowPunct/>
        <w:bidi w:val="0"/>
        <w:spacing w:beforeAutospacing="0" w:line="440" w:lineRule="exact"/>
        <w:ind w:left="0" w:leftChars="0" w:right="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2.6  抗极化电压：±300mV，灵敏度变化：≤±3%</w:t>
      </w:r>
    </w:p>
    <w:p>
      <w:pPr>
        <w:kinsoku/>
        <w:wordWrap/>
        <w:overflowPunct/>
        <w:bidi w:val="0"/>
        <w:spacing w:beforeAutospacing="0" w:line="440" w:lineRule="exact"/>
        <w:ind w:left="0" w:leftChars="0" w:right="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2.7  内部噪声：≤15µVp-p</w:t>
      </w:r>
    </w:p>
    <w:p>
      <w:pPr>
        <w:kinsoku/>
        <w:wordWrap/>
        <w:overflowPunct/>
        <w:bidi w:val="0"/>
        <w:spacing w:beforeAutospacing="0" w:line="440" w:lineRule="exact"/>
        <w:ind w:left="0" w:leftChars="0" w:right="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2.8  时间常数：≥5s(0,+20%)</w:t>
      </w:r>
    </w:p>
    <w:p>
      <w:pPr>
        <w:kinsoku/>
        <w:wordWrap/>
        <w:overflowPunct/>
        <w:bidi w:val="0"/>
        <w:spacing w:beforeAutospacing="0" w:line="440" w:lineRule="exact"/>
        <w:ind w:left="0" w:leftChars="0" w:right="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2.9  共模抑制比：≥95dB</w:t>
      </w:r>
    </w:p>
    <w:p>
      <w:pPr>
        <w:kinsoku/>
        <w:wordWrap/>
        <w:overflowPunct/>
        <w:bidi w:val="0"/>
        <w:spacing w:beforeAutospacing="0" w:line="440" w:lineRule="exact"/>
        <w:ind w:left="0" w:leftChars="0" w:right="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2.10 患者漏电流：≤0.01µA</w:t>
      </w:r>
    </w:p>
    <w:p>
      <w:pPr>
        <w:kinsoku/>
        <w:wordWrap/>
        <w:overflowPunct/>
        <w:bidi w:val="0"/>
        <w:spacing w:beforeAutospacing="0" w:line="440" w:lineRule="exact"/>
        <w:ind w:left="0" w:leftChars="0" w:right="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2.11 除颤保护：具有抗除颤电击保护功能</w:t>
      </w:r>
    </w:p>
    <w:p>
      <w:pPr>
        <w:kinsoku/>
        <w:wordWrap/>
        <w:overflowPunct/>
        <w:bidi w:val="0"/>
        <w:spacing w:beforeAutospacing="0" w:line="440" w:lineRule="exact"/>
        <w:ind w:left="0" w:leftChars="0" w:right="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2.12 导联线：导联线内附抗除颤电击保护功能</w:t>
      </w:r>
    </w:p>
    <w:p>
      <w:pPr>
        <w:kinsoku/>
        <w:wordWrap/>
        <w:overflowPunct/>
        <w:bidi w:val="0"/>
        <w:spacing w:beforeAutospacing="0" w:line="440" w:lineRule="exact"/>
        <w:ind w:left="0" w:leftChars="0" w:right="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2.13符合YY0782-2010 中记录及分析型心电图机标准要求</w:t>
      </w:r>
    </w:p>
    <w:p>
      <w:pPr>
        <w:kinsoku/>
        <w:wordWrap/>
        <w:overflowPunct/>
        <w:bidi w:val="0"/>
        <w:spacing w:beforeAutospacing="0" w:line="440" w:lineRule="exact"/>
        <w:ind w:left="0" w:leftChars="0" w:right="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三、波形处理：</w:t>
      </w:r>
    </w:p>
    <w:p>
      <w:pPr>
        <w:kinsoku/>
        <w:wordWrap/>
        <w:overflowPunct/>
        <w:bidi w:val="0"/>
        <w:spacing w:beforeAutospacing="0" w:line="440" w:lineRule="exact"/>
        <w:ind w:left="0" w:leftChars="0" w:right="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  A/D转换： 12bit</w:t>
      </w:r>
    </w:p>
    <w:p>
      <w:pPr>
        <w:kinsoku/>
        <w:wordWrap/>
        <w:overflowPunct/>
        <w:bidi w:val="0"/>
        <w:spacing w:beforeAutospacing="0" w:line="440" w:lineRule="exact"/>
        <w:ind w:left="0" w:leftChars="0" w:right="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  采样率：≥1000Hz</w:t>
      </w:r>
    </w:p>
    <w:p>
      <w:pPr>
        <w:kinsoku/>
        <w:wordWrap/>
        <w:overflowPunct/>
        <w:bidi w:val="0"/>
        <w:spacing w:beforeAutospacing="0" w:line="440" w:lineRule="exact"/>
        <w:ind w:left="0" w:leftChars="0" w:right="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  灵敏度选择：5、10、20mm/mV</w:t>
      </w:r>
    </w:p>
    <w:p>
      <w:pPr>
        <w:kinsoku/>
        <w:wordWrap/>
        <w:overflowPunct/>
        <w:bidi w:val="0"/>
        <w:spacing w:beforeAutospacing="0" w:line="440" w:lineRule="exact"/>
        <w:ind w:left="0" w:leftChars="0" w:right="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3.4  抗干扰滤波：具有交流滤波、基线漂移滤波、波形平滑滤波，肌电滤波功能</w:t>
      </w:r>
    </w:p>
    <w:p>
      <w:pPr>
        <w:kinsoku/>
        <w:wordWrap/>
        <w:overflowPunct/>
        <w:bidi w:val="0"/>
        <w:spacing w:beforeAutospacing="0" w:line="440" w:lineRule="exact"/>
        <w:ind w:left="0" w:leftChars="0" w:right="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四、肺功能测试</w:t>
      </w:r>
    </w:p>
    <w:p>
      <w:pPr>
        <w:kinsoku/>
        <w:wordWrap/>
        <w:overflowPunct/>
        <w:bidi w:val="0"/>
        <w:spacing w:beforeAutospacing="0" w:line="440" w:lineRule="exact"/>
        <w:ind w:left="0" w:leftChars="0" w:right="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4.1流量测量:范围：0L/s到±16L/s,精度：＜2.5%</w:t>
      </w:r>
    </w:p>
    <w:p>
      <w:pPr>
        <w:kinsoku/>
        <w:wordWrap/>
        <w:overflowPunct/>
        <w:bidi w:val="0"/>
        <w:spacing w:beforeAutospacing="0" w:line="440" w:lineRule="exact"/>
        <w:ind w:left="0" w:leftChars="0" w:right="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4.2容积测量：范围：0L到300L/min，精度：≤3%</w:t>
      </w:r>
    </w:p>
    <w:p>
      <w:pPr>
        <w:kinsoku/>
        <w:wordWrap/>
        <w:overflowPunct/>
        <w:bidi w:val="0"/>
        <w:spacing w:beforeAutospacing="0" w:line="440" w:lineRule="exact"/>
        <w:ind w:left="0" w:leftChars="0" w:right="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4.3氧气浓度测定采用高精度顺磁测量，使用时间大于等于6个月，测量精度：≤0.03%</w:t>
      </w:r>
    </w:p>
    <w:p>
      <w:pPr>
        <w:kinsoku/>
        <w:wordWrap/>
        <w:overflowPunct/>
        <w:bidi w:val="0"/>
        <w:spacing w:beforeAutospacing="0" w:line="440" w:lineRule="exact"/>
        <w:ind w:left="0" w:leftChars="0" w:right="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4.4二氧化碳浓度测定采用数字式测试，测量精度：≤0.03%</w:t>
      </w:r>
    </w:p>
    <w:p>
      <w:pPr>
        <w:kinsoku/>
        <w:wordWrap/>
        <w:overflowPunct/>
        <w:bidi w:val="0"/>
        <w:spacing w:beforeAutospacing="0" w:line="440" w:lineRule="exact"/>
        <w:ind w:left="0" w:leftChars="0" w:right="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*4.5流量传感器采用双向压差式流量传感器。</w:t>
      </w:r>
    </w:p>
    <w:p>
      <w:pPr>
        <w:kinsoku/>
        <w:wordWrap/>
        <w:overflowPunct/>
        <w:bidi w:val="0"/>
        <w:spacing w:beforeAutospacing="0" w:line="440" w:lineRule="exact"/>
        <w:ind w:left="0" w:leftChars="0" w:right="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五、记录及报告：</w:t>
      </w:r>
    </w:p>
    <w:p>
      <w:pPr>
        <w:kinsoku/>
        <w:wordWrap/>
        <w:overflowPunct/>
        <w:bidi w:val="0"/>
        <w:spacing w:beforeAutospacing="0" w:line="440" w:lineRule="exact"/>
        <w:ind w:left="0" w:leftChars="0" w:right="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5.1  激光或喷墨打印机，内置热敏打印机</w:t>
      </w:r>
    </w:p>
    <w:p>
      <w:pPr>
        <w:kinsoku/>
        <w:wordWrap/>
        <w:overflowPunct/>
        <w:bidi w:val="0"/>
        <w:spacing w:beforeAutospacing="0" w:line="440" w:lineRule="exact"/>
        <w:ind w:left="0" w:leftChars="0" w:right="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5.2  走纸速度：5、10、25、50mm/s ±2%</w:t>
      </w:r>
    </w:p>
    <w:p>
      <w:pPr>
        <w:kinsoku/>
        <w:wordWrap/>
        <w:overflowPunct/>
        <w:bidi w:val="0"/>
        <w:spacing w:beforeAutospacing="0" w:line="440" w:lineRule="exact"/>
        <w:ind w:left="0" w:leftChars="0" w:right="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5.3  记录通道：12道同步</w:t>
      </w:r>
    </w:p>
    <w:p>
      <w:pPr>
        <w:kinsoku/>
        <w:wordWrap/>
        <w:overflowPunct/>
        <w:bidi w:val="0"/>
        <w:spacing w:beforeAutospacing="0" w:line="440" w:lineRule="exact"/>
        <w:ind w:left="0" w:leftChars="0" w:right="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5.4  打印方式：实时同步或连续12道心电波形，可使用内置打印机实时打印心电波形</w:t>
      </w:r>
    </w:p>
    <w:p>
      <w:pPr>
        <w:kinsoku/>
        <w:wordWrap/>
        <w:overflowPunct/>
        <w:bidi w:val="0"/>
        <w:spacing w:beforeAutospacing="0" w:line="440" w:lineRule="exact"/>
        <w:ind w:left="0" w:leftChars="0" w:right="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5.5  记录内容：心电波形、分析结果、平均模板以及导联名称、走纸速度、增益、滤波器、日期、患者信息等</w:t>
      </w:r>
    </w:p>
    <w:p>
      <w:pPr>
        <w:kinsoku/>
        <w:wordWrap/>
        <w:overflowPunct/>
        <w:bidi w:val="0"/>
        <w:spacing w:beforeAutospacing="0" w:line="440" w:lineRule="exact"/>
        <w:ind w:left="0" w:leftChars="0" w:right="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5.6  丰富的报告横向纵向的2*6道，4*3道波形，12道波形，测量值表（含起搏测量），QT数据表，波形比较报告。运动概要报告，运动功率协议趋势报告，全部（部分）节律波形打印，全部（部分）平均波形打印，节律事件打印，ST段趋势图报告，功率阶梯报告等。</w:t>
      </w:r>
    </w:p>
    <w:p>
      <w:pPr>
        <w:kinsoku/>
        <w:wordWrap/>
        <w:overflowPunct/>
        <w:bidi w:val="0"/>
        <w:spacing w:beforeAutospacing="0" w:line="440" w:lineRule="exact"/>
        <w:ind w:left="0" w:leftChars="0" w:right="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5.7内置自动分析及热敏打印机，可当做单独的心电图机使用，自动打印心电诊断报告</w:t>
      </w:r>
    </w:p>
    <w:p>
      <w:pPr>
        <w:kinsoku/>
        <w:wordWrap/>
        <w:overflowPunct/>
        <w:bidi w:val="0"/>
        <w:spacing w:beforeAutospacing="0" w:line="440" w:lineRule="exact"/>
        <w:ind w:left="0" w:leftChars="0" w:right="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5.8具有多种的报告格式可供用户选择，肺功能测试报告可以自行编辑处理，打印的参数，图表可自由设置</w:t>
      </w:r>
    </w:p>
    <w:p>
      <w:pPr>
        <w:kinsoku/>
        <w:wordWrap/>
        <w:overflowPunct/>
        <w:bidi w:val="0"/>
        <w:spacing w:beforeAutospacing="0" w:line="440" w:lineRule="exact"/>
        <w:ind w:left="0" w:leftChars="0" w:right="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5.9具有标准Wasserman9宫格图形化的心肺运动试验结果的图表报告；</w:t>
      </w:r>
    </w:p>
    <w:p>
      <w:pPr>
        <w:kinsoku/>
        <w:wordWrap/>
        <w:overflowPunct/>
        <w:bidi w:val="0"/>
        <w:spacing w:beforeAutospacing="0" w:line="440" w:lineRule="exact"/>
        <w:ind w:left="0" w:leftChars="0" w:right="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图形显示内容可自行编辑，如配置不同的9宫图显示；显示的参数内容同样可自行编辑，如横纵坐标参数的变换，测量画面中显示不同的测量信息，如：摄氧量VO2，二氧化碳呼出量VCO2，公斤摄氧量VO2/kg,公斤二氧化碳消耗量VCO2/kg,呼吸交换律RER,呼气末氧分压PETO2,呼气末二氧化碳分压PETCO2,氧脉搏O2Pulse,公斤体重做功Load/kg等</w:t>
      </w:r>
    </w:p>
    <w:p>
      <w:pPr>
        <w:kinsoku/>
        <w:wordWrap/>
        <w:overflowPunct/>
        <w:bidi w:val="0"/>
        <w:spacing w:beforeAutospacing="0" w:line="440" w:lineRule="exact"/>
        <w:ind w:left="0" w:leftChars="0" w:right="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六、功能：</w:t>
      </w:r>
    </w:p>
    <w:p>
      <w:pPr>
        <w:kinsoku/>
        <w:wordWrap/>
        <w:overflowPunct/>
        <w:bidi w:val="0"/>
        <w:spacing w:beforeAutospacing="0" w:line="440" w:lineRule="exact"/>
        <w:ind w:left="0" w:leftChars="0" w:right="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6.1  采集显示功能：可直接采集人体心电波形，并在屏幕上显示出来；</w:t>
      </w:r>
    </w:p>
    <w:p>
      <w:pPr>
        <w:kinsoku/>
        <w:wordWrap/>
        <w:overflowPunct/>
        <w:bidi w:val="0"/>
        <w:spacing w:beforeAutospacing="0" w:line="440" w:lineRule="exact"/>
        <w:ind w:left="0" w:leftChars="0" w:right="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6.2  报告文件名可自由配置，包括姓名、ID、年龄、性别、检查时间等信息内容；</w:t>
      </w:r>
    </w:p>
    <w:p>
      <w:pPr>
        <w:kinsoku/>
        <w:wordWrap/>
        <w:overflowPunct/>
        <w:bidi w:val="0"/>
        <w:spacing w:beforeAutospacing="0" w:line="440" w:lineRule="exact"/>
        <w:ind w:left="0" w:leftChars="0" w:right="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6.3  数据管理功能：能支持数据的存储、检索、修改、删除、调出等功能；</w:t>
      </w:r>
    </w:p>
    <w:p>
      <w:pPr>
        <w:kinsoku/>
        <w:wordWrap/>
        <w:overflowPunct/>
        <w:bidi w:val="0"/>
        <w:spacing w:beforeAutospacing="0" w:line="440" w:lineRule="exact"/>
        <w:ind w:left="0" w:leftChars="0" w:right="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6.4  运动心电测试功能：可控制运动平板或踏车，实现负荷下的心电测试功能；</w:t>
      </w:r>
    </w:p>
    <w:p>
      <w:pPr>
        <w:kinsoku/>
        <w:wordWrap/>
        <w:overflowPunct/>
        <w:bidi w:val="0"/>
        <w:spacing w:beforeAutospacing="0" w:line="440" w:lineRule="exact"/>
        <w:ind w:left="0" w:leftChars="0" w:right="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6.5  可直接配置运动血压监测；</w:t>
      </w:r>
    </w:p>
    <w:p>
      <w:pPr>
        <w:kinsoku/>
        <w:wordWrap/>
        <w:overflowPunct/>
        <w:bidi w:val="0"/>
        <w:spacing w:beforeAutospacing="0" w:line="440" w:lineRule="exact"/>
        <w:ind w:left="0" w:leftChars="0" w:right="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6.6  标配十二导联心电图、QT离散度、支持ECG比较功能；</w:t>
      </w:r>
    </w:p>
    <w:p>
      <w:pPr>
        <w:kinsoku/>
        <w:wordWrap/>
        <w:overflowPunct/>
        <w:bidi w:val="0"/>
        <w:spacing w:beforeAutospacing="0" w:line="440" w:lineRule="exact"/>
        <w:ind w:left="0" w:leftChars="0" w:right="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6.7  支持PDF格式存储，能以国际标准格式FDA-XML格式导出方便异地远程传阅报告；</w:t>
      </w:r>
    </w:p>
    <w:p>
      <w:pPr>
        <w:kinsoku/>
        <w:wordWrap/>
        <w:overflowPunct/>
        <w:bidi w:val="0"/>
        <w:spacing w:beforeAutospacing="0" w:line="440" w:lineRule="exact"/>
        <w:ind w:left="0" w:leftChars="0" w:right="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6.8 心电算法需通过欧洲CSE、美国AHA、MIT数据库测试；</w:t>
      </w:r>
    </w:p>
    <w:p>
      <w:pPr>
        <w:kinsoku/>
        <w:wordWrap/>
        <w:overflowPunct/>
        <w:bidi w:val="0"/>
        <w:spacing w:beforeAutospacing="0" w:line="440" w:lineRule="exact"/>
        <w:ind w:left="0" w:leftChars="0" w:right="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6.9 具有12导联ST段实时趋势图，实时ST段斜率幅度趋势图，实时心率、血压及功率变化。</w:t>
      </w:r>
    </w:p>
    <w:p>
      <w:pPr>
        <w:kinsoku/>
        <w:wordWrap/>
        <w:overflowPunct/>
        <w:bidi w:val="0"/>
        <w:spacing w:beforeAutospacing="0" w:line="440" w:lineRule="exact"/>
        <w:ind w:left="0" w:leftChars="0" w:right="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6.10 运动方案丰富、用户可自定义方案内容。</w:t>
      </w:r>
    </w:p>
    <w:p>
      <w:pPr>
        <w:kinsoku/>
        <w:wordWrap/>
        <w:overflowPunct/>
        <w:bidi w:val="0"/>
        <w:spacing w:beforeAutospacing="0" w:line="440" w:lineRule="exact"/>
        <w:ind w:left="0" w:leftChars="0" w:right="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6.11测试过程中可实时的输出值；可实时输入患者的症状信息，如胸闷，心悸等症状；可直接输入结束运动时患者的指征，有模板可供选择，并且模板可自行编辑；可实时手动改变运动踏车的功率或运动平板的速度坡度。</w:t>
      </w:r>
    </w:p>
    <w:p>
      <w:pPr>
        <w:kinsoku/>
        <w:wordWrap/>
        <w:overflowPunct/>
        <w:bidi w:val="0"/>
        <w:spacing w:beforeAutospacing="0" w:line="440" w:lineRule="exact"/>
        <w:ind w:left="0" w:leftChars="0" w:right="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6.12具有最大血压×心率，最小血压×心率，DP因素，PFP-静息信息。</w:t>
      </w:r>
    </w:p>
    <w:p>
      <w:pPr>
        <w:kinsoku/>
        <w:wordWrap/>
        <w:overflowPunct/>
        <w:bidi w:val="0"/>
        <w:spacing w:beforeAutospacing="0" w:line="440" w:lineRule="exact"/>
        <w:ind w:left="0" w:leftChars="0" w:right="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6.13具有PWC（踏车）运动机能评估功能，针对踏车运动的身体运动机能参数，PWC150(心率在150时的运动功率)，PWC170（心率在170时的运动功率），PWCrel（回复时功率）相关数值的评估。</w:t>
      </w:r>
    </w:p>
    <w:p>
      <w:pPr>
        <w:kinsoku/>
        <w:wordWrap/>
        <w:overflowPunct/>
        <w:bidi w:val="0"/>
        <w:spacing w:beforeAutospacing="0" w:line="440" w:lineRule="exact"/>
        <w:ind w:left="0" w:leftChars="0" w:right="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*6.14提供不同的无氧阈值的评估方法，均可按照设置自动评估无氧阈值，并且可以手动进行调整，调整后的内容可保存并形成报告；不仅可评估无氧阈值而且可以自动评估呼吸补偿点。</w:t>
      </w:r>
    </w:p>
    <w:p>
      <w:pPr>
        <w:kinsoku/>
        <w:wordWrap/>
        <w:overflowPunct/>
        <w:bidi w:val="0"/>
        <w:spacing w:beforeAutospacing="0" w:line="440" w:lineRule="exact"/>
        <w:ind w:left="0" w:leftChars="0" w:right="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七．基本配置</w:t>
      </w:r>
    </w:p>
    <w:p>
      <w:pPr>
        <w:kinsoku/>
        <w:wordWrap/>
        <w:overflowPunct/>
        <w:bidi w:val="0"/>
        <w:spacing w:beforeAutospacing="0" w:line="440" w:lineRule="exact"/>
        <w:ind w:left="0" w:leftChars="0" w:right="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7.1主机</w:t>
      </w:r>
    </w:p>
    <w:p>
      <w:pPr>
        <w:kinsoku/>
        <w:wordWrap/>
        <w:overflowPunct/>
        <w:bidi w:val="0"/>
        <w:spacing w:beforeAutospacing="0" w:line="440" w:lineRule="exact"/>
        <w:ind w:left="0" w:leftChars="0" w:right="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7.2运动踏车（功率车）</w:t>
      </w:r>
    </w:p>
    <w:p>
      <w:pPr>
        <w:kinsoku/>
        <w:wordWrap/>
        <w:overflowPunct/>
        <w:bidi w:val="0"/>
        <w:spacing w:beforeAutospacing="0" w:line="440" w:lineRule="exact"/>
        <w:ind w:left="0" w:leftChars="0" w:right="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7.3专业运动血压计</w:t>
      </w:r>
    </w:p>
    <w:p>
      <w:pPr>
        <w:kinsoku/>
        <w:wordWrap/>
        <w:overflowPunct/>
        <w:bidi w:val="0"/>
        <w:spacing w:beforeAutospacing="0" w:line="440" w:lineRule="exact"/>
        <w:ind w:left="0" w:leftChars="0" w:right="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7.4血氧模块</w:t>
      </w:r>
    </w:p>
    <w:p>
      <w:pPr>
        <w:kinsoku/>
        <w:wordWrap/>
        <w:overflowPunct/>
        <w:bidi w:val="0"/>
        <w:spacing w:beforeAutospacing="0" w:line="440" w:lineRule="exact"/>
        <w:ind w:left="0" w:leftChars="0" w:right="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8.康复功率自行车技术参数：</w:t>
      </w:r>
    </w:p>
    <w:p>
      <w:pPr>
        <w:kinsoku/>
        <w:wordWrap/>
        <w:overflowPunct/>
        <w:bidi w:val="0"/>
        <w:spacing w:beforeAutospacing="0" w:line="440" w:lineRule="exact"/>
        <w:ind w:left="0" w:leftChars="0" w:right="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8.1.电磁阻力；</w:t>
      </w:r>
    </w:p>
    <w:p>
      <w:pPr>
        <w:kinsoku/>
        <w:wordWrap/>
        <w:overflowPunct/>
        <w:bidi w:val="0"/>
        <w:spacing w:beforeAutospacing="0" w:line="440" w:lineRule="exact"/>
        <w:ind w:left="0" w:leftChars="0" w:right="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8.2.电源：230V±10%，50/60Hz；</w:t>
      </w:r>
    </w:p>
    <w:p>
      <w:pPr>
        <w:kinsoku/>
        <w:wordWrap/>
        <w:overflowPunct/>
        <w:bidi w:val="0"/>
        <w:spacing w:beforeAutospacing="0" w:line="440" w:lineRule="exact"/>
        <w:ind w:left="0" w:leftChars="0" w:right="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8.3.最大负荷：≥400W,连续可调；</w:t>
      </w:r>
    </w:p>
    <w:p>
      <w:pPr>
        <w:kinsoku/>
        <w:wordWrap/>
        <w:overflowPunct/>
        <w:bidi w:val="0"/>
        <w:spacing w:beforeAutospacing="0" w:line="440" w:lineRule="exact"/>
        <w:ind w:left="0" w:leftChars="0" w:right="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8.4.转速：35rpm-110rpm；</w:t>
      </w:r>
    </w:p>
    <w:p>
      <w:pPr>
        <w:kinsoku/>
        <w:wordWrap/>
        <w:overflowPunct/>
        <w:bidi w:val="0"/>
        <w:spacing w:beforeAutospacing="0" w:line="440" w:lineRule="exact"/>
        <w:ind w:left="0" w:leftChars="0" w:right="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8.5.功率范围：20-400W，步进5W,负荷调节精细；</w:t>
      </w:r>
    </w:p>
    <w:p>
      <w:pPr>
        <w:kinsoku/>
        <w:wordWrap/>
        <w:overflowPunct/>
        <w:bidi w:val="0"/>
        <w:spacing w:beforeAutospacing="0" w:line="440" w:lineRule="exact"/>
        <w:ind w:left="0" w:leftChars="0" w:right="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8.6.鞍座调整范围：50cm-110cm，满足不同髋关节的活动角度；</w:t>
      </w:r>
    </w:p>
    <w:p>
      <w:pPr>
        <w:kinsoku/>
        <w:wordWrap/>
        <w:overflowPunct/>
        <w:bidi w:val="0"/>
        <w:spacing w:beforeAutospacing="0" w:line="440" w:lineRule="exact"/>
        <w:ind w:left="0" w:leftChars="0" w:right="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8.7.车把高度：75cm-115cm；</w:t>
      </w:r>
    </w:p>
    <w:p>
      <w:pPr>
        <w:kinsoku/>
        <w:wordWrap/>
        <w:overflowPunct/>
        <w:bidi w:val="0"/>
        <w:spacing w:beforeAutospacing="0" w:line="440" w:lineRule="exact"/>
        <w:ind w:left="0" w:leftChars="0" w:right="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8.8曲轴长度：8cm-18cm，依据患者踝关节以及小腿长度调节，可以满足不同踝关节活动度的需求；</w:t>
      </w:r>
    </w:p>
    <w:p>
      <w:pPr>
        <w:kinsoku/>
        <w:wordWrap/>
        <w:overflowPunct/>
        <w:bidi w:val="0"/>
        <w:spacing w:beforeAutospacing="0" w:line="440" w:lineRule="exact"/>
        <w:ind w:left="0" w:leftChars="0" w:right="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8.9.最大承重：≥150kg；</w:t>
      </w:r>
    </w:p>
    <w:p>
      <w:pPr>
        <w:kinsoku/>
        <w:wordWrap/>
        <w:overflowPunct/>
        <w:bidi w:val="0"/>
        <w:spacing w:beforeAutospacing="0" w:line="440" w:lineRule="exact"/>
        <w:ind w:left="0" w:leftChars="0" w:right="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8.10.测试和训练数据：通过智能卡自动储存，由智能体疗软件全面管理；</w:t>
      </w:r>
    </w:p>
    <w:p>
      <w:pPr>
        <w:kinsoku/>
        <w:wordWrap/>
        <w:overflowPunct/>
        <w:bidi w:val="0"/>
        <w:spacing w:beforeAutospacing="0" w:line="440" w:lineRule="exact"/>
        <w:ind w:left="0" w:leftChars="0" w:right="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8.11.报告打印：训练和测试结果通过装有智能体疗软件的电脑及打印机随时打印；</w:t>
      </w:r>
    </w:p>
    <w:p>
      <w:pPr>
        <w:kinsoku/>
        <w:wordWrap/>
        <w:overflowPunct/>
        <w:bidi w:val="0"/>
        <w:spacing w:beforeAutospacing="0" w:line="440" w:lineRule="exact"/>
        <w:ind w:left="0" w:leftChars="0" w:right="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8.12.训练模式包括：恒定功率、恒定扭矩、恒定心率；</w:t>
      </w:r>
    </w:p>
    <w:p>
      <w:pPr>
        <w:kinsoku/>
        <w:wordWrap/>
        <w:overflowPunct/>
        <w:bidi w:val="0"/>
        <w:spacing w:beforeAutospacing="0" w:line="440" w:lineRule="exact"/>
        <w:ind w:left="0" w:leftChars="0" w:right="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8.13.心率带实时监测心率；</w:t>
      </w:r>
    </w:p>
    <w:p>
      <w:pPr>
        <w:kinsoku/>
        <w:wordWrap/>
        <w:overflowPunct/>
        <w:bidi w:val="0"/>
        <w:spacing w:beforeAutospacing="0" w:line="440" w:lineRule="exact"/>
        <w:ind w:left="0" w:leftChars="0" w:right="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8.14.治疗处方：≥36种固定训练程序及自定义训练程序；</w:t>
      </w:r>
    </w:p>
    <w:p>
      <w:pPr>
        <w:kinsoku/>
        <w:wordWrap/>
        <w:overflowPunct/>
        <w:bidi w:val="0"/>
        <w:spacing w:beforeAutospacing="0" w:line="440" w:lineRule="exact"/>
        <w:ind w:left="0" w:leftChars="0" w:right="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8.15.测试结果包括：训练时间、消耗总功率、最大功率、最大速度、平均速度、距离、消耗能量、最大心率、代谢当量、处方号；</w:t>
      </w:r>
    </w:p>
    <w:p>
      <w:pPr>
        <w:kinsoku/>
        <w:wordWrap/>
        <w:overflowPunct/>
        <w:bidi w:val="0"/>
        <w:spacing w:beforeAutospacing="0" w:line="440" w:lineRule="exact"/>
        <w:ind w:left="0" w:leftChars="0" w:right="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8.16.测试内容：VO</w:t>
      </w:r>
      <w:r>
        <w:rPr>
          <w:rFonts w:hint="eastAsia" w:ascii="仿宋" w:hAnsi="仿宋" w:eastAsia="仿宋" w:cs="仿宋"/>
          <w:color w:val="auto"/>
          <w:sz w:val="24"/>
          <w:szCs w:val="24"/>
          <w:highlight w:val="none"/>
          <w:vertAlign w:val="subscript"/>
        </w:rPr>
        <w:t>2</w:t>
      </w:r>
      <w:r>
        <w:rPr>
          <w:rFonts w:hint="eastAsia" w:ascii="仿宋" w:hAnsi="仿宋" w:eastAsia="仿宋" w:cs="仿宋"/>
          <w:color w:val="auto"/>
          <w:sz w:val="24"/>
          <w:szCs w:val="24"/>
          <w:highlight w:val="none"/>
        </w:rPr>
        <w:t>-Max测试、3-minute测试、12-minute测试；</w:t>
      </w:r>
    </w:p>
    <w:p>
      <w:pPr>
        <w:kinsoku/>
        <w:wordWrap/>
        <w:overflowPunct/>
        <w:bidi w:val="0"/>
        <w:spacing w:beforeAutospacing="0" w:line="440" w:lineRule="exact"/>
        <w:ind w:left="0" w:leftChars="0" w:right="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8.17.CE认证；</w:t>
      </w:r>
    </w:p>
    <w:p>
      <w:pPr>
        <w:kinsoku/>
        <w:wordWrap/>
        <w:overflowPunct/>
        <w:bidi w:val="0"/>
        <w:spacing w:beforeAutospacing="0" w:line="440" w:lineRule="exact"/>
        <w:ind w:left="0" w:leftChars="0" w:right="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8.18.提供生产厂家医疗器械质量管理体系ISO13485认证及质量管理体系认证ISO9001认证。</w:t>
      </w:r>
    </w:p>
    <w:p>
      <w:pPr>
        <w:kinsoku/>
        <w:wordWrap/>
        <w:overflowPunct/>
        <w:bidi w:val="0"/>
        <w:spacing w:beforeAutospacing="0" w:line="440" w:lineRule="exact"/>
        <w:ind w:left="0" w:leftChars="0" w:right="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9.椭圆仪技术参数：</w:t>
      </w:r>
    </w:p>
    <w:p>
      <w:pPr>
        <w:kinsoku/>
        <w:wordWrap/>
        <w:overflowPunct/>
        <w:bidi w:val="0"/>
        <w:spacing w:beforeAutospacing="0" w:line="440" w:lineRule="exact"/>
        <w:ind w:left="0" w:leftChars="0" w:right="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9.1.电源：230V 50HZ</w:t>
      </w:r>
    </w:p>
    <w:p>
      <w:pPr>
        <w:pStyle w:val="2"/>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*9.2.刹车原理：程序控制的涡流电刹车</w:t>
      </w:r>
    </w:p>
    <w:p>
      <w:pPr>
        <w:pStyle w:val="2"/>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9.3.负荷：20-400W（5W幅度增减），速度35-100rpm，6-60Nm（0.5Nm幅度增减），速度35-100rpm</w:t>
      </w:r>
    </w:p>
    <w:p>
      <w:pPr>
        <w:pStyle w:val="2"/>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9.4.最小功率：20W</w:t>
      </w:r>
    </w:p>
    <w:p>
      <w:pPr>
        <w:pStyle w:val="2"/>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9.5.最大载重：≥150kg</w:t>
      </w:r>
    </w:p>
    <w:p>
      <w:pPr>
        <w:pStyle w:val="2"/>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9.6.通讯接口：RS232</w:t>
      </w:r>
    </w:p>
    <w:p>
      <w:pPr>
        <w:kinsoku/>
        <w:wordWrap/>
        <w:overflowPunct/>
        <w:bidi w:val="0"/>
        <w:spacing w:beforeAutospacing="0" w:line="440" w:lineRule="exact"/>
        <w:ind w:left="0" w:leftChars="0" w:right="0"/>
        <w:rPr>
          <w:rFonts w:hint="eastAsia" w:ascii="仿宋" w:hAnsi="仿宋" w:eastAsia="仿宋" w:cs="仿宋"/>
          <w:b/>
          <w:bCs/>
          <w:color w:val="auto"/>
          <w:sz w:val="24"/>
          <w:szCs w:val="24"/>
          <w:highlight w:val="none"/>
        </w:rPr>
      </w:pPr>
      <w:bookmarkStart w:id="4" w:name="_Toc11193"/>
      <w:r>
        <w:rPr>
          <w:rFonts w:hint="eastAsia" w:ascii="仿宋" w:hAnsi="仿宋" w:eastAsia="仿宋" w:cs="仿宋"/>
          <w:b/>
          <w:bCs/>
          <w:color w:val="auto"/>
          <w:sz w:val="24"/>
          <w:szCs w:val="24"/>
          <w:highlight w:val="none"/>
        </w:rPr>
        <w:br w:type="page"/>
      </w:r>
    </w:p>
    <w:p>
      <w:pPr>
        <w:kinsoku/>
        <w:wordWrap/>
        <w:overflowPunct/>
        <w:bidi w:val="0"/>
        <w:spacing w:beforeAutospacing="0" w:line="440" w:lineRule="exact"/>
        <w:ind w:left="0" w:leftChars="0" w:right="0"/>
        <w:jc w:val="center"/>
        <w:outlineLvl w:val="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第四</w:t>
      </w:r>
      <w:r>
        <w:rPr>
          <w:rFonts w:hint="eastAsia" w:ascii="仿宋" w:hAnsi="仿宋" w:eastAsia="仿宋" w:cs="仿宋"/>
          <w:b/>
          <w:bCs/>
          <w:color w:val="auto"/>
          <w:sz w:val="24"/>
          <w:szCs w:val="24"/>
          <w:highlight w:val="none"/>
          <w:lang w:eastAsia="zh-CN"/>
        </w:rPr>
        <w:t>章</w:t>
      </w:r>
      <w:r>
        <w:rPr>
          <w:rFonts w:hint="eastAsia" w:ascii="仿宋" w:hAnsi="仿宋" w:eastAsia="仿宋" w:cs="仿宋"/>
          <w:b/>
          <w:bCs/>
          <w:color w:val="auto"/>
          <w:sz w:val="24"/>
          <w:szCs w:val="24"/>
          <w:highlight w:val="none"/>
        </w:rPr>
        <w:t xml:space="preserve">  合同格式（参考）</w:t>
      </w:r>
      <w:bookmarkEnd w:id="4"/>
    </w:p>
    <w:p>
      <w:pPr>
        <w:kinsoku/>
        <w:wordWrap/>
        <w:overflowPunct/>
        <w:bidi w:val="0"/>
        <w:spacing w:beforeAutospacing="0" w:line="440" w:lineRule="exact"/>
        <w:ind w:left="0" w:leftChars="0" w:right="0"/>
        <w:jc w:val="center"/>
        <w:rPr>
          <w:rFonts w:hint="eastAsia" w:ascii="仿宋" w:hAnsi="仿宋" w:eastAsia="仿宋" w:cs="仿宋"/>
          <w:b/>
          <w:bCs/>
          <w:color w:val="auto"/>
          <w:sz w:val="24"/>
          <w:szCs w:val="24"/>
          <w:highlight w:val="none"/>
        </w:rPr>
      </w:pPr>
      <w:bookmarkStart w:id="5" w:name="_Toc29447"/>
      <w:r>
        <w:rPr>
          <w:rFonts w:hint="eastAsia" w:ascii="仿宋" w:hAnsi="仿宋" w:eastAsia="仿宋" w:cs="仿宋"/>
          <w:b/>
          <w:bCs/>
          <w:color w:val="auto"/>
          <w:sz w:val="24"/>
          <w:szCs w:val="24"/>
          <w:highlight w:val="none"/>
        </w:rPr>
        <w:t>采购合同</w:t>
      </w:r>
      <w:bookmarkEnd w:id="5"/>
    </w:p>
    <w:p>
      <w:pPr>
        <w:kinsoku/>
        <w:wordWrap/>
        <w:overflowPunct/>
        <w:bidi w:val="0"/>
        <w:spacing w:beforeAutospacing="0" w:line="440" w:lineRule="exact"/>
        <w:ind w:left="0" w:leftChars="0" w:right="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合同编号： </w:t>
      </w:r>
    </w:p>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u w:val="single"/>
        </w:rPr>
      </w:pPr>
      <w:bookmarkStart w:id="6" w:name="_Toc21707"/>
      <w:r>
        <w:rPr>
          <w:rFonts w:hint="eastAsia" w:ascii="仿宋" w:hAnsi="仿宋" w:eastAsia="仿宋" w:cs="仿宋"/>
          <w:color w:val="auto"/>
          <w:sz w:val="24"/>
          <w:szCs w:val="24"/>
          <w:highlight w:val="none"/>
        </w:rPr>
        <w:t>签约地点： 乌鲁木齐市</w:t>
      </w:r>
      <w:bookmarkEnd w:id="6"/>
      <w:r>
        <w:rPr>
          <w:rFonts w:hint="eastAsia" w:ascii="仿宋" w:hAnsi="仿宋" w:eastAsia="仿宋" w:cs="仿宋"/>
          <w:color w:val="auto"/>
          <w:sz w:val="24"/>
          <w:szCs w:val="24"/>
          <w:highlight w:val="none"/>
        </w:rPr>
        <w:t xml:space="preserve"> </w:t>
      </w:r>
    </w:p>
    <w:p>
      <w:pPr>
        <w:kinsoku/>
        <w:wordWrap/>
        <w:overflowPunct/>
        <w:bidi w:val="0"/>
        <w:spacing w:beforeAutospacing="0" w:line="44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甲方（买方）：乌鲁木齐市友谊医院</w:t>
      </w:r>
    </w:p>
    <w:p>
      <w:pPr>
        <w:kinsoku/>
        <w:wordWrap/>
        <w:overflowPunct/>
        <w:bidi w:val="0"/>
        <w:spacing w:beforeAutospacing="0" w:line="44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乙方（卖方）：</w:t>
      </w:r>
    </w:p>
    <w:p>
      <w:pPr>
        <w:kinsoku/>
        <w:wordWrap/>
        <w:overflowPunct/>
        <w:bidi w:val="0"/>
        <w:spacing w:beforeAutospacing="0" w:line="44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甲乙双方根据«中华人民共和国合同法»，在平等互利、协商一致的基础上，就乙方向甲方出售及授权以下设备（以下设备器械均简称设备）一事达成如下条款，并承诺共同遵守：</w:t>
      </w:r>
    </w:p>
    <w:p>
      <w:pPr>
        <w:kinsoku/>
        <w:wordWrap/>
        <w:overflowPunct/>
        <w:bidi w:val="0"/>
        <w:spacing w:beforeAutospacing="0" w:line="44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购买设备清单及价款：</w:t>
      </w:r>
    </w:p>
    <w:tbl>
      <w:tblPr>
        <w:tblStyle w:val="51"/>
        <w:tblpPr w:leftFromText="180" w:rightFromText="180" w:vertAnchor="text" w:horzAnchor="margin" w:tblpXSpec="center" w:tblpY="45"/>
        <w:tblW w:w="9228" w:type="dxa"/>
        <w:tblInd w:w="-7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3"/>
        <w:gridCol w:w="2003"/>
        <w:gridCol w:w="1671"/>
        <w:gridCol w:w="1005"/>
        <w:gridCol w:w="1201"/>
        <w:gridCol w:w="16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713" w:type="dxa"/>
            <w:vAlign w:val="center"/>
          </w:tcPr>
          <w:p>
            <w:pPr>
              <w:kinsoku/>
              <w:wordWrap/>
              <w:overflowPunct/>
              <w:bidi w:val="0"/>
              <w:spacing w:beforeAutospacing="0" w:line="440" w:lineRule="exact"/>
              <w:ind w:left="0" w:leftChars="0" w:right="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设备名称</w:t>
            </w:r>
          </w:p>
        </w:tc>
        <w:tc>
          <w:tcPr>
            <w:tcW w:w="2003" w:type="dxa"/>
            <w:vAlign w:val="center"/>
          </w:tcPr>
          <w:p>
            <w:pPr>
              <w:kinsoku/>
              <w:wordWrap/>
              <w:overflowPunct/>
              <w:bidi w:val="0"/>
              <w:spacing w:beforeAutospacing="0" w:line="440" w:lineRule="exact"/>
              <w:ind w:left="0" w:leftChars="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规格型号</w:t>
            </w:r>
          </w:p>
        </w:tc>
        <w:tc>
          <w:tcPr>
            <w:tcW w:w="1671" w:type="dxa"/>
            <w:vAlign w:val="center"/>
          </w:tcPr>
          <w:p>
            <w:pPr>
              <w:kinsoku/>
              <w:wordWrap/>
              <w:overflowPunct/>
              <w:bidi w:val="0"/>
              <w:spacing w:beforeAutospacing="0" w:line="440" w:lineRule="exact"/>
              <w:ind w:left="0" w:leftChars="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厂家</w:t>
            </w:r>
          </w:p>
        </w:tc>
        <w:tc>
          <w:tcPr>
            <w:tcW w:w="1005" w:type="dxa"/>
            <w:vAlign w:val="center"/>
          </w:tcPr>
          <w:p>
            <w:pPr>
              <w:kinsoku/>
              <w:wordWrap/>
              <w:overflowPunct/>
              <w:bidi w:val="0"/>
              <w:spacing w:beforeAutospacing="0" w:line="440" w:lineRule="exact"/>
              <w:ind w:left="0" w:leftChars="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数量</w:t>
            </w:r>
          </w:p>
        </w:tc>
        <w:tc>
          <w:tcPr>
            <w:tcW w:w="1201" w:type="dxa"/>
            <w:vAlign w:val="center"/>
          </w:tcPr>
          <w:p>
            <w:pPr>
              <w:kinsoku/>
              <w:wordWrap/>
              <w:overflowPunct/>
              <w:bidi w:val="0"/>
              <w:spacing w:beforeAutospacing="0" w:line="440" w:lineRule="exact"/>
              <w:ind w:left="0" w:leftChars="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金额（元）</w:t>
            </w:r>
          </w:p>
        </w:tc>
        <w:tc>
          <w:tcPr>
            <w:tcW w:w="1635" w:type="dxa"/>
            <w:vAlign w:val="center"/>
          </w:tcPr>
          <w:p>
            <w:pPr>
              <w:kinsoku/>
              <w:wordWrap/>
              <w:overflowPunct/>
              <w:bidi w:val="0"/>
              <w:spacing w:beforeAutospacing="0" w:line="440" w:lineRule="exact"/>
              <w:ind w:left="0" w:leftChars="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成交金额（元）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713" w:type="dxa"/>
            <w:vAlign w:val="center"/>
          </w:tcPr>
          <w:p>
            <w:pPr>
              <w:kinsoku/>
              <w:wordWrap/>
              <w:overflowPunct/>
              <w:bidi w:val="0"/>
              <w:spacing w:beforeAutospacing="0" w:line="440" w:lineRule="exact"/>
              <w:ind w:left="0" w:leftChars="0" w:right="0"/>
              <w:jc w:val="center"/>
              <w:rPr>
                <w:rFonts w:hint="eastAsia" w:ascii="仿宋" w:hAnsi="仿宋" w:eastAsia="仿宋" w:cs="仿宋"/>
                <w:color w:val="auto"/>
                <w:sz w:val="24"/>
                <w:szCs w:val="24"/>
                <w:highlight w:val="none"/>
              </w:rPr>
            </w:pPr>
          </w:p>
        </w:tc>
        <w:tc>
          <w:tcPr>
            <w:tcW w:w="2003" w:type="dxa"/>
          </w:tcPr>
          <w:p>
            <w:pPr>
              <w:kinsoku/>
              <w:wordWrap/>
              <w:overflowPunct/>
              <w:bidi w:val="0"/>
              <w:spacing w:beforeAutospacing="0" w:line="440" w:lineRule="exact"/>
              <w:ind w:left="0" w:leftChars="0" w:right="0"/>
              <w:jc w:val="center"/>
              <w:rPr>
                <w:rFonts w:hint="eastAsia" w:ascii="仿宋" w:hAnsi="仿宋" w:eastAsia="仿宋" w:cs="仿宋"/>
                <w:color w:val="auto"/>
                <w:sz w:val="24"/>
                <w:szCs w:val="24"/>
                <w:highlight w:val="none"/>
              </w:rPr>
            </w:pPr>
          </w:p>
          <w:p>
            <w:pPr>
              <w:kinsoku/>
              <w:wordWrap/>
              <w:overflowPunct/>
              <w:bidi w:val="0"/>
              <w:spacing w:beforeAutospacing="0" w:line="440" w:lineRule="exact"/>
              <w:ind w:left="0" w:leftChars="0" w:right="0"/>
              <w:jc w:val="center"/>
              <w:rPr>
                <w:rFonts w:hint="eastAsia" w:ascii="仿宋" w:hAnsi="仿宋" w:eastAsia="仿宋" w:cs="仿宋"/>
                <w:color w:val="auto"/>
                <w:sz w:val="24"/>
                <w:szCs w:val="24"/>
                <w:highlight w:val="none"/>
              </w:rPr>
            </w:pPr>
          </w:p>
        </w:tc>
        <w:tc>
          <w:tcPr>
            <w:tcW w:w="1671" w:type="dxa"/>
            <w:vAlign w:val="center"/>
          </w:tcPr>
          <w:p>
            <w:pPr>
              <w:kinsoku/>
              <w:wordWrap/>
              <w:overflowPunct/>
              <w:bidi w:val="0"/>
              <w:spacing w:beforeAutospacing="0" w:line="440" w:lineRule="exact"/>
              <w:ind w:left="0" w:leftChars="0" w:right="0"/>
              <w:jc w:val="center"/>
              <w:rPr>
                <w:rFonts w:hint="eastAsia" w:ascii="仿宋" w:hAnsi="仿宋" w:eastAsia="仿宋" w:cs="仿宋"/>
                <w:color w:val="auto"/>
                <w:sz w:val="24"/>
                <w:szCs w:val="24"/>
                <w:highlight w:val="none"/>
              </w:rPr>
            </w:pPr>
          </w:p>
        </w:tc>
        <w:tc>
          <w:tcPr>
            <w:tcW w:w="1005" w:type="dxa"/>
            <w:vAlign w:val="center"/>
          </w:tcPr>
          <w:p>
            <w:pPr>
              <w:kinsoku/>
              <w:wordWrap/>
              <w:overflowPunct/>
              <w:bidi w:val="0"/>
              <w:spacing w:beforeAutospacing="0" w:line="440" w:lineRule="exact"/>
              <w:ind w:left="0" w:leftChars="0" w:right="0"/>
              <w:jc w:val="center"/>
              <w:rPr>
                <w:rFonts w:hint="eastAsia" w:ascii="仿宋" w:hAnsi="仿宋" w:eastAsia="仿宋" w:cs="仿宋"/>
                <w:color w:val="auto"/>
                <w:sz w:val="24"/>
                <w:szCs w:val="24"/>
                <w:highlight w:val="none"/>
              </w:rPr>
            </w:pPr>
          </w:p>
        </w:tc>
        <w:tc>
          <w:tcPr>
            <w:tcW w:w="1201" w:type="dxa"/>
            <w:vAlign w:val="center"/>
          </w:tcPr>
          <w:p>
            <w:pPr>
              <w:kinsoku/>
              <w:wordWrap/>
              <w:overflowPunct/>
              <w:bidi w:val="0"/>
              <w:spacing w:beforeAutospacing="0" w:line="440" w:lineRule="exact"/>
              <w:ind w:left="0" w:leftChars="0" w:right="0"/>
              <w:jc w:val="center"/>
              <w:rPr>
                <w:rFonts w:hint="eastAsia" w:ascii="仿宋" w:hAnsi="仿宋" w:eastAsia="仿宋" w:cs="仿宋"/>
                <w:color w:val="auto"/>
                <w:sz w:val="24"/>
                <w:szCs w:val="24"/>
                <w:highlight w:val="none"/>
              </w:rPr>
            </w:pPr>
          </w:p>
        </w:tc>
        <w:tc>
          <w:tcPr>
            <w:tcW w:w="1635" w:type="dxa"/>
            <w:vAlign w:val="center"/>
          </w:tcPr>
          <w:p>
            <w:pPr>
              <w:kinsoku/>
              <w:wordWrap/>
              <w:overflowPunct/>
              <w:bidi w:val="0"/>
              <w:spacing w:beforeAutospacing="0" w:line="440" w:lineRule="exact"/>
              <w:ind w:left="0" w:leftChars="0" w:right="0"/>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9228" w:type="dxa"/>
            <w:gridSpan w:val="6"/>
            <w:vAlign w:val="center"/>
          </w:tcPr>
          <w:p>
            <w:pPr>
              <w:kinsoku/>
              <w:wordWrap/>
              <w:overflowPunct/>
              <w:bidi w:val="0"/>
              <w:spacing w:beforeAutospacing="0" w:line="440" w:lineRule="exact"/>
              <w:ind w:left="0" w:leftChars="0" w:right="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合计成交金额人民币（大写）：</w:t>
            </w:r>
          </w:p>
          <w:p>
            <w:pPr>
              <w:kinsoku/>
              <w:wordWrap/>
              <w:overflowPunct/>
              <w:bidi w:val="0"/>
              <w:spacing w:beforeAutospacing="0" w:line="440" w:lineRule="exact"/>
              <w:ind w:left="0" w:leftChars="0" w:right="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该价款为含税价。</w:t>
            </w:r>
          </w:p>
        </w:tc>
      </w:tr>
    </w:tbl>
    <w:p>
      <w:pPr>
        <w:kinsoku/>
        <w:wordWrap/>
        <w:overflowPunct/>
        <w:bidi w:val="0"/>
        <w:spacing w:beforeAutospacing="0" w:line="44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乙方保证所提供的所有设备完全符合乙方投标文件所承诺的品牌名称、生产厂家、质量标准、规格、型号、性能参数、数量、单价、金额等条件，并全面响应标书及答疑文件，合同附件应包括所售产品配置清单。</w:t>
      </w:r>
    </w:p>
    <w:p>
      <w:pPr>
        <w:kinsoku/>
        <w:wordWrap/>
        <w:overflowPunct/>
        <w:bidi w:val="0"/>
        <w:spacing w:beforeAutospacing="0" w:line="44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本合同若有详细的双方签字的配置清单，请详见附件。</w:t>
      </w:r>
    </w:p>
    <w:p>
      <w:pPr>
        <w:numPr>
          <w:ilvl w:val="0"/>
          <w:numId w:val="12"/>
        </w:numPr>
        <w:kinsoku/>
        <w:wordWrap/>
        <w:overflowPunct/>
        <w:bidi w:val="0"/>
        <w:spacing w:beforeAutospacing="0" w:line="44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设备的交付期</w:t>
      </w:r>
    </w:p>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乙方在合同生效后，按甲方指定时间交付全部设备。</w:t>
      </w:r>
    </w:p>
    <w:p>
      <w:pPr>
        <w:numPr>
          <w:ilvl w:val="0"/>
          <w:numId w:val="12"/>
        </w:numPr>
        <w:kinsoku/>
        <w:wordWrap/>
        <w:overflowPunct/>
        <w:bidi w:val="0"/>
        <w:spacing w:beforeAutospacing="0" w:line="44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设备运输、安装和验收  </w:t>
      </w:r>
    </w:p>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（1）乙方确保设备安全无损地运抵甲方指定现场，并承担设备增常使用前的包装、运费、装卸费、保险、安装调试等所有费用。</w:t>
      </w:r>
    </w:p>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2）设备全部到达现场后，乙方提前一个工作日告知甲方设备处及使用科室，以便甲方安排接收。经甲乙双方共同对设备进行开箱清点、外观检查验收，如果发现数量不足、与装箱清单信息不符或外观毁损等问题，乙方应在</w:t>
      </w:r>
      <w:r>
        <w:rPr>
          <w:rFonts w:hint="eastAsia" w:ascii="仿宋" w:hAnsi="仿宋" w:eastAsia="仿宋" w:cs="仿宋"/>
          <w:color w:val="auto"/>
          <w:sz w:val="24"/>
          <w:szCs w:val="24"/>
          <w:highlight w:val="none"/>
          <w:u w:val="single"/>
        </w:rPr>
        <w:t xml:space="preserve">   3 </w:t>
      </w:r>
      <w:r>
        <w:rPr>
          <w:rFonts w:hint="eastAsia" w:ascii="仿宋" w:hAnsi="仿宋" w:eastAsia="仿宋" w:cs="仿宋"/>
          <w:color w:val="auto"/>
          <w:sz w:val="24"/>
          <w:szCs w:val="24"/>
          <w:highlight w:val="none"/>
        </w:rPr>
        <w:t>天内，按照甲方的要求，采取补足、更换或退货等处理措施。</w:t>
      </w:r>
    </w:p>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甲方不接受部分交付。设备部分到场或乙方补足、调换部分设备期间，已到场的设备由乙方自行保管并承担由此发生的一切责任和损失及费用。</w:t>
      </w:r>
    </w:p>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甲方收货时对产品的外观检查或开箱清点，不能免除乙方对产品内在质量的责任。</w:t>
      </w:r>
    </w:p>
    <w:p>
      <w:pPr>
        <w:kinsoku/>
        <w:wordWrap/>
        <w:overflowPunct/>
        <w:bidi w:val="0"/>
        <w:spacing w:beforeAutospacing="0" w:line="44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（3）设备全部到货外观检验合格，乙方接到甲方通知后，一般设备在</w:t>
      </w:r>
      <w:r>
        <w:rPr>
          <w:rFonts w:hint="eastAsia" w:ascii="仿宋" w:hAnsi="仿宋" w:eastAsia="仿宋" w:cs="仿宋"/>
          <w:color w:val="auto"/>
          <w:sz w:val="24"/>
          <w:szCs w:val="24"/>
          <w:highlight w:val="none"/>
          <w:u w:val="single"/>
        </w:rPr>
        <w:t xml:space="preserve">   1 </w:t>
      </w:r>
      <w:r>
        <w:rPr>
          <w:rFonts w:hint="eastAsia" w:ascii="仿宋" w:hAnsi="仿宋" w:eastAsia="仿宋" w:cs="仿宋"/>
          <w:color w:val="auto"/>
          <w:sz w:val="24"/>
          <w:szCs w:val="24"/>
          <w:highlight w:val="none"/>
        </w:rPr>
        <w:t>天内，特大型设备在</w:t>
      </w:r>
      <w:r>
        <w:rPr>
          <w:rFonts w:hint="eastAsia" w:ascii="仿宋" w:hAnsi="仿宋" w:eastAsia="仿宋" w:cs="仿宋"/>
          <w:color w:val="auto"/>
          <w:sz w:val="24"/>
          <w:szCs w:val="24"/>
          <w:highlight w:val="none"/>
          <w:u w:val="single"/>
        </w:rPr>
        <w:t xml:space="preserve">   7 </w:t>
      </w:r>
      <w:r>
        <w:rPr>
          <w:rFonts w:hint="eastAsia" w:ascii="仿宋" w:hAnsi="仿宋" w:eastAsia="仿宋" w:cs="仿宋"/>
          <w:color w:val="auto"/>
          <w:sz w:val="24"/>
          <w:szCs w:val="24"/>
          <w:highlight w:val="none"/>
        </w:rPr>
        <w:t>天内安装调试完成。</w:t>
      </w:r>
    </w:p>
    <w:p>
      <w:pPr>
        <w:kinsoku/>
        <w:wordWrap/>
        <w:overflowPunct/>
        <w:bidi w:val="0"/>
        <w:spacing w:beforeAutospacing="0" w:line="44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（4）安装调试完毕，甲、乙双方根据国家相关技术标准和技术验收条件、流程（合同的技术标准见附表）在90日内进行技术验收，验收合格后，双方在甲方«技术验收合格单»上签字确认。</w:t>
      </w:r>
    </w:p>
    <w:p>
      <w:pPr>
        <w:kinsoku/>
        <w:wordWrap/>
        <w:overflowPunct/>
        <w:bidi w:val="0"/>
        <w:spacing w:beforeAutospacing="0" w:line="440" w:lineRule="exact"/>
        <w:ind w:left="0" w:leftChars="0" w:right="0" w:firstLine="240" w:firstLineChars="1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付款方式</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p>
    <w:p>
      <w:pPr>
        <w:kinsoku/>
        <w:wordWrap/>
        <w:overflowPunct/>
        <w:bidi w:val="0"/>
        <w:spacing w:beforeAutospacing="0" w:line="44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4、伴随服务</w:t>
      </w:r>
    </w:p>
    <w:p>
      <w:pPr>
        <w:kinsoku/>
        <w:wordWrap/>
        <w:overflowPunct/>
        <w:bidi w:val="0"/>
        <w:spacing w:beforeAutospacing="0" w:line="44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（1）乙方应提供设备的技术文件，包括相应的图纸、操作手册、维护手册、质量保证文件、服务指南等，这些文件应随同设备一起交付给甲方。</w:t>
      </w:r>
    </w:p>
    <w:p>
      <w:pPr>
        <w:kinsoku/>
        <w:wordWrap/>
        <w:overflowPunct/>
        <w:bidi w:val="0"/>
        <w:spacing w:beforeAutospacing="0" w:line="44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（2）乙方还应免费提供下列服务：</w:t>
      </w:r>
    </w:p>
    <w:p>
      <w:pPr>
        <w:kinsoku/>
        <w:wordWrap/>
        <w:overflowPunct/>
        <w:bidi w:val="0"/>
        <w:spacing w:beforeAutospacing="0" w:line="440" w:lineRule="exact"/>
        <w:ind w:left="0" w:leftChars="0" w:right="0" w:firstLine="600" w:firstLineChars="2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A、设备的现场安装和调试.乙方负责联系质检部门对特种设备进行安全检验检定，承担检定费，提供本合同特种设备相关部门认可使用的检定合格证。</w:t>
      </w:r>
    </w:p>
    <w:p>
      <w:pPr>
        <w:kinsoku/>
        <w:wordWrap/>
        <w:overflowPunct/>
        <w:bidi w:val="0"/>
        <w:spacing w:beforeAutospacing="0" w:line="440" w:lineRule="exact"/>
        <w:ind w:left="0" w:leftChars="0" w:right="0" w:firstLine="600" w:firstLineChars="2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B、提供设备安装和维修所需的专用工具和辅助材料</w:t>
      </w:r>
    </w:p>
    <w:p>
      <w:pPr>
        <w:kinsoku/>
        <w:wordWrap/>
        <w:overflowPunct/>
        <w:bidi w:val="0"/>
        <w:spacing w:beforeAutospacing="0" w:line="440" w:lineRule="exact"/>
        <w:ind w:left="0" w:leftChars="0" w:right="0" w:firstLine="600" w:firstLineChars="2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C、乙方应派专业技术人员在项目现场对甲方使用人员进行培训或指导，在使用一段时间后可根据甲方的要求另行安排培训计划。</w:t>
      </w:r>
    </w:p>
    <w:p>
      <w:pPr>
        <w:kinsoku/>
        <w:wordWrap/>
        <w:overflowPunct/>
        <w:bidi w:val="0"/>
        <w:spacing w:beforeAutospacing="0" w:line="44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5、质量保证及售后服务</w:t>
      </w:r>
    </w:p>
    <w:p>
      <w:pPr>
        <w:kinsoku/>
        <w:wordWrap/>
        <w:overflowPunct/>
        <w:bidi w:val="0"/>
        <w:spacing w:beforeAutospacing="0" w:line="44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（1）乙方应保证所供的是在</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月）后生产的全新、未使用过，并符合合同约定技术标准要求的设备。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质量保证期。</w:t>
      </w:r>
    </w:p>
    <w:p>
      <w:pPr>
        <w:kinsoku/>
        <w:wordWrap/>
        <w:overflowPunct/>
        <w:bidi w:val="0"/>
        <w:spacing w:beforeAutospacing="0" w:line="44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（2）乙方应提供主机质保期</w:t>
      </w:r>
      <w:r>
        <w:rPr>
          <w:rFonts w:hint="eastAsia" w:ascii="仿宋" w:hAnsi="仿宋" w:eastAsia="仿宋" w:cs="仿宋"/>
          <w:color w:val="auto"/>
          <w:sz w:val="24"/>
          <w:szCs w:val="24"/>
          <w:highlight w:val="none"/>
          <w:u w:val="single"/>
        </w:rPr>
        <w:t xml:space="preserve">    个</w:t>
      </w:r>
      <w:r>
        <w:rPr>
          <w:rFonts w:hint="eastAsia" w:ascii="仿宋" w:hAnsi="仿宋" w:eastAsia="仿宋" w:cs="仿宋"/>
          <w:color w:val="auto"/>
          <w:sz w:val="24"/>
          <w:szCs w:val="24"/>
          <w:highlight w:val="none"/>
        </w:rPr>
        <w:t>月，自甲乙双方的技术验收合格之日起计算，质保期内免费更换零配件及工时费。设备质保期内发生短时间内无法修复的故障时，甲乙双方应协商由乙方免费提供备用机以保证甲方医疗工作的正常开展。</w:t>
      </w:r>
    </w:p>
    <w:p>
      <w:pPr>
        <w:kinsoku/>
        <w:wordWrap/>
        <w:overflowPunct/>
        <w:bidi w:val="0"/>
        <w:spacing w:beforeAutospacing="0" w:line="44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（3）报修响应时间</w:t>
      </w:r>
      <w:r>
        <w:rPr>
          <w:rFonts w:hint="eastAsia" w:ascii="仿宋" w:hAnsi="仿宋" w:eastAsia="仿宋" w:cs="仿宋"/>
          <w:color w:val="auto"/>
          <w:sz w:val="24"/>
          <w:szCs w:val="24"/>
          <w:highlight w:val="none"/>
          <w:u w:val="single"/>
        </w:rPr>
        <w:t xml:space="preserve">   2 </w:t>
      </w:r>
      <w:r>
        <w:rPr>
          <w:rFonts w:hint="eastAsia" w:ascii="仿宋" w:hAnsi="仿宋" w:eastAsia="仿宋" w:cs="仿宋"/>
          <w:color w:val="auto"/>
          <w:sz w:val="24"/>
          <w:szCs w:val="24"/>
          <w:highlight w:val="none"/>
        </w:rPr>
        <w:t>小时，到场时间</w:t>
      </w:r>
      <w:r>
        <w:rPr>
          <w:rFonts w:hint="eastAsia" w:ascii="仿宋" w:hAnsi="仿宋" w:eastAsia="仿宋" w:cs="仿宋"/>
          <w:color w:val="auto"/>
          <w:sz w:val="24"/>
          <w:szCs w:val="24"/>
          <w:highlight w:val="none"/>
          <w:u w:val="single"/>
        </w:rPr>
        <w:t xml:space="preserve">  8  </w:t>
      </w:r>
      <w:r>
        <w:rPr>
          <w:rFonts w:hint="eastAsia" w:ascii="仿宋" w:hAnsi="仿宋" w:eastAsia="仿宋" w:cs="仿宋"/>
          <w:color w:val="auto"/>
          <w:sz w:val="24"/>
          <w:szCs w:val="24"/>
          <w:highlight w:val="none"/>
        </w:rPr>
        <w:t>小时（不可抗拒力量下除外）。</w:t>
      </w:r>
    </w:p>
    <w:p>
      <w:pPr>
        <w:kinsoku/>
        <w:wordWrap/>
        <w:overflowPunct/>
        <w:bidi w:val="0"/>
        <w:spacing w:beforeAutospacing="0" w:line="44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（4）年度定期预防性维护保养次数，不少于</w:t>
      </w:r>
      <w:r>
        <w:rPr>
          <w:rFonts w:hint="eastAsia" w:ascii="仿宋" w:hAnsi="仿宋" w:eastAsia="仿宋" w:cs="仿宋"/>
          <w:color w:val="auto"/>
          <w:sz w:val="24"/>
          <w:szCs w:val="24"/>
          <w:highlight w:val="none"/>
          <w:u w:val="single"/>
        </w:rPr>
        <w:t xml:space="preserve">  2 </w:t>
      </w:r>
      <w:r>
        <w:rPr>
          <w:rFonts w:hint="eastAsia" w:ascii="仿宋" w:hAnsi="仿宋" w:eastAsia="仿宋" w:cs="仿宋"/>
          <w:color w:val="auto"/>
          <w:sz w:val="24"/>
          <w:szCs w:val="24"/>
          <w:highlight w:val="none"/>
        </w:rPr>
        <w:t>次。</w:t>
      </w:r>
    </w:p>
    <w:p>
      <w:pPr>
        <w:kinsoku/>
        <w:wordWrap/>
        <w:overflowPunct/>
        <w:bidi w:val="0"/>
        <w:spacing w:beforeAutospacing="0" w:line="44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（5）乙方负责设备的终身免费维修并应继续提供优质的服务，储备足够的零配件备库，质保期满后，以厂家批发价格供应维修零配件，消耗品的供应由双方另设协议决定。</w:t>
      </w:r>
    </w:p>
    <w:p>
      <w:pPr>
        <w:kinsoku/>
        <w:wordWrap/>
        <w:overflowPunct/>
        <w:bidi w:val="0"/>
        <w:spacing w:beforeAutospacing="0" w:line="44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（6）乙方对设备的维护保养须告知甲方设备处维修人员到场，否则所实施的售后行为不计入年度预防性维护保养次数，乙方自行承担发生的一切费用。</w:t>
      </w:r>
    </w:p>
    <w:p>
      <w:pPr>
        <w:kinsoku/>
        <w:wordWrap/>
        <w:overflowPunct/>
        <w:bidi w:val="0"/>
        <w:spacing w:beforeAutospacing="0" w:line="44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6、索赔条款</w:t>
      </w:r>
    </w:p>
    <w:p>
      <w:pPr>
        <w:kinsoku/>
        <w:wordWrap/>
        <w:overflowPunct/>
        <w:bidi w:val="0"/>
        <w:spacing w:beforeAutospacing="0" w:line="44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（1）如经检验确认货物不符合本合同约定，买方有权选择下列方式之一要求卖方进行补救；</w:t>
      </w:r>
    </w:p>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A、接受买方退货，并将全额货款偿还买方，并负担因退货而发生的一切直接损失和费用。</w:t>
      </w:r>
    </w:p>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B、按照货物的疵劣程度、损坏的范围和买方所遭受的损失，将货物贬值，情节严重，甲方有权终止合同。</w:t>
      </w:r>
    </w:p>
    <w:p>
      <w:pPr>
        <w:kinsoku/>
        <w:wordWrap/>
        <w:overflowPunct/>
        <w:bidi w:val="0"/>
        <w:spacing w:beforeAutospacing="0" w:line="440" w:lineRule="exact"/>
        <w:ind w:left="0" w:leftChars="0" w:right="0" w:firstLine="120" w:firstLine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C、调换有瑕疵的货物，换货必须全新并符合本合同规定的规格，质量标准和性能，卖方同时负责因此而产生和一切费用和买方的一切直接损失。</w:t>
      </w:r>
    </w:p>
    <w:p>
      <w:pPr>
        <w:kinsoku/>
        <w:wordWrap/>
        <w:overflowPunct/>
        <w:bidi w:val="0"/>
        <w:spacing w:beforeAutospacing="0" w:line="44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如果乙方没有按照合同规定的时间交货和提供服务，甲方应从货款或质保金中扣除误期赔偿费而不影响合同项下的其他补救方法，延期交货和延期服务的赔偿费按每日迟交仪器的合同价的百分之零点五（0.5%）计收，直至交货、提供服务或甲方解除合同为止。延期交货十天以上，甲方有权解除合同。</w:t>
      </w:r>
    </w:p>
    <w:p>
      <w:pPr>
        <w:kinsoku/>
        <w:wordWrap/>
        <w:overflowPunct/>
        <w:bidi w:val="0"/>
        <w:spacing w:beforeAutospacing="0" w:line="44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（3）乙方应保证甲方和使用单位在使用该设备或其任何一部分时免受第三方提出侵犯其专利权、商标权或工业产权的起诉。</w:t>
      </w:r>
    </w:p>
    <w:p>
      <w:pPr>
        <w:kinsoku/>
        <w:wordWrap/>
        <w:overflowPunct/>
        <w:bidi w:val="0"/>
        <w:spacing w:beforeAutospacing="0" w:line="44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7、争端的解决</w:t>
      </w:r>
    </w:p>
    <w:p>
      <w:pPr>
        <w:kinsoku/>
        <w:wordWrap/>
        <w:overflowPunct/>
        <w:bidi w:val="0"/>
        <w:spacing w:beforeAutospacing="0" w:line="44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双方如在履行合同中发生纠纷，首先应友好协商，协商不成，双方均应向甲方所在地人民法院起诉。</w:t>
      </w:r>
    </w:p>
    <w:p>
      <w:pPr>
        <w:kinsoku/>
        <w:wordWrap/>
        <w:overflowPunct/>
        <w:bidi w:val="0"/>
        <w:spacing w:beforeAutospacing="0" w:line="44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8、合同生效</w:t>
      </w:r>
    </w:p>
    <w:p>
      <w:pPr>
        <w:kinsoku/>
        <w:wordWrap/>
        <w:overflowPunct/>
        <w:bidi w:val="0"/>
        <w:spacing w:beforeAutospacing="0" w:line="44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（1）本合同在甲、乙双方签字盖章后生效。</w:t>
      </w:r>
    </w:p>
    <w:p>
      <w:pPr>
        <w:kinsoku/>
        <w:wordWrap/>
        <w:overflowPunct/>
        <w:bidi w:val="0"/>
        <w:spacing w:beforeAutospacing="0" w:line="44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（2）本合同一式肆份，签约双方甲方执二份，乙方执二份，具有相同的法律效应。</w:t>
      </w:r>
    </w:p>
    <w:p>
      <w:pPr>
        <w:kinsoku/>
        <w:wordWrap/>
        <w:overflowPunct/>
        <w:bidi w:val="0"/>
        <w:spacing w:beforeAutospacing="0" w:line="44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9、合同附件   合同附件是合同的不可分割的组成部分，与合同具有同等法律效力。</w:t>
      </w:r>
    </w:p>
    <w:p>
      <w:pPr>
        <w:kinsoku/>
        <w:wordWrap/>
        <w:overflowPunct/>
        <w:bidi w:val="0"/>
        <w:spacing w:beforeAutospacing="0" w:line="440" w:lineRule="exact"/>
        <w:ind w:left="0" w:leftChars="0" w:right="0" w:firstLine="480" w:firstLineChars="200"/>
        <w:rPr>
          <w:rFonts w:hint="eastAsia" w:ascii="仿宋" w:hAnsi="仿宋" w:eastAsia="仿宋" w:cs="仿宋"/>
          <w:color w:val="auto"/>
          <w:sz w:val="24"/>
          <w:szCs w:val="24"/>
          <w:highlight w:val="none"/>
        </w:rPr>
      </w:pPr>
      <w:bookmarkStart w:id="7" w:name="_Toc27875"/>
      <w:r>
        <w:rPr>
          <w:rFonts w:hint="eastAsia" w:ascii="仿宋" w:hAnsi="仿宋" w:eastAsia="仿宋" w:cs="仿宋"/>
          <w:color w:val="auto"/>
          <w:sz w:val="24"/>
          <w:szCs w:val="24"/>
          <w:highlight w:val="none"/>
        </w:rPr>
        <w:t>（1）配置清单     □设备的配置清单</w:t>
      </w:r>
      <w:bookmarkEnd w:id="7"/>
    </w:p>
    <w:p>
      <w:pPr>
        <w:kinsoku/>
        <w:wordWrap/>
        <w:overflowPunct/>
        <w:bidi w:val="0"/>
        <w:spacing w:beforeAutospacing="0" w:line="440" w:lineRule="exact"/>
        <w:ind w:left="0" w:leftChars="0" w:right="0" w:firstLine="480" w:firstLineChars="200"/>
        <w:rPr>
          <w:rFonts w:hint="eastAsia" w:ascii="仿宋" w:hAnsi="仿宋" w:eastAsia="仿宋" w:cs="仿宋"/>
          <w:color w:val="auto"/>
          <w:sz w:val="24"/>
          <w:szCs w:val="24"/>
          <w:highlight w:val="none"/>
        </w:rPr>
      </w:pPr>
      <w:bookmarkStart w:id="8" w:name="_Toc32541"/>
      <w:r>
        <w:rPr>
          <w:rFonts w:hint="eastAsia" w:ascii="仿宋" w:hAnsi="仿宋" w:eastAsia="仿宋" w:cs="仿宋"/>
          <w:color w:val="auto"/>
          <w:sz w:val="24"/>
          <w:szCs w:val="24"/>
          <w:highlight w:val="none"/>
        </w:rPr>
        <w:t>（2）技术标准     □投标文件的技术响应  □设备技术说明</w:t>
      </w:r>
      <w:bookmarkEnd w:id="8"/>
    </w:p>
    <w:p>
      <w:pPr>
        <w:numPr>
          <w:ilvl w:val="0"/>
          <w:numId w:val="13"/>
        </w:numPr>
        <w:kinsoku/>
        <w:wordWrap/>
        <w:overflowPunct/>
        <w:bidi w:val="0"/>
        <w:spacing w:beforeAutospacing="0" w:line="440" w:lineRule="exact"/>
        <w:ind w:left="0" w:leftChars="0" w:right="0"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 xml:space="preserve">特别约定：                                </w:t>
      </w:r>
    </w:p>
    <w:p>
      <w:pPr>
        <w:kinsoku/>
        <w:wordWrap/>
        <w:overflowPunct/>
        <w:bidi w:val="0"/>
        <w:spacing w:beforeAutospacing="0" w:line="440" w:lineRule="exact"/>
        <w:ind w:left="0" w:leftChars="0" w:right="0" w:firstLine="480" w:firstLineChars="200"/>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pPr>
        <w:kinsoku/>
        <w:wordWrap/>
        <w:overflowPunct/>
        <w:bidi w:val="0"/>
        <w:spacing w:beforeAutospacing="0" w:line="44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甲方：乌鲁木齐市友谊医院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  乙方：</w:t>
      </w:r>
    </w:p>
    <w:p>
      <w:pPr>
        <w:kinsoku/>
        <w:wordWrap/>
        <w:overflowPunct/>
        <w:bidi w:val="0"/>
        <w:spacing w:beforeAutospacing="0" w:line="44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甲方工作电子邮箱：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乙方工作电子邮箱：    </w:t>
      </w:r>
    </w:p>
    <w:p>
      <w:pPr>
        <w:kinsoku/>
        <w:wordWrap/>
        <w:overflowPunct/>
        <w:bidi w:val="0"/>
        <w:spacing w:beforeAutospacing="0" w:line="440" w:lineRule="exact"/>
        <w:ind w:left="0" w:leftChars="0" w:right="0" w:firstLine="1200" w:firstLineChars="5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（盖章）                                       （盖章）</w:t>
      </w:r>
    </w:p>
    <w:p>
      <w:pPr>
        <w:kinsoku/>
        <w:wordWrap/>
        <w:overflowPunct/>
        <w:bidi w:val="0"/>
        <w:spacing w:beforeAutospacing="0" w:line="44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pPr>
        <w:kinsoku/>
        <w:wordWrap/>
        <w:overflowPunct/>
        <w:bidi w:val="0"/>
        <w:spacing w:beforeAutospacing="0" w:line="440" w:lineRule="exact"/>
        <w:ind w:right="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 xml:space="preserve">甲方法定代表人或授权委托人：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乙方法定代表人或授权委托人：   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日期：</w:t>
      </w:r>
      <w:r>
        <w:rPr>
          <w:rFonts w:hint="eastAsia" w:ascii="仿宋" w:hAnsi="仿宋" w:eastAsia="仿宋" w:cs="仿宋"/>
          <w:color w:val="auto"/>
          <w:sz w:val="24"/>
          <w:szCs w:val="24"/>
          <w:highlight w:val="none"/>
          <w:u w:val="single"/>
        </w:rPr>
        <w:t xml:space="preserve">               </w:t>
      </w:r>
    </w:p>
    <w:p>
      <w:pPr>
        <w:kinsoku/>
        <w:wordWrap/>
        <w:overflowPunct/>
        <w:bidi w:val="0"/>
        <w:spacing w:beforeAutospacing="0" w:line="440" w:lineRule="exact"/>
        <w:ind w:left="0" w:leftChars="0" w:right="0" w:firstLine="480" w:firstLineChars="200"/>
        <w:jc w:val="right"/>
        <w:rPr>
          <w:rFonts w:hint="eastAsia" w:ascii="仿宋" w:hAnsi="仿宋" w:eastAsia="仿宋" w:cs="仿宋"/>
          <w:color w:val="auto"/>
          <w:sz w:val="24"/>
          <w:szCs w:val="24"/>
          <w:highlight w:val="none"/>
        </w:rPr>
      </w:pPr>
    </w:p>
    <w:p>
      <w:pPr>
        <w:kinsoku/>
        <w:wordWrap/>
        <w:overflowPunct/>
        <w:bidi w:val="0"/>
        <w:spacing w:beforeAutospacing="0" w:line="440" w:lineRule="exact"/>
        <w:ind w:left="0" w:leftChars="0" w:right="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br w:type="page"/>
      </w:r>
    </w:p>
    <w:p>
      <w:pPr>
        <w:widowControl/>
        <w:kinsoku/>
        <w:wordWrap/>
        <w:overflowPunct/>
        <w:bidi w:val="0"/>
        <w:spacing w:beforeAutospacing="0" w:line="440" w:lineRule="exact"/>
        <w:ind w:left="0" w:leftChars="0" w:right="0"/>
        <w:jc w:val="center"/>
        <w:outlineLvl w:val="0"/>
        <w:rPr>
          <w:rFonts w:hint="eastAsia" w:ascii="仿宋" w:hAnsi="仿宋" w:eastAsia="仿宋" w:cs="仿宋"/>
          <w:b/>
          <w:bCs/>
          <w:color w:val="auto"/>
          <w:sz w:val="24"/>
          <w:szCs w:val="24"/>
          <w:highlight w:val="none"/>
        </w:rPr>
      </w:pPr>
      <w:bookmarkStart w:id="9" w:name="_Toc16604"/>
      <w:r>
        <w:rPr>
          <w:rFonts w:hint="eastAsia" w:ascii="仿宋" w:hAnsi="仿宋" w:eastAsia="仿宋" w:cs="仿宋"/>
          <w:b/>
          <w:bCs/>
          <w:color w:val="auto"/>
          <w:sz w:val="24"/>
          <w:szCs w:val="24"/>
          <w:highlight w:val="none"/>
        </w:rPr>
        <w:t>第五</w:t>
      </w:r>
      <w:r>
        <w:rPr>
          <w:rFonts w:hint="eastAsia" w:ascii="仿宋" w:hAnsi="仿宋" w:eastAsia="仿宋" w:cs="仿宋"/>
          <w:b/>
          <w:bCs/>
          <w:color w:val="auto"/>
          <w:sz w:val="24"/>
          <w:szCs w:val="24"/>
          <w:highlight w:val="none"/>
          <w:lang w:eastAsia="zh-CN"/>
        </w:rPr>
        <w:t>章</w:t>
      </w:r>
      <w:r>
        <w:rPr>
          <w:rFonts w:hint="eastAsia" w:ascii="仿宋" w:hAnsi="仿宋" w:eastAsia="仿宋" w:cs="仿宋"/>
          <w:b/>
          <w:bCs/>
          <w:color w:val="auto"/>
          <w:sz w:val="24"/>
          <w:szCs w:val="24"/>
          <w:highlight w:val="none"/>
        </w:rPr>
        <w:t xml:space="preserve">  投标文件格式</w:t>
      </w:r>
      <w:bookmarkEnd w:id="9"/>
    </w:p>
    <w:p>
      <w:pPr>
        <w:widowControl/>
        <w:kinsoku/>
        <w:wordWrap/>
        <w:overflowPunct/>
        <w:bidi w:val="0"/>
        <w:spacing w:beforeAutospacing="0" w:line="440" w:lineRule="exact"/>
        <w:ind w:left="0" w:leftChars="0" w:right="0"/>
        <w:jc w:val="left"/>
        <w:rPr>
          <w:rFonts w:hint="eastAsia" w:ascii="仿宋" w:hAnsi="仿宋" w:eastAsia="仿宋" w:cs="仿宋"/>
          <w:color w:val="auto"/>
          <w:sz w:val="24"/>
          <w:szCs w:val="24"/>
          <w:highlight w:val="none"/>
        </w:rPr>
      </w:pPr>
    </w:p>
    <w:p>
      <w:pPr>
        <w:kinsoku/>
        <w:wordWrap/>
        <w:overflowPunct/>
        <w:bidi w:val="0"/>
        <w:spacing w:beforeAutospacing="0" w:line="440" w:lineRule="exact"/>
        <w:ind w:left="0" w:leftChars="0" w:right="0"/>
        <w:jc w:val="center"/>
        <w:rPr>
          <w:rFonts w:hint="eastAsia" w:ascii="仿宋" w:hAnsi="仿宋" w:eastAsia="仿宋" w:cs="仿宋"/>
          <w:color w:val="auto"/>
          <w:sz w:val="24"/>
          <w:szCs w:val="24"/>
          <w:highlight w:val="none"/>
        </w:rPr>
      </w:pPr>
      <w:bookmarkStart w:id="10" w:name="_Toc14986"/>
      <w:r>
        <w:rPr>
          <w:rFonts w:hint="eastAsia" w:ascii="仿宋" w:hAnsi="仿宋" w:eastAsia="仿宋" w:cs="仿宋"/>
          <w:color w:val="auto"/>
          <w:sz w:val="24"/>
          <w:szCs w:val="24"/>
          <w:highlight w:val="none"/>
        </w:rPr>
        <w:t>开标一览表</w:t>
      </w:r>
      <w:bookmarkEnd w:id="10"/>
    </w:p>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r>
        <w:rPr>
          <w:rFonts w:hint="eastAsia" w:ascii="仿宋" w:hAnsi="仿宋" w:eastAsia="仿宋" w:cs="仿宋"/>
          <w:bCs/>
          <w:color w:val="auto"/>
          <w:sz w:val="24"/>
          <w:szCs w:val="24"/>
          <w:highlight w:val="none"/>
        </w:rPr>
        <w:t xml:space="preserve">                            </w:t>
      </w:r>
      <w:r>
        <w:rPr>
          <w:rFonts w:hint="eastAsia" w:ascii="仿宋" w:hAnsi="仿宋" w:eastAsia="仿宋" w:cs="仿宋"/>
          <w:color w:val="auto"/>
          <w:sz w:val="24"/>
          <w:szCs w:val="24"/>
          <w:highlight w:val="none"/>
        </w:rPr>
        <w:t>项目编号：</w:t>
      </w:r>
    </w:p>
    <w:tbl>
      <w:tblPr>
        <w:tblStyle w:val="51"/>
        <w:tblW w:w="892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6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709" w:type="dxa"/>
            <w:vAlign w:val="center"/>
          </w:tcPr>
          <w:p>
            <w:pPr>
              <w:kinsoku/>
              <w:wordWrap/>
              <w:overflowPunct/>
              <w:bidi w:val="0"/>
              <w:spacing w:beforeAutospacing="0" w:line="440" w:lineRule="exact"/>
              <w:ind w:left="0" w:leftChars="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1418" w:type="dxa"/>
            <w:vAlign w:val="center"/>
          </w:tcPr>
          <w:p>
            <w:pPr>
              <w:kinsoku/>
              <w:wordWrap/>
              <w:overflowPunct/>
              <w:bidi w:val="0"/>
              <w:spacing w:beforeAutospacing="0" w:line="440" w:lineRule="exact"/>
              <w:ind w:left="0" w:leftChars="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w:t>
            </w:r>
          </w:p>
        </w:tc>
        <w:tc>
          <w:tcPr>
            <w:tcW w:w="6801" w:type="dxa"/>
            <w:vAlign w:val="center"/>
          </w:tcPr>
          <w:p>
            <w:pPr>
              <w:kinsoku/>
              <w:wordWrap/>
              <w:overflowPunct/>
              <w:bidi w:val="0"/>
              <w:spacing w:beforeAutospacing="0" w:line="440" w:lineRule="exact"/>
              <w:ind w:left="0" w:leftChars="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418" w:type="dxa"/>
            <w:vAlign w:val="center"/>
          </w:tcPr>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总价</w:t>
            </w:r>
          </w:p>
        </w:tc>
        <w:tc>
          <w:tcPr>
            <w:tcW w:w="6801" w:type="dxa"/>
            <w:vAlign w:val="center"/>
          </w:tcPr>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（小写）</w:t>
            </w:r>
          </w:p>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1418" w:type="dxa"/>
            <w:vAlign w:val="center"/>
          </w:tcPr>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供货期</w:t>
            </w:r>
          </w:p>
        </w:tc>
        <w:tc>
          <w:tcPr>
            <w:tcW w:w="6801" w:type="dxa"/>
            <w:vAlign w:val="center"/>
          </w:tcPr>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1418" w:type="dxa"/>
            <w:vAlign w:val="center"/>
          </w:tcPr>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质量标准</w:t>
            </w:r>
          </w:p>
        </w:tc>
        <w:tc>
          <w:tcPr>
            <w:tcW w:w="6801" w:type="dxa"/>
            <w:vAlign w:val="center"/>
          </w:tcPr>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1418" w:type="dxa"/>
            <w:vAlign w:val="center"/>
          </w:tcPr>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质保期</w:t>
            </w:r>
          </w:p>
        </w:tc>
        <w:tc>
          <w:tcPr>
            <w:tcW w:w="6801" w:type="dxa"/>
            <w:vAlign w:val="center"/>
          </w:tcPr>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1418" w:type="dxa"/>
            <w:vAlign w:val="center"/>
          </w:tcPr>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报价说明</w:t>
            </w:r>
          </w:p>
        </w:tc>
        <w:tc>
          <w:tcPr>
            <w:tcW w:w="6801" w:type="dxa"/>
            <w:vAlign w:val="center"/>
          </w:tcPr>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p>
        </w:tc>
      </w:tr>
    </w:tbl>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1、投标总价应为各分项报价之和。报价须以元为单位，小数点后保留2位。</w:t>
      </w:r>
    </w:p>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2、投标报价包括投标人为实施本项目提供投标产品及服务内容所包括的全部含税价格的体现。</w:t>
      </w:r>
    </w:p>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3、投标人必须自行考虑本项目在实施期间的一切可能产生的费用。在合同执行过程中，采购人将不再另行支付与本项目相关的任何费用（非本项目要求的其它内容除外）。</w:t>
      </w:r>
    </w:p>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4、本表须按采购文件要求，单独封装、标识后提交。中小学</w:t>
      </w:r>
    </w:p>
    <w:p>
      <w:pPr>
        <w:kinsoku/>
        <w:wordWrap/>
        <w:overflowPunct/>
        <w:bidi w:val="0"/>
        <w:spacing w:beforeAutospacing="0" w:line="440" w:lineRule="exact"/>
        <w:ind w:left="0" w:leftChars="0" w:right="0"/>
        <w:jc w:val="center"/>
        <w:rPr>
          <w:rFonts w:hint="eastAsia" w:ascii="仿宋" w:hAnsi="仿宋" w:eastAsia="仿宋" w:cs="仿宋"/>
          <w:color w:val="auto"/>
          <w:sz w:val="24"/>
          <w:szCs w:val="24"/>
          <w:highlight w:val="none"/>
        </w:rPr>
      </w:pPr>
    </w:p>
    <w:p>
      <w:pPr>
        <w:kinsoku/>
        <w:wordWrap/>
        <w:overflowPunct/>
        <w:bidi w:val="0"/>
        <w:spacing w:beforeAutospacing="0" w:line="440" w:lineRule="exact"/>
        <w:ind w:left="0" w:leftChars="0" w:right="0"/>
        <w:jc w:val="center"/>
        <w:rPr>
          <w:rFonts w:hint="eastAsia" w:ascii="仿宋" w:hAnsi="仿宋" w:eastAsia="仿宋" w:cs="仿宋"/>
          <w:color w:val="auto"/>
          <w:sz w:val="24"/>
          <w:szCs w:val="24"/>
          <w:highlight w:val="none"/>
        </w:rPr>
      </w:pPr>
    </w:p>
    <w:p>
      <w:pPr>
        <w:kinsoku/>
        <w:wordWrap/>
        <w:overflowPunct/>
        <w:bidi w:val="0"/>
        <w:spacing w:beforeAutospacing="0" w:line="440" w:lineRule="exact"/>
        <w:ind w:left="0" w:leftChars="0" w:right="0"/>
        <w:jc w:val="center"/>
        <w:rPr>
          <w:rFonts w:hint="eastAsia" w:ascii="仿宋" w:hAnsi="仿宋" w:eastAsia="仿宋" w:cs="仿宋"/>
          <w:color w:val="auto"/>
          <w:sz w:val="24"/>
          <w:szCs w:val="24"/>
          <w:highlight w:val="none"/>
        </w:rPr>
      </w:pPr>
    </w:p>
    <w:p>
      <w:pPr>
        <w:kinsoku/>
        <w:wordWrap/>
        <w:overflowPunct/>
        <w:bidi w:val="0"/>
        <w:spacing w:beforeAutospacing="0" w:line="440" w:lineRule="exact"/>
        <w:ind w:left="0" w:leftChars="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投标人（盖章）：</w:t>
      </w:r>
    </w:p>
    <w:p>
      <w:pPr>
        <w:kinsoku/>
        <w:wordWrap/>
        <w:overflowPunct/>
        <w:bidi w:val="0"/>
        <w:spacing w:beforeAutospacing="0" w:line="440" w:lineRule="exact"/>
        <w:ind w:left="0" w:leftChars="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法定代表人或授权代理人（签字盖章）：</w:t>
      </w:r>
    </w:p>
    <w:p>
      <w:pPr>
        <w:kinsoku/>
        <w:wordWrap/>
        <w:overflowPunct/>
        <w:bidi w:val="0"/>
        <w:spacing w:beforeAutospacing="0" w:line="440" w:lineRule="exact"/>
        <w:ind w:left="0" w:leftChars="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日  期：  年  月  日</w:t>
      </w:r>
    </w:p>
    <w:p>
      <w:pPr>
        <w:widowControl/>
        <w:kinsoku/>
        <w:wordWrap/>
        <w:overflowPunct/>
        <w:bidi w:val="0"/>
        <w:spacing w:beforeAutospacing="0" w:line="440" w:lineRule="exact"/>
        <w:ind w:left="0" w:leftChars="0" w:right="0"/>
        <w:jc w:val="left"/>
        <w:rPr>
          <w:rFonts w:hint="eastAsia" w:ascii="仿宋" w:hAnsi="仿宋" w:eastAsia="仿宋" w:cs="仿宋"/>
          <w:color w:val="auto"/>
          <w:sz w:val="24"/>
          <w:szCs w:val="24"/>
          <w:highlight w:val="none"/>
        </w:rPr>
      </w:pPr>
    </w:p>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p>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zh-CN"/>
        </w:rPr>
        <w:t>封面示例</w:t>
      </w:r>
      <w:r>
        <w:rPr>
          <w:rFonts w:hint="eastAsia" w:ascii="仿宋" w:hAnsi="仿宋" w:eastAsia="仿宋" w:cs="仿宋"/>
          <w:color w:val="auto"/>
          <w:sz w:val="24"/>
          <w:szCs w:val="24"/>
          <w:highlight w:val="none"/>
        </w:rPr>
        <w:t>）</w:t>
      </w:r>
    </w:p>
    <w:p>
      <w:pPr>
        <w:kinsoku/>
        <w:wordWrap/>
        <w:overflowPunct/>
        <w:bidi w:val="0"/>
        <w:spacing w:beforeAutospacing="0" w:line="440" w:lineRule="exact"/>
        <w:ind w:left="0" w:leftChars="0" w:right="0"/>
        <w:jc w:val="righ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正本</w:t>
      </w:r>
    </w:p>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lang w:val="zh-CN"/>
        </w:rPr>
      </w:pPr>
    </w:p>
    <w:p>
      <w:pPr>
        <w:kinsoku/>
        <w:wordWrap/>
        <w:overflowPunct/>
        <w:bidi w:val="0"/>
        <w:spacing w:beforeAutospacing="0" w:line="440" w:lineRule="exact"/>
        <w:ind w:left="0" w:leftChars="0" w:right="0"/>
        <w:jc w:val="center"/>
        <w:rPr>
          <w:rFonts w:hint="eastAsia" w:ascii="仿宋" w:hAnsi="仿宋" w:eastAsia="仿宋" w:cs="仿宋"/>
          <w:color w:val="auto"/>
          <w:sz w:val="24"/>
          <w:szCs w:val="24"/>
          <w:highlight w:val="none"/>
          <w:lang w:val="zh-CN"/>
        </w:rPr>
      </w:pPr>
      <w:bookmarkStart w:id="11" w:name="_Toc22576"/>
      <w:r>
        <w:rPr>
          <w:rFonts w:hint="eastAsia" w:ascii="仿宋" w:hAnsi="仿宋" w:eastAsia="仿宋" w:cs="仿宋"/>
          <w:color w:val="auto"/>
          <w:sz w:val="24"/>
          <w:szCs w:val="24"/>
          <w:highlight w:val="none"/>
          <w:lang w:val="zh-CN"/>
        </w:rPr>
        <w:t>投 标 文 件</w:t>
      </w:r>
      <w:bookmarkEnd w:id="11"/>
    </w:p>
    <w:p>
      <w:pPr>
        <w:kinsoku/>
        <w:wordWrap/>
        <w:overflowPunct/>
        <w:bidi w:val="0"/>
        <w:spacing w:beforeAutospacing="0" w:line="440" w:lineRule="exact"/>
        <w:ind w:left="0" w:leftChars="0" w:right="0"/>
        <w:jc w:val="center"/>
        <w:rPr>
          <w:rFonts w:hint="eastAsia" w:ascii="仿宋" w:hAnsi="仿宋" w:eastAsia="仿宋" w:cs="仿宋"/>
          <w:color w:val="auto"/>
          <w:sz w:val="24"/>
          <w:szCs w:val="24"/>
          <w:highlight w:val="none"/>
          <w:lang w:val="zh-CN"/>
        </w:rPr>
      </w:pPr>
    </w:p>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lang w:val="zh-CN"/>
        </w:rPr>
      </w:pPr>
    </w:p>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lang w:val="zh-CN"/>
        </w:rPr>
      </w:pPr>
    </w:p>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lang w:val="zh-CN"/>
        </w:rPr>
      </w:pPr>
    </w:p>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lang w:val="zh-CN"/>
        </w:rPr>
      </w:pPr>
    </w:p>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lang w:val="zh-CN"/>
        </w:rPr>
      </w:pPr>
    </w:p>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项目名称：</w:t>
      </w:r>
    </w:p>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项目编号：</w:t>
      </w:r>
    </w:p>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投标人（盖公章）：×××公司</w:t>
      </w:r>
    </w:p>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法定代表人（签字或盖章）:</w:t>
      </w:r>
    </w:p>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授权代理人（签字）:</w:t>
      </w:r>
    </w:p>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地址：</w:t>
      </w:r>
    </w:p>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联系人：</w:t>
      </w:r>
    </w:p>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联系电话：</w:t>
      </w:r>
    </w:p>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编制时间：×年×月×日</w:t>
      </w:r>
    </w:p>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br w:type="page"/>
      </w:r>
    </w:p>
    <w:p>
      <w:pPr>
        <w:kinsoku/>
        <w:wordWrap/>
        <w:overflowPunct/>
        <w:bidi w:val="0"/>
        <w:spacing w:beforeAutospacing="0" w:line="440" w:lineRule="exact"/>
        <w:ind w:left="0" w:leftChars="0" w:right="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投标文件主要包括但不限于以下内容：</w:t>
      </w:r>
    </w:p>
    <w:p>
      <w:pPr>
        <w:kinsoku/>
        <w:wordWrap/>
        <w:overflowPunct/>
        <w:bidi w:val="0"/>
        <w:spacing w:beforeAutospacing="0" w:line="440" w:lineRule="exact"/>
        <w:ind w:left="0" w:leftChars="0" w:right="0" w:firstLine="482" w:firstLineChars="200"/>
        <w:rPr>
          <w:rFonts w:hint="eastAsia" w:ascii="仿宋" w:hAnsi="仿宋" w:eastAsia="仿宋" w:cs="仿宋"/>
          <w:color w:val="auto"/>
          <w:sz w:val="24"/>
          <w:szCs w:val="24"/>
          <w:highlight w:val="none"/>
        </w:rPr>
      </w:pPr>
      <w:r>
        <w:rPr>
          <w:rFonts w:hint="eastAsia" w:ascii="仿宋" w:hAnsi="仿宋" w:eastAsia="仿宋" w:cs="仿宋"/>
          <w:b/>
          <w:bCs/>
          <w:color w:val="auto"/>
          <w:kern w:val="0"/>
          <w:sz w:val="24"/>
          <w:szCs w:val="24"/>
          <w:highlight w:val="none"/>
        </w:rPr>
        <w:t>商务技术部分主要包括</w:t>
      </w:r>
      <w:r>
        <w:rPr>
          <w:rFonts w:hint="eastAsia" w:ascii="仿宋" w:hAnsi="仿宋" w:eastAsia="仿宋" w:cs="仿宋"/>
          <w:b/>
          <w:color w:val="auto"/>
          <w:sz w:val="24"/>
          <w:szCs w:val="24"/>
          <w:highlight w:val="none"/>
        </w:rPr>
        <w:t>但不限于以下内容：</w:t>
      </w:r>
    </w:p>
    <w:p>
      <w:pPr>
        <w:kinsoku/>
        <w:wordWrap/>
        <w:overflowPunct/>
        <w:bidi w:val="0"/>
        <w:spacing w:beforeAutospacing="0" w:line="440" w:lineRule="exact"/>
        <w:ind w:left="240" w:leftChars="0" w:right="0" w:hanging="240" w:hangingChars="100"/>
        <w:rPr>
          <w:rFonts w:hint="eastAsia" w:ascii="仿宋" w:hAnsi="仿宋" w:eastAsia="仿宋" w:cs="仿宋"/>
          <w:color w:val="auto"/>
          <w:kern w:val="0"/>
          <w:sz w:val="24"/>
          <w:szCs w:val="24"/>
          <w:highlight w:val="none"/>
        </w:rPr>
      </w:pPr>
      <w:r>
        <w:rPr>
          <w:rFonts w:hint="eastAsia" w:ascii="仿宋" w:hAnsi="仿宋" w:eastAsia="仿宋" w:cs="仿宋"/>
          <w:bCs/>
          <w:color w:val="auto"/>
          <w:kern w:val="0"/>
          <w:sz w:val="24"/>
          <w:szCs w:val="24"/>
          <w:highlight w:val="none"/>
        </w:rPr>
        <w:t>（1）</w:t>
      </w:r>
      <w:r>
        <w:rPr>
          <w:rFonts w:hint="eastAsia" w:ascii="仿宋" w:hAnsi="仿宋" w:eastAsia="仿宋" w:cs="仿宋"/>
          <w:color w:val="auto"/>
          <w:sz w:val="24"/>
          <w:szCs w:val="24"/>
          <w:highlight w:val="none"/>
        </w:rPr>
        <w:t>投</w:t>
      </w:r>
      <w:r>
        <w:rPr>
          <w:rFonts w:hint="eastAsia" w:ascii="仿宋" w:hAnsi="仿宋" w:eastAsia="仿宋" w:cs="仿宋"/>
          <w:color w:val="auto"/>
          <w:kern w:val="0"/>
          <w:sz w:val="24"/>
          <w:szCs w:val="24"/>
          <w:highlight w:val="none"/>
        </w:rPr>
        <w:t>标</w:t>
      </w:r>
      <w:r>
        <w:rPr>
          <w:rFonts w:hint="eastAsia" w:ascii="仿宋" w:hAnsi="仿宋" w:eastAsia="仿宋" w:cs="仿宋"/>
          <w:color w:val="auto"/>
          <w:sz w:val="24"/>
          <w:szCs w:val="24"/>
          <w:highlight w:val="none"/>
        </w:rPr>
        <w:t>人概况及企业综合实力[包括不限于：投标人概况表；依法纳税承诺；投标资格声明；参加政府采购活动前3年内在经营活动中没有重大违法记录的书面声明；信用中国网站（www.creditchina.gov.cn）、中国</w:t>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"http://www.caigou2003.com/" \t "_blank"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政府采购网</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（www.ccgp.gov.cn）、中国裁判文书网】网站的信用查询截图；采购文件要求的《中华人民共和国政府采购法》规定的资格条件证明文件复印件；采购文件采</w:t>
      </w:r>
      <w:r>
        <w:rPr>
          <w:rFonts w:hint="eastAsia" w:ascii="仿宋" w:hAnsi="仿宋" w:eastAsia="仿宋" w:cs="仿宋"/>
          <w:color w:val="auto"/>
          <w:kern w:val="0"/>
          <w:sz w:val="24"/>
          <w:szCs w:val="24"/>
          <w:highlight w:val="none"/>
        </w:rPr>
        <w:t>购人根据采购项目的特殊要求规定的特定条件证明文件复印件]；</w:t>
      </w:r>
    </w:p>
    <w:p>
      <w:pPr>
        <w:kinsoku/>
        <w:wordWrap/>
        <w:overflowPunct/>
        <w:bidi w:val="0"/>
        <w:spacing w:beforeAutospacing="0" w:line="440" w:lineRule="exact"/>
        <w:ind w:left="240" w:leftChars="0" w:right="0" w:hanging="240" w:hanging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（2）投标函；</w:t>
      </w:r>
    </w:p>
    <w:p>
      <w:pPr>
        <w:kinsoku/>
        <w:wordWrap/>
        <w:overflowPunct/>
        <w:bidi w:val="0"/>
        <w:spacing w:beforeAutospacing="0" w:line="440" w:lineRule="exact"/>
        <w:ind w:left="240" w:leftChars="0" w:right="0" w:hanging="240" w:hanging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（3）投标承诺书；</w:t>
      </w:r>
    </w:p>
    <w:p>
      <w:pPr>
        <w:kinsoku/>
        <w:wordWrap/>
        <w:overflowPunct/>
        <w:bidi w:val="0"/>
        <w:spacing w:beforeAutospacing="0" w:line="440" w:lineRule="exact"/>
        <w:ind w:left="240" w:leftChars="0" w:right="0" w:hanging="240" w:hanging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（4）法定代表人身份证明书和法定代表人身份证（复印件）或者法定代表人授权委托书及被授权人身份证（复印件）；</w:t>
      </w:r>
    </w:p>
    <w:p>
      <w:pPr>
        <w:kinsoku/>
        <w:wordWrap/>
        <w:overflowPunct/>
        <w:bidi w:val="0"/>
        <w:spacing w:beforeAutospacing="0" w:line="440" w:lineRule="exact"/>
        <w:ind w:left="240" w:leftChars="0" w:right="0" w:hanging="240" w:hanging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（5）投标保证金缴纳凭证（复印件加盖单位公章）；近三年财务状况表；</w:t>
      </w:r>
    </w:p>
    <w:p>
      <w:pPr>
        <w:kinsoku/>
        <w:wordWrap/>
        <w:overflowPunct/>
        <w:autoSpaceDE w:val="0"/>
        <w:autoSpaceDN w:val="0"/>
        <w:bidi w:val="0"/>
        <w:adjustRightInd w:val="0"/>
        <w:spacing w:beforeAutospacing="0" w:line="440" w:lineRule="exact"/>
        <w:ind w:left="631" w:leftChars="0" w:right="0" w:hanging="631" w:hangingChars="263"/>
        <w:rPr>
          <w:rFonts w:hint="eastAsia" w:ascii="仿宋" w:hAnsi="仿宋" w:eastAsia="仿宋" w:cs="仿宋"/>
          <w:color w:val="auto"/>
          <w:sz w:val="24"/>
          <w:szCs w:val="24"/>
          <w:highlight w:val="none"/>
          <w:lang w:val="zh-CN"/>
        </w:rPr>
      </w:pPr>
      <w:r>
        <w:rPr>
          <w:rFonts w:hint="eastAsia" w:ascii="仿宋" w:hAnsi="仿宋" w:eastAsia="仿宋" w:cs="仿宋"/>
          <w:color w:val="auto"/>
          <w:kern w:val="0"/>
          <w:sz w:val="24"/>
          <w:szCs w:val="24"/>
          <w:highlight w:val="none"/>
        </w:rPr>
        <w:t>（6</w:t>
      </w:r>
      <w:r>
        <w:rPr>
          <w:rFonts w:hint="eastAsia" w:ascii="仿宋" w:hAnsi="仿宋" w:eastAsia="仿宋" w:cs="仿宋"/>
          <w:color w:val="auto"/>
          <w:sz w:val="24"/>
          <w:szCs w:val="24"/>
          <w:highlight w:val="none"/>
          <w:lang w:val="zh-CN"/>
        </w:rPr>
        <w:t>）关于资格声明函</w:t>
      </w:r>
      <w:r>
        <w:rPr>
          <w:rFonts w:hint="eastAsia" w:ascii="仿宋" w:hAnsi="仿宋" w:eastAsia="仿宋" w:cs="仿宋"/>
          <w:color w:val="auto"/>
          <w:sz w:val="24"/>
          <w:szCs w:val="24"/>
          <w:highlight w:val="none"/>
        </w:rPr>
        <w:t>属于中小企业的相关证明资料： 1)《中小企业声明函》；2) 供应商工商行政注册地管理部门出具的小微企业证明文件；</w:t>
      </w:r>
    </w:p>
    <w:p>
      <w:pPr>
        <w:kinsoku/>
        <w:wordWrap/>
        <w:overflowPunct/>
        <w:autoSpaceDE w:val="0"/>
        <w:autoSpaceDN w:val="0"/>
        <w:bidi w:val="0"/>
        <w:adjustRightInd w:val="0"/>
        <w:spacing w:beforeAutospacing="0" w:line="440" w:lineRule="exact"/>
        <w:ind w:left="0" w:leftChars="0" w:right="0" w:firstLine="480" w:firstLineChars="200"/>
        <w:jc w:val="left"/>
        <w:rPr>
          <w:rFonts w:hint="eastAsia" w:ascii="仿宋" w:hAnsi="仿宋" w:eastAsia="仿宋" w:cs="仿宋"/>
          <w:color w:val="auto"/>
          <w:sz w:val="24"/>
          <w:szCs w:val="24"/>
          <w:highlight w:val="none"/>
          <w:lang w:val="zh-CN"/>
        </w:rPr>
      </w:pPr>
      <w:r>
        <w:rPr>
          <w:rFonts w:hint="eastAsia" w:ascii="仿宋" w:hAnsi="仿宋" w:eastAsia="仿宋" w:cs="仿宋"/>
          <w:color w:val="auto"/>
          <w:kern w:val="0"/>
          <w:sz w:val="24"/>
          <w:szCs w:val="24"/>
          <w:highlight w:val="none"/>
        </w:rPr>
        <w:t>（7）</w:t>
      </w:r>
      <w:r>
        <w:rPr>
          <w:rFonts w:hint="eastAsia" w:ascii="仿宋" w:hAnsi="仿宋" w:eastAsia="仿宋" w:cs="仿宋"/>
          <w:color w:val="auto"/>
          <w:sz w:val="24"/>
          <w:szCs w:val="24"/>
          <w:highlight w:val="none"/>
          <w:lang w:val="zh-CN"/>
        </w:rPr>
        <w:t>投标人投标的优惠条件、</w:t>
      </w:r>
      <w:r>
        <w:rPr>
          <w:rFonts w:hint="eastAsia" w:ascii="仿宋" w:hAnsi="仿宋" w:eastAsia="仿宋" w:cs="仿宋"/>
          <w:color w:val="auto"/>
          <w:kern w:val="0"/>
          <w:sz w:val="24"/>
          <w:szCs w:val="24"/>
          <w:highlight w:val="none"/>
        </w:rPr>
        <w:t>质量承诺、进度承诺、服务承诺、维保承诺、</w:t>
      </w:r>
      <w:r>
        <w:rPr>
          <w:rFonts w:hint="eastAsia" w:ascii="仿宋" w:hAnsi="仿宋" w:eastAsia="仿宋" w:cs="仿宋"/>
          <w:color w:val="auto"/>
          <w:sz w:val="24"/>
          <w:szCs w:val="24"/>
          <w:highlight w:val="none"/>
          <w:lang w:val="zh-CN"/>
        </w:rPr>
        <w:t>供货期间所提供的服务范围。</w:t>
      </w:r>
    </w:p>
    <w:p>
      <w:pPr>
        <w:kinsoku/>
        <w:wordWrap/>
        <w:overflowPunct/>
        <w:autoSpaceDE w:val="0"/>
        <w:autoSpaceDN w:val="0"/>
        <w:bidi w:val="0"/>
        <w:adjustRightInd w:val="0"/>
        <w:spacing w:beforeAutospacing="0" w:line="440" w:lineRule="exact"/>
        <w:ind w:left="0" w:leftChars="0" w:right="0" w:firstLine="482"/>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w:t>
      </w:r>
      <w:r>
        <w:rPr>
          <w:rFonts w:hint="eastAsia" w:ascii="仿宋" w:hAnsi="仿宋" w:eastAsia="仿宋" w:cs="仿宋"/>
          <w:color w:val="auto"/>
          <w:sz w:val="24"/>
          <w:szCs w:val="24"/>
          <w:highlight w:val="none"/>
        </w:rPr>
        <w:t>8</w:t>
      </w:r>
      <w:r>
        <w:rPr>
          <w:rFonts w:hint="eastAsia" w:ascii="仿宋" w:hAnsi="仿宋" w:eastAsia="仿宋" w:cs="仿宋"/>
          <w:color w:val="auto"/>
          <w:sz w:val="24"/>
          <w:szCs w:val="24"/>
          <w:highlight w:val="none"/>
          <w:lang w:val="zh-CN"/>
        </w:rPr>
        <w:t>）近三年的业绩（提供相关证明文件复印件）</w:t>
      </w:r>
    </w:p>
    <w:p>
      <w:pPr>
        <w:kinsoku/>
        <w:wordWrap/>
        <w:overflowPunct/>
        <w:autoSpaceDE w:val="0"/>
        <w:autoSpaceDN w:val="0"/>
        <w:bidi w:val="0"/>
        <w:adjustRightInd w:val="0"/>
        <w:spacing w:beforeAutospacing="0" w:line="440" w:lineRule="exact"/>
        <w:ind w:left="0" w:leftChars="0" w:right="0" w:firstLine="482"/>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w:t>
      </w:r>
      <w:r>
        <w:rPr>
          <w:rFonts w:hint="eastAsia" w:ascii="仿宋" w:hAnsi="仿宋" w:eastAsia="仿宋" w:cs="仿宋"/>
          <w:color w:val="auto"/>
          <w:sz w:val="24"/>
          <w:szCs w:val="24"/>
          <w:highlight w:val="none"/>
        </w:rPr>
        <w:t>9</w:t>
      </w:r>
      <w:r>
        <w:rPr>
          <w:rFonts w:hint="eastAsia" w:ascii="仿宋" w:hAnsi="仿宋" w:eastAsia="仿宋" w:cs="仿宋"/>
          <w:color w:val="auto"/>
          <w:sz w:val="24"/>
          <w:szCs w:val="24"/>
          <w:highlight w:val="none"/>
          <w:lang w:val="zh-CN"/>
        </w:rPr>
        <w:t>）投标单位（供应商）反商业贿赂承诺书</w:t>
      </w:r>
    </w:p>
    <w:p>
      <w:pPr>
        <w:kinsoku/>
        <w:wordWrap/>
        <w:overflowPunct/>
        <w:autoSpaceDE w:val="0"/>
        <w:autoSpaceDN w:val="0"/>
        <w:bidi w:val="0"/>
        <w:adjustRightInd w:val="0"/>
        <w:spacing w:beforeAutospacing="0" w:line="440" w:lineRule="exact"/>
        <w:ind w:left="0" w:leftChars="0" w:right="0"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w:t>
      </w:r>
      <w:r>
        <w:rPr>
          <w:rFonts w:hint="eastAsia" w:ascii="仿宋" w:hAnsi="仿宋" w:eastAsia="仿宋" w:cs="仿宋"/>
          <w:color w:val="auto"/>
          <w:sz w:val="24"/>
          <w:szCs w:val="24"/>
          <w:highlight w:val="none"/>
        </w:rPr>
        <w:t>投标产品执行的制造、合格标准；</w:t>
      </w:r>
      <w:r>
        <w:rPr>
          <w:rFonts w:hint="eastAsia" w:ascii="仿宋" w:hAnsi="仿宋" w:eastAsia="仿宋" w:cs="仿宋"/>
          <w:color w:val="auto"/>
          <w:kern w:val="0"/>
          <w:sz w:val="24"/>
          <w:szCs w:val="24"/>
          <w:highlight w:val="none"/>
        </w:rPr>
        <w:t>投入产品情况及相关材料；</w:t>
      </w:r>
      <w:r>
        <w:rPr>
          <w:rFonts w:hint="eastAsia" w:ascii="仿宋" w:hAnsi="仿宋" w:eastAsia="仿宋" w:cs="仿宋"/>
          <w:color w:val="auto"/>
          <w:sz w:val="24"/>
          <w:szCs w:val="24"/>
          <w:highlight w:val="none"/>
        </w:rPr>
        <w:t>投标产品的检测报告或合格证明材料（复印件）；投标产品性能、技术参数详述；</w:t>
      </w:r>
    </w:p>
    <w:p>
      <w:pPr>
        <w:kinsoku/>
        <w:wordWrap/>
        <w:overflowPunct/>
        <w:autoSpaceDE w:val="0"/>
        <w:autoSpaceDN w:val="0"/>
        <w:bidi w:val="0"/>
        <w:adjustRightInd w:val="0"/>
        <w:spacing w:beforeAutospacing="0" w:line="440" w:lineRule="exact"/>
        <w:ind w:left="0" w:leftChars="0" w:right="0"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（11）商务条款偏离表；技术条款偏离表；</w:t>
      </w:r>
    </w:p>
    <w:p>
      <w:pPr>
        <w:kinsoku/>
        <w:wordWrap/>
        <w:overflowPunct/>
        <w:autoSpaceDE w:val="0"/>
        <w:autoSpaceDN w:val="0"/>
        <w:bidi w:val="0"/>
        <w:adjustRightInd w:val="0"/>
        <w:spacing w:beforeAutospacing="0" w:line="440" w:lineRule="exact"/>
        <w:ind w:left="0" w:leftChars="0" w:right="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（12）</w:t>
      </w:r>
      <w:r>
        <w:rPr>
          <w:rFonts w:hint="eastAsia" w:ascii="仿宋" w:hAnsi="仿宋" w:eastAsia="仿宋" w:cs="仿宋"/>
          <w:color w:val="auto"/>
          <w:sz w:val="24"/>
          <w:szCs w:val="24"/>
          <w:highlight w:val="none"/>
        </w:rPr>
        <w:t>投标人认为有必要提供的其他资格证明文件和商务相关资料以及技术部分资料。</w:t>
      </w:r>
    </w:p>
    <w:p>
      <w:pPr>
        <w:kinsoku/>
        <w:wordWrap/>
        <w:overflowPunct/>
        <w:autoSpaceDE w:val="0"/>
        <w:autoSpaceDN w:val="0"/>
        <w:bidi w:val="0"/>
        <w:adjustRightInd w:val="0"/>
        <w:spacing w:beforeAutospacing="0" w:line="440" w:lineRule="exact"/>
        <w:ind w:left="0" w:leftChars="0" w:right="0" w:firstLine="482" w:firstLineChars="200"/>
        <w:jc w:val="left"/>
        <w:rPr>
          <w:rFonts w:hint="eastAsia" w:ascii="仿宋" w:hAnsi="仿宋" w:eastAsia="仿宋" w:cs="仿宋"/>
          <w:bCs/>
          <w:color w:val="auto"/>
          <w:kern w:val="0"/>
          <w:sz w:val="24"/>
          <w:szCs w:val="24"/>
          <w:highlight w:val="none"/>
        </w:rPr>
      </w:pPr>
      <w:r>
        <w:rPr>
          <w:rFonts w:hint="eastAsia" w:ascii="仿宋" w:hAnsi="仿宋" w:eastAsia="仿宋" w:cs="仿宋"/>
          <w:b/>
          <w:bCs/>
          <w:color w:val="auto"/>
          <w:kern w:val="0"/>
          <w:sz w:val="24"/>
          <w:szCs w:val="24"/>
          <w:highlight w:val="none"/>
        </w:rPr>
        <w:t>经济部分主要包括</w:t>
      </w:r>
      <w:r>
        <w:rPr>
          <w:rFonts w:hint="eastAsia" w:ascii="仿宋" w:hAnsi="仿宋" w:eastAsia="仿宋" w:cs="仿宋"/>
          <w:b/>
          <w:color w:val="auto"/>
          <w:sz w:val="24"/>
          <w:szCs w:val="24"/>
          <w:highlight w:val="none"/>
        </w:rPr>
        <w:t>但不限于以下内容：</w:t>
      </w:r>
      <w:r>
        <w:rPr>
          <w:rFonts w:hint="eastAsia" w:ascii="仿宋" w:hAnsi="仿宋" w:eastAsia="仿宋" w:cs="仿宋"/>
          <w:bCs/>
          <w:color w:val="auto"/>
          <w:kern w:val="0"/>
          <w:sz w:val="24"/>
          <w:szCs w:val="24"/>
          <w:highlight w:val="none"/>
        </w:rPr>
        <w:tab/>
      </w:r>
    </w:p>
    <w:p>
      <w:pPr>
        <w:kinsoku/>
        <w:wordWrap/>
        <w:overflowPunct/>
        <w:autoSpaceDE w:val="0"/>
        <w:autoSpaceDN w:val="0"/>
        <w:bidi w:val="0"/>
        <w:adjustRightInd w:val="0"/>
        <w:spacing w:beforeAutospacing="0" w:line="440" w:lineRule="exact"/>
        <w:ind w:left="0" w:leftChars="0" w:right="0" w:firstLine="480" w:firstLineChars="200"/>
        <w:jc w:val="left"/>
        <w:rPr>
          <w:rFonts w:hint="eastAsia" w:ascii="仿宋" w:hAnsi="仿宋" w:eastAsia="仿宋" w:cs="仿宋"/>
          <w:color w:val="auto"/>
          <w:sz w:val="24"/>
          <w:szCs w:val="24"/>
          <w:highlight w:val="none"/>
        </w:rPr>
      </w:pPr>
      <w:bookmarkStart w:id="12" w:name="_Toc18658"/>
      <w:r>
        <w:rPr>
          <w:rFonts w:hint="eastAsia" w:ascii="仿宋" w:hAnsi="仿宋" w:eastAsia="仿宋" w:cs="仿宋"/>
          <w:color w:val="auto"/>
          <w:sz w:val="24"/>
          <w:szCs w:val="24"/>
          <w:highlight w:val="none"/>
        </w:rPr>
        <w:t>（1）投标报价表；</w:t>
      </w:r>
      <w:bookmarkEnd w:id="12"/>
    </w:p>
    <w:p>
      <w:pPr>
        <w:kinsoku/>
        <w:wordWrap/>
        <w:overflowPunct/>
        <w:autoSpaceDE w:val="0"/>
        <w:autoSpaceDN w:val="0"/>
        <w:bidi w:val="0"/>
        <w:adjustRightInd w:val="0"/>
        <w:spacing w:beforeAutospacing="0" w:line="440" w:lineRule="exact"/>
        <w:ind w:left="0" w:leftChars="0" w:right="0" w:firstLine="480" w:firstLineChars="200"/>
        <w:jc w:val="left"/>
        <w:rPr>
          <w:rFonts w:hint="eastAsia" w:ascii="仿宋" w:hAnsi="仿宋" w:eastAsia="仿宋" w:cs="仿宋"/>
          <w:color w:val="auto"/>
          <w:sz w:val="24"/>
          <w:szCs w:val="24"/>
          <w:highlight w:val="none"/>
        </w:rPr>
      </w:pPr>
      <w:bookmarkStart w:id="13" w:name="_Toc7374"/>
      <w:r>
        <w:rPr>
          <w:rFonts w:hint="eastAsia" w:ascii="仿宋" w:hAnsi="仿宋" w:eastAsia="仿宋" w:cs="仿宋"/>
          <w:color w:val="auto"/>
          <w:sz w:val="24"/>
          <w:szCs w:val="24"/>
          <w:highlight w:val="none"/>
        </w:rPr>
        <w:t>（2）明细报价；</w:t>
      </w:r>
      <w:bookmarkEnd w:id="13"/>
    </w:p>
    <w:p>
      <w:pPr>
        <w:kinsoku/>
        <w:wordWrap/>
        <w:overflowPunct/>
        <w:autoSpaceDE w:val="0"/>
        <w:autoSpaceDN w:val="0"/>
        <w:bidi w:val="0"/>
        <w:adjustRightInd w:val="0"/>
        <w:spacing w:beforeAutospacing="0" w:line="440" w:lineRule="exact"/>
        <w:ind w:left="0" w:leftChars="0" w:right="0" w:firstLine="480" w:firstLineChars="200"/>
        <w:jc w:val="left"/>
        <w:rPr>
          <w:rFonts w:hint="eastAsia" w:ascii="仿宋" w:hAnsi="仿宋" w:eastAsia="仿宋" w:cs="仿宋"/>
          <w:color w:val="auto"/>
          <w:sz w:val="24"/>
          <w:szCs w:val="24"/>
          <w:highlight w:val="none"/>
        </w:rPr>
      </w:pPr>
      <w:bookmarkStart w:id="14" w:name="_Toc26158"/>
      <w:r>
        <w:rPr>
          <w:rFonts w:hint="eastAsia" w:ascii="仿宋" w:hAnsi="仿宋" w:eastAsia="仿宋" w:cs="仿宋"/>
          <w:color w:val="auto"/>
          <w:sz w:val="24"/>
          <w:szCs w:val="24"/>
          <w:highlight w:val="none"/>
        </w:rPr>
        <w:t>（3）报价说明；</w:t>
      </w:r>
      <w:bookmarkEnd w:id="14"/>
    </w:p>
    <w:p>
      <w:pPr>
        <w:kinsoku/>
        <w:wordWrap/>
        <w:overflowPunct/>
        <w:bidi w:val="0"/>
        <w:spacing w:beforeAutospacing="0" w:line="440" w:lineRule="exact"/>
        <w:ind w:left="0" w:leftChars="0" w:right="0" w:firstLine="480" w:firstLineChars="200"/>
        <w:rPr>
          <w:rFonts w:hint="eastAsia" w:ascii="仿宋" w:hAnsi="仿宋" w:eastAsia="仿宋" w:cs="仿宋"/>
          <w:color w:val="auto"/>
          <w:sz w:val="24"/>
          <w:szCs w:val="24"/>
          <w:highlight w:val="none"/>
        </w:rPr>
      </w:pPr>
      <w:bookmarkStart w:id="15" w:name="_Toc21778"/>
      <w:r>
        <w:rPr>
          <w:rFonts w:hint="eastAsia" w:ascii="仿宋" w:hAnsi="仿宋" w:eastAsia="仿宋" w:cs="仿宋"/>
          <w:color w:val="auto"/>
          <w:sz w:val="24"/>
          <w:szCs w:val="24"/>
          <w:highlight w:val="none"/>
        </w:rPr>
        <w:t>（4）报价需要的其他资料。</w:t>
      </w:r>
      <w:bookmarkEnd w:id="15"/>
    </w:p>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（注：投标人提供的投标文件应当使用采购文件所提供投标文件格式（表格可按照同样格式扩展）。未提供格式的，需要时由投标人用文字或者表格、图片等其它形式提供。）</w:t>
      </w:r>
    </w:p>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附件：</w:t>
      </w:r>
    </w:p>
    <w:p>
      <w:pPr>
        <w:kinsoku/>
        <w:wordWrap/>
        <w:overflowPunct/>
        <w:bidi w:val="0"/>
        <w:spacing w:beforeAutospacing="0" w:line="440" w:lineRule="exact"/>
        <w:ind w:left="0" w:leftChars="0" w:right="0"/>
        <w:jc w:val="center"/>
        <w:rPr>
          <w:rFonts w:hint="eastAsia" w:ascii="仿宋" w:hAnsi="仿宋" w:eastAsia="仿宋" w:cs="仿宋"/>
          <w:color w:val="auto"/>
          <w:sz w:val="24"/>
          <w:szCs w:val="24"/>
          <w:highlight w:val="none"/>
        </w:rPr>
      </w:pPr>
      <w:bookmarkStart w:id="16" w:name="_Toc6154"/>
      <w:r>
        <w:rPr>
          <w:rFonts w:hint="eastAsia" w:ascii="仿宋" w:hAnsi="仿宋" w:eastAsia="仿宋" w:cs="仿宋"/>
          <w:color w:val="auto"/>
          <w:sz w:val="24"/>
          <w:szCs w:val="24"/>
          <w:highlight w:val="none"/>
        </w:rPr>
        <w:t>投标报价一览表</w:t>
      </w:r>
      <w:bookmarkEnd w:id="16"/>
    </w:p>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r>
        <w:rPr>
          <w:rFonts w:hint="eastAsia" w:ascii="仿宋" w:hAnsi="仿宋" w:eastAsia="仿宋" w:cs="仿宋"/>
          <w:bCs/>
          <w:color w:val="auto"/>
          <w:sz w:val="24"/>
          <w:szCs w:val="24"/>
          <w:highlight w:val="none"/>
        </w:rPr>
        <w:t xml:space="preserve">                            </w:t>
      </w:r>
      <w:r>
        <w:rPr>
          <w:rFonts w:hint="eastAsia" w:ascii="仿宋" w:hAnsi="仿宋" w:eastAsia="仿宋" w:cs="仿宋"/>
          <w:color w:val="auto"/>
          <w:sz w:val="24"/>
          <w:szCs w:val="24"/>
          <w:highlight w:val="none"/>
        </w:rPr>
        <w:t>项目编号：</w:t>
      </w:r>
    </w:p>
    <w:tbl>
      <w:tblPr>
        <w:tblStyle w:val="51"/>
        <w:tblW w:w="892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6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709" w:type="dxa"/>
            <w:vAlign w:val="center"/>
          </w:tcPr>
          <w:p>
            <w:pPr>
              <w:kinsoku/>
              <w:wordWrap/>
              <w:overflowPunct/>
              <w:bidi w:val="0"/>
              <w:spacing w:beforeAutospacing="0" w:line="440" w:lineRule="exact"/>
              <w:ind w:left="0" w:leftChars="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1418" w:type="dxa"/>
            <w:vAlign w:val="center"/>
          </w:tcPr>
          <w:p>
            <w:pPr>
              <w:kinsoku/>
              <w:wordWrap/>
              <w:overflowPunct/>
              <w:bidi w:val="0"/>
              <w:spacing w:beforeAutospacing="0" w:line="440" w:lineRule="exact"/>
              <w:ind w:left="0" w:leftChars="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w:t>
            </w:r>
          </w:p>
        </w:tc>
        <w:tc>
          <w:tcPr>
            <w:tcW w:w="6801" w:type="dxa"/>
            <w:vAlign w:val="center"/>
          </w:tcPr>
          <w:p>
            <w:pPr>
              <w:kinsoku/>
              <w:wordWrap/>
              <w:overflowPunct/>
              <w:bidi w:val="0"/>
              <w:spacing w:beforeAutospacing="0" w:line="440" w:lineRule="exact"/>
              <w:ind w:left="0" w:leftChars="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418" w:type="dxa"/>
            <w:vAlign w:val="center"/>
          </w:tcPr>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总价</w:t>
            </w:r>
          </w:p>
        </w:tc>
        <w:tc>
          <w:tcPr>
            <w:tcW w:w="6801" w:type="dxa"/>
            <w:vAlign w:val="center"/>
          </w:tcPr>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（小写）</w:t>
            </w:r>
          </w:p>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1418" w:type="dxa"/>
            <w:vAlign w:val="center"/>
          </w:tcPr>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工期</w:t>
            </w:r>
          </w:p>
        </w:tc>
        <w:tc>
          <w:tcPr>
            <w:tcW w:w="6801" w:type="dxa"/>
            <w:vAlign w:val="center"/>
          </w:tcPr>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1418" w:type="dxa"/>
            <w:vAlign w:val="center"/>
          </w:tcPr>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质量标准</w:t>
            </w:r>
          </w:p>
        </w:tc>
        <w:tc>
          <w:tcPr>
            <w:tcW w:w="6801" w:type="dxa"/>
            <w:vAlign w:val="center"/>
          </w:tcPr>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1418" w:type="dxa"/>
            <w:vAlign w:val="center"/>
          </w:tcPr>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质保期</w:t>
            </w:r>
          </w:p>
        </w:tc>
        <w:tc>
          <w:tcPr>
            <w:tcW w:w="6801" w:type="dxa"/>
            <w:vAlign w:val="center"/>
          </w:tcPr>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1418" w:type="dxa"/>
            <w:vAlign w:val="center"/>
          </w:tcPr>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报价说明</w:t>
            </w:r>
          </w:p>
        </w:tc>
        <w:tc>
          <w:tcPr>
            <w:tcW w:w="6801" w:type="dxa"/>
            <w:vAlign w:val="center"/>
          </w:tcPr>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p>
        </w:tc>
      </w:tr>
    </w:tbl>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1、投标总价应为各分项报价之和。报价须以元为单位，小数点后保留2位。</w:t>
      </w:r>
    </w:p>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2、投标报价包括投标人为实施本项目提供投标产品及服务内容所包括的全部含税价格的体现。</w:t>
      </w:r>
    </w:p>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3、投标人必须自行考虑本项目在实施期间的一切可能产生的费用。在合同执行过程中，招标人将不再另行支付与本项目相关的任何费用（非本项目要求的其它内容除外）。</w:t>
      </w:r>
    </w:p>
    <w:p>
      <w:pPr>
        <w:kinsoku/>
        <w:wordWrap/>
        <w:overflowPunct/>
        <w:bidi w:val="0"/>
        <w:spacing w:beforeAutospacing="0" w:line="440" w:lineRule="exact"/>
        <w:ind w:left="0" w:leftChars="0" w:right="0"/>
        <w:jc w:val="center"/>
        <w:rPr>
          <w:rFonts w:hint="eastAsia" w:ascii="仿宋" w:hAnsi="仿宋" w:eastAsia="仿宋" w:cs="仿宋"/>
          <w:color w:val="auto"/>
          <w:sz w:val="24"/>
          <w:szCs w:val="24"/>
          <w:highlight w:val="none"/>
        </w:rPr>
      </w:pPr>
    </w:p>
    <w:p>
      <w:pPr>
        <w:kinsoku/>
        <w:wordWrap/>
        <w:overflowPunct/>
        <w:bidi w:val="0"/>
        <w:spacing w:beforeAutospacing="0" w:line="440" w:lineRule="exact"/>
        <w:ind w:left="0" w:leftChars="0" w:right="0"/>
        <w:jc w:val="center"/>
        <w:rPr>
          <w:rFonts w:hint="eastAsia" w:ascii="仿宋" w:hAnsi="仿宋" w:eastAsia="仿宋" w:cs="仿宋"/>
          <w:color w:val="auto"/>
          <w:sz w:val="24"/>
          <w:szCs w:val="24"/>
          <w:highlight w:val="none"/>
        </w:rPr>
      </w:pPr>
    </w:p>
    <w:p>
      <w:pPr>
        <w:kinsoku/>
        <w:wordWrap/>
        <w:overflowPunct/>
        <w:bidi w:val="0"/>
        <w:spacing w:beforeAutospacing="0" w:line="440" w:lineRule="exact"/>
        <w:ind w:left="0" w:leftChars="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投标人（盖章）：</w:t>
      </w:r>
    </w:p>
    <w:p>
      <w:pPr>
        <w:kinsoku/>
        <w:wordWrap/>
        <w:overflowPunct/>
        <w:bidi w:val="0"/>
        <w:spacing w:beforeAutospacing="0" w:line="440" w:lineRule="exact"/>
        <w:ind w:left="0" w:leftChars="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法定代表人或授权代理人（签字或盖章）：</w:t>
      </w:r>
    </w:p>
    <w:p>
      <w:pPr>
        <w:kinsoku/>
        <w:wordWrap/>
        <w:overflowPunct/>
        <w:bidi w:val="0"/>
        <w:spacing w:beforeAutospacing="0" w:line="440" w:lineRule="exact"/>
        <w:ind w:left="0" w:leftChars="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日  期：  年  月  日</w:t>
      </w:r>
    </w:p>
    <w:p>
      <w:pPr>
        <w:kinsoku/>
        <w:wordWrap/>
        <w:overflowPunct/>
        <w:bidi w:val="0"/>
        <w:spacing w:beforeAutospacing="0" w:line="440" w:lineRule="exact"/>
        <w:ind w:left="0" w:leftChars="0" w:right="0"/>
        <w:jc w:val="right"/>
        <w:rPr>
          <w:rFonts w:hint="eastAsia" w:ascii="仿宋" w:hAnsi="仿宋" w:eastAsia="仿宋" w:cs="仿宋"/>
          <w:color w:val="auto"/>
          <w:sz w:val="24"/>
          <w:szCs w:val="24"/>
          <w:highlight w:val="none"/>
        </w:rPr>
      </w:pPr>
    </w:p>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附件：</w:t>
      </w:r>
    </w:p>
    <w:p>
      <w:pPr>
        <w:kinsoku/>
        <w:wordWrap/>
        <w:overflowPunct/>
        <w:bidi w:val="0"/>
        <w:spacing w:beforeAutospacing="0" w:line="440" w:lineRule="exact"/>
        <w:ind w:left="0" w:leftChars="0" w:right="0"/>
        <w:jc w:val="center"/>
        <w:rPr>
          <w:rFonts w:hint="eastAsia" w:ascii="仿宋" w:hAnsi="仿宋" w:eastAsia="仿宋" w:cs="仿宋"/>
          <w:color w:val="auto"/>
          <w:sz w:val="24"/>
          <w:szCs w:val="24"/>
          <w:highlight w:val="none"/>
        </w:rPr>
      </w:pPr>
      <w:bookmarkStart w:id="17" w:name="_Toc3627"/>
      <w:r>
        <w:rPr>
          <w:rFonts w:hint="eastAsia" w:ascii="仿宋" w:hAnsi="仿宋" w:eastAsia="仿宋" w:cs="仿宋"/>
          <w:color w:val="auto"/>
          <w:sz w:val="24"/>
          <w:szCs w:val="24"/>
          <w:highlight w:val="none"/>
        </w:rPr>
        <w:t>明细报价单</w:t>
      </w:r>
      <w:bookmarkEnd w:id="17"/>
    </w:p>
    <w:tbl>
      <w:tblPr>
        <w:tblStyle w:val="51"/>
        <w:tblpPr w:leftFromText="180" w:rightFromText="180" w:vertAnchor="page" w:horzAnchor="page" w:tblpX="1539" w:tblpY="2555"/>
        <w:tblOverlap w:val="never"/>
        <w:tblW w:w="9946" w:type="dxa"/>
        <w:tblInd w:w="0" w:type="dxa"/>
        <w:tblLayout w:type="fixed"/>
        <w:tblCellMar>
          <w:top w:w="0" w:type="dxa"/>
          <w:left w:w="108" w:type="dxa"/>
          <w:bottom w:w="0" w:type="dxa"/>
          <w:right w:w="108" w:type="dxa"/>
        </w:tblCellMar>
      </w:tblPr>
      <w:tblGrid>
        <w:gridCol w:w="929"/>
        <w:gridCol w:w="897"/>
        <w:gridCol w:w="848"/>
        <w:gridCol w:w="848"/>
        <w:gridCol w:w="1027"/>
        <w:gridCol w:w="1733"/>
        <w:gridCol w:w="1320"/>
        <w:gridCol w:w="1320"/>
        <w:gridCol w:w="1024"/>
      </w:tblGrid>
      <w:tr>
        <w:tblPrEx>
          <w:tblCellMar>
            <w:top w:w="0" w:type="dxa"/>
            <w:left w:w="108" w:type="dxa"/>
            <w:bottom w:w="0" w:type="dxa"/>
            <w:right w:w="108" w:type="dxa"/>
          </w:tblCellMar>
        </w:tblPrEx>
        <w:trPr>
          <w:trHeight w:val="90" w:hRule="atLeast"/>
        </w:trPr>
        <w:tc>
          <w:tcPr>
            <w:tcW w:w="929" w:type="dxa"/>
            <w:tcBorders>
              <w:top w:val="single" w:color="000000" w:sz="4" w:space="0"/>
              <w:left w:val="single" w:color="000000" w:sz="4" w:space="0"/>
              <w:bottom w:val="single" w:color="000000" w:sz="4" w:space="0"/>
              <w:right w:val="single" w:color="000000" w:sz="4" w:space="0"/>
            </w:tcBorders>
            <w:vAlign w:val="center"/>
          </w:tcPr>
          <w:p>
            <w:pPr>
              <w:widowControl/>
              <w:kinsoku/>
              <w:wordWrap/>
              <w:overflowPunct/>
              <w:bidi w:val="0"/>
              <w:spacing w:beforeAutospacing="0" w:line="440" w:lineRule="exact"/>
              <w:ind w:left="0" w:leftChars="0" w:right="0"/>
              <w:jc w:val="center"/>
              <w:textAlignment w:val="center"/>
              <w:rPr>
                <w:rFonts w:hint="eastAsia" w:ascii="仿宋" w:hAnsi="仿宋" w:eastAsia="仿宋" w:cs="仿宋"/>
                <w:color w:val="auto"/>
                <w:sz w:val="24"/>
                <w:szCs w:val="24"/>
                <w:highlight w:val="none"/>
              </w:rPr>
            </w:pPr>
            <w:r>
              <w:rPr>
                <w:rFonts w:hint="eastAsia" w:ascii="仿宋" w:hAnsi="仿宋" w:eastAsia="仿宋" w:cs="仿宋"/>
                <w:b/>
                <w:bCs/>
                <w:color w:val="auto"/>
                <w:kern w:val="0"/>
                <w:sz w:val="24"/>
                <w:szCs w:val="24"/>
                <w:highlight w:val="none"/>
                <w:lang w:bidi="ar"/>
              </w:rPr>
              <w:t>序号</w:t>
            </w:r>
          </w:p>
        </w:tc>
        <w:tc>
          <w:tcPr>
            <w:tcW w:w="897" w:type="dxa"/>
            <w:tcBorders>
              <w:top w:val="single" w:color="000000" w:sz="4" w:space="0"/>
              <w:left w:val="single" w:color="000000" w:sz="4" w:space="0"/>
              <w:bottom w:val="single" w:color="000000" w:sz="4" w:space="0"/>
              <w:right w:val="single" w:color="000000" w:sz="4" w:space="0"/>
            </w:tcBorders>
            <w:vAlign w:val="center"/>
          </w:tcPr>
          <w:p>
            <w:pPr>
              <w:widowControl/>
              <w:kinsoku/>
              <w:wordWrap/>
              <w:overflowPunct/>
              <w:bidi w:val="0"/>
              <w:spacing w:beforeAutospacing="0" w:line="440" w:lineRule="exact"/>
              <w:ind w:left="0" w:leftChars="0" w:right="0"/>
              <w:jc w:val="center"/>
              <w:textAlignment w:val="center"/>
              <w:rPr>
                <w:rFonts w:hint="eastAsia" w:ascii="仿宋" w:hAnsi="仿宋" w:eastAsia="仿宋" w:cs="仿宋"/>
                <w:color w:val="auto"/>
                <w:sz w:val="24"/>
                <w:szCs w:val="24"/>
                <w:highlight w:val="none"/>
              </w:rPr>
            </w:pPr>
            <w:r>
              <w:rPr>
                <w:rFonts w:hint="eastAsia" w:ascii="仿宋" w:hAnsi="仿宋" w:eastAsia="仿宋" w:cs="仿宋"/>
                <w:b/>
                <w:bCs/>
                <w:color w:val="auto"/>
                <w:kern w:val="0"/>
                <w:sz w:val="24"/>
                <w:szCs w:val="24"/>
                <w:highlight w:val="none"/>
                <w:lang w:bidi="ar"/>
              </w:rPr>
              <w:t>产品名称</w:t>
            </w:r>
          </w:p>
        </w:tc>
        <w:tc>
          <w:tcPr>
            <w:tcW w:w="848" w:type="dxa"/>
            <w:tcBorders>
              <w:top w:val="single" w:color="000000" w:sz="4" w:space="0"/>
              <w:left w:val="single" w:color="000000" w:sz="4" w:space="0"/>
              <w:bottom w:val="single" w:color="000000" w:sz="4" w:space="0"/>
              <w:right w:val="single" w:color="000000" w:sz="4" w:space="0"/>
            </w:tcBorders>
            <w:vAlign w:val="center"/>
          </w:tcPr>
          <w:p>
            <w:pPr>
              <w:widowControl/>
              <w:kinsoku/>
              <w:wordWrap/>
              <w:overflowPunct/>
              <w:bidi w:val="0"/>
              <w:spacing w:beforeAutospacing="0" w:line="440" w:lineRule="exact"/>
              <w:ind w:left="0" w:leftChars="0" w:right="0"/>
              <w:jc w:val="center"/>
              <w:textAlignment w:val="center"/>
              <w:rPr>
                <w:rFonts w:hint="eastAsia" w:ascii="仿宋" w:hAnsi="仿宋" w:eastAsia="仿宋" w:cs="仿宋"/>
                <w:b/>
                <w:bCs/>
                <w:color w:val="auto"/>
                <w:kern w:val="0"/>
                <w:sz w:val="24"/>
                <w:szCs w:val="24"/>
                <w:highlight w:val="none"/>
                <w:lang w:bidi="ar"/>
              </w:rPr>
            </w:pPr>
            <w:r>
              <w:rPr>
                <w:rFonts w:hint="eastAsia" w:ascii="仿宋" w:hAnsi="仿宋" w:eastAsia="仿宋" w:cs="仿宋"/>
                <w:b/>
                <w:bCs/>
                <w:color w:val="auto"/>
                <w:kern w:val="0"/>
                <w:sz w:val="24"/>
                <w:szCs w:val="24"/>
                <w:highlight w:val="none"/>
                <w:lang w:bidi="ar"/>
              </w:rPr>
              <w:t>厂家</w:t>
            </w:r>
          </w:p>
        </w:tc>
        <w:tc>
          <w:tcPr>
            <w:tcW w:w="848" w:type="dxa"/>
            <w:tcBorders>
              <w:top w:val="single" w:color="000000" w:sz="4" w:space="0"/>
              <w:left w:val="single" w:color="000000" w:sz="4" w:space="0"/>
              <w:bottom w:val="single" w:color="000000" w:sz="4" w:space="0"/>
              <w:right w:val="single" w:color="000000" w:sz="4" w:space="0"/>
            </w:tcBorders>
            <w:vAlign w:val="center"/>
          </w:tcPr>
          <w:p>
            <w:pPr>
              <w:widowControl/>
              <w:kinsoku/>
              <w:wordWrap/>
              <w:overflowPunct/>
              <w:bidi w:val="0"/>
              <w:spacing w:beforeAutospacing="0" w:line="440" w:lineRule="exact"/>
              <w:ind w:left="0" w:leftChars="0" w:right="0"/>
              <w:jc w:val="center"/>
              <w:textAlignment w:val="center"/>
              <w:rPr>
                <w:rFonts w:hint="eastAsia" w:ascii="仿宋" w:hAnsi="仿宋" w:eastAsia="仿宋" w:cs="仿宋"/>
                <w:b/>
                <w:bCs/>
                <w:color w:val="auto"/>
                <w:kern w:val="0"/>
                <w:sz w:val="24"/>
                <w:szCs w:val="24"/>
                <w:highlight w:val="none"/>
                <w:lang w:bidi="ar"/>
              </w:rPr>
            </w:pPr>
            <w:r>
              <w:rPr>
                <w:rFonts w:hint="eastAsia" w:ascii="仿宋" w:hAnsi="仿宋" w:eastAsia="仿宋" w:cs="仿宋"/>
                <w:b/>
                <w:bCs/>
                <w:color w:val="auto"/>
                <w:kern w:val="0"/>
                <w:sz w:val="24"/>
                <w:szCs w:val="24"/>
                <w:highlight w:val="none"/>
                <w:lang w:bidi="ar"/>
              </w:rPr>
              <w:t>规格参数</w:t>
            </w:r>
          </w:p>
        </w:tc>
        <w:tc>
          <w:tcPr>
            <w:tcW w:w="1027" w:type="dxa"/>
            <w:tcBorders>
              <w:top w:val="single" w:color="000000" w:sz="4" w:space="0"/>
              <w:left w:val="single" w:color="000000" w:sz="4" w:space="0"/>
              <w:bottom w:val="single" w:color="000000" w:sz="4" w:space="0"/>
              <w:right w:val="single" w:color="000000" w:sz="4" w:space="0"/>
            </w:tcBorders>
            <w:vAlign w:val="center"/>
          </w:tcPr>
          <w:p>
            <w:pPr>
              <w:widowControl/>
              <w:kinsoku/>
              <w:wordWrap/>
              <w:overflowPunct/>
              <w:bidi w:val="0"/>
              <w:spacing w:beforeAutospacing="0" w:line="440" w:lineRule="exact"/>
              <w:ind w:left="0" w:leftChars="0" w:right="0"/>
              <w:jc w:val="center"/>
              <w:textAlignment w:val="center"/>
              <w:rPr>
                <w:rFonts w:hint="eastAsia" w:ascii="仿宋" w:hAnsi="仿宋" w:eastAsia="仿宋" w:cs="仿宋"/>
                <w:b/>
                <w:bCs/>
                <w:color w:val="auto"/>
                <w:kern w:val="0"/>
                <w:sz w:val="24"/>
                <w:szCs w:val="24"/>
                <w:highlight w:val="none"/>
                <w:lang w:bidi="ar"/>
              </w:rPr>
            </w:pPr>
            <w:r>
              <w:rPr>
                <w:rFonts w:hint="eastAsia" w:ascii="仿宋" w:hAnsi="仿宋" w:eastAsia="仿宋" w:cs="仿宋"/>
                <w:b/>
                <w:bCs/>
                <w:color w:val="auto"/>
                <w:kern w:val="0"/>
                <w:sz w:val="24"/>
                <w:szCs w:val="24"/>
                <w:highlight w:val="none"/>
                <w:lang w:bidi="ar"/>
              </w:rPr>
              <w:t>数量</w:t>
            </w:r>
          </w:p>
        </w:tc>
        <w:tc>
          <w:tcPr>
            <w:tcW w:w="1733" w:type="dxa"/>
            <w:tcBorders>
              <w:top w:val="single" w:color="000000" w:sz="4" w:space="0"/>
              <w:left w:val="single" w:color="000000" w:sz="4" w:space="0"/>
              <w:bottom w:val="single" w:color="000000" w:sz="4" w:space="0"/>
              <w:right w:val="single" w:color="000000" w:sz="4" w:space="0"/>
            </w:tcBorders>
            <w:vAlign w:val="center"/>
          </w:tcPr>
          <w:p>
            <w:pPr>
              <w:widowControl/>
              <w:kinsoku/>
              <w:wordWrap/>
              <w:overflowPunct/>
              <w:bidi w:val="0"/>
              <w:spacing w:beforeAutospacing="0" w:line="440" w:lineRule="exact"/>
              <w:ind w:left="0" w:leftChars="0" w:right="0"/>
              <w:jc w:val="center"/>
              <w:textAlignment w:val="center"/>
              <w:rPr>
                <w:rFonts w:hint="eastAsia" w:ascii="仿宋" w:hAnsi="仿宋" w:eastAsia="仿宋" w:cs="仿宋"/>
                <w:b/>
                <w:bCs/>
                <w:color w:val="auto"/>
                <w:kern w:val="0"/>
                <w:sz w:val="24"/>
                <w:szCs w:val="24"/>
                <w:highlight w:val="none"/>
                <w:lang w:bidi="ar"/>
              </w:rPr>
            </w:pPr>
            <w:r>
              <w:rPr>
                <w:rFonts w:hint="eastAsia" w:ascii="仿宋" w:hAnsi="仿宋" w:eastAsia="仿宋" w:cs="仿宋"/>
                <w:b/>
                <w:bCs/>
                <w:color w:val="auto"/>
                <w:kern w:val="0"/>
                <w:sz w:val="24"/>
                <w:szCs w:val="24"/>
                <w:highlight w:val="none"/>
                <w:lang w:bidi="ar"/>
              </w:rPr>
              <w:t>单位</w:t>
            </w:r>
          </w:p>
        </w:tc>
        <w:tc>
          <w:tcPr>
            <w:tcW w:w="1320" w:type="dxa"/>
            <w:tcBorders>
              <w:top w:val="single" w:color="000000" w:sz="4" w:space="0"/>
              <w:left w:val="single" w:color="000000" w:sz="4" w:space="0"/>
              <w:bottom w:val="single" w:color="000000" w:sz="4" w:space="0"/>
              <w:right w:val="single" w:color="000000" w:sz="4" w:space="0"/>
            </w:tcBorders>
            <w:vAlign w:val="center"/>
          </w:tcPr>
          <w:p>
            <w:pPr>
              <w:widowControl/>
              <w:kinsoku/>
              <w:wordWrap/>
              <w:overflowPunct/>
              <w:bidi w:val="0"/>
              <w:spacing w:beforeAutospacing="0" w:line="440" w:lineRule="exact"/>
              <w:ind w:left="0" w:leftChars="0" w:right="0"/>
              <w:jc w:val="center"/>
              <w:textAlignment w:val="center"/>
              <w:rPr>
                <w:rFonts w:hint="eastAsia" w:ascii="仿宋" w:hAnsi="仿宋" w:eastAsia="仿宋" w:cs="仿宋"/>
                <w:b/>
                <w:bCs/>
                <w:color w:val="auto"/>
                <w:kern w:val="0"/>
                <w:sz w:val="24"/>
                <w:szCs w:val="24"/>
                <w:highlight w:val="none"/>
                <w:lang w:bidi="ar"/>
              </w:rPr>
            </w:pPr>
            <w:r>
              <w:rPr>
                <w:rFonts w:hint="eastAsia" w:ascii="仿宋" w:hAnsi="仿宋" w:eastAsia="仿宋" w:cs="仿宋"/>
                <w:b/>
                <w:bCs/>
                <w:color w:val="auto"/>
                <w:kern w:val="0"/>
                <w:sz w:val="24"/>
                <w:szCs w:val="24"/>
                <w:highlight w:val="none"/>
                <w:lang w:bidi="ar"/>
              </w:rPr>
              <w:t>单价（元）</w:t>
            </w:r>
          </w:p>
        </w:tc>
        <w:tc>
          <w:tcPr>
            <w:tcW w:w="1320" w:type="dxa"/>
            <w:tcBorders>
              <w:top w:val="single" w:color="000000" w:sz="4" w:space="0"/>
              <w:left w:val="single" w:color="000000" w:sz="4" w:space="0"/>
              <w:bottom w:val="single" w:color="000000" w:sz="4" w:space="0"/>
              <w:right w:val="single" w:color="000000" w:sz="4" w:space="0"/>
            </w:tcBorders>
            <w:vAlign w:val="center"/>
          </w:tcPr>
          <w:p>
            <w:pPr>
              <w:widowControl/>
              <w:kinsoku/>
              <w:wordWrap/>
              <w:overflowPunct/>
              <w:bidi w:val="0"/>
              <w:spacing w:beforeAutospacing="0" w:line="440" w:lineRule="exact"/>
              <w:ind w:left="0" w:leftChars="0" w:right="0"/>
              <w:jc w:val="center"/>
              <w:textAlignment w:val="center"/>
              <w:rPr>
                <w:rFonts w:hint="eastAsia" w:ascii="仿宋" w:hAnsi="仿宋" w:eastAsia="仿宋" w:cs="仿宋"/>
                <w:b/>
                <w:bCs/>
                <w:color w:val="auto"/>
                <w:kern w:val="0"/>
                <w:sz w:val="24"/>
                <w:szCs w:val="24"/>
                <w:highlight w:val="none"/>
                <w:lang w:bidi="ar"/>
              </w:rPr>
            </w:pPr>
            <w:r>
              <w:rPr>
                <w:rFonts w:hint="eastAsia" w:ascii="仿宋" w:hAnsi="仿宋" w:eastAsia="仿宋" w:cs="仿宋"/>
                <w:b/>
                <w:bCs/>
                <w:color w:val="auto"/>
                <w:kern w:val="0"/>
                <w:sz w:val="24"/>
                <w:szCs w:val="24"/>
                <w:highlight w:val="none"/>
                <w:lang w:bidi="ar"/>
              </w:rPr>
              <w:t>合计</w:t>
            </w:r>
          </w:p>
        </w:tc>
        <w:tc>
          <w:tcPr>
            <w:tcW w:w="1024" w:type="dxa"/>
            <w:tcBorders>
              <w:top w:val="single" w:color="000000" w:sz="4" w:space="0"/>
              <w:left w:val="single" w:color="000000" w:sz="4" w:space="0"/>
              <w:bottom w:val="single" w:color="000000" w:sz="4" w:space="0"/>
              <w:right w:val="single" w:color="000000" w:sz="4" w:space="0"/>
            </w:tcBorders>
            <w:vAlign w:val="center"/>
          </w:tcPr>
          <w:p>
            <w:pPr>
              <w:widowControl/>
              <w:kinsoku/>
              <w:wordWrap/>
              <w:overflowPunct/>
              <w:bidi w:val="0"/>
              <w:spacing w:beforeAutospacing="0" w:line="440" w:lineRule="exact"/>
              <w:ind w:left="0" w:leftChars="0" w:right="0"/>
              <w:jc w:val="center"/>
              <w:textAlignment w:val="center"/>
              <w:rPr>
                <w:rFonts w:hint="eastAsia" w:ascii="仿宋" w:hAnsi="仿宋" w:eastAsia="仿宋" w:cs="仿宋"/>
                <w:b/>
                <w:bCs/>
                <w:color w:val="auto"/>
                <w:kern w:val="0"/>
                <w:sz w:val="24"/>
                <w:szCs w:val="24"/>
                <w:highlight w:val="none"/>
                <w:lang w:bidi="ar"/>
              </w:rPr>
            </w:pPr>
            <w:r>
              <w:rPr>
                <w:rFonts w:hint="eastAsia" w:ascii="仿宋" w:hAnsi="仿宋" w:eastAsia="仿宋" w:cs="仿宋"/>
                <w:b/>
                <w:bCs/>
                <w:color w:val="auto"/>
                <w:kern w:val="0"/>
                <w:sz w:val="24"/>
                <w:szCs w:val="24"/>
                <w:highlight w:val="none"/>
                <w:lang w:bidi="ar"/>
              </w:rPr>
              <w:t>备注</w:t>
            </w:r>
          </w:p>
        </w:tc>
      </w:tr>
      <w:tr>
        <w:tblPrEx>
          <w:tblCellMar>
            <w:top w:w="0" w:type="dxa"/>
            <w:left w:w="108" w:type="dxa"/>
            <w:bottom w:w="0" w:type="dxa"/>
            <w:right w:w="108" w:type="dxa"/>
          </w:tblCellMar>
        </w:tblPrEx>
        <w:trPr>
          <w:trHeight w:val="562" w:hRule="atLeast"/>
        </w:trPr>
        <w:tc>
          <w:tcPr>
            <w:tcW w:w="929" w:type="dxa"/>
            <w:tcBorders>
              <w:top w:val="single" w:color="000000" w:sz="4" w:space="0"/>
              <w:left w:val="single" w:color="000000" w:sz="4" w:space="0"/>
              <w:bottom w:val="single" w:color="000000" w:sz="4" w:space="0"/>
              <w:right w:val="single" w:color="000000" w:sz="4" w:space="0"/>
            </w:tcBorders>
            <w:vAlign w:val="center"/>
          </w:tcPr>
          <w:p>
            <w:pPr>
              <w:widowControl/>
              <w:kinsoku/>
              <w:wordWrap/>
              <w:overflowPunct/>
              <w:bidi w:val="0"/>
              <w:spacing w:beforeAutospacing="0" w:line="440" w:lineRule="exact"/>
              <w:ind w:left="0" w:leftChars="0" w:right="0"/>
              <w:jc w:val="center"/>
              <w:textAlignment w:val="center"/>
              <w:rPr>
                <w:rFonts w:hint="eastAsia" w:ascii="仿宋" w:hAnsi="仿宋" w:eastAsia="仿宋" w:cs="仿宋"/>
                <w:color w:val="auto"/>
                <w:sz w:val="24"/>
                <w:szCs w:val="24"/>
                <w:highlight w:val="none"/>
              </w:rPr>
            </w:pPr>
            <w:r>
              <w:rPr>
                <w:rFonts w:hint="eastAsia" w:ascii="仿宋" w:hAnsi="仿宋" w:eastAsia="仿宋" w:cs="仿宋"/>
                <w:b/>
                <w:bCs/>
                <w:color w:val="auto"/>
                <w:kern w:val="0"/>
                <w:sz w:val="24"/>
                <w:szCs w:val="24"/>
                <w:highlight w:val="none"/>
                <w:lang w:bidi="ar"/>
              </w:rPr>
              <w:t>1</w:t>
            </w:r>
          </w:p>
        </w:tc>
        <w:tc>
          <w:tcPr>
            <w:tcW w:w="897" w:type="dxa"/>
            <w:tcBorders>
              <w:top w:val="single" w:color="000000" w:sz="4" w:space="0"/>
              <w:left w:val="single" w:color="000000" w:sz="4" w:space="0"/>
              <w:bottom w:val="single" w:color="000000" w:sz="4" w:space="0"/>
              <w:right w:val="single" w:color="000000" w:sz="4" w:space="0"/>
            </w:tcBorders>
            <w:vAlign w:val="center"/>
          </w:tcPr>
          <w:p>
            <w:pPr>
              <w:widowControl/>
              <w:kinsoku/>
              <w:wordWrap/>
              <w:overflowPunct/>
              <w:bidi w:val="0"/>
              <w:spacing w:beforeAutospacing="0" w:line="440" w:lineRule="exact"/>
              <w:ind w:left="0" w:leftChars="0" w:right="0"/>
              <w:jc w:val="center"/>
              <w:textAlignment w:val="center"/>
              <w:rPr>
                <w:rFonts w:hint="eastAsia" w:ascii="仿宋" w:hAnsi="仿宋" w:eastAsia="仿宋" w:cs="仿宋"/>
                <w:color w:val="auto"/>
                <w:sz w:val="24"/>
                <w:szCs w:val="24"/>
                <w:highlight w:val="none"/>
              </w:rPr>
            </w:pPr>
          </w:p>
        </w:tc>
        <w:tc>
          <w:tcPr>
            <w:tcW w:w="848" w:type="dxa"/>
            <w:tcBorders>
              <w:top w:val="single" w:color="000000" w:sz="4" w:space="0"/>
              <w:left w:val="single" w:color="000000" w:sz="4" w:space="0"/>
              <w:bottom w:val="single" w:color="000000" w:sz="4" w:space="0"/>
              <w:right w:val="single" w:color="000000" w:sz="4" w:space="0"/>
            </w:tcBorders>
            <w:vAlign w:val="center"/>
          </w:tcPr>
          <w:p>
            <w:pPr>
              <w:widowControl/>
              <w:kinsoku/>
              <w:wordWrap/>
              <w:overflowPunct/>
              <w:bidi w:val="0"/>
              <w:spacing w:beforeAutospacing="0" w:line="440" w:lineRule="exact"/>
              <w:ind w:left="0" w:leftChars="0" w:right="0"/>
              <w:jc w:val="center"/>
              <w:textAlignment w:val="center"/>
              <w:rPr>
                <w:rFonts w:hint="eastAsia" w:ascii="仿宋" w:hAnsi="仿宋" w:eastAsia="仿宋" w:cs="仿宋"/>
                <w:color w:val="auto"/>
                <w:sz w:val="24"/>
                <w:szCs w:val="24"/>
                <w:highlight w:val="none"/>
              </w:rPr>
            </w:pPr>
          </w:p>
        </w:tc>
        <w:tc>
          <w:tcPr>
            <w:tcW w:w="848" w:type="dxa"/>
            <w:tcBorders>
              <w:top w:val="single" w:color="000000" w:sz="4" w:space="0"/>
              <w:left w:val="single" w:color="000000" w:sz="4" w:space="0"/>
              <w:bottom w:val="single" w:color="000000" w:sz="4" w:space="0"/>
              <w:right w:val="single" w:color="000000" w:sz="4" w:space="0"/>
            </w:tcBorders>
            <w:vAlign w:val="center"/>
          </w:tcPr>
          <w:p>
            <w:pPr>
              <w:widowControl/>
              <w:kinsoku/>
              <w:wordWrap/>
              <w:overflowPunct/>
              <w:bidi w:val="0"/>
              <w:spacing w:beforeAutospacing="0" w:line="440" w:lineRule="exact"/>
              <w:ind w:left="0" w:leftChars="0" w:right="0"/>
              <w:jc w:val="center"/>
              <w:textAlignment w:val="center"/>
              <w:rPr>
                <w:rFonts w:hint="eastAsia" w:ascii="仿宋" w:hAnsi="仿宋" w:eastAsia="仿宋" w:cs="仿宋"/>
                <w:color w:val="auto"/>
                <w:sz w:val="24"/>
                <w:szCs w:val="24"/>
                <w:highlight w:val="none"/>
              </w:rPr>
            </w:pPr>
          </w:p>
        </w:tc>
        <w:tc>
          <w:tcPr>
            <w:tcW w:w="1027" w:type="dxa"/>
            <w:tcBorders>
              <w:top w:val="single" w:color="000000" w:sz="4" w:space="0"/>
              <w:left w:val="single" w:color="000000" w:sz="4" w:space="0"/>
              <w:bottom w:val="single" w:color="000000" w:sz="4" w:space="0"/>
              <w:right w:val="single" w:color="000000" w:sz="4" w:space="0"/>
            </w:tcBorders>
            <w:vAlign w:val="center"/>
          </w:tcPr>
          <w:p>
            <w:pPr>
              <w:widowControl/>
              <w:kinsoku/>
              <w:wordWrap/>
              <w:overflowPunct/>
              <w:bidi w:val="0"/>
              <w:spacing w:beforeAutospacing="0" w:line="440" w:lineRule="exact"/>
              <w:ind w:left="0" w:leftChars="0" w:right="0"/>
              <w:jc w:val="center"/>
              <w:textAlignment w:val="center"/>
              <w:rPr>
                <w:rFonts w:hint="eastAsia" w:ascii="仿宋" w:hAnsi="仿宋" w:eastAsia="仿宋" w:cs="仿宋"/>
                <w:color w:val="auto"/>
                <w:sz w:val="24"/>
                <w:szCs w:val="24"/>
                <w:highlight w:val="none"/>
              </w:rPr>
            </w:pPr>
          </w:p>
        </w:tc>
        <w:tc>
          <w:tcPr>
            <w:tcW w:w="1733" w:type="dxa"/>
            <w:tcBorders>
              <w:top w:val="single" w:color="000000" w:sz="4" w:space="0"/>
              <w:left w:val="single" w:color="000000" w:sz="4" w:space="0"/>
              <w:bottom w:val="single" w:color="000000" w:sz="4" w:space="0"/>
              <w:right w:val="single" w:color="000000" w:sz="4" w:space="0"/>
            </w:tcBorders>
            <w:vAlign w:val="center"/>
          </w:tcPr>
          <w:p>
            <w:pPr>
              <w:widowControl/>
              <w:kinsoku/>
              <w:wordWrap/>
              <w:overflowPunct/>
              <w:bidi w:val="0"/>
              <w:spacing w:beforeAutospacing="0" w:line="440" w:lineRule="exact"/>
              <w:ind w:left="0" w:leftChars="0" w:right="0"/>
              <w:jc w:val="center"/>
              <w:textAlignment w:val="center"/>
              <w:rPr>
                <w:rFonts w:hint="eastAsia" w:ascii="仿宋" w:hAnsi="仿宋" w:eastAsia="仿宋" w:cs="仿宋"/>
                <w:b/>
                <w:bCs/>
                <w:color w:val="auto"/>
                <w:kern w:val="0"/>
                <w:sz w:val="24"/>
                <w:szCs w:val="24"/>
                <w:highlight w:val="none"/>
                <w:lang w:bidi="ar"/>
              </w:rPr>
            </w:pPr>
          </w:p>
        </w:tc>
        <w:tc>
          <w:tcPr>
            <w:tcW w:w="1320" w:type="dxa"/>
            <w:tcBorders>
              <w:top w:val="single" w:color="000000" w:sz="4" w:space="0"/>
              <w:left w:val="single" w:color="000000" w:sz="4" w:space="0"/>
              <w:bottom w:val="single" w:color="000000" w:sz="4" w:space="0"/>
              <w:right w:val="single" w:color="000000" w:sz="4" w:space="0"/>
            </w:tcBorders>
            <w:vAlign w:val="center"/>
          </w:tcPr>
          <w:p>
            <w:pPr>
              <w:widowControl/>
              <w:kinsoku/>
              <w:wordWrap/>
              <w:overflowPunct/>
              <w:bidi w:val="0"/>
              <w:spacing w:beforeAutospacing="0" w:line="440" w:lineRule="exact"/>
              <w:ind w:left="0" w:leftChars="0" w:right="0"/>
              <w:jc w:val="center"/>
              <w:textAlignment w:val="center"/>
              <w:rPr>
                <w:rFonts w:hint="eastAsia" w:ascii="仿宋" w:hAnsi="仿宋" w:eastAsia="仿宋" w:cs="仿宋"/>
                <w:b/>
                <w:bCs/>
                <w:color w:val="auto"/>
                <w:kern w:val="0"/>
                <w:sz w:val="24"/>
                <w:szCs w:val="24"/>
                <w:highlight w:val="none"/>
                <w:lang w:bidi="ar"/>
              </w:rPr>
            </w:pPr>
          </w:p>
        </w:tc>
        <w:tc>
          <w:tcPr>
            <w:tcW w:w="1320" w:type="dxa"/>
            <w:tcBorders>
              <w:top w:val="single" w:color="000000" w:sz="4" w:space="0"/>
              <w:left w:val="single" w:color="000000" w:sz="4" w:space="0"/>
              <w:bottom w:val="single" w:color="000000" w:sz="4" w:space="0"/>
              <w:right w:val="single" w:color="000000" w:sz="4" w:space="0"/>
            </w:tcBorders>
            <w:vAlign w:val="center"/>
          </w:tcPr>
          <w:p>
            <w:pPr>
              <w:widowControl/>
              <w:kinsoku/>
              <w:wordWrap/>
              <w:overflowPunct/>
              <w:bidi w:val="0"/>
              <w:spacing w:beforeAutospacing="0" w:line="440" w:lineRule="exact"/>
              <w:ind w:left="0" w:leftChars="0" w:right="0"/>
              <w:jc w:val="center"/>
              <w:textAlignment w:val="center"/>
              <w:rPr>
                <w:rFonts w:hint="eastAsia" w:ascii="仿宋" w:hAnsi="仿宋" w:eastAsia="仿宋" w:cs="仿宋"/>
                <w:b/>
                <w:bCs/>
                <w:color w:val="auto"/>
                <w:kern w:val="0"/>
                <w:sz w:val="24"/>
                <w:szCs w:val="24"/>
                <w:highlight w:val="none"/>
                <w:lang w:bidi="ar"/>
              </w:rPr>
            </w:pPr>
          </w:p>
        </w:tc>
        <w:tc>
          <w:tcPr>
            <w:tcW w:w="1024" w:type="dxa"/>
            <w:tcBorders>
              <w:top w:val="single" w:color="000000" w:sz="4" w:space="0"/>
              <w:left w:val="single" w:color="000000" w:sz="4" w:space="0"/>
              <w:bottom w:val="single" w:color="000000" w:sz="4" w:space="0"/>
              <w:right w:val="single" w:color="000000" w:sz="4" w:space="0"/>
            </w:tcBorders>
            <w:vAlign w:val="center"/>
          </w:tcPr>
          <w:p>
            <w:pPr>
              <w:widowControl/>
              <w:kinsoku/>
              <w:wordWrap/>
              <w:overflowPunct/>
              <w:bidi w:val="0"/>
              <w:spacing w:beforeAutospacing="0" w:line="440" w:lineRule="exact"/>
              <w:ind w:left="0" w:leftChars="0" w:right="0"/>
              <w:jc w:val="center"/>
              <w:textAlignment w:val="center"/>
              <w:rPr>
                <w:rFonts w:hint="eastAsia" w:ascii="仿宋" w:hAnsi="仿宋" w:eastAsia="仿宋" w:cs="仿宋"/>
                <w:b/>
                <w:bCs/>
                <w:color w:val="auto"/>
                <w:kern w:val="0"/>
                <w:sz w:val="24"/>
                <w:szCs w:val="24"/>
                <w:highlight w:val="none"/>
                <w:lang w:bidi="ar"/>
              </w:rPr>
            </w:pPr>
          </w:p>
        </w:tc>
      </w:tr>
      <w:tr>
        <w:tblPrEx>
          <w:tblCellMar>
            <w:top w:w="0" w:type="dxa"/>
            <w:left w:w="108" w:type="dxa"/>
            <w:bottom w:w="0" w:type="dxa"/>
            <w:right w:w="108" w:type="dxa"/>
          </w:tblCellMar>
        </w:tblPrEx>
        <w:trPr>
          <w:trHeight w:val="620" w:hRule="atLeast"/>
        </w:trPr>
        <w:tc>
          <w:tcPr>
            <w:tcW w:w="929" w:type="dxa"/>
            <w:tcBorders>
              <w:top w:val="single" w:color="000000" w:sz="4" w:space="0"/>
              <w:left w:val="single" w:color="000000" w:sz="4" w:space="0"/>
              <w:bottom w:val="single" w:color="000000" w:sz="4" w:space="0"/>
              <w:right w:val="single" w:color="000000" w:sz="4" w:space="0"/>
            </w:tcBorders>
            <w:vAlign w:val="center"/>
          </w:tcPr>
          <w:p>
            <w:pPr>
              <w:widowControl/>
              <w:kinsoku/>
              <w:wordWrap/>
              <w:overflowPunct/>
              <w:bidi w:val="0"/>
              <w:spacing w:beforeAutospacing="0" w:line="440" w:lineRule="exact"/>
              <w:ind w:left="0" w:leftChars="0" w:right="0"/>
              <w:jc w:val="center"/>
              <w:textAlignment w:val="center"/>
              <w:rPr>
                <w:rFonts w:hint="eastAsia" w:ascii="仿宋" w:hAnsi="仿宋" w:eastAsia="仿宋" w:cs="仿宋"/>
                <w:color w:val="auto"/>
                <w:sz w:val="24"/>
                <w:szCs w:val="24"/>
                <w:highlight w:val="none"/>
              </w:rPr>
            </w:pPr>
            <w:r>
              <w:rPr>
                <w:rFonts w:hint="eastAsia" w:ascii="仿宋" w:hAnsi="仿宋" w:eastAsia="仿宋" w:cs="仿宋"/>
                <w:b/>
                <w:bCs/>
                <w:color w:val="auto"/>
                <w:kern w:val="0"/>
                <w:sz w:val="24"/>
                <w:szCs w:val="24"/>
                <w:highlight w:val="none"/>
                <w:lang w:bidi="ar"/>
              </w:rPr>
              <w:t>2</w:t>
            </w:r>
          </w:p>
        </w:tc>
        <w:tc>
          <w:tcPr>
            <w:tcW w:w="897" w:type="dxa"/>
            <w:tcBorders>
              <w:top w:val="single" w:color="000000" w:sz="4" w:space="0"/>
              <w:left w:val="single" w:color="000000" w:sz="4" w:space="0"/>
              <w:bottom w:val="single" w:color="000000" w:sz="4" w:space="0"/>
              <w:right w:val="single" w:color="000000" w:sz="4" w:space="0"/>
            </w:tcBorders>
            <w:vAlign w:val="center"/>
          </w:tcPr>
          <w:p>
            <w:pPr>
              <w:widowControl/>
              <w:kinsoku/>
              <w:wordWrap/>
              <w:overflowPunct/>
              <w:bidi w:val="0"/>
              <w:spacing w:beforeAutospacing="0" w:line="440" w:lineRule="exact"/>
              <w:ind w:left="0" w:leftChars="0" w:right="0"/>
              <w:jc w:val="center"/>
              <w:textAlignment w:val="center"/>
              <w:rPr>
                <w:rFonts w:hint="eastAsia" w:ascii="仿宋" w:hAnsi="仿宋" w:eastAsia="仿宋" w:cs="仿宋"/>
                <w:color w:val="auto"/>
                <w:sz w:val="24"/>
                <w:szCs w:val="24"/>
                <w:highlight w:val="none"/>
              </w:rPr>
            </w:pPr>
          </w:p>
        </w:tc>
        <w:tc>
          <w:tcPr>
            <w:tcW w:w="848" w:type="dxa"/>
            <w:tcBorders>
              <w:top w:val="single" w:color="000000" w:sz="4" w:space="0"/>
              <w:left w:val="single" w:color="000000" w:sz="4" w:space="0"/>
              <w:bottom w:val="single" w:color="000000" w:sz="4" w:space="0"/>
              <w:right w:val="single" w:color="000000" w:sz="4" w:space="0"/>
            </w:tcBorders>
            <w:vAlign w:val="center"/>
          </w:tcPr>
          <w:p>
            <w:pPr>
              <w:widowControl/>
              <w:kinsoku/>
              <w:wordWrap/>
              <w:overflowPunct/>
              <w:bidi w:val="0"/>
              <w:spacing w:beforeAutospacing="0" w:line="440" w:lineRule="exact"/>
              <w:ind w:left="0" w:leftChars="0" w:right="0"/>
              <w:jc w:val="center"/>
              <w:textAlignment w:val="center"/>
              <w:rPr>
                <w:rFonts w:hint="eastAsia" w:ascii="仿宋" w:hAnsi="仿宋" w:eastAsia="仿宋" w:cs="仿宋"/>
                <w:color w:val="auto"/>
                <w:sz w:val="24"/>
                <w:szCs w:val="24"/>
                <w:highlight w:val="none"/>
              </w:rPr>
            </w:pPr>
          </w:p>
        </w:tc>
        <w:tc>
          <w:tcPr>
            <w:tcW w:w="848" w:type="dxa"/>
            <w:tcBorders>
              <w:top w:val="single" w:color="000000" w:sz="4" w:space="0"/>
              <w:left w:val="single" w:color="000000" w:sz="4" w:space="0"/>
              <w:bottom w:val="single" w:color="000000" w:sz="4" w:space="0"/>
              <w:right w:val="single" w:color="000000" w:sz="4" w:space="0"/>
            </w:tcBorders>
            <w:vAlign w:val="center"/>
          </w:tcPr>
          <w:p>
            <w:pPr>
              <w:widowControl/>
              <w:kinsoku/>
              <w:wordWrap/>
              <w:overflowPunct/>
              <w:bidi w:val="0"/>
              <w:spacing w:beforeAutospacing="0" w:line="440" w:lineRule="exact"/>
              <w:ind w:left="0" w:leftChars="0" w:right="0"/>
              <w:jc w:val="center"/>
              <w:textAlignment w:val="center"/>
              <w:rPr>
                <w:rFonts w:hint="eastAsia" w:ascii="仿宋" w:hAnsi="仿宋" w:eastAsia="仿宋" w:cs="仿宋"/>
                <w:color w:val="auto"/>
                <w:sz w:val="24"/>
                <w:szCs w:val="24"/>
                <w:highlight w:val="none"/>
              </w:rPr>
            </w:pPr>
          </w:p>
        </w:tc>
        <w:tc>
          <w:tcPr>
            <w:tcW w:w="1027" w:type="dxa"/>
            <w:tcBorders>
              <w:top w:val="single" w:color="000000" w:sz="4" w:space="0"/>
              <w:left w:val="single" w:color="000000" w:sz="4" w:space="0"/>
              <w:bottom w:val="single" w:color="000000" w:sz="4" w:space="0"/>
              <w:right w:val="single" w:color="000000" w:sz="4" w:space="0"/>
            </w:tcBorders>
            <w:vAlign w:val="center"/>
          </w:tcPr>
          <w:p>
            <w:pPr>
              <w:widowControl/>
              <w:kinsoku/>
              <w:wordWrap/>
              <w:overflowPunct/>
              <w:bidi w:val="0"/>
              <w:spacing w:beforeAutospacing="0" w:line="440" w:lineRule="exact"/>
              <w:ind w:left="0" w:leftChars="0" w:right="0"/>
              <w:jc w:val="center"/>
              <w:textAlignment w:val="center"/>
              <w:rPr>
                <w:rFonts w:hint="eastAsia" w:ascii="仿宋" w:hAnsi="仿宋" w:eastAsia="仿宋" w:cs="仿宋"/>
                <w:color w:val="auto"/>
                <w:sz w:val="24"/>
                <w:szCs w:val="24"/>
                <w:highlight w:val="none"/>
              </w:rPr>
            </w:pPr>
          </w:p>
        </w:tc>
        <w:tc>
          <w:tcPr>
            <w:tcW w:w="1733" w:type="dxa"/>
            <w:tcBorders>
              <w:top w:val="single" w:color="000000" w:sz="4" w:space="0"/>
              <w:left w:val="single" w:color="000000" w:sz="4" w:space="0"/>
              <w:bottom w:val="single" w:color="000000" w:sz="4" w:space="0"/>
              <w:right w:val="single" w:color="000000" w:sz="4" w:space="0"/>
            </w:tcBorders>
            <w:vAlign w:val="center"/>
          </w:tcPr>
          <w:p>
            <w:pPr>
              <w:widowControl/>
              <w:kinsoku/>
              <w:wordWrap/>
              <w:overflowPunct/>
              <w:bidi w:val="0"/>
              <w:spacing w:beforeAutospacing="0" w:line="440" w:lineRule="exact"/>
              <w:ind w:left="0" w:leftChars="0" w:right="0"/>
              <w:jc w:val="center"/>
              <w:textAlignment w:val="center"/>
              <w:rPr>
                <w:rFonts w:hint="eastAsia" w:ascii="仿宋" w:hAnsi="仿宋" w:eastAsia="仿宋" w:cs="仿宋"/>
                <w:b/>
                <w:bCs/>
                <w:color w:val="auto"/>
                <w:kern w:val="0"/>
                <w:sz w:val="24"/>
                <w:szCs w:val="24"/>
                <w:highlight w:val="none"/>
                <w:lang w:bidi="ar"/>
              </w:rPr>
            </w:pPr>
          </w:p>
        </w:tc>
        <w:tc>
          <w:tcPr>
            <w:tcW w:w="1320" w:type="dxa"/>
            <w:tcBorders>
              <w:top w:val="single" w:color="000000" w:sz="4" w:space="0"/>
              <w:left w:val="single" w:color="000000" w:sz="4" w:space="0"/>
              <w:bottom w:val="single" w:color="000000" w:sz="4" w:space="0"/>
              <w:right w:val="single" w:color="000000" w:sz="4" w:space="0"/>
            </w:tcBorders>
            <w:vAlign w:val="center"/>
          </w:tcPr>
          <w:p>
            <w:pPr>
              <w:widowControl/>
              <w:kinsoku/>
              <w:wordWrap/>
              <w:overflowPunct/>
              <w:bidi w:val="0"/>
              <w:spacing w:beforeAutospacing="0" w:line="440" w:lineRule="exact"/>
              <w:ind w:left="0" w:leftChars="0" w:right="0"/>
              <w:jc w:val="center"/>
              <w:textAlignment w:val="center"/>
              <w:rPr>
                <w:rFonts w:hint="eastAsia" w:ascii="仿宋" w:hAnsi="仿宋" w:eastAsia="仿宋" w:cs="仿宋"/>
                <w:b/>
                <w:bCs/>
                <w:color w:val="auto"/>
                <w:kern w:val="0"/>
                <w:sz w:val="24"/>
                <w:szCs w:val="24"/>
                <w:highlight w:val="none"/>
                <w:lang w:bidi="ar"/>
              </w:rPr>
            </w:pPr>
          </w:p>
        </w:tc>
        <w:tc>
          <w:tcPr>
            <w:tcW w:w="1320" w:type="dxa"/>
            <w:tcBorders>
              <w:top w:val="single" w:color="000000" w:sz="4" w:space="0"/>
              <w:left w:val="single" w:color="000000" w:sz="4" w:space="0"/>
              <w:bottom w:val="single" w:color="000000" w:sz="4" w:space="0"/>
              <w:right w:val="single" w:color="000000" w:sz="4" w:space="0"/>
            </w:tcBorders>
            <w:vAlign w:val="center"/>
          </w:tcPr>
          <w:p>
            <w:pPr>
              <w:widowControl/>
              <w:kinsoku/>
              <w:wordWrap/>
              <w:overflowPunct/>
              <w:bidi w:val="0"/>
              <w:spacing w:beforeAutospacing="0" w:line="440" w:lineRule="exact"/>
              <w:ind w:left="0" w:leftChars="0" w:right="0"/>
              <w:jc w:val="center"/>
              <w:textAlignment w:val="center"/>
              <w:rPr>
                <w:rFonts w:hint="eastAsia" w:ascii="仿宋" w:hAnsi="仿宋" w:eastAsia="仿宋" w:cs="仿宋"/>
                <w:b/>
                <w:bCs/>
                <w:color w:val="auto"/>
                <w:kern w:val="0"/>
                <w:sz w:val="24"/>
                <w:szCs w:val="24"/>
                <w:highlight w:val="none"/>
                <w:lang w:bidi="ar"/>
              </w:rPr>
            </w:pPr>
          </w:p>
        </w:tc>
        <w:tc>
          <w:tcPr>
            <w:tcW w:w="1024" w:type="dxa"/>
            <w:tcBorders>
              <w:top w:val="single" w:color="000000" w:sz="4" w:space="0"/>
              <w:left w:val="single" w:color="000000" w:sz="4" w:space="0"/>
              <w:bottom w:val="single" w:color="000000" w:sz="4" w:space="0"/>
              <w:right w:val="single" w:color="000000" w:sz="4" w:space="0"/>
            </w:tcBorders>
            <w:vAlign w:val="center"/>
          </w:tcPr>
          <w:p>
            <w:pPr>
              <w:widowControl/>
              <w:kinsoku/>
              <w:wordWrap/>
              <w:overflowPunct/>
              <w:bidi w:val="0"/>
              <w:spacing w:beforeAutospacing="0" w:line="440" w:lineRule="exact"/>
              <w:ind w:left="0" w:leftChars="0" w:right="0"/>
              <w:jc w:val="center"/>
              <w:textAlignment w:val="center"/>
              <w:rPr>
                <w:rFonts w:hint="eastAsia" w:ascii="仿宋" w:hAnsi="仿宋" w:eastAsia="仿宋" w:cs="仿宋"/>
                <w:b/>
                <w:bCs/>
                <w:color w:val="auto"/>
                <w:kern w:val="0"/>
                <w:sz w:val="24"/>
                <w:szCs w:val="24"/>
                <w:highlight w:val="none"/>
                <w:lang w:bidi="ar"/>
              </w:rPr>
            </w:pPr>
          </w:p>
        </w:tc>
      </w:tr>
      <w:tr>
        <w:tblPrEx>
          <w:tblCellMar>
            <w:top w:w="0" w:type="dxa"/>
            <w:left w:w="108" w:type="dxa"/>
            <w:bottom w:w="0" w:type="dxa"/>
            <w:right w:w="108" w:type="dxa"/>
          </w:tblCellMar>
        </w:tblPrEx>
        <w:trPr>
          <w:trHeight w:val="620" w:hRule="atLeast"/>
        </w:trPr>
        <w:tc>
          <w:tcPr>
            <w:tcW w:w="929" w:type="dxa"/>
            <w:tcBorders>
              <w:top w:val="single" w:color="000000" w:sz="4" w:space="0"/>
              <w:left w:val="single" w:color="000000" w:sz="4" w:space="0"/>
              <w:bottom w:val="single" w:color="000000" w:sz="4" w:space="0"/>
              <w:right w:val="single" w:color="000000" w:sz="4" w:space="0"/>
            </w:tcBorders>
            <w:vAlign w:val="center"/>
          </w:tcPr>
          <w:p>
            <w:pPr>
              <w:widowControl/>
              <w:kinsoku/>
              <w:wordWrap/>
              <w:overflowPunct/>
              <w:bidi w:val="0"/>
              <w:spacing w:beforeAutospacing="0" w:line="440" w:lineRule="exact"/>
              <w:ind w:left="0" w:leftChars="0" w:right="0"/>
              <w:jc w:val="center"/>
              <w:textAlignment w:val="center"/>
              <w:rPr>
                <w:rFonts w:hint="eastAsia" w:ascii="仿宋" w:hAnsi="仿宋" w:eastAsia="仿宋" w:cs="仿宋"/>
                <w:color w:val="auto"/>
                <w:sz w:val="24"/>
                <w:szCs w:val="24"/>
                <w:highlight w:val="none"/>
              </w:rPr>
            </w:pPr>
            <w:r>
              <w:rPr>
                <w:rFonts w:hint="eastAsia" w:ascii="仿宋" w:hAnsi="仿宋" w:eastAsia="仿宋" w:cs="仿宋"/>
                <w:b/>
                <w:bCs/>
                <w:color w:val="auto"/>
                <w:kern w:val="0"/>
                <w:sz w:val="24"/>
                <w:szCs w:val="24"/>
                <w:highlight w:val="none"/>
                <w:lang w:bidi="ar"/>
              </w:rPr>
              <w:t>3</w:t>
            </w:r>
          </w:p>
        </w:tc>
        <w:tc>
          <w:tcPr>
            <w:tcW w:w="897" w:type="dxa"/>
            <w:tcBorders>
              <w:top w:val="single" w:color="000000" w:sz="4" w:space="0"/>
              <w:left w:val="single" w:color="000000" w:sz="4" w:space="0"/>
              <w:bottom w:val="single" w:color="000000" w:sz="4" w:space="0"/>
              <w:right w:val="single" w:color="000000" w:sz="4" w:space="0"/>
            </w:tcBorders>
            <w:vAlign w:val="center"/>
          </w:tcPr>
          <w:p>
            <w:pPr>
              <w:widowControl/>
              <w:kinsoku/>
              <w:wordWrap/>
              <w:overflowPunct/>
              <w:bidi w:val="0"/>
              <w:spacing w:beforeAutospacing="0" w:line="440" w:lineRule="exact"/>
              <w:ind w:left="0" w:leftChars="0" w:right="0"/>
              <w:jc w:val="center"/>
              <w:textAlignment w:val="center"/>
              <w:rPr>
                <w:rFonts w:hint="eastAsia" w:ascii="仿宋" w:hAnsi="仿宋" w:eastAsia="仿宋" w:cs="仿宋"/>
                <w:color w:val="auto"/>
                <w:sz w:val="24"/>
                <w:szCs w:val="24"/>
                <w:highlight w:val="none"/>
              </w:rPr>
            </w:pPr>
          </w:p>
        </w:tc>
        <w:tc>
          <w:tcPr>
            <w:tcW w:w="848" w:type="dxa"/>
            <w:tcBorders>
              <w:top w:val="single" w:color="000000" w:sz="4" w:space="0"/>
              <w:left w:val="single" w:color="000000" w:sz="4" w:space="0"/>
              <w:bottom w:val="single" w:color="000000" w:sz="4" w:space="0"/>
              <w:right w:val="single" w:color="000000" w:sz="4" w:space="0"/>
            </w:tcBorders>
            <w:vAlign w:val="center"/>
          </w:tcPr>
          <w:p>
            <w:pPr>
              <w:widowControl/>
              <w:kinsoku/>
              <w:wordWrap/>
              <w:overflowPunct/>
              <w:bidi w:val="0"/>
              <w:spacing w:beforeAutospacing="0" w:line="440" w:lineRule="exact"/>
              <w:ind w:left="0" w:leftChars="0" w:right="0"/>
              <w:jc w:val="center"/>
              <w:textAlignment w:val="center"/>
              <w:rPr>
                <w:rFonts w:hint="eastAsia" w:ascii="仿宋" w:hAnsi="仿宋" w:eastAsia="仿宋" w:cs="仿宋"/>
                <w:color w:val="auto"/>
                <w:sz w:val="24"/>
                <w:szCs w:val="24"/>
                <w:highlight w:val="none"/>
              </w:rPr>
            </w:pPr>
          </w:p>
        </w:tc>
        <w:tc>
          <w:tcPr>
            <w:tcW w:w="848" w:type="dxa"/>
            <w:tcBorders>
              <w:top w:val="single" w:color="000000" w:sz="4" w:space="0"/>
              <w:left w:val="single" w:color="000000" w:sz="4" w:space="0"/>
              <w:bottom w:val="single" w:color="000000" w:sz="4" w:space="0"/>
              <w:right w:val="single" w:color="000000" w:sz="4" w:space="0"/>
            </w:tcBorders>
            <w:vAlign w:val="center"/>
          </w:tcPr>
          <w:p>
            <w:pPr>
              <w:widowControl/>
              <w:kinsoku/>
              <w:wordWrap/>
              <w:overflowPunct/>
              <w:bidi w:val="0"/>
              <w:spacing w:beforeAutospacing="0" w:line="440" w:lineRule="exact"/>
              <w:ind w:left="0" w:leftChars="0" w:right="0"/>
              <w:jc w:val="center"/>
              <w:textAlignment w:val="center"/>
              <w:rPr>
                <w:rFonts w:hint="eastAsia" w:ascii="仿宋" w:hAnsi="仿宋" w:eastAsia="仿宋" w:cs="仿宋"/>
                <w:color w:val="auto"/>
                <w:sz w:val="24"/>
                <w:szCs w:val="24"/>
                <w:highlight w:val="none"/>
              </w:rPr>
            </w:pPr>
          </w:p>
        </w:tc>
        <w:tc>
          <w:tcPr>
            <w:tcW w:w="1027" w:type="dxa"/>
            <w:tcBorders>
              <w:top w:val="single" w:color="000000" w:sz="4" w:space="0"/>
              <w:left w:val="single" w:color="000000" w:sz="4" w:space="0"/>
              <w:bottom w:val="single" w:color="000000" w:sz="4" w:space="0"/>
              <w:right w:val="single" w:color="000000" w:sz="4" w:space="0"/>
            </w:tcBorders>
            <w:vAlign w:val="center"/>
          </w:tcPr>
          <w:p>
            <w:pPr>
              <w:widowControl/>
              <w:kinsoku/>
              <w:wordWrap/>
              <w:overflowPunct/>
              <w:bidi w:val="0"/>
              <w:spacing w:beforeAutospacing="0" w:line="440" w:lineRule="exact"/>
              <w:ind w:left="0" w:leftChars="0" w:right="0"/>
              <w:jc w:val="center"/>
              <w:textAlignment w:val="center"/>
              <w:rPr>
                <w:rFonts w:hint="eastAsia" w:ascii="仿宋" w:hAnsi="仿宋" w:eastAsia="仿宋" w:cs="仿宋"/>
                <w:color w:val="auto"/>
                <w:sz w:val="24"/>
                <w:szCs w:val="24"/>
                <w:highlight w:val="none"/>
              </w:rPr>
            </w:pPr>
          </w:p>
        </w:tc>
        <w:tc>
          <w:tcPr>
            <w:tcW w:w="1733" w:type="dxa"/>
            <w:tcBorders>
              <w:top w:val="single" w:color="000000" w:sz="4" w:space="0"/>
              <w:left w:val="single" w:color="000000" w:sz="4" w:space="0"/>
              <w:bottom w:val="single" w:color="000000" w:sz="4" w:space="0"/>
              <w:right w:val="single" w:color="000000" w:sz="4" w:space="0"/>
            </w:tcBorders>
            <w:vAlign w:val="center"/>
          </w:tcPr>
          <w:p>
            <w:pPr>
              <w:widowControl/>
              <w:kinsoku/>
              <w:wordWrap/>
              <w:overflowPunct/>
              <w:bidi w:val="0"/>
              <w:spacing w:beforeAutospacing="0" w:line="440" w:lineRule="exact"/>
              <w:ind w:left="0" w:leftChars="0" w:right="0"/>
              <w:jc w:val="center"/>
              <w:textAlignment w:val="center"/>
              <w:rPr>
                <w:rFonts w:hint="eastAsia" w:ascii="仿宋" w:hAnsi="仿宋" w:eastAsia="仿宋" w:cs="仿宋"/>
                <w:b/>
                <w:bCs/>
                <w:color w:val="auto"/>
                <w:kern w:val="0"/>
                <w:sz w:val="24"/>
                <w:szCs w:val="24"/>
                <w:highlight w:val="none"/>
                <w:lang w:bidi="ar"/>
              </w:rPr>
            </w:pPr>
          </w:p>
        </w:tc>
        <w:tc>
          <w:tcPr>
            <w:tcW w:w="1320" w:type="dxa"/>
            <w:tcBorders>
              <w:top w:val="single" w:color="000000" w:sz="4" w:space="0"/>
              <w:left w:val="single" w:color="000000" w:sz="4" w:space="0"/>
              <w:bottom w:val="single" w:color="000000" w:sz="4" w:space="0"/>
              <w:right w:val="single" w:color="000000" w:sz="4" w:space="0"/>
            </w:tcBorders>
            <w:vAlign w:val="center"/>
          </w:tcPr>
          <w:p>
            <w:pPr>
              <w:widowControl/>
              <w:kinsoku/>
              <w:wordWrap/>
              <w:overflowPunct/>
              <w:bidi w:val="0"/>
              <w:spacing w:beforeAutospacing="0" w:line="440" w:lineRule="exact"/>
              <w:ind w:left="0" w:leftChars="0" w:right="0"/>
              <w:jc w:val="center"/>
              <w:textAlignment w:val="center"/>
              <w:rPr>
                <w:rFonts w:hint="eastAsia" w:ascii="仿宋" w:hAnsi="仿宋" w:eastAsia="仿宋" w:cs="仿宋"/>
                <w:b/>
                <w:bCs/>
                <w:color w:val="auto"/>
                <w:kern w:val="0"/>
                <w:sz w:val="24"/>
                <w:szCs w:val="24"/>
                <w:highlight w:val="none"/>
                <w:lang w:bidi="ar"/>
              </w:rPr>
            </w:pPr>
          </w:p>
        </w:tc>
        <w:tc>
          <w:tcPr>
            <w:tcW w:w="1320" w:type="dxa"/>
            <w:tcBorders>
              <w:top w:val="single" w:color="000000" w:sz="4" w:space="0"/>
              <w:left w:val="single" w:color="000000" w:sz="4" w:space="0"/>
              <w:bottom w:val="single" w:color="000000" w:sz="4" w:space="0"/>
              <w:right w:val="single" w:color="000000" w:sz="4" w:space="0"/>
            </w:tcBorders>
            <w:vAlign w:val="center"/>
          </w:tcPr>
          <w:p>
            <w:pPr>
              <w:widowControl/>
              <w:kinsoku/>
              <w:wordWrap/>
              <w:overflowPunct/>
              <w:bidi w:val="0"/>
              <w:spacing w:beforeAutospacing="0" w:line="440" w:lineRule="exact"/>
              <w:ind w:left="0" w:leftChars="0" w:right="0"/>
              <w:jc w:val="center"/>
              <w:textAlignment w:val="center"/>
              <w:rPr>
                <w:rFonts w:hint="eastAsia" w:ascii="仿宋" w:hAnsi="仿宋" w:eastAsia="仿宋" w:cs="仿宋"/>
                <w:b/>
                <w:bCs/>
                <w:color w:val="auto"/>
                <w:kern w:val="0"/>
                <w:sz w:val="24"/>
                <w:szCs w:val="24"/>
                <w:highlight w:val="none"/>
                <w:lang w:bidi="ar"/>
              </w:rPr>
            </w:pPr>
          </w:p>
        </w:tc>
        <w:tc>
          <w:tcPr>
            <w:tcW w:w="1024" w:type="dxa"/>
            <w:tcBorders>
              <w:top w:val="single" w:color="000000" w:sz="4" w:space="0"/>
              <w:left w:val="single" w:color="000000" w:sz="4" w:space="0"/>
              <w:bottom w:val="single" w:color="000000" w:sz="4" w:space="0"/>
              <w:right w:val="single" w:color="000000" w:sz="4" w:space="0"/>
            </w:tcBorders>
            <w:vAlign w:val="center"/>
          </w:tcPr>
          <w:p>
            <w:pPr>
              <w:widowControl/>
              <w:kinsoku/>
              <w:wordWrap/>
              <w:overflowPunct/>
              <w:bidi w:val="0"/>
              <w:spacing w:beforeAutospacing="0" w:line="440" w:lineRule="exact"/>
              <w:ind w:left="0" w:leftChars="0" w:right="0"/>
              <w:jc w:val="center"/>
              <w:textAlignment w:val="center"/>
              <w:rPr>
                <w:rFonts w:hint="eastAsia" w:ascii="仿宋" w:hAnsi="仿宋" w:eastAsia="仿宋" w:cs="仿宋"/>
                <w:b/>
                <w:bCs/>
                <w:color w:val="auto"/>
                <w:kern w:val="0"/>
                <w:sz w:val="24"/>
                <w:szCs w:val="24"/>
                <w:highlight w:val="none"/>
                <w:lang w:bidi="ar"/>
              </w:rPr>
            </w:pPr>
          </w:p>
        </w:tc>
      </w:tr>
      <w:tr>
        <w:tblPrEx>
          <w:tblCellMar>
            <w:top w:w="0" w:type="dxa"/>
            <w:left w:w="108" w:type="dxa"/>
            <w:bottom w:w="0" w:type="dxa"/>
            <w:right w:w="108" w:type="dxa"/>
          </w:tblCellMar>
        </w:tblPrEx>
        <w:trPr>
          <w:trHeight w:val="620" w:hRule="atLeast"/>
        </w:trPr>
        <w:tc>
          <w:tcPr>
            <w:tcW w:w="929" w:type="dxa"/>
            <w:tcBorders>
              <w:top w:val="single" w:color="000000" w:sz="4" w:space="0"/>
              <w:left w:val="single" w:color="000000" w:sz="4" w:space="0"/>
              <w:bottom w:val="single" w:color="000000" w:sz="4" w:space="0"/>
              <w:right w:val="single" w:color="000000" w:sz="4" w:space="0"/>
            </w:tcBorders>
            <w:vAlign w:val="center"/>
          </w:tcPr>
          <w:p>
            <w:pPr>
              <w:widowControl/>
              <w:kinsoku/>
              <w:wordWrap/>
              <w:overflowPunct/>
              <w:bidi w:val="0"/>
              <w:spacing w:beforeAutospacing="0" w:line="440" w:lineRule="exact"/>
              <w:ind w:left="0" w:leftChars="0" w:right="0"/>
              <w:jc w:val="center"/>
              <w:textAlignment w:val="center"/>
              <w:rPr>
                <w:rFonts w:hint="eastAsia" w:ascii="仿宋" w:hAnsi="仿宋" w:eastAsia="仿宋" w:cs="仿宋"/>
                <w:color w:val="auto"/>
                <w:sz w:val="24"/>
                <w:szCs w:val="24"/>
                <w:highlight w:val="none"/>
              </w:rPr>
            </w:pPr>
            <w:r>
              <w:rPr>
                <w:rFonts w:hint="eastAsia" w:ascii="仿宋" w:hAnsi="仿宋" w:eastAsia="仿宋" w:cs="仿宋"/>
                <w:b/>
                <w:bCs/>
                <w:color w:val="auto"/>
                <w:kern w:val="0"/>
                <w:sz w:val="24"/>
                <w:szCs w:val="24"/>
                <w:highlight w:val="none"/>
                <w:lang w:bidi="ar"/>
              </w:rPr>
              <w:t>4</w:t>
            </w:r>
          </w:p>
        </w:tc>
        <w:tc>
          <w:tcPr>
            <w:tcW w:w="897" w:type="dxa"/>
            <w:tcBorders>
              <w:top w:val="single" w:color="000000" w:sz="4" w:space="0"/>
              <w:left w:val="single" w:color="000000" w:sz="4" w:space="0"/>
              <w:bottom w:val="single" w:color="000000" w:sz="4" w:space="0"/>
              <w:right w:val="single" w:color="000000" w:sz="4" w:space="0"/>
            </w:tcBorders>
            <w:vAlign w:val="center"/>
          </w:tcPr>
          <w:p>
            <w:pPr>
              <w:widowControl/>
              <w:kinsoku/>
              <w:wordWrap/>
              <w:overflowPunct/>
              <w:bidi w:val="0"/>
              <w:spacing w:beforeAutospacing="0" w:line="440" w:lineRule="exact"/>
              <w:ind w:left="0" w:leftChars="0" w:right="0"/>
              <w:jc w:val="center"/>
              <w:textAlignment w:val="center"/>
              <w:rPr>
                <w:rFonts w:hint="eastAsia" w:ascii="仿宋" w:hAnsi="仿宋" w:eastAsia="仿宋" w:cs="仿宋"/>
                <w:color w:val="auto"/>
                <w:sz w:val="24"/>
                <w:szCs w:val="24"/>
                <w:highlight w:val="none"/>
              </w:rPr>
            </w:pPr>
          </w:p>
        </w:tc>
        <w:tc>
          <w:tcPr>
            <w:tcW w:w="848" w:type="dxa"/>
            <w:tcBorders>
              <w:top w:val="single" w:color="000000" w:sz="4" w:space="0"/>
              <w:left w:val="single" w:color="000000" w:sz="4" w:space="0"/>
              <w:bottom w:val="single" w:color="000000" w:sz="4" w:space="0"/>
              <w:right w:val="single" w:color="000000" w:sz="4" w:space="0"/>
            </w:tcBorders>
            <w:vAlign w:val="center"/>
          </w:tcPr>
          <w:p>
            <w:pPr>
              <w:widowControl/>
              <w:kinsoku/>
              <w:wordWrap/>
              <w:overflowPunct/>
              <w:bidi w:val="0"/>
              <w:spacing w:beforeAutospacing="0" w:line="440" w:lineRule="exact"/>
              <w:ind w:left="0" w:leftChars="0" w:right="0"/>
              <w:jc w:val="center"/>
              <w:textAlignment w:val="center"/>
              <w:rPr>
                <w:rFonts w:hint="eastAsia" w:ascii="仿宋" w:hAnsi="仿宋" w:eastAsia="仿宋" w:cs="仿宋"/>
                <w:color w:val="auto"/>
                <w:sz w:val="24"/>
                <w:szCs w:val="24"/>
                <w:highlight w:val="none"/>
              </w:rPr>
            </w:pPr>
          </w:p>
        </w:tc>
        <w:tc>
          <w:tcPr>
            <w:tcW w:w="848" w:type="dxa"/>
            <w:tcBorders>
              <w:top w:val="single" w:color="000000" w:sz="4" w:space="0"/>
              <w:left w:val="single" w:color="000000" w:sz="4" w:space="0"/>
              <w:bottom w:val="single" w:color="000000" w:sz="4" w:space="0"/>
              <w:right w:val="single" w:color="000000" w:sz="4" w:space="0"/>
            </w:tcBorders>
            <w:vAlign w:val="center"/>
          </w:tcPr>
          <w:p>
            <w:pPr>
              <w:widowControl/>
              <w:kinsoku/>
              <w:wordWrap/>
              <w:overflowPunct/>
              <w:bidi w:val="0"/>
              <w:spacing w:beforeAutospacing="0" w:line="440" w:lineRule="exact"/>
              <w:ind w:left="0" w:leftChars="0" w:right="0"/>
              <w:jc w:val="center"/>
              <w:textAlignment w:val="center"/>
              <w:rPr>
                <w:rFonts w:hint="eastAsia" w:ascii="仿宋" w:hAnsi="仿宋" w:eastAsia="仿宋" w:cs="仿宋"/>
                <w:color w:val="auto"/>
                <w:sz w:val="24"/>
                <w:szCs w:val="24"/>
                <w:highlight w:val="none"/>
              </w:rPr>
            </w:pPr>
          </w:p>
        </w:tc>
        <w:tc>
          <w:tcPr>
            <w:tcW w:w="1027" w:type="dxa"/>
            <w:tcBorders>
              <w:top w:val="single" w:color="000000" w:sz="4" w:space="0"/>
              <w:left w:val="single" w:color="000000" w:sz="4" w:space="0"/>
              <w:bottom w:val="single" w:color="000000" w:sz="4" w:space="0"/>
              <w:right w:val="single" w:color="000000" w:sz="4" w:space="0"/>
            </w:tcBorders>
            <w:vAlign w:val="center"/>
          </w:tcPr>
          <w:p>
            <w:pPr>
              <w:widowControl/>
              <w:kinsoku/>
              <w:wordWrap/>
              <w:overflowPunct/>
              <w:bidi w:val="0"/>
              <w:spacing w:beforeAutospacing="0" w:line="440" w:lineRule="exact"/>
              <w:ind w:left="0" w:leftChars="0" w:right="0"/>
              <w:jc w:val="center"/>
              <w:textAlignment w:val="center"/>
              <w:rPr>
                <w:rFonts w:hint="eastAsia" w:ascii="仿宋" w:hAnsi="仿宋" w:eastAsia="仿宋" w:cs="仿宋"/>
                <w:color w:val="auto"/>
                <w:sz w:val="24"/>
                <w:szCs w:val="24"/>
                <w:highlight w:val="none"/>
              </w:rPr>
            </w:pPr>
          </w:p>
        </w:tc>
        <w:tc>
          <w:tcPr>
            <w:tcW w:w="1733" w:type="dxa"/>
            <w:tcBorders>
              <w:top w:val="single" w:color="000000" w:sz="4" w:space="0"/>
              <w:left w:val="single" w:color="000000" w:sz="4" w:space="0"/>
              <w:bottom w:val="single" w:color="000000" w:sz="4" w:space="0"/>
              <w:right w:val="single" w:color="000000" w:sz="4" w:space="0"/>
            </w:tcBorders>
            <w:vAlign w:val="center"/>
          </w:tcPr>
          <w:p>
            <w:pPr>
              <w:widowControl/>
              <w:kinsoku/>
              <w:wordWrap/>
              <w:overflowPunct/>
              <w:bidi w:val="0"/>
              <w:spacing w:beforeAutospacing="0" w:line="440" w:lineRule="exact"/>
              <w:ind w:left="0" w:leftChars="0" w:right="0"/>
              <w:jc w:val="center"/>
              <w:textAlignment w:val="center"/>
              <w:rPr>
                <w:rFonts w:hint="eastAsia" w:ascii="仿宋" w:hAnsi="仿宋" w:eastAsia="仿宋" w:cs="仿宋"/>
                <w:b/>
                <w:bCs/>
                <w:color w:val="auto"/>
                <w:kern w:val="0"/>
                <w:sz w:val="24"/>
                <w:szCs w:val="24"/>
                <w:highlight w:val="none"/>
                <w:lang w:bidi="ar"/>
              </w:rPr>
            </w:pPr>
          </w:p>
        </w:tc>
        <w:tc>
          <w:tcPr>
            <w:tcW w:w="1320" w:type="dxa"/>
            <w:tcBorders>
              <w:top w:val="single" w:color="000000" w:sz="4" w:space="0"/>
              <w:left w:val="single" w:color="000000" w:sz="4" w:space="0"/>
              <w:bottom w:val="single" w:color="000000" w:sz="4" w:space="0"/>
              <w:right w:val="single" w:color="000000" w:sz="4" w:space="0"/>
            </w:tcBorders>
            <w:vAlign w:val="center"/>
          </w:tcPr>
          <w:p>
            <w:pPr>
              <w:widowControl/>
              <w:kinsoku/>
              <w:wordWrap/>
              <w:overflowPunct/>
              <w:bidi w:val="0"/>
              <w:spacing w:beforeAutospacing="0" w:line="440" w:lineRule="exact"/>
              <w:ind w:left="0" w:leftChars="0" w:right="0"/>
              <w:jc w:val="center"/>
              <w:textAlignment w:val="center"/>
              <w:rPr>
                <w:rFonts w:hint="eastAsia" w:ascii="仿宋" w:hAnsi="仿宋" w:eastAsia="仿宋" w:cs="仿宋"/>
                <w:b/>
                <w:bCs/>
                <w:color w:val="auto"/>
                <w:kern w:val="0"/>
                <w:sz w:val="24"/>
                <w:szCs w:val="24"/>
                <w:highlight w:val="none"/>
                <w:lang w:bidi="ar"/>
              </w:rPr>
            </w:pPr>
          </w:p>
        </w:tc>
        <w:tc>
          <w:tcPr>
            <w:tcW w:w="1320" w:type="dxa"/>
            <w:tcBorders>
              <w:top w:val="single" w:color="000000" w:sz="4" w:space="0"/>
              <w:left w:val="single" w:color="000000" w:sz="4" w:space="0"/>
              <w:bottom w:val="single" w:color="000000" w:sz="4" w:space="0"/>
              <w:right w:val="single" w:color="000000" w:sz="4" w:space="0"/>
            </w:tcBorders>
            <w:vAlign w:val="center"/>
          </w:tcPr>
          <w:p>
            <w:pPr>
              <w:widowControl/>
              <w:kinsoku/>
              <w:wordWrap/>
              <w:overflowPunct/>
              <w:bidi w:val="0"/>
              <w:spacing w:beforeAutospacing="0" w:line="440" w:lineRule="exact"/>
              <w:ind w:left="0" w:leftChars="0" w:right="0"/>
              <w:jc w:val="center"/>
              <w:textAlignment w:val="center"/>
              <w:rPr>
                <w:rFonts w:hint="eastAsia" w:ascii="仿宋" w:hAnsi="仿宋" w:eastAsia="仿宋" w:cs="仿宋"/>
                <w:b/>
                <w:bCs/>
                <w:color w:val="auto"/>
                <w:kern w:val="0"/>
                <w:sz w:val="24"/>
                <w:szCs w:val="24"/>
                <w:highlight w:val="none"/>
                <w:lang w:bidi="ar"/>
              </w:rPr>
            </w:pPr>
          </w:p>
        </w:tc>
        <w:tc>
          <w:tcPr>
            <w:tcW w:w="1024" w:type="dxa"/>
            <w:tcBorders>
              <w:top w:val="single" w:color="000000" w:sz="4" w:space="0"/>
              <w:left w:val="single" w:color="000000" w:sz="4" w:space="0"/>
              <w:bottom w:val="single" w:color="000000" w:sz="4" w:space="0"/>
              <w:right w:val="single" w:color="000000" w:sz="4" w:space="0"/>
            </w:tcBorders>
            <w:vAlign w:val="center"/>
          </w:tcPr>
          <w:p>
            <w:pPr>
              <w:widowControl/>
              <w:kinsoku/>
              <w:wordWrap/>
              <w:overflowPunct/>
              <w:bidi w:val="0"/>
              <w:spacing w:beforeAutospacing="0" w:line="440" w:lineRule="exact"/>
              <w:ind w:left="0" w:leftChars="0" w:right="0"/>
              <w:jc w:val="center"/>
              <w:textAlignment w:val="center"/>
              <w:rPr>
                <w:rFonts w:hint="eastAsia" w:ascii="仿宋" w:hAnsi="仿宋" w:eastAsia="仿宋" w:cs="仿宋"/>
                <w:b/>
                <w:bCs/>
                <w:color w:val="auto"/>
                <w:kern w:val="0"/>
                <w:sz w:val="24"/>
                <w:szCs w:val="24"/>
                <w:highlight w:val="none"/>
                <w:lang w:bidi="ar"/>
              </w:rPr>
            </w:pPr>
          </w:p>
        </w:tc>
      </w:tr>
      <w:tr>
        <w:tblPrEx>
          <w:tblCellMar>
            <w:top w:w="0" w:type="dxa"/>
            <w:left w:w="108" w:type="dxa"/>
            <w:bottom w:w="0" w:type="dxa"/>
            <w:right w:w="108" w:type="dxa"/>
          </w:tblCellMar>
        </w:tblPrEx>
        <w:trPr>
          <w:trHeight w:val="620" w:hRule="atLeast"/>
        </w:trPr>
        <w:tc>
          <w:tcPr>
            <w:tcW w:w="929" w:type="dxa"/>
            <w:tcBorders>
              <w:top w:val="single" w:color="000000" w:sz="4" w:space="0"/>
              <w:left w:val="single" w:color="000000" w:sz="4" w:space="0"/>
              <w:bottom w:val="single" w:color="000000" w:sz="4" w:space="0"/>
              <w:right w:val="single" w:color="000000" w:sz="4" w:space="0"/>
            </w:tcBorders>
            <w:vAlign w:val="center"/>
          </w:tcPr>
          <w:p>
            <w:pPr>
              <w:widowControl/>
              <w:kinsoku/>
              <w:wordWrap/>
              <w:overflowPunct/>
              <w:bidi w:val="0"/>
              <w:spacing w:beforeAutospacing="0" w:line="440" w:lineRule="exact"/>
              <w:ind w:left="0" w:leftChars="0" w:right="0"/>
              <w:jc w:val="center"/>
              <w:textAlignment w:val="center"/>
              <w:rPr>
                <w:rFonts w:hint="eastAsia" w:ascii="仿宋" w:hAnsi="仿宋" w:eastAsia="仿宋" w:cs="仿宋"/>
                <w:color w:val="auto"/>
                <w:sz w:val="24"/>
                <w:szCs w:val="24"/>
                <w:highlight w:val="none"/>
              </w:rPr>
            </w:pPr>
            <w:r>
              <w:rPr>
                <w:rFonts w:hint="eastAsia" w:ascii="仿宋" w:hAnsi="仿宋" w:eastAsia="仿宋" w:cs="仿宋"/>
                <w:b/>
                <w:bCs/>
                <w:color w:val="auto"/>
                <w:kern w:val="0"/>
                <w:sz w:val="24"/>
                <w:szCs w:val="24"/>
                <w:highlight w:val="none"/>
                <w:lang w:bidi="ar"/>
              </w:rPr>
              <w:t>5</w:t>
            </w:r>
          </w:p>
        </w:tc>
        <w:tc>
          <w:tcPr>
            <w:tcW w:w="897" w:type="dxa"/>
            <w:tcBorders>
              <w:top w:val="single" w:color="000000" w:sz="4" w:space="0"/>
              <w:left w:val="single" w:color="000000" w:sz="4" w:space="0"/>
              <w:bottom w:val="single" w:color="000000" w:sz="4" w:space="0"/>
              <w:right w:val="single" w:color="000000" w:sz="4" w:space="0"/>
            </w:tcBorders>
            <w:vAlign w:val="center"/>
          </w:tcPr>
          <w:p>
            <w:pPr>
              <w:widowControl/>
              <w:kinsoku/>
              <w:wordWrap/>
              <w:overflowPunct/>
              <w:bidi w:val="0"/>
              <w:spacing w:beforeAutospacing="0" w:line="440" w:lineRule="exact"/>
              <w:ind w:left="0" w:leftChars="0" w:right="0"/>
              <w:jc w:val="center"/>
              <w:textAlignment w:val="center"/>
              <w:rPr>
                <w:rFonts w:hint="eastAsia" w:ascii="仿宋" w:hAnsi="仿宋" w:eastAsia="仿宋" w:cs="仿宋"/>
                <w:color w:val="auto"/>
                <w:sz w:val="24"/>
                <w:szCs w:val="24"/>
                <w:highlight w:val="none"/>
              </w:rPr>
            </w:pPr>
          </w:p>
        </w:tc>
        <w:tc>
          <w:tcPr>
            <w:tcW w:w="848" w:type="dxa"/>
            <w:tcBorders>
              <w:top w:val="single" w:color="000000" w:sz="4" w:space="0"/>
              <w:left w:val="single" w:color="000000" w:sz="4" w:space="0"/>
              <w:bottom w:val="single" w:color="000000" w:sz="4" w:space="0"/>
              <w:right w:val="single" w:color="000000" w:sz="4" w:space="0"/>
            </w:tcBorders>
            <w:vAlign w:val="center"/>
          </w:tcPr>
          <w:p>
            <w:pPr>
              <w:widowControl/>
              <w:kinsoku/>
              <w:wordWrap/>
              <w:overflowPunct/>
              <w:bidi w:val="0"/>
              <w:spacing w:beforeAutospacing="0" w:line="440" w:lineRule="exact"/>
              <w:ind w:left="0" w:leftChars="0" w:right="0"/>
              <w:jc w:val="center"/>
              <w:textAlignment w:val="center"/>
              <w:rPr>
                <w:rFonts w:hint="eastAsia" w:ascii="仿宋" w:hAnsi="仿宋" w:eastAsia="仿宋" w:cs="仿宋"/>
                <w:color w:val="auto"/>
                <w:sz w:val="24"/>
                <w:szCs w:val="24"/>
                <w:highlight w:val="none"/>
              </w:rPr>
            </w:pPr>
          </w:p>
        </w:tc>
        <w:tc>
          <w:tcPr>
            <w:tcW w:w="848" w:type="dxa"/>
            <w:tcBorders>
              <w:top w:val="single" w:color="000000" w:sz="4" w:space="0"/>
              <w:left w:val="single" w:color="000000" w:sz="4" w:space="0"/>
              <w:bottom w:val="single" w:color="000000" w:sz="4" w:space="0"/>
              <w:right w:val="single" w:color="000000" w:sz="4" w:space="0"/>
            </w:tcBorders>
            <w:vAlign w:val="center"/>
          </w:tcPr>
          <w:p>
            <w:pPr>
              <w:widowControl/>
              <w:kinsoku/>
              <w:wordWrap/>
              <w:overflowPunct/>
              <w:bidi w:val="0"/>
              <w:spacing w:beforeAutospacing="0" w:line="440" w:lineRule="exact"/>
              <w:ind w:left="0" w:leftChars="0" w:right="0"/>
              <w:jc w:val="center"/>
              <w:textAlignment w:val="center"/>
              <w:rPr>
                <w:rFonts w:hint="eastAsia" w:ascii="仿宋" w:hAnsi="仿宋" w:eastAsia="仿宋" w:cs="仿宋"/>
                <w:color w:val="auto"/>
                <w:sz w:val="24"/>
                <w:szCs w:val="24"/>
                <w:highlight w:val="none"/>
              </w:rPr>
            </w:pPr>
          </w:p>
        </w:tc>
        <w:tc>
          <w:tcPr>
            <w:tcW w:w="1027" w:type="dxa"/>
            <w:tcBorders>
              <w:top w:val="single" w:color="000000" w:sz="4" w:space="0"/>
              <w:left w:val="single" w:color="000000" w:sz="4" w:space="0"/>
              <w:bottom w:val="single" w:color="000000" w:sz="4" w:space="0"/>
              <w:right w:val="single" w:color="000000" w:sz="4" w:space="0"/>
            </w:tcBorders>
            <w:vAlign w:val="center"/>
          </w:tcPr>
          <w:p>
            <w:pPr>
              <w:widowControl/>
              <w:kinsoku/>
              <w:wordWrap/>
              <w:overflowPunct/>
              <w:bidi w:val="0"/>
              <w:spacing w:beforeAutospacing="0" w:line="440" w:lineRule="exact"/>
              <w:ind w:left="0" w:leftChars="0" w:right="0"/>
              <w:jc w:val="center"/>
              <w:textAlignment w:val="center"/>
              <w:rPr>
                <w:rFonts w:hint="eastAsia" w:ascii="仿宋" w:hAnsi="仿宋" w:eastAsia="仿宋" w:cs="仿宋"/>
                <w:color w:val="auto"/>
                <w:sz w:val="24"/>
                <w:szCs w:val="24"/>
                <w:highlight w:val="none"/>
              </w:rPr>
            </w:pPr>
          </w:p>
        </w:tc>
        <w:tc>
          <w:tcPr>
            <w:tcW w:w="1733" w:type="dxa"/>
            <w:tcBorders>
              <w:top w:val="single" w:color="000000" w:sz="4" w:space="0"/>
              <w:left w:val="single" w:color="000000" w:sz="4" w:space="0"/>
              <w:bottom w:val="single" w:color="000000" w:sz="4" w:space="0"/>
              <w:right w:val="single" w:color="000000" w:sz="4" w:space="0"/>
            </w:tcBorders>
            <w:vAlign w:val="center"/>
          </w:tcPr>
          <w:p>
            <w:pPr>
              <w:widowControl/>
              <w:kinsoku/>
              <w:wordWrap/>
              <w:overflowPunct/>
              <w:bidi w:val="0"/>
              <w:spacing w:beforeAutospacing="0" w:line="440" w:lineRule="exact"/>
              <w:ind w:left="0" w:leftChars="0" w:right="0"/>
              <w:jc w:val="center"/>
              <w:textAlignment w:val="center"/>
              <w:rPr>
                <w:rFonts w:hint="eastAsia" w:ascii="仿宋" w:hAnsi="仿宋" w:eastAsia="仿宋" w:cs="仿宋"/>
                <w:b/>
                <w:bCs/>
                <w:color w:val="auto"/>
                <w:kern w:val="0"/>
                <w:sz w:val="24"/>
                <w:szCs w:val="24"/>
                <w:highlight w:val="none"/>
                <w:lang w:bidi="ar"/>
              </w:rPr>
            </w:pPr>
          </w:p>
        </w:tc>
        <w:tc>
          <w:tcPr>
            <w:tcW w:w="1320" w:type="dxa"/>
            <w:tcBorders>
              <w:top w:val="single" w:color="000000" w:sz="4" w:space="0"/>
              <w:left w:val="single" w:color="000000" w:sz="4" w:space="0"/>
              <w:bottom w:val="single" w:color="000000" w:sz="4" w:space="0"/>
              <w:right w:val="single" w:color="000000" w:sz="4" w:space="0"/>
            </w:tcBorders>
            <w:vAlign w:val="center"/>
          </w:tcPr>
          <w:p>
            <w:pPr>
              <w:widowControl/>
              <w:kinsoku/>
              <w:wordWrap/>
              <w:overflowPunct/>
              <w:bidi w:val="0"/>
              <w:spacing w:beforeAutospacing="0" w:line="440" w:lineRule="exact"/>
              <w:ind w:left="0" w:leftChars="0" w:right="0"/>
              <w:jc w:val="center"/>
              <w:textAlignment w:val="center"/>
              <w:rPr>
                <w:rFonts w:hint="eastAsia" w:ascii="仿宋" w:hAnsi="仿宋" w:eastAsia="仿宋" w:cs="仿宋"/>
                <w:b/>
                <w:bCs/>
                <w:color w:val="auto"/>
                <w:kern w:val="0"/>
                <w:sz w:val="24"/>
                <w:szCs w:val="24"/>
                <w:highlight w:val="none"/>
                <w:lang w:bidi="ar"/>
              </w:rPr>
            </w:pPr>
          </w:p>
        </w:tc>
        <w:tc>
          <w:tcPr>
            <w:tcW w:w="1320" w:type="dxa"/>
            <w:tcBorders>
              <w:top w:val="single" w:color="000000" w:sz="4" w:space="0"/>
              <w:left w:val="single" w:color="000000" w:sz="4" w:space="0"/>
              <w:bottom w:val="single" w:color="000000" w:sz="4" w:space="0"/>
              <w:right w:val="single" w:color="000000" w:sz="4" w:space="0"/>
            </w:tcBorders>
            <w:vAlign w:val="center"/>
          </w:tcPr>
          <w:p>
            <w:pPr>
              <w:widowControl/>
              <w:kinsoku/>
              <w:wordWrap/>
              <w:overflowPunct/>
              <w:bidi w:val="0"/>
              <w:spacing w:beforeAutospacing="0" w:line="440" w:lineRule="exact"/>
              <w:ind w:left="0" w:leftChars="0" w:right="0"/>
              <w:jc w:val="center"/>
              <w:textAlignment w:val="center"/>
              <w:rPr>
                <w:rFonts w:hint="eastAsia" w:ascii="仿宋" w:hAnsi="仿宋" w:eastAsia="仿宋" w:cs="仿宋"/>
                <w:b/>
                <w:bCs/>
                <w:color w:val="auto"/>
                <w:kern w:val="0"/>
                <w:sz w:val="24"/>
                <w:szCs w:val="24"/>
                <w:highlight w:val="none"/>
                <w:lang w:bidi="ar"/>
              </w:rPr>
            </w:pPr>
          </w:p>
        </w:tc>
        <w:tc>
          <w:tcPr>
            <w:tcW w:w="1024" w:type="dxa"/>
            <w:tcBorders>
              <w:top w:val="single" w:color="000000" w:sz="4" w:space="0"/>
              <w:left w:val="single" w:color="000000" w:sz="4" w:space="0"/>
              <w:bottom w:val="single" w:color="000000" w:sz="4" w:space="0"/>
              <w:right w:val="single" w:color="000000" w:sz="4" w:space="0"/>
            </w:tcBorders>
            <w:vAlign w:val="center"/>
          </w:tcPr>
          <w:p>
            <w:pPr>
              <w:widowControl/>
              <w:kinsoku/>
              <w:wordWrap/>
              <w:overflowPunct/>
              <w:bidi w:val="0"/>
              <w:spacing w:beforeAutospacing="0" w:line="440" w:lineRule="exact"/>
              <w:ind w:left="0" w:leftChars="0" w:right="0"/>
              <w:jc w:val="center"/>
              <w:textAlignment w:val="center"/>
              <w:rPr>
                <w:rFonts w:hint="eastAsia" w:ascii="仿宋" w:hAnsi="仿宋" w:eastAsia="仿宋" w:cs="仿宋"/>
                <w:b/>
                <w:bCs/>
                <w:color w:val="auto"/>
                <w:kern w:val="0"/>
                <w:sz w:val="24"/>
                <w:szCs w:val="24"/>
                <w:highlight w:val="none"/>
                <w:lang w:bidi="ar"/>
              </w:rPr>
            </w:pPr>
          </w:p>
        </w:tc>
      </w:tr>
      <w:tr>
        <w:tblPrEx>
          <w:tblCellMar>
            <w:top w:w="0" w:type="dxa"/>
            <w:left w:w="108" w:type="dxa"/>
            <w:bottom w:w="0" w:type="dxa"/>
            <w:right w:w="108" w:type="dxa"/>
          </w:tblCellMar>
        </w:tblPrEx>
        <w:trPr>
          <w:trHeight w:val="620" w:hRule="atLeast"/>
        </w:trPr>
        <w:tc>
          <w:tcPr>
            <w:tcW w:w="929" w:type="dxa"/>
            <w:tcBorders>
              <w:top w:val="single" w:color="000000" w:sz="4" w:space="0"/>
              <w:left w:val="single" w:color="000000" w:sz="4" w:space="0"/>
              <w:bottom w:val="single" w:color="000000" w:sz="4" w:space="0"/>
              <w:right w:val="single" w:color="000000" w:sz="4" w:space="0"/>
            </w:tcBorders>
            <w:vAlign w:val="center"/>
          </w:tcPr>
          <w:p>
            <w:pPr>
              <w:widowControl/>
              <w:kinsoku/>
              <w:wordWrap/>
              <w:overflowPunct/>
              <w:bidi w:val="0"/>
              <w:spacing w:beforeAutospacing="0" w:line="440" w:lineRule="exact"/>
              <w:ind w:left="0" w:leftChars="0" w:right="0"/>
              <w:jc w:val="center"/>
              <w:textAlignment w:val="center"/>
              <w:rPr>
                <w:rFonts w:hint="eastAsia" w:ascii="仿宋" w:hAnsi="仿宋" w:eastAsia="仿宋" w:cs="仿宋"/>
                <w:color w:val="auto"/>
                <w:sz w:val="24"/>
                <w:szCs w:val="24"/>
                <w:highlight w:val="none"/>
              </w:rPr>
            </w:pPr>
            <w:r>
              <w:rPr>
                <w:rFonts w:hint="eastAsia" w:ascii="仿宋" w:hAnsi="仿宋" w:eastAsia="仿宋" w:cs="仿宋"/>
                <w:b/>
                <w:bCs/>
                <w:color w:val="auto"/>
                <w:kern w:val="0"/>
                <w:sz w:val="24"/>
                <w:szCs w:val="24"/>
                <w:highlight w:val="none"/>
                <w:lang w:bidi="ar"/>
              </w:rPr>
              <w:t>6</w:t>
            </w:r>
          </w:p>
        </w:tc>
        <w:tc>
          <w:tcPr>
            <w:tcW w:w="897" w:type="dxa"/>
            <w:tcBorders>
              <w:top w:val="single" w:color="000000" w:sz="4" w:space="0"/>
              <w:left w:val="single" w:color="000000" w:sz="4" w:space="0"/>
              <w:bottom w:val="single" w:color="000000" w:sz="4" w:space="0"/>
              <w:right w:val="single" w:color="000000" w:sz="4" w:space="0"/>
            </w:tcBorders>
            <w:noWrap/>
            <w:vAlign w:val="center"/>
          </w:tcPr>
          <w:p>
            <w:pPr>
              <w:widowControl/>
              <w:kinsoku/>
              <w:wordWrap/>
              <w:overflowPunct/>
              <w:bidi w:val="0"/>
              <w:spacing w:beforeAutospacing="0" w:line="440" w:lineRule="exact"/>
              <w:ind w:left="0" w:leftChars="0" w:right="0"/>
              <w:jc w:val="center"/>
              <w:textAlignment w:val="center"/>
              <w:rPr>
                <w:rFonts w:hint="eastAsia" w:ascii="仿宋" w:hAnsi="仿宋" w:eastAsia="仿宋" w:cs="仿宋"/>
                <w:color w:val="auto"/>
                <w:sz w:val="24"/>
                <w:szCs w:val="24"/>
                <w:highlight w:val="none"/>
              </w:rPr>
            </w:pPr>
          </w:p>
        </w:tc>
        <w:tc>
          <w:tcPr>
            <w:tcW w:w="848" w:type="dxa"/>
            <w:tcBorders>
              <w:top w:val="single" w:color="000000" w:sz="4" w:space="0"/>
              <w:left w:val="single" w:color="000000" w:sz="4" w:space="0"/>
              <w:bottom w:val="single" w:color="000000" w:sz="4" w:space="0"/>
              <w:right w:val="single" w:color="000000" w:sz="4" w:space="0"/>
            </w:tcBorders>
            <w:vAlign w:val="center"/>
          </w:tcPr>
          <w:p>
            <w:pPr>
              <w:widowControl/>
              <w:kinsoku/>
              <w:wordWrap/>
              <w:overflowPunct/>
              <w:bidi w:val="0"/>
              <w:spacing w:beforeAutospacing="0" w:line="440" w:lineRule="exact"/>
              <w:ind w:left="0" w:leftChars="0" w:right="0"/>
              <w:jc w:val="center"/>
              <w:textAlignment w:val="center"/>
              <w:rPr>
                <w:rFonts w:hint="eastAsia" w:ascii="仿宋" w:hAnsi="仿宋" w:eastAsia="仿宋" w:cs="仿宋"/>
                <w:color w:val="auto"/>
                <w:sz w:val="24"/>
                <w:szCs w:val="24"/>
                <w:highlight w:val="none"/>
              </w:rPr>
            </w:pPr>
          </w:p>
        </w:tc>
        <w:tc>
          <w:tcPr>
            <w:tcW w:w="848" w:type="dxa"/>
            <w:tcBorders>
              <w:top w:val="single" w:color="000000" w:sz="4" w:space="0"/>
              <w:left w:val="single" w:color="000000" w:sz="4" w:space="0"/>
              <w:bottom w:val="single" w:color="000000" w:sz="4" w:space="0"/>
              <w:right w:val="single" w:color="000000" w:sz="4" w:space="0"/>
            </w:tcBorders>
            <w:vAlign w:val="center"/>
          </w:tcPr>
          <w:p>
            <w:pPr>
              <w:widowControl/>
              <w:kinsoku/>
              <w:wordWrap/>
              <w:overflowPunct/>
              <w:bidi w:val="0"/>
              <w:spacing w:beforeAutospacing="0" w:line="440" w:lineRule="exact"/>
              <w:ind w:left="0" w:leftChars="0" w:right="0"/>
              <w:jc w:val="center"/>
              <w:textAlignment w:val="center"/>
              <w:rPr>
                <w:rFonts w:hint="eastAsia" w:ascii="仿宋" w:hAnsi="仿宋" w:eastAsia="仿宋" w:cs="仿宋"/>
                <w:color w:val="auto"/>
                <w:sz w:val="24"/>
                <w:szCs w:val="24"/>
                <w:highlight w:val="none"/>
              </w:rPr>
            </w:pPr>
          </w:p>
        </w:tc>
        <w:tc>
          <w:tcPr>
            <w:tcW w:w="1027" w:type="dxa"/>
            <w:tcBorders>
              <w:top w:val="single" w:color="000000" w:sz="4" w:space="0"/>
              <w:left w:val="single" w:color="000000" w:sz="4" w:space="0"/>
              <w:bottom w:val="single" w:color="000000" w:sz="4" w:space="0"/>
              <w:right w:val="single" w:color="000000" w:sz="4" w:space="0"/>
            </w:tcBorders>
            <w:vAlign w:val="center"/>
          </w:tcPr>
          <w:p>
            <w:pPr>
              <w:widowControl/>
              <w:kinsoku/>
              <w:wordWrap/>
              <w:overflowPunct/>
              <w:bidi w:val="0"/>
              <w:spacing w:beforeAutospacing="0" w:line="440" w:lineRule="exact"/>
              <w:ind w:left="0" w:leftChars="0" w:right="0"/>
              <w:jc w:val="center"/>
              <w:textAlignment w:val="center"/>
              <w:rPr>
                <w:rFonts w:hint="eastAsia" w:ascii="仿宋" w:hAnsi="仿宋" w:eastAsia="仿宋" w:cs="仿宋"/>
                <w:color w:val="auto"/>
                <w:sz w:val="24"/>
                <w:szCs w:val="24"/>
                <w:highlight w:val="none"/>
              </w:rPr>
            </w:pPr>
          </w:p>
        </w:tc>
        <w:tc>
          <w:tcPr>
            <w:tcW w:w="1733" w:type="dxa"/>
            <w:tcBorders>
              <w:top w:val="single" w:color="000000" w:sz="4" w:space="0"/>
              <w:left w:val="single" w:color="000000" w:sz="4" w:space="0"/>
              <w:bottom w:val="single" w:color="000000" w:sz="4" w:space="0"/>
              <w:right w:val="single" w:color="000000" w:sz="4" w:space="0"/>
            </w:tcBorders>
            <w:vAlign w:val="center"/>
          </w:tcPr>
          <w:p>
            <w:pPr>
              <w:widowControl/>
              <w:kinsoku/>
              <w:wordWrap/>
              <w:overflowPunct/>
              <w:bidi w:val="0"/>
              <w:spacing w:beforeAutospacing="0" w:line="440" w:lineRule="exact"/>
              <w:ind w:left="0" w:leftChars="0" w:right="0"/>
              <w:jc w:val="center"/>
              <w:textAlignment w:val="center"/>
              <w:rPr>
                <w:rFonts w:hint="eastAsia" w:ascii="仿宋" w:hAnsi="仿宋" w:eastAsia="仿宋" w:cs="仿宋"/>
                <w:b/>
                <w:bCs/>
                <w:color w:val="auto"/>
                <w:kern w:val="0"/>
                <w:sz w:val="24"/>
                <w:szCs w:val="24"/>
                <w:highlight w:val="none"/>
                <w:lang w:bidi="ar"/>
              </w:rPr>
            </w:pPr>
          </w:p>
        </w:tc>
        <w:tc>
          <w:tcPr>
            <w:tcW w:w="1320" w:type="dxa"/>
            <w:tcBorders>
              <w:top w:val="single" w:color="000000" w:sz="4" w:space="0"/>
              <w:left w:val="single" w:color="000000" w:sz="4" w:space="0"/>
              <w:bottom w:val="single" w:color="000000" w:sz="4" w:space="0"/>
              <w:right w:val="single" w:color="000000" w:sz="4" w:space="0"/>
            </w:tcBorders>
            <w:vAlign w:val="center"/>
          </w:tcPr>
          <w:p>
            <w:pPr>
              <w:widowControl/>
              <w:kinsoku/>
              <w:wordWrap/>
              <w:overflowPunct/>
              <w:bidi w:val="0"/>
              <w:spacing w:beforeAutospacing="0" w:line="440" w:lineRule="exact"/>
              <w:ind w:left="0" w:leftChars="0" w:right="0"/>
              <w:jc w:val="center"/>
              <w:textAlignment w:val="center"/>
              <w:rPr>
                <w:rFonts w:hint="eastAsia" w:ascii="仿宋" w:hAnsi="仿宋" w:eastAsia="仿宋" w:cs="仿宋"/>
                <w:b/>
                <w:bCs/>
                <w:color w:val="auto"/>
                <w:kern w:val="0"/>
                <w:sz w:val="24"/>
                <w:szCs w:val="24"/>
                <w:highlight w:val="none"/>
                <w:lang w:bidi="ar"/>
              </w:rPr>
            </w:pPr>
          </w:p>
        </w:tc>
        <w:tc>
          <w:tcPr>
            <w:tcW w:w="1320" w:type="dxa"/>
            <w:tcBorders>
              <w:top w:val="single" w:color="000000" w:sz="4" w:space="0"/>
              <w:left w:val="single" w:color="000000" w:sz="4" w:space="0"/>
              <w:bottom w:val="single" w:color="000000" w:sz="4" w:space="0"/>
              <w:right w:val="single" w:color="000000" w:sz="4" w:space="0"/>
            </w:tcBorders>
            <w:vAlign w:val="center"/>
          </w:tcPr>
          <w:p>
            <w:pPr>
              <w:widowControl/>
              <w:kinsoku/>
              <w:wordWrap/>
              <w:overflowPunct/>
              <w:bidi w:val="0"/>
              <w:spacing w:beforeAutospacing="0" w:line="440" w:lineRule="exact"/>
              <w:ind w:left="0" w:leftChars="0" w:right="0"/>
              <w:jc w:val="center"/>
              <w:textAlignment w:val="center"/>
              <w:rPr>
                <w:rFonts w:hint="eastAsia" w:ascii="仿宋" w:hAnsi="仿宋" w:eastAsia="仿宋" w:cs="仿宋"/>
                <w:b/>
                <w:bCs/>
                <w:color w:val="auto"/>
                <w:kern w:val="0"/>
                <w:sz w:val="24"/>
                <w:szCs w:val="24"/>
                <w:highlight w:val="none"/>
                <w:lang w:bidi="ar"/>
              </w:rPr>
            </w:pPr>
          </w:p>
        </w:tc>
        <w:tc>
          <w:tcPr>
            <w:tcW w:w="1024" w:type="dxa"/>
            <w:tcBorders>
              <w:top w:val="single" w:color="000000" w:sz="4" w:space="0"/>
              <w:left w:val="single" w:color="000000" w:sz="4" w:space="0"/>
              <w:bottom w:val="single" w:color="000000" w:sz="4" w:space="0"/>
              <w:right w:val="single" w:color="000000" w:sz="4" w:space="0"/>
            </w:tcBorders>
            <w:vAlign w:val="center"/>
          </w:tcPr>
          <w:p>
            <w:pPr>
              <w:widowControl/>
              <w:kinsoku/>
              <w:wordWrap/>
              <w:overflowPunct/>
              <w:bidi w:val="0"/>
              <w:spacing w:beforeAutospacing="0" w:line="440" w:lineRule="exact"/>
              <w:ind w:left="0" w:leftChars="0" w:right="0"/>
              <w:jc w:val="center"/>
              <w:textAlignment w:val="center"/>
              <w:rPr>
                <w:rFonts w:hint="eastAsia" w:ascii="仿宋" w:hAnsi="仿宋" w:eastAsia="仿宋" w:cs="仿宋"/>
                <w:b/>
                <w:bCs/>
                <w:color w:val="auto"/>
                <w:kern w:val="0"/>
                <w:sz w:val="24"/>
                <w:szCs w:val="24"/>
                <w:highlight w:val="none"/>
                <w:lang w:bidi="ar"/>
              </w:rPr>
            </w:pPr>
          </w:p>
        </w:tc>
      </w:tr>
      <w:tr>
        <w:tblPrEx>
          <w:tblCellMar>
            <w:top w:w="0" w:type="dxa"/>
            <w:left w:w="108" w:type="dxa"/>
            <w:bottom w:w="0" w:type="dxa"/>
            <w:right w:w="108" w:type="dxa"/>
          </w:tblCellMar>
        </w:tblPrEx>
        <w:trPr>
          <w:trHeight w:val="620" w:hRule="atLeast"/>
        </w:trPr>
        <w:tc>
          <w:tcPr>
            <w:tcW w:w="929" w:type="dxa"/>
            <w:tcBorders>
              <w:top w:val="single" w:color="000000" w:sz="4" w:space="0"/>
              <w:left w:val="single" w:color="000000" w:sz="4" w:space="0"/>
              <w:bottom w:val="single" w:color="000000" w:sz="4" w:space="0"/>
              <w:right w:val="single" w:color="000000" w:sz="4" w:space="0"/>
            </w:tcBorders>
            <w:vAlign w:val="center"/>
          </w:tcPr>
          <w:p>
            <w:pPr>
              <w:widowControl/>
              <w:kinsoku/>
              <w:wordWrap/>
              <w:overflowPunct/>
              <w:bidi w:val="0"/>
              <w:spacing w:beforeAutospacing="0" w:line="440" w:lineRule="exact"/>
              <w:ind w:left="0" w:leftChars="0" w:right="0"/>
              <w:jc w:val="center"/>
              <w:textAlignment w:val="center"/>
              <w:rPr>
                <w:rFonts w:hint="eastAsia" w:ascii="仿宋" w:hAnsi="仿宋" w:eastAsia="仿宋" w:cs="仿宋"/>
                <w:color w:val="auto"/>
                <w:sz w:val="24"/>
                <w:szCs w:val="24"/>
                <w:highlight w:val="none"/>
              </w:rPr>
            </w:pPr>
            <w:r>
              <w:rPr>
                <w:rFonts w:hint="eastAsia" w:ascii="仿宋" w:hAnsi="仿宋" w:eastAsia="仿宋" w:cs="仿宋"/>
                <w:b/>
                <w:bCs/>
                <w:color w:val="auto"/>
                <w:kern w:val="0"/>
                <w:sz w:val="24"/>
                <w:szCs w:val="24"/>
                <w:highlight w:val="none"/>
                <w:lang w:bidi="ar"/>
              </w:rPr>
              <w:t>7</w:t>
            </w:r>
          </w:p>
        </w:tc>
        <w:tc>
          <w:tcPr>
            <w:tcW w:w="897" w:type="dxa"/>
            <w:tcBorders>
              <w:top w:val="single" w:color="000000" w:sz="4" w:space="0"/>
              <w:left w:val="single" w:color="000000" w:sz="4" w:space="0"/>
              <w:bottom w:val="single" w:color="000000" w:sz="4" w:space="0"/>
              <w:right w:val="single" w:color="000000" w:sz="4" w:space="0"/>
            </w:tcBorders>
            <w:vAlign w:val="center"/>
          </w:tcPr>
          <w:p>
            <w:pPr>
              <w:widowControl/>
              <w:kinsoku/>
              <w:wordWrap/>
              <w:overflowPunct/>
              <w:bidi w:val="0"/>
              <w:spacing w:beforeAutospacing="0" w:line="440" w:lineRule="exact"/>
              <w:ind w:left="0" w:leftChars="0" w:right="0"/>
              <w:jc w:val="center"/>
              <w:textAlignment w:val="center"/>
              <w:rPr>
                <w:rFonts w:hint="eastAsia" w:ascii="仿宋" w:hAnsi="仿宋" w:eastAsia="仿宋" w:cs="仿宋"/>
                <w:color w:val="auto"/>
                <w:sz w:val="24"/>
                <w:szCs w:val="24"/>
                <w:highlight w:val="none"/>
              </w:rPr>
            </w:pPr>
          </w:p>
        </w:tc>
        <w:tc>
          <w:tcPr>
            <w:tcW w:w="848" w:type="dxa"/>
            <w:tcBorders>
              <w:top w:val="single" w:color="000000" w:sz="4" w:space="0"/>
              <w:left w:val="single" w:color="000000" w:sz="4" w:space="0"/>
              <w:bottom w:val="single" w:color="000000" w:sz="4" w:space="0"/>
              <w:right w:val="single" w:color="000000" w:sz="4" w:space="0"/>
            </w:tcBorders>
            <w:vAlign w:val="center"/>
          </w:tcPr>
          <w:p>
            <w:pPr>
              <w:widowControl/>
              <w:kinsoku/>
              <w:wordWrap/>
              <w:overflowPunct/>
              <w:bidi w:val="0"/>
              <w:spacing w:beforeAutospacing="0" w:line="440" w:lineRule="exact"/>
              <w:ind w:left="0" w:leftChars="0" w:right="0"/>
              <w:jc w:val="center"/>
              <w:textAlignment w:val="center"/>
              <w:rPr>
                <w:rFonts w:hint="eastAsia" w:ascii="仿宋" w:hAnsi="仿宋" w:eastAsia="仿宋" w:cs="仿宋"/>
                <w:color w:val="auto"/>
                <w:sz w:val="24"/>
                <w:szCs w:val="24"/>
                <w:highlight w:val="none"/>
              </w:rPr>
            </w:pPr>
          </w:p>
        </w:tc>
        <w:tc>
          <w:tcPr>
            <w:tcW w:w="848" w:type="dxa"/>
            <w:tcBorders>
              <w:top w:val="single" w:color="000000" w:sz="4" w:space="0"/>
              <w:left w:val="single" w:color="000000" w:sz="4" w:space="0"/>
              <w:bottom w:val="single" w:color="000000" w:sz="4" w:space="0"/>
              <w:right w:val="single" w:color="000000" w:sz="4" w:space="0"/>
            </w:tcBorders>
            <w:vAlign w:val="center"/>
          </w:tcPr>
          <w:p>
            <w:pPr>
              <w:widowControl/>
              <w:kinsoku/>
              <w:wordWrap/>
              <w:overflowPunct/>
              <w:bidi w:val="0"/>
              <w:spacing w:beforeAutospacing="0" w:line="440" w:lineRule="exact"/>
              <w:ind w:left="0" w:leftChars="0" w:right="0"/>
              <w:jc w:val="center"/>
              <w:textAlignment w:val="center"/>
              <w:rPr>
                <w:rFonts w:hint="eastAsia" w:ascii="仿宋" w:hAnsi="仿宋" w:eastAsia="仿宋" w:cs="仿宋"/>
                <w:color w:val="auto"/>
                <w:sz w:val="24"/>
                <w:szCs w:val="24"/>
                <w:highlight w:val="none"/>
              </w:rPr>
            </w:pPr>
          </w:p>
        </w:tc>
        <w:tc>
          <w:tcPr>
            <w:tcW w:w="1027" w:type="dxa"/>
            <w:tcBorders>
              <w:top w:val="single" w:color="000000" w:sz="4" w:space="0"/>
              <w:left w:val="single" w:color="000000" w:sz="4" w:space="0"/>
              <w:bottom w:val="single" w:color="000000" w:sz="4" w:space="0"/>
              <w:right w:val="single" w:color="000000" w:sz="4" w:space="0"/>
            </w:tcBorders>
            <w:vAlign w:val="center"/>
          </w:tcPr>
          <w:p>
            <w:pPr>
              <w:widowControl/>
              <w:kinsoku/>
              <w:wordWrap/>
              <w:overflowPunct/>
              <w:bidi w:val="0"/>
              <w:spacing w:beforeAutospacing="0" w:line="440" w:lineRule="exact"/>
              <w:ind w:left="0" w:leftChars="0" w:right="0"/>
              <w:jc w:val="center"/>
              <w:textAlignment w:val="center"/>
              <w:rPr>
                <w:rFonts w:hint="eastAsia" w:ascii="仿宋" w:hAnsi="仿宋" w:eastAsia="仿宋" w:cs="仿宋"/>
                <w:color w:val="auto"/>
                <w:sz w:val="24"/>
                <w:szCs w:val="24"/>
                <w:highlight w:val="none"/>
              </w:rPr>
            </w:pPr>
          </w:p>
        </w:tc>
        <w:tc>
          <w:tcPr>
            <w:tcW w:w="1733" w:type="dxa"/>
            <w:tcBorders>
              <w:top w:val="single" w:color="000000" w:sz="4" w:space="0"/>
              <w:left w:val="single" w:color="000000" w:sz="4" w:space="0"/>
              <w:bottom w:val="single" w:color="000000" w:sz="4" w:space="0"/>
              <w:right w:val="single" w:color="000000" w:sz="4" w:space="0"/>
            </w:tcBorders>
            <w:vAlign w:val="center"/>
          </w:tcPr>
          <w:p>
            <w:pPr>
              <w:widowControl/>
              <w:kinsoku/>
              <w:wordWrap/>
              <w:overflowPunct/>
              <w:bidi w:val="0"/>
              <w:spacing w:beforeAutospacing="0" w:line="440" w:lineRule="exact"/>
              <w:ind w:left="0" w:leftChars="0" w:right="0"/>
              <w:jc w:val="center"/>
              <w:textAlignment w:val="center"/>
              <w:rPr>
                <w:rFonts w:hint="eastAsia" w:ascii="仿宋" w:hAnsi="仿宋" w:eastAsia="仿宋" w:cs="仿宋"/>
                <w:b/>
                <w:bCs/>
                <w:color w:val="auto"/>
                <w:kern w:val="0"/>
                <w:sz w:val="24"/>
                <w:szCs w:val="24"/>
                <w:highlight w:val="none"/>
                <w:lang w:bidi="ar"/>
              </w:rPr>
            </w:pPr>
          </w:p>
        </w:tc>
        <w:tc>
          <w:tcPr>
            <w:tcW w:w="1320" w:type="dxa"/>
            <w:tcBorders>
              <w:top w:val="single" w:color="000000" w:sz="4" w:space="0"/>
              <w:left w:val="single" w:color="000000" w:sz="4" w:space="0"/>
              <w:bottom w:val="single" w:color="000000" w:sz="4" w:space="0"/>
              <w:right w:val="single" w:color="000000" w:sz="4" w:space="0"/>
            </w:tcBorders>
            <w:vAlign w:val="center"/>
          </w:tcPr>
          <w:p>
            <w:pPr>
              <w:widowControl/>
              <w:kinsoku/>
              <w:wordWrap/>
              <w:overflowPunct/>
              <w:bidi w:val="0"/>
              <w:spacing w:beforeAutospacing="0" w:line="440" w:lineRule="exact"/>
              <w:ind w:left="0" w:leftChars="0" w:right="0"/>
              <w:jc w:val="center"/>
              <w:textAlignment w:val="center"/>
              <w:rPr>
                <w:rFonts w:hint="eastAsia" w:ascii="仿宋" w:hAnsi="仿宋" w:eastAsia="仿宋" w:cs="仿宋"/>
                <w:b/>
                <w:bCs/>
                <w:color w:val="auto"/>
                <w:kern w:val="0"/>
                <w:sz w:val="24"/>
                <w:szCs w:val="24"/>
                <w:highlight w:val="none"/>
                <w:lang w:bidi="ar"/>
              </w:rPr>
            </w:pPr>
          </w:p>
        </w:tc>
        <w:tc>
          <w:tcPr>
            <w:tcW w:w="1320" w:type="dxa"/>
            <w:tcBorders>
              <w:top w:val="single" w:color="000000" w:sz="4" w:space="0"/>
              <w:left w:val="single" w:color="000000" w:sz="4" w:space="0"/>
              <w:bottom w:val="single" w:color="000000" w:sz="4" w:space="0"/>
              <w:right w:val="single" w:color="000000" w:sz="4" w:space="0"/>
            </w:tcBorders>
            <w:vAlign w:val="center"/>
          </w:tcPr>
          <w:p>
            <w:pPr>
              <w:widowControl/>
              <w:kinsoku/>
              <w:wordWrap/>
              <w:overflowPunct/>
              <w:bidi w:val="0"/>
              <w:spacing w:beforeAutospacing="0" w:line="440" w:lineRule="exact"/>
              <w:ind w:left="0" w:leftChars="0" w:right="0"/>
              <w:jc w:val="center"/>
              <w:textAlignment w:val="center"/>
              <w:rPr>
                <w:rFonts w:hint="eastAsia" w:ascii="仿宋" w:hAnsi="仿宋" w:eastAsia="仿宋" w:cs="仿宋"/>
                <w:b/>
                <w:bCs/>
                <w:color w:val="auto"/>
                <w:kern w:val="0"/>
                <w:sz w:val="24"/>
                <w:szCs w:val="24"/>
                <w:highlight w:val="none"/>
                <w:lang w:bidi="ar"/>
              </w:rPr>
            </w:pPr>
          </w:p>
        </w:tc>
        <w:tc>
          <w:tcPr>
            <w:tcW w:w="1024" w:type="dxa"/>
            <w:tcBorders>
              <w:top w:val="single" w:color="000000" w:sz="4" w:space="0"/>
              <w:left w:val="single" w:color="000000" w:sz="4" w:space="0"/>
              <w:bottom w:val="single" w:color="000000" w:sz="4" w:space="0"/>
              <w:right w:val="single" w:color="000000" w:sz="4" w:space="0"/>
            </w:tcBorders>
            <w:vAlign w:val="center"/>
          </w:tcPr>
          <w:p>
            <w:pPr>
              <w:widowControl/>
              <w:kinsoku/>
              <w:wordWrap/>
              <w:overflowPunct/>
              <w:bidi w:val="0"/>
              <w:spacing w:beforeAutospacing="0" w:line="440" w:lineRule="exact"/>
              <w:ind w:left="0" w:leftChars="0" w:right="0"/>
              <w:jc w:val="center"/>
              <w:textAlignment w:val="center"/>
              <w:rPr>
                <w:rFonts w:hint="eastAsia" w:ascii="仿宋" w:hAnsi="仿宋" w:eastAsia="仿宋" w:cs="仿宋"/>
                <w:b/>
                <w:bCs/>
                <w:color w:val="auto"/>
                <w:kern w:val="0"/>
                <w:sz w:val="24"/>
                <w:szCs w:val="24"/>
                <w:highlight w:val="none"/>
                <w:lang w:bidi="ar"/>
              </w:rPr>
            </w:pPr>
          </w:p>
        </w:tc>
      </w:tr>
      <w:tr>
        <w:tblPrEx>
          <w:tblCellMar>
            <w:top w:w="0" w:type="dxa"/>
            <w:left w:w="108" w:type="dxa"/>
            <w:bottom w:w="0" w:type="dxa"/>
            <w:right w:w="108" w:type="dxa"/>
          </w:tblCellMar>
        </w:tblPrEx>
        <w:trPr>
          <w:trHeight w:val="620" w:hRule="atLeast"/>
        </w:trPr>
        <w:tc>
          <w:tcPr>
            <w:tcW w:w="929" w:type="dxa"/>
            <w:tcBorders>
              <w:top w:val="single" w:color="000000" w:sz="4" w:space="0"/>
              <w:left w:val="single" w:color="000000" w:sz="4" w:space="0"/>
              <w:bottom w:val="single" w:color="000000" w:sz="4" w:space="0"/>
              <w:right w:val="single" w:color="000000" w:sz="4" w:space="0"/>
            </w:tcBorders>
            <w:vAlign w:val="center"/>
          </w:tcPr>
          <w:p>
            <w:pPr>
              <w:widowControl/>
              <w:kinsoku/>
              <w:wordWrap/>
              <w:overflowPunct/>
              <w:bidi w:val="0"/>
              <w:spacing w:beforeAutospacing="0" w:line="440" w:lineRule="exact"/>
              <w:ind w:left="0" w:leftChars="0" w:right="0"/>
              <w:jc w:val="center"/>
              <w:textAlignment w:val="center"/>
              <w:rPr>
                <w:rFonts w:hint="eastAsia" w:ascii="仿宋" w:hAnsi="仿宋" w:eastAsia="仿宋" w:cs="仿宋"/>
                <w:color w:val="auto"/>
                <w:sz w:val="24"/>
                <w:szCs w:val="24"/>
                <w:highlight w:val="none"/>
              </w:rPr>
            </w:pPr>
            <w:r>
              <w:rPr>
                <w:rFonts w:hint="eastAsia" w:ascii="仿宋" w:hAnsi="仿宋" w:eastAsia="仿宋" w:cs="仿宋"/>
                <w:b/>
                <w:bCs/>
                <w:color w:val="auto"/>
                <w:kern w:val="0"/>
                <w:sz w:val="24"/>
                <w:szCs w:val="24"/>
                <w:highlight w:val="none"/>
                <w:lang w:bidi="ar"/>
              </w:rPr>
              <w:t>8</w:t>
            </w:r>
          </w:p>
        </w:tc>
        <w:tc>
          <w:tcPr>
            <w:tcW w:w="897" w:type="dxa"/>
            <w:tcBorders>
              <w:top w:val="single" w:color="000000" w:sz="4" w:space="0"/>
              <w:left w:val="single" w:color="000000" w:sz="4" w:space="0"/>
              <w:bottom w:val="single" w:color="000000" w:sz="4" w:space="0"/>
              <w:right w:val="single" w:color="000000" w:sz="4" w:space="0"/>
            </w:tcBorders>
            <w:vAlign w:val="center"/>
          </w:tcPr>
          <w:p>
            <w:pPr>
              <w:widowControl/>
              <w:kinsoku/>
              <w:wordWrap/>
              <w:overflowPunct/>
              <w:bidi w:val="0"/>
              <w:spacing w:beforeAutospacing="0" w:line="440" w:lineRule="exact"/>
              <w:ind w:left="0" w:leftChars="0" w:right="0"/>
              <w:jc w:val="center"/>
              <w:textAlignment w:val="center"/>
              <w:rPr>
                <w:rFonts w:hint="eastAsia" w:ascii="仿宋" w:hAnsi="仿宋" w:eastAsia="仿宋" w:cs="仿宋"/>
                <w:color w:val="auto"/>
                <w:sz w:val="24"/>
                <w:szCs w:val="24"/>
                <w:highlight w:val="none"/>
              </w:rPr>
            </w:pPr>
          </w:p>
        </w:tc>
        <w:tc>
          <w:tcPr>
            <w:tcW w:w="848" w:type="dxa"/>
            <w:tcBorders>
              <w:top w:val="single" w:color="000000" w:sz="4" w:space="0"/>
              <w:left w:val="single" w:color="000000" w:sz="4" w:space="0"/>
              <w:bottom w:val="single" w:color="000000" w:sz="4" w:space="0"/>
              <w:right w:val="single" w:color="000000" w:sz="4" w:space="0"/>
            </w:tcBorders>
            <w:vAlign w:val="center"/>
          </w:tcPr>
          <w:p>
            <w:pPr>
              <w:widowControl/>
              <w:kinsoku/>
              <w:wordWrap/>
              <w:overflowPunct/>
              <w:bidi w:val="0"/>
              <w:spacing w:beforeAutospacing="0" w:line="440" w:lineRule="exact"/>
              <w:ind w:left="0" w:leftChars="0" w:right="0"/>
              <w:jc w:val="center"/>
              <w:textAlignment w:val="center"/>
              <w:rPr>
                <w:rFonts w:hint="eastAsia" w:ascii="仿宋" w:hAnsi="仿宋" w:eastAsia="仿宋" w:cs="仿宋"/>
                <w:color w:val="auto"/>
                <w:sz w:val="24"/>
                <w:szCs w:val="24"/>
                <w:highlight w:val="none"/>
              </w:rPr>
            </w:pPr>
          </w:p>
        </w:tc>
        <w:tc>
          <w:tcPr>
            <w:tcW w:w="848" w:type="dxa"/>
            <w:tcBorders>
              <w:top w:val="single" w:color="000000" w:sz="4" w:space="0"/>
              <w:left w:val="single" w:color="000000" w:sz="4" w:space="0"/>
              <w:bottom w:val="single" w:color="000000" w:sz="4" w:space="0"/>
              <w:right w:val="single" w:color="000000" w:sz="4" w:space="0"/>
            </w:tcBorders>
            <w:vAlign w:val="center"/>
          </w:tcPr>
          <w:p>
            <w:pPr>
              <w:widowControl/>
              <w:kinsoku/>
              <w:wordWrap/>
              <w:overflowPunct/>
              <w:bidi w:val="0"/>
              <w:spacing w:beforeAutospacing="0" w:line="440" w:lineRule="exact"/>
              <w:ind w:left="0" w:leftChars="0" w:right="0"/>
              <w:jc w:val="center"/>
              <w:textAlignment w:val="center"/>
              <w:rPr>
                <w:rFonts w:hint="eastAsia" w:ascii="仿宋" w:hAnsi="仿宋" w:eastAsia="仿宋" w:cs="仿宋"/>
                <w:color w:val="auto"/>
                <w:sz w:val="24"/>
                <w:szCs w:val="24"/>
                <w:highlight w:val="none"/>
              </w:rPr>
            </w:pPr>
          </w:p>
        </w:tc>
        <w:tc>
          <w:tcPr>
            <w:tcW w:w="1027" w:type="dxa"/>
            <w:tcBorders>
              <w:top w:val="single" w:color="000000" w:sz="4" w:space="0"/>
              <w:left w:val="single" w:color="000000" w:sz="4" w:space="0"/>
              <w:bottom w:val="single" w:color="000000" w:sz="4" w:space="0"/>
              <w:right w:val="single" w:color="000000" w:sz="4" w:space="0"/>
            </w:tcBorders>
            <w:vAlign w:val="center"/>
          </w:tcPr>
          <w:p>
            <w:pPr>
              <w:widowControl/>
              <w:kinsoku/>
              <w:wordWrap/>
              <w:overflowPunct/>
              <w:bidi w:val="0"/>
              <w:spacing w:beforeAutospacing="0" w:line="440" w:lineRule="exact"/>
              <w:ind w:left="0" w:leftChars="0" w:right="0"/>
              <w:jc w:val="center"/>
              <w:textAlignment w:val="center"/>
              <w:rPr>
                <w:rFonts w:hint="eastAsia" w:ascii="仿宋" w:hAnsi="仿宋" w:eastAsia="仿宋" w:cs="仿宋"/>
                <w:color w:val="auto"/>
                <w:sz w:val="24"/>
                <w:szCs w:val="24"/>
                <w:highlight w:val="none"/>
              </w:rPr>
            </w:pPr>
          </w:p>
        </w:tc>
        <w:tc>
          <w:tcPr>
            <w:tcW w:w="1733" w:type="dxa"/>
            <w:tcBorders>
              <w:top w:val="single" w:color="000000" w:sz="4" w:space="0"/>
              <w:left w:val="single" w:color="000000" w:sz="4" w:space="0"/>
              <w:bottom w:val="single" w:color="000000" w:sz="4" w:space="0"/>
              <w:right w:val="single" w:color="000000" w:sz="4" w:space="0"/>
            </w:tcBorders>
            <w:vAlign w:val="center"/>
          </w:tcPr>
          <w:p>
            <w:pPr>
              <w:widowControl/>
              <w:kinsoku/>
              <w:wordWrap/>
              <w:overflowPunct/>
              <w:bidi w:val="0"/>
              <w:spacing w:beforeAutospacing="0" w:line="440" w:lineRule="exact"/>
              <w:ind w:left="0" w:leftChars="0" w:right="0"/>
              <w:jc w:val="center"/>
              <w:textAlignment w:val="center"/>
              <w:rPr>
                <w:rFonts w:hint="eastAsia" w:ascii="仿宋" w:hAnsi="仿宋" w:eastAsia="仿宋" w:cs="仿宋"/>
                <w:b/>
                <w:bCs/>
                <w:color w:val="auto"/>
                <w:kern w:val="0"/>
                <w:sz w:val="24"/>
                <w:szCs w:val="24"/>
                <w:highlight w:val="none"/>
                <w:lang w:bidi="ar"/>
              </w:rPr>
            </w:pPr>
          </w:p>
        </w:tc>
        <w:tc>
          <w:tcPr>
            <w:tcW w:w="1320" w:type="dxa"/>
            <w:tcBorders>
              <w:top w:val="single" w:color="000000" w:sz="4" w:space="0"/>
              <w:left w:val="single" w:color="000000" w:sz="4" w:space="0"/>
              <w:bottom w:val="single" w:color="000000" w:sz="4" w:space="0"/>
              <w:right w:val="single" w:color="000000" w:sz="4" w:space="0"/>
            </w:tcBorders>
            <w:vAlign w:val="center"/>
          </w:tcPr>
          <w:p>
            <w:pPr>
              <w:widowControl/>
              <w:kinsoku/>
              <w:wordWrap/>
              <w:overflowPunct/>
              <w:bidi w:val="0"/>
              <w:spacing w:beforeAutospacing="0" w:line="440" w:lineRule="exact"/>
              <w:ind w:left="0" w:leftChars="0" w:right="0"/>
              <w:jc w:val="center"/>
              <w:textAlignment w:val="center"/>
              <w:rPr>
                <w:rFonts w:hint="eastAsia" w:ascii="仿宋" w:hAnsi="仿宋" w:eastAsia="仿宋" w:cs="仿宋"/>
                <w:b/>
                <w:bCs/>
                <w:color w:val="auto"/>
                <w:kern w:val="0"/>
                <w:sz w:val="24"/>
                <w:szCs w:val="24"/>
                <w:highlight w:val="none"/>
                <w:lang w:bidi="ar"/>
              </w:rPr>
            </w:pPr>
          </w:p>
        </w:tc>
        <w:tc>
          <w:tcPr>
            <w:tcW w:w="1320" w:type="dxa"/>
            <w:tcBorders>
              <w:top w:val="single" w:color="000000" w:sz="4" w:space="0"/>
              <w:left w:val="single" w:color="000000" w:sz="4" w:space="0"/>
              <w:bottom w:val="single" w:color="000000" w:sz="4" w:space="0"/>
              <w:right w:val="single" w:color="000000" w:sz="4" w:space="0"/>
            </w:tcBorders>
            <w:vAlign w:val="center"/>
          </w:tcPr>
          <w:p>
            <w:pPr>
              <w:widowControl/>
              <w:kinsoku/>
              <w:wordWrap/>
              <w:overflowPunct/>
              <w:bidi w:val="0"/>
              <w:spacing w:beforeAutospacing="0" w:line="440" w:lineRule="exact"/>
              <w:ind w:left="0" w:leftChars="0" w:right="0"/>
              <w:jc w:val="center"/>
              <w:textAlignment w:val="center"/>
              <w:rPr>
                <w:rFonts w:hint="eastAsia" w:ascii="仿宋" w:hAnsi="仿宋" w:eastAsia="仿宋" w:cs="仿宋"/>
                <w:b/>
                <w:bCs/>
                <w:color w:val="auto"/>
                <w:kern w:val="0"/>
                <w:sz w:val="24"/>
                <w:szCs w:val="24"/>
                <w:highlight w:val="none"/>
                <w:lang w:bidi="ar"/>
              </w:rPr>
            </w:pPr>
          </w:p>
        </w:tc>
        <w:tc>
          <w:tcPr>
            <w:tcW w:w="1024" w:type="dxa"/>
            <w:tcBorders>
              <w:top w:val="single" w:color="000000" w:sz="4" w:space="0"/>
              <w:left w:val="single" w:color="000000" w:sz="4" w:space="0"/>
              <w:bottom w:val="single" w:color="000000" w:sz="4" w:space="0"/>
              <w:right w:val="single" w:color="000000" w:sz="4" w:space="0"/>
            </w:tcBorders>
            <w:vAlign w:val="center"/>
          </w:tcPr>
          <w:p>
            <w:pPr>
              <w:widowControl/>
              <w:kinsoku/>
              <w:wordWrap/>
              <w:overflowPunct/>
              <w:bidi w:val="0"/>
              <w:spacing w:beforeAutospacing="0" w:line="440" w:lineRule="exact"/>
              <w:ind w:left="0" w:leftChars="0" w:right="0"/>
              <w:jc w:val="center"/>
              <w:textAlignment w:val="center"/>
              <w:rPr>
                <w:rFonts w:hint="eastAsia" w:ascii="仿宋" w:hAnsi="仿宋" w:eastAsia="仿宋" w:cs="仿宋"/>
                <w:b/>
                <w:bCs/>
                <w:color w:val="auto"/>
                <w:kern w:val="0"/>
                <w:sz w:val="24"/>
                <w:szCs w:val="24"/>
                <w:highlight w:val="none"/>
                <w:lang w:bidi="ar"/>
              </w:rPr>
            </w:pPr>
          </w:p>
        </w:tc>
      </w:tr>
      <w:tr>
        <w:tblPrEx>
          <w:tblCellMar>
            <w:top w:w="0" w:type="dxa"/>
            <w:left w:w="108" w:type="dxa"/>
            <w:bottom w:w="0" w:type="dxa"/>
            <w:right w:w="108" w:type="dxa"/>
          </w:tblCellMar>
        </w:tblPrEx>
        <w:trPr>
          <w:trHeight w:val="620" w:hRule="atLeast"/>
        </w:trPr>
        <w:tc>
          <w:tcPr>
            <w:tcW w:w="929" w:type="dxa"/>
            <w:tcBorders>
              <w:top w:val="single" w:color="000000" w:sz="4" w:space="0"/>
              <w:left w:val="single" w:color="000000" w:sz="4" w:space="0"/>
              <w:bottom w:val="single" w:color="000000" w:sz="4" w:space="0"/>
              <w:right w:val="single" w:color="000000" w:sz="4" w:space="0"/>
            </w:tcBorders>
            <w:vAlign w:val="center"/>
          </w:tcPr>
          <w:p>
            <w:pPr>
              <w:widowControl/>
              <w:kinsoku/>
              <w:wordWrap/>
              <w:overflowPunct/>
              <w:bidi w:val="0"/>
              <w:spacing w:beforeAutospacing="0" w:line="440" w:lineRule="exact"/>
              <w:ind w:left="0" w:leftChars="0" w:right="0"/>
              <w:jc w:val="center"/>
              <w:textAlignment w:val="center"/>
              <w:rPr>
                <w:rFonts w:hint="eastAsia" w:ascii="仿宋" w:hAnsi="仿宋" w:eastAsia="仿宋" w:cs="仿宋"/>
                <w:color w:val="auto"/>
                <w:sz w:val="24"/>
                <w:szCs w:val="24"/>
                <w:highlight w:val="none"/>
              </w:rPr>
            </w:pPr>
            <w:r>
              <w:rPr>
                <w:rFonts w:hint="eastAsia" w:ascii="仿宋" w:hAnsi="仿宋" w:eastAsia="仿宋" w:cs="仿宋"/>
                <w:b/>
                <w:bCs/>
                <w:color w:val="auto"/>
                <w:kern w:val="0"/>
                <w:sz w:val="24"/>
                <w:szCs w:val="24"/>
                <w:highlight w:val="none"/>
                <w:lang w:bidi="ar"/>
              </w:rPr>
              <w:t>...</w:t>
            </w:r>
          </w:p>
        </w:tc>
        <w:tc>
          <w:tcPr>
            <w:tcW w:w="897" w:type="dxa"/>
            <w:tcBorders>
              <w:top w:val="single" w:color="000000" w:sz="4" w:space="0"/>
              <w:left w:val="single" w:color="000000" w:sz="4" w:space="0"/>
              <w:bottom w:val="single" w:color="000000" w:sz="4" w:space="0"/>
              <w:right w:val="single" w:color="000000" w:sz="4" w:space="0"/>
            </w:tcBorders>
            <w:vAlign w:val="center"/>
          </w:tcPr>
          <w:p>
            <w:pPr>
              <w:widowControl/>
              <w:kinsoku/>
              <w:wordWrap/>
              <w:overflowPunct/>
              <w:bidi w:val="0"/>
              <w:spacing w:beforeAutospacing="0" w:line="440" w:lineRule="exact"/>
              <w:ind w:left="0" w:leftChars="0" w:right="0"/>
              <w:jc w:val="center"/>
              <w:textAlignment w:val="center"/>
              <w:rPr>
                <w:rFonts w:hint="eastAsia" w:ascii="仿宋" w:hAnsi="仿宋" w:eastAsia="仿宋" w:cs="仿宋"/>
                <w:color w:val="auto"/>
                <w:sz w:val="24"/>
                <w:szCs w:val="24"/>
                <w:highlight w:val="none"/>
              </w:rPr>
            </w:pPr>
          </w:p>
        </w:tc>
        <w:tc>
          <w:tcPr>
            <w:tcW w:w="848" w:type="dxa"/>
            <w:tcBorders>
              <w:top w:val="single" w:color="000000" w:sz="4" w:space="0"/>
              <w:left w:val="single" w:color="000000" w:sz="4" w:space="0"/>
              <w:bottom w:val="single" w:color="000000" w:sz="4" w:space="0"/>
              <w:right w:val="single" w:color="000000" w:sz="4" w:space="0"/>
            </w:tcBorders>
            <w:vAlign w:val="center"/>
          </w:tcPr>
          <w:p>
            <w:pPr>
              <w:widowControl/>
              <w:kinsoku/>
              <w:wordWrap/>
              <w:overflowPunct/>
              <w:bidi w:val="0"/>
              <w:spacing w:beforeAutospacing="0" w:line="440" w:lineRule="exact"/>
              <w:ind w:left="0" w:leftChars="0" w:right="0"/>
              <w:jc w:val="center"/>
              <w:textAlignment w:val="center"/>
              <w:rPr>
                <w:rFonts w:hint="eastAsia" w:ascii="仿宋" w:hAnsi="仿宋" w:eastAsia="仿宋" w:cs="仿宋"/>
                <w:b/>
                <w:bCs/>
                <w:color w:val="auto"/>
                <w:kern w:val="0"/>
                <w:sz w:val="24"/>
                <w:szCs w:val="24"/>
                <w:highlight w:val="none"/>
                <w:lang w:bidi="ar"/>
              </w:rPr>
            </w:pPr>
          </w:p>
        </w:tc>
        <w:tc>
          <w:tcPr>
            <w:tcW w:w="848" w:type="dxa"/>
            <w:tcBorders>
              <w:top w:val="single" w:color="000000" w:sz="4" w:space="0"/>
              <w:left w:val="single" w:color="000000" w:sz="4" w:space="0"/>
              <w:bottom w:val="single" w:color="000000" w:sz="4" w:space="0"/>
              <w:right w:val="single" w:color="000000" w:sz="4" w:space="0"/>
            </w:tcBorders>
            <w:vAlign w:val="center"/>
          </w:tcPr>
          <w:p>
            <w:pPr>
              <w:widowControl/>
              <w:kinsoku/>
              <w:wordWrap/>
              <w:overflowPunct/>
              <w:bidi w:val="0"/>
              <w:spacing w:beforeAutospacing="0" w:line="440" w:lineRule="exact"/>
              <w:ind w:left="0" w:leftChars="0" w:right="0"/>
              <w:jc w:val="center"/>
              <w:textAlignment w:val="center"/>
              <w:rPr>
                <w:rFonts w:hint="eastAsia" w:ascii="仿宋" w:hAnsi="仿宋" w:eastAsia="仿宋" w:cs="仿宋"/>
                <w:color w:val="auto"/>
                <w:sz w:val="24"/>
                <w:szCs w:val="24"/>
                <w:highlight w:val="none"/>
              </w:rPr>
            </w:pPr>
            <w:r>
              <w:rPr>
                <w:rFonts w:hint="eastAsia" w:ascii="仿宋" w:hAnsi="仿宋" w:eastAsia="仿宋" w:cs="仿宋"/>
                <w:b/>
                <w:bCs/>
                <w:color w:val="auto"/>
                <w:kern w:val="0"/>
                <w:sz w:val="24"/>
                <w:szCs w:val="24"/>
                <w:highlight w:val="none"/>
                <w:lang w:bidi="ar"/>
              </w:rPr>
              <w:t>...</w:t>
            </w:r>
          </w:p>
        </w:tc>
        <w:tc>
          <w:tcPr>
            <w:tcW w:w="1027" w:type="dxa"/>
            <w:tcBorders>
              <w:top w:val="single" w:color="000000" w:sz="4" w:space="0"/>
              <w:left w:val="single" w:color="000000" w:sz="4" w:space="0"/>
              <w:bottom w:val="single" w:color="000000" w:sz="4" w:space="0"/>
              <w:right w:val="single" w:color="000000" w:sz="4" w:space="0"/>
            </w:tcBorders>
            <w:vAlign w:val="center"/>
          </w:tcPr>
          <w:p>
            <w:pPr>
              <w:widowControl/>
              <w:kinsoku/>
              <w:wordWrap/>
              <w:overflowPunct/>
              <w:bidi w:val="0"/>
              <w:spacing w:beforeAutospacing="0" w:line="440" w:lineRule="exact"/>
              <w:ind w:left="0" w:leftChars="0" w:right="0"/>
              <w:jc w:val="center"/>
              <w:textAlignment w:val="center"/>
              <w:rPr>
                <w:rFonts w:hint="eastAsia" w:ascii="仿宋" w:hAnsi="仿宋" w:eastAsia="仿宋" w:cs="仿宋"/>
                <w:b/>
                <w:bCs/>
                <w:color w:val="auto"/>
                <w:kern w:val="0"/>
                <w:sz w:val="24"/>
                <w:szCs w:val="24"/>
                <w:highlight w:val="none"/>
                <w:lang w:bidi="ar"/>
              </w:rPr>
            </w:pPr>
          </w:p>
        </w:tc>
        <w:tc>
          <w:tcPr>
            <w:tcW w:w="1733" w:type="dxa"/>
            <w:tcBorders>
              <w:top w:val="single" w:color="000000" w:sz="4" w:space="0"/>
              <w:left w:val="single" w:color="000000" w:sz="4" w:space="0"/>
              <w:bottom w:val="single" w:color="000000" w:sz="4" w:space="0"/>
              <w:right w:val="single" w:color="000000" w:sz="4" w:space="0"/>
            </w:tcBorders>
            <w:vAlign w:val="center"/>
          </w:tcPr>
          <w:p>
            <w:pPr>
              <w:widowControl/>
              <w:kinsoku/>
              <w:wordWrap/>
              <w:overflowPunct/>
              <w:bidi w:val="0"/>
              <w:spacing w:beforeAutospacing="0" w:line="440" w:lineRule="exact"/>
              <w:ind w:left="0" w:leftChars="0" w:right="0"/>
              <w:jc w:val="center"/>
              <w:textAlignment w:val="center"/>
              <w:rPr>
                <w:rFonts w:hint="eastAsia" w:ascii="仿宋" w:hAnsi="仿宋" w:eastAsia="仿宋" w:cs="仿宋"/>
                <w:b/>
                <w:bCs/>
                <w:color w:val="auto"/>
                <w:kern w:val="0"/>
                <w:sz w:val="24"/>
                <w:szCs w:val="24"/>
                <w:highlight w:val="none"/>
                <w:lang w:bidi="ar"/>
              </w:rPr>
            </w:pPr>
          </w:p>
        </w:tc>
        <w:tc>
          <w:tcPr>
            <w:tcW w:w="1320" w:type="dxa"/>
            <w:tcBorders>
              <w:top w:val="single" w:color="000000" w:sz="4" w:space="0"/>
              <w:left w:val="single" w:color="000000" w:sz="4" w:space="0"/>
              <w:bottom w:val="single" w:color="000000" w:sz="4" w:space="0"/>
              <w:right w:val="single" w:color="000000" w:sz="4" w:space="0"/>
            </w:tcBorders>
            <w:vAlign w:val="center"/>
          </w:tcPr>
          <w:p>
            <w:pPr>
              <w:widowControl/>
              <w:kinsoku/>
              <w:wordWrap/>
              <w:overflowPunct/>
              <w:bidi w:val="0"/>
              <w:spacing w:beforeAutospacing="0" w:line="440" w:lineRule="exact"/>
              <w:ind w:left="0" w:leftChars="0" w:right="0"/>
              <w:jc w:val="center"/>
              <w:textAlignment w:val="center"/>
              <w:rPr>
                <w:rFonts w:hint="eastAsia" w:ascii="仿宋" w:hAnsi="仿宋" w:eastAsia="仿宋" w:cs="仿宋"/>
                <w:b/>
                <w:bCs/>
                <w:color w:val="auto"/>
                <w:kern w:val="0"/>
                <w:sz w:val="24"/>
                <w:szCs w:val="24"/>
                <w:highlight w:val="none"/>
                <w:lang w:bidi="ar"/>
              </w:rPr>
            </w:pPr>
          </w:p>
        </w:tc>
        <w:tc>
          <w:tcPr>
            <w:tcW w:w="1320" w:type="dxa"/>
            <w:tcBorders>
              <w:top w:val="single" w:color="000000" w:sz="4" w:space="0"/>
              <w:left w:val="single" w:color="000000" w:sz="4" w:space="0"/>
              <w:bottom w:val="single" w:color="000000" w:sz="4" w:space="0"/>
              <w:right w:val="single" w:color="000000" w:sz="4" w:space="0"/>
            </w:tcBorders>
            <w:vAlign w:val="center"/>
          </w:tcPr>
          <w:p>
            <w:pPr>
              <w:widowControl/>
              <w:kinsoku/>
              <w:wordWrap/>
              <w:overflowPunct/>
              <w:bidi w:val="0"/>
              <w:spacing w:beforeAutospacing="0" w:line="440" w:lineRule="exact"/>
              <w:ind w:left="0" w:leftChars="0" w:right="0"/>
              <w:jc w:val="center"/>
              <w:textAlignment w:val="center"/>
              <w:rPr>
                <w:rFonts w:hint="eastAsia" w:ascii="仿宋" w:hAnsi="仿宋" w:eastAsia="仿宋" w:cs="仿宋"/>
                <w:b/>
                <w:bCs/>
                <w:color w:val="auto"/>
                <w:kern w:val="0"/>
                <w:sz w:val="24"/>
                <w:szCs w:val="24"/>
                <w:highlight w:val="none"/>
                <w:lang w:bidi="ar"/>
              </w:rPr>
            </w:pPr>
          </w:p>
        </w:tc>
        <w:tc>
          <w:tcPr>
            <w:tcW w:w="1024" w:type="dxa"/>
            <w:tcBorders>
              <w:top w:val="single" w:color="000000" w:sz="4" w:space="0"/>
              <w:left w:val="single" w:color="000000" w:sz="4" w:space="0"/>
              <w:bottom w:val="single" w:color="000000" w:sz="4" w:space="0"/>
              <w:right w:val="single" w:color="000000" w:sz="4" w:space="0"/>
            </w:tcBorders>
            <w:vAlign w:val="center"/>
          </w:tcPr>
          <w:p>
            <w:pPr>
              <w:widowControl/>
              <w:kinsoku/>
              <w:wordWrap/>
              <w:overflowPunct/>
              <w:bidi w:val="0"/>
              <w:spacing w:beforeAutospacing="0" w:line="440" w:lineRule="exact"/>
              <w:ind w:left="0" w:leftChars="0" w:right="0"/>
              <w:jc w:val="center"/>
              <w:textAlignment w:val="center"/>
              <w:rPr>
                <w:rFonts w:hint="eastAsia" w:ascii="仿宋" w:hAnsi="仿宋" w:eastAsia="仿宋" w:cs="仿宋"/>
                <w:b/>
                <w:bCs/>
                <w:color w:val="auto"/>
                <w:kern w:val="0"/>
                <w:sz w:val="24"/>
                <w:szCs w:val="24"/>
                <w:highlight w:val="none"/>
                <w:lang w:bidi="ar"/>
              </w:rPr>
            </w:pPr>
          </w:p>
        </w:tc>
      </w:tr>
    </w:tbl>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rPr>
        <w:t>注：本供货及服务范围如有任何漏项，但确实是采购人采购范围中应该有的，是满足技术规范及国家或行业有关标准要求所必须的，均应由投标人负责将漏项补齐并填报在对应分项的“其它”栏中，在备注栏中予以说明。合同签订后如发现仍有遗漏，仍由投标人无偿提供补齐。</w:t>
      </w:r>
    </w:p>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p>
    <w:p>
      <w:pPr>
        <w:kinsoku/>
        <w:wordWrap/>
        <w:overflowPunct/>
        <w:bidi w:val="0"/>
        <w:spacing w:beforeAutospacing="0" w:line="440" w:lineRule="exact"/>
        <w:ind w:left="0" w:leftChars="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投标人（盖章）：</w:t>
      </w:r>
    </w:p>
    <w:p>
      <w:pPr>
        <w:kinsoku/>
        <w:wordWrap/>
        <w:overflowPunct/>
        <w:bidi w:val="0"/>
        <w:spacing w:beforeAutospacing="0" w:line="440" w:lineRule="exact"/>
        <w:ind w:left="0" w:leftChars="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法定代表人或授权代理人（签字或盖章）：</w:t>
      </w:r>
    </w:p>
    <w:p>
      <w:pPr>
        <w:kinsoku/>
        <w:wordWrap/>
        <w:overflowPunct/>
        <w:bidi w:val="0"/>
        <w:spacing w:beforeAutospacing="0" w:line="440" w:lineRule="exact"/>
        <w:ind w:left="0" w:leftChars="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日  期：  年  月  日</w:t>
      </w:r>
    </w:p>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附件：</w:t>
      </w:r>
    </w:p>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p>
    <w:p>
      <w:pPr>
        <w:kinsoku/>
        <w:wordWrap/>
        <w:overflowPunct/>
        <w:bidi w:val="0"/>
        <w:spacing w:beforeAutospacing="0" w:line="440" w:lineRule="exact"/>
        <w:ind w:left="0" w:leftChars="0" w:right="0"/>
        <w:jc w:val="center"/>
        <w:rPr>
          <w:rFonts w:hint="eastAsia" w:ascii="仿宋" w:hAnsi="仿宋" w:eastAsia="仿宋" w:cs="仿宋"/>
          <w:color w:val="auto"/>
          <w:sz w:val="24"/>
          <w:szCs w:val="24"/>
          <w:highlight w:val="none"/>
        </w:rPr>
      </w:pPr>
      <w:bookmarkStart w:id="18" w:name="_Toc25825"/>
      <w:r>
        <w:rPr>
          <w:rFonts w:hint="eastAsia" w:ascii="仿宋" w:hAnsi="仿宋" w:eastAsia="仿宋" w:cs="仿宋"/>
          <w:color w:val="auto"/>
          <w:sz w:val="24"/>
          <w:szCs w:val="24"/>
          <w:highlight w:val="none"/>
        </w:rPr>
        <w:t>投  标  人  企  业  简  介</w:t>
      </w:r>
      <w:bookmarkEnd w:id="18"/>
    </w:p>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p>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bookmarkStart w:id="19" w:name="_Toc4836"/>
      <w:r>
        <w:rPr>
          <w:rFonts w:hint="eastAsia" w:ascii="仿宋" w:hAnsi="仿宋" w:eastAsia="仿宋" w:cs="仿宋"/>
          <w:color w:val="auto"/>
          <w:sz w:val="24"/>
          <w:szCs w:val="24"/>
          <w:highlight w:val="none"/>
        </w:rPr>
        <w:t>1、投标人(盖公章)：</w:t>
      </w:r>
      <w:bookmarkEnd w:id="19"/>
    </w:p>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bookmarkStart w:id="20" w:name="_Toc6678"/>
      <w:r>
        <w:rPr>
          <w:rFonts w:hint="eastAsia" w:ascii="仿宋" w:hAnsi="仿宋" w:eastAsia="仿宋" w:cs="仿宋"/>
          <w:color w:val="auto"/>
          <w:sz w:val="24"/>
          <w:szCs w:val="24"/>
          <w:highlight w:val="none"/>
        </w:rPr>
        <w:t>2、投标单位地址：</w:t>
      </w:r>
      <w:bookmarkEnd w:id="20"/>
      <w:r>
        <w:rPr>
          <w:rFonts w:hint="eastAsia" w:ascii="仿宋" w:hAnsi="仿宋" w:eastAsia="仿宋" w:cs="仿宋"/>
          <w:color w:val="auto"/>
          <w:sz w:val="24"/>
          <w:szCs w:val="24"/>
          <w:highlight w:val="none"/>
        </w:rPr>
        <w:tab/>
      </w:r>
    </w:p>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bookmarkStart w:id="21" w:name="_Toc6584"/>
      <w:r>
        <w:rPr>
          <w:rFonts w:hint="eastAsia" w:ascii="仿宋" w:hAnsi="仿宋" w:eastAsia="仿宋" w:cs="仿宋"/>
          <w:color w:val="auto"/>
          <w:sz w:val="24"/>
          <w:szCs w:val="24"/>
          <w:highlight w:val="none"/>
        </w:rPr>
        <w:t>3、经营范围：</w:t>
      </w:r>
      <w:bookmarkEnd w:id="21"/>
      <w:r>
        <w:rPr>
          <w:rFonts w:hint="eastAsia" w:ascii="仿宋" w:hAnsi="仿宋" w:eastAsia="仿宋" w:cs="仿宋"/>
          <w:color w:val="auto"/>
          <w:sz w:val="24"/>
          <w:szCs w:val="24"/>
          <w:highlight w:val="none"/>
        </w:rPr>
        <w:tab/>
      </w:r>
    </w:p>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bookmarkStart w:id="22" w:name="_Toc16476"/>
      <w:r>
        <w:rPr>
          <w:rFonts w:hint="eastAsia" w:ascii="仿宋" w:hAnsi="仿宋" w:eastAsia="仿宋" w:cs="仿宋"/>
          <w:color w:val="auto"/>
          <w:sz w:val="24"/>
          <w:szCs w:val="24"/>
          <w:highlight w:val="none"/>
        </w:rPr>
        <w:t>4、投标人自我介绍：</w:t>
      </w:r>
      <w:bookmarkEnd w:id="22"/>
      <w:r>
        <w:rPr>
          <w:rFonts w:hint="eastAsia" w:ascii="仿宋" w:hAnsi="仿宋" w:eastAsia="仿宋" w:cs="仿宋"/>
          <w:color w:val="auto"/>
          <w:sz w:val="24"/>
          <w:szCs w:val="24"/>
          <w:highlight w:val="none"/>
        </w:rPr>
        <w:tab/>
      </w:r>
    </w:p>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p>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p>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pPr>
        <w:kinsoku/>
        <w:wordWrap/>
        <w:overflowPunct/>
        <w:bidi w:val="0"/>
        <w:spacing w:beforeAutospacing="0" w:line="440" w:lineRule="exact"/>
        <w:ind w:left="0" w:leftChars="0" w:right="0"/>
        <w:jc w:val="center"/>
        <w:rPr>
          <w:rFonts w:hint="eastAsia" w:ascii="仿宋" w:hAnsi="仿宋" w:eastAsia="仿宋" w:cs="仿宋"/>
          <w:color w:val="auto"/>
          <w:sz w:val="24"/>
          <w:szCs w:val="24"/>
          <w:highlight w:val="none"/>
        </w:rPr>
      </w:pPr>
      <w:bookmarkStart w:id="23" w:name="_Toc27716"/>
      <w:r>
        <w:rPr>
          <w:rFonts w:hint="eastAsia" w:ascii="仿宋" w:hAnsi="仿宋" w:eastAsia="仿宋" w:cs="仿宋"/>
          <w:color w:val="auto"/>
          <w:sz w:val="24"/>
          <w:szCs w:val="24"/>
          <w:highlight w:val="none"/>
        </w:rPr>
        <w:t>投标函</w:t>
      </w:r>
    </w:p>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致____________(采购人或采购代理机构)：</w:t>
      </w:r>
    </w:p>
    <w:p>
      <w:pPr>
        <w:kinsoku/>
        <w:wordWrap/>
        <w:overflowPunct/>
        <w:bidi w:val="0"/>
        <w:spacing w:beforeAutospacing="0" w:line="44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根据________(项目名称)(项目编号：________)的投标邀请，________(姓名、职务)代表供应商________(供应商名称、地址)参加本项目招标的有关活动。据此函，作如下承诺：</w:t>
      </w:r>
    </w:p>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1.同意在本项目招标文件中规定的开标日起______天遵守本投标文件中的承诺，且在期满之前均具有约束力。</w:t>
      </w:r>
    </w:p>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2.具备政府采购相关法律法规规定的参加政府采购活动的供应商应当具备的条件：</w:t>
      </w:r>
    </w:p>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(1)具有独立承担民事责任的能力；</w:t>
      </w:r>
    </w:p>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(2)具有良好的商业信誉和健全的财务会计制度；</w:t>
      </w:r>
    </w:p>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(3)具有履行合同所必需的设备和专业技术能力；</w:t>
      </w:r>
    </w:p>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(4)有依法缴纳税收和社会保障资金的良好记录；</w:t>
      </w:r>
    </w:p>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(5)参加此项采购活动前3年内，在经营活动中没有重大违法记录。</w:t>
      </w:r>
    </w:p>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3.具备本项目招标文件中规定的其他资格条件。</w:t>
      </w:r>
    </w:p>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4.提供供应商须知规定的全部投标文件，包括投标文件正本______份，副本______份，电子文档______份，开标一览表(投标报价表)______份。</w:t>
      </w:r>
    </w:p>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5.已详细审阅全部招标文件(包括招标文件澄清函)，理解供应商须知的所有条款。</w:t>
      </w:r>
    </w:p>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6.接受招标文件中全部合同条款，且无任何异议；保证忠实地执行双方所签订的合同，并承担合同规定的责任和义务。</w:t>
      </w:r>
    </w:p>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7.完全满足和响应招标文件中的各项商务和技术要求，若有偏差，已在投标文件中明确说明。</w:t>
      </w:r>
    </w:p>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8.如果在开标后规定的投标有效期内撤回投标，贵方可不予退还我方的投标保证金。</w:t>
      </w:r>
    </w:p>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9.愿意提供任何与投标有关的数据、情况和技术资料等。</w:t>
      </w:r>
    </w:p>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10.我方已详细审核全部投标文件、参考资料及有关附件，确认无误。</w:t>
      </w:r>
    </w:p>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11.对本次招标内容及与本项目有关的知识产权、技术资料、商业秘密及相关信息保密。</w:t>
      </w:r>
    </w:p>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12.与采购人和采购代理机构无任何的隶属关系或者其他利害关系。</w:t>
      </w:r>
    </w:p>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pPr>
        <w:kinsoku/>
        <w:wordWrap/>
        <w:overflowPunct/>
        <w:bidi w:val="0"/>
        <w:spacing w:beforeAutospacing="0" w:line="440" w:lineRule="exact"/>
        <w:ind w:left="0" w:leftChars="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投标承诺书（一）</w:t>
      </w:r>
      <w:bookmarkEnd w:id="23"/>
    </w:p>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（采购人名称）</w:t>
      </w:r>
    </w:p>
    <w:p>
      <w:pPr>
        <w:kinsoku/>
        <w:wordWrap/>
        <w:overflowPunct/>
        <w:bidi w:val="0"/>
        <w:spacing w:beforeAutospacing="0" w:line="44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我方收到并研究了贵方</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（项目名称、项目编号）项目的采购文件，愿意按照采购文件规定的内容承担该项目的投标任务，严格执行我方所承诺的责任和义务。为此，我方郑重声明以下诸点，并负法律责任。</w:t>
      </w:r>
    </w:p>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1、我方按采购要求提交投标文件；我方愿按《中华人民共和国政府采购法》及其他有关法律、法规的规定，自觉履行自己的全部责任。</w:t>
      </w:r>
    </w:p>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2、我方同意在投标有效期内遵守本投标文件，在此期限期满前的任何时间，本投标文件一直对我们具有约束力；</w:t>
      </w:r>
    </w:p>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3、如果我方投标文件被接受，我方将按照采购文件的规定，我方保证将按招标要求和投标文件中的承诺按期、按质、按量交付使用方；</w:t>
      </w:r>
    </w:p>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4、如果我方中标，我方将在采购文件规定的时间内签订委托合同并按招标要求提供履约担保。如果我方违约，除投标保证金不予退还外，贵方有权终止我方成交并选择其它中标人。</w:t>
      </w:r>
    </w:p>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如果我方中标，我方将在采购文件规定的时间内签订服务合同。如果我方违约，借故拒签合同或拖延签订的，则采购人将废除授标，投标保证金不予退还，给采购人造成的损失超过投保证金保数额的，还应当对超过部分予以赔偿，同时依法承担相应法律责任，采购人可另行选择中标单位。</w:t>
      </w:r>
    </w:p>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6、一旦我方成交，我方愿意按采购要求承担招标代理服务费。</w:t>
      </w:r>
    </w:p>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7、贵方的中标通知书和本投标文件将构成约束双方的合同。</w:t>
      </w:r>
    </w:p>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8、如果我方未成交，贵方没有必要对我方做出任何解释和说明，我方将充分尊重和理解贵方的选择。</w:t>
      </w:r>
    </w:p>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9、我方的投标响应文件自提交投标文件截止之日起有效期为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天。</w:t>
      </w:r>
    </w:p>
    <w:p>
      <w:pPr>
        <w:kinsoku/>
        <w:wordWrap/>
        <w:overflowPunct/>
        <w:bidi w:val="0"/>
        <w:spacing w:beforeAutospacing="0" w:line="440" w:lineRule="exact"/>
        <w:ind w:left="0" w:leftChars="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p>
      <w:pPr>
        <w:kinsoku/>
        <w:wordWrap/>
        <w:overflowPunct/>
        <w:bidi w:val="0"/>
        <w:spacing w:beforeAutospacing="0" w:line="440" w:lineRule="exact"/>
        <w:ind w:left="0" w:leftChars="0" w:right="0"/>
        <w:jc w:val="center"/>
        <w:rPr>
          <w:rFonts w:hint="eastAsia" w:ascii="仿宋" w:hAnsi="仿宋" w:eastAsia="仿宋" w:cs="仿宋"/>
          <w:color w:val="auto"/>
          <w:sz w:val="24"/>
          <w:szCs w:val="24"/>
          <w:highlight w:val="none"/>
        </w:rPr>
      </w:pPr>
    </w:p>
    <w:p>
      <w:pPr>
        <w:kinsoku/>
        <w:wordWrap/>
        <w:overflowPunct/>
        <w:bidi w:val="0"/>
        <w:spacing w:beforeAutospacing="0" w:line="440" w:lineRule="exact"/>
        <w:ind w:left="0" w:leftChars="0" w:right="0"/>
        <w:jc w:val="center"/>
        <w:rPr>
          <w:rFonts w:hint="eastAsia" w:ascii="仿宋" w:hAnsi="仿宋" w:eastAsia="仿宋" w:cs="仿宋"/>
          <w:color w:val="auto"/>
          <w:sz w:val="24"/>
          <w:szCs w:val="24"/>
          <w:highlight w:val="none"/>
        </w:rPr>
      </w:pPr>
    </w:p>
    <w:p>
      <w:pPr>
        <w:kinsoku/>
        <w:wordWrap/>
        <w:overflowPunct/>
        <w:bidi w:val="0"/>
        <w:spacing w:beforeAutospacing="0" w:line="440" w:lineRule="exact"/>
        <w:ind w:left="0" w:leftChars="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投标人（盖章）：</w:t>
      </w:r>
    </w:p>
    <w:p>
      <w:pPr>
        <w:kinsoku/>
        <w:wordWrap/>
        <w:overflowPunct/>
        <w:bidi w:val="0"/>
        <w:spacing w:beforeAutospacing="0" w:line="440" w:lineRule="exact"/>
        <w:ind w:left="0" w:leftChars="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法定代表人或授权代理人（签字或盖章）：</w:t>
      </w:r>
    </w:p>
    <w:p>
      <w:pPr>
        <w:kinsoku/>
        <w:wordWrap/>
        <w:overflowPunct/>
        <w:bidi w:val="0"/>
        <w:spacing w:beforeAutospacing="0" w:line="440" w:lineRule="exact"/>
        <w:ind w:left="0" w:leftChars="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日  期：  年  月  日</w:t>
      </w:r>
    </w:p>
    <w:p>
      <w:pPr>
        <w:kinsoku/>
        <w:wordWrap/>
        <w:overflowPunct/>
        <w:bidi w:val="0"/>
        <w:spacing w:beforeAutospacing="0" w:line="440" w:lineRule="exact"/>
        <w:ind w:left="0" w:leftChars="0" w:right="0"/>
        <w:jc w:val="right"/>
        <w:rPr>
          <w:rFonts w:hint="eastAsia" w:ascii="仿宋" w:hAnsi="仿宋" w:eastAsia="仿宋" w:cs="仿宋"/>
          <w:color w:val="auto"/>
          <w:sz w:val="24"/>
          <w:szCs w:val="24"/>
          <w:highlight w:val="none"/>
        </w:rPr>
      </w:pPr>
    </w:p>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pPr>
        <w:pageBreakBefore/>
        <w:kinsoku/>
        <w:wordWrap/>
        <w:overflowPunct/>
        <w:autoSpaceDE w:val="0"/>
        <w:autoSpaceDN w:val="0"/>
        <w:bidi w:val="0"/>
        <w:adjustRightInd w:val="0"/>
        <w:spacing w:beforeAutospacing="0" w:line="440" w:lineRule="exact"/>
        <w:ind w:left="0" w:leftChars="0" w:right="0" w:firstLine="482" w:firstLineChars="200"/>
        <w:jc w:val="center"/>
        <w:rPr>
          <w:rFonts w:hint="eastAsia" w:ascii="仿宋" w:hAnsi="仿宋" w:eastAsia="仿宋" w:cs="仿宋"/>
          <w:b/>
          <w:bCs/>
          <w:color w:val="auto"/>
          <w:sz w:val="24"/>
          <w:szCs w:val="24"/>
          <w:highlight w:val="none"/>
          <w:lang w:val="zh-CN"/>
        </w:rPr>
      </w:pPr>
      <w:bookmarkStart w:id="24" w:name="_Toc6082"/>
      <w:r>
        <w:rPr>
          <w:rFonts w:hint="eastAsia" w:ascii="仿宋" w:hAnsi="仿宋" w:eastAsia="仿宋" w:cs="仿宋"/>
          <w:b/>
          <w:bCs/>
          <w:color w:val="auto"/>
          <w:sz w:val="24"/>
          <w:szCs w:val="24"/>
          <w:highlight w:val="none"/>
          <w:lang w:val="zh-CN"/>
        </w:rPr>
        <w:t>法定代表人身份证明书</w:t>
      </w:r>
      <w:bookmarkEnd w:id="24"/>
    </w:p>
    <w:p>
      <w:pPr>
        <w:kinsoku/>
        <w:wordWrap/>
        <w:overflowPunct/>
        <w:bidi w:val="0"/>
        <w:spacing w:beforeAutospacing="0" w:line="440" w:lineRule="exact"/>
        <w:ind w:left="0" w:leftChars="0" w:right="0" w:firstLine="720" w:firstLineChars="3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企业名称：</w:t>
      </w:r>
    </w:p>
    <w:p>
      <w:pPr>
        <w:kinsoku/>
        <w:wordWrap/>
        <w:overflowPunct/>
        <w:bidi w:val="0"/>
        <w:spacing w:beforeAutospacing="0" w:line="440" w:lineRule="exact"/>
        <w:ind w:left="0" w:leftChars="0" w:right="0" w:firstLine="720" w:firstLineChars="3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企业类型：</w:t>
      </w:r>
    </w:p>
    <w:p>
      <w:pPr>
        <w:kinsoku/>
        <w:wordWrap/>
        <w:overflowPunct/>
        <w:bidi w:val="0"/>
        <w:spacing w:beforeAutospacing="0" w:line="440" w:lineRule="exact"/>
        <w:ind w:left="0" w:leftChars="0" w:right="0" w:firstLine="720" w:firstLineChars="3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地    址：</w:t>
      </w:r>
    </w:p>
    <w:p>
      <w:pPr>
        <w:kinsoku/>
        <w:wordWrap/>
        <w:overflowPunct/>
        <w:bidi w:val="0"/>
        <w:spacing w:beforeAutospacing="0" w:line="440" w:lineRule="exact"/>
        <w:ind w:left="0" w:leftChars="0" w:right="0" w:firstLine="720" w:firstLineChars="3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营业期限：</w:t>
      </w:r>
    </w:p>
    <w:p>
      <w:pPr>
        <w:kinsoku/>
        <w:wordWrap/>
        <w:overflowPunct/>
        <w:bidi w:val="0"/>
        <w:spacing w:beforeAutospacing="0" w:line="440" w:lineRule="exact"/>
        <w:ind w:left="0" w:leftChars="0" w:right="0" w:firstLine="720" w:firstLineChars="3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成立时间：</w:t>
      </w:r>
    </w:p>
    <w:p>
      <w:pPr>
        <w:kinsoku/>
        <w:wordWrap/>
        <w:overflowPunct/>
        <w:bidi w:val="0"/>
        <w:spacing w:beforeAutospacing="0" w:line="440" w:lineRule="exact"/>
        <w:ind w:left="0" w:leftChars="0" w:right="0" w:firstLine="720" w:firstLineChars="300"/>
        <w:rPr>
          <w:rFonts w:hint="eastAsia" w:ascii="仿宋" w:hAnsi="仿宋" w:eastAsia="仿宋" w:cs="仿宋"/>
          <w:color w:val="auto"/>
          <w:sz w:val="24"/>
          <w:szCs w:val="24"/>
          <w:highlight w:val="none"/>
          <w:u w:val="single"/>
        </w:rPr>
      </w:pPr>
    </w:p>
    <w:p>
      <w:pPr>
        <w:kinsoku/>
        <w:wordWrap/>
        <w:overflowPunct/>
        <w:bidi w:val="0"/>
        <w:spacing w:beforeAutospacing="0" w:line="440" w:lineRule="exact"/>
        <w:ind w:left="0" w:leftChars="0" w:right="0"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姓名：    性别：   年龄：  职务：</w:t>
      </w:r>
    </w:p>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系 </w:t>
      </w:r>
      <w:r>
        <w:rPr>
          <w:rFonts w:hint="eastAsia" w:ascii="仿宋" w:hAnsi="仿宋" w:eastAsia="仿宋" w:cs="仿宋"/>
          <w:color w:val="auto"/>
          <w:sz w:val="24"/>
          <w:szCs w:val="24"/>
          <w:highlight w:val="none"/>
          <w:u w:val="single"/>
        </w:rPr>
        <w:t xml:space="preserve">         （投标人名称）               </w:t>
      </w:r>
      <w:r>
        <w:rPr>
          <w:rFonts w:hint="eastAsia" w:ascii="仿宋" w:hAnsi="仿宋" w:eastAsia="仿宋" w:cs="仿宋"/>
          <w:color w:val="auto"/>
          <w:sz w:val="24"/>
          <w:szCs w:val="24"/>
          <w:highlight w:val="none"/>
        </w:rPr>
        <w:t>的法定代表人。</w:t>
      </w:r>
    </w:p>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p>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特此证明。</w:t>
      </w:r>
    </w:p>
    <w:p>
      <w:pPr>
        <w:pStyle w:val="2"/>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mc:AlternateContent>
          <mc:Choice Requires="wps">
            <w:drawing>
              <wp:anchor distT="0" distB="0" distL="114300" distR="114300" simplePos="0" relativeHeight="251666432" behindDoc="0" locked="0" layoutInCell="1" allowOverlap="1">
                <wp:simplePos x="0" y="0"/>
                <wp:positionH relativeFrom="column">
                  <wp:posOffset>3089275</wp:posOffset>
                </wp:positionH>
                <wp:positionV relativeFrom="paragraph">
                  <wp:posOffset>191135</wp:posOffset>
                </wp:positionV>
                <wp:extent cx="2971800" cy="1895475"/>
                <wp:effectExtent l="4445" t="4445" r="14605" b="5080"/>
                <wp:wrapNone/>
                <wp:docPr id="7"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wps:txbx>
                      <wps:bodyPr rot="0" vert="horz" wrap="square" lIns="91440" tIns="45720" rIns="91440" bIns="45720" anchor="t" anchorCtr="0" upright="1">
                        <a:noAutofit/>
                      </wps:bodyPr>
                    </wps:wsp>
                  </a:graphicData>
                </a:graphic>
              </wp:anchor>
            </w:drawing>
          </mc:Choice>
          <mc:Fallback>
            <w:pict>
              <v:shape id="文本框 3" o:spid="_x0000_s1026" o:spt="202" type="#_x0000_t202" style="position:absolute;left:0pt;margin-left:243.25pt;margin-top:15.05pt;height:149.25pt;width:234pt;z-index:251666432;mso-width-relative:page;mso-height-relative:page;" fillcolor="#FFFFFF" filled="t" stroked="t" coordsize="21600,21600" o:gfxdata="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HXeyVzaAAAACgEAAA8AAAAAAAAA&#10;AQAgAAAAIgAAAGRycy9kb3ducmV2LnhtbFBLAQIUABQAAAAIAIdO4kAmtitCSAIAAJYEAAAOAAAA&#10;AAAAAAEAIAAAACkBAABkcnMvZTJvRG9jLnhtbFBLBQYAAAAABgAGAFkBAADjBQAAAAA=&#10;">
                <v:fill on="t" focussize="0,0"/>
                <v:stroke color="#000000" miterlimit="2" joinstyle="miter"/>
                <v:imagedata o:title=""/>
                <o:lock v:ext="edit" aspectratio="f"/>
                <v:textbo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v:textbox>
              </v:shape>
            </w:pict>
          </mc:Fallback>
        </mc:AlternateContent>
      </w:r>
      <w:r>
        <w:rPr>
          <w:rFonts w:hint="eastAsia" w:ascii="仿宋" w:hAnsi="仿宋" w:eastAsia="仿宋" w:cs="仿宋"/>
          <w:color w:val="auto"/>
          <w:sz w:val="24"/>
          <w:szCs w:val="24"/>
          <w:highlight w:val="none"/>
        </w:rPr>
        <mc:AlternateContent>
          <mc:Choice Requires="wps">
            <w:drawing>
              <wp:anchor distT="0" distB="0" distL="114300" distR="114300" simplePos="0" relativeHeight="251665408" behindDoc="0" locked="0" layoutInCell="1" allowOverlap="1">
                <wp:simplePos x="0" y="0"/>
                <wp:positionH relativeFrom="column">
                  <wp:posOffset>-46355</wp:posOffset>
                </wp:positionH>
                <wp:positionV relativeFrom="paragraph">
                  <wp:posOffset>172720</wp:posOffset>
                </wp:positionV>
                <wp:extent cx="2971800" cy="1895475"/>
                <wp:effectExtent l="4445" t="4445" r="14605" b="5080"/>
                <wp:wrapNone/>
                <wp:docPr id="6"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wps:txbx>
                      <wps:bodyPr rot="0" vert="horz" wrap="square" lIns="91440" tIns="45720" rIns="91440" bIns="45720" anchor="t" anchorCtr="0" upright="1">
                        <a:noAutofit/>
                      </wps:bodyPr>
                    </wps:wsp>
                  </a:graphicData>
                </a:graphic>
              </wp:anchor>
            </w:drawing>
          </mc:Choice>
          <mc:Fallback>
            <w:pict>
              <v:shape id="文本框 4" o:spid="_x0000_s1026" o:spt="202" type="#_x0000_t202" style="position:absolute;left:0pt;margin-left:-3.65pt;margin-top:13.6pt;height:149.25pt;width:234pt;z-index:251665408;mso-width-relative:page;mso-height-relative:page;" fillcolor="#FFFFFF" filled="t" stroked="t" coordsize="21600,21600" o:gfxdata="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NDTr9jaAAAACQEAAA8AAAAAAAAA&#10;AQAgAAAAIgAAAGRycy9kb3ducmV2LnhtbFBLAQIUABQAAAAIAIdO4kAZu1ELSAIAAJYEAAAOAAAA&#10;AAAAAAEAIAAAACkBAABkcnMvZTJvRG9jLnhtbFBLBQYAAAAABgAGAFkBAADjBQAAAAA=&#10;">
                <v:fill on="t" focussize="0,0"/>
                <v:stroke color="#000000" miterlimit="2" joinstyle="miter"/>
                <v:imagedata o:title=""/>
                <o:lock v:ext="edit" aspectratio="f"/>
                <v:textbo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v:textbox>
              </v:shape>
            </w:pict>
          </mc:Fallback>
        </mc:AlternateContent>
      </w:r>
    </w:p>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p>
    <w:p>
      <w:pPr>
        <w:pStyle w:val="2"/>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p>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p>
    <w:p>
      <w:pPr>
        <w:pStyle w:val="2"/>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p>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p>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p>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p>
    <w:p>
      <w:pPr>
        <w:tabs>
          <w:tab w:val="left" w:pos="1648"/>
        </w:tabs>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p>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p>
    <w:p>
      <w:pPr>
        <w:kinsoku/>
        <w:wordWrap/>
        <w:overflowPunct/>
        <w:bidi w:val="0"/>
        <w:spacing w:beforeAutospacing="0" w:line="440" w:lineRule="exact"/>
        <w:ind w:left="0" w:leftChars="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投标人（盖章）：</w:t>
      </w:r>
    </w:p>
    <w:p>
      <w:pPr>
        <w:kinsoku/>
        <w:wordWrap/>
        <w:overflowPunct/>
        <w:bidi w:val="0"/>
        <w:spacing w:beforeAutospacing="0" w:line="440" w:lineRule="exact"/>
        <w:ind w:left="0" w:leftChars="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法定代表人或授权代理人（签字或盖章）：</w:t>
      </w:r>
    </w:p>
    <w:p>
      <w:pPr>
        <w:kinsoku/>
        <w:wordWrap/>
        <w:overflowPunct/>
        <w:bidi w:val="0"/>
        <w:spacing w:beforeAutospacing="0" w:line="440" w:lineRule="exact"/>
        <w:ind w:left="0" w:leftChars="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日  期：  年  月  日</w:t>
      </w:r>
    </w:p>
    <w:p>
      <w:pPr>
        <w:kinsoku/>
        <w:wordWrap/>
        <w:overflowPunct/>
        <w:bidi w:val="0"/>
        <w:spacing w:beforeAutospacing="0" w:line="440" w:lineRule="exact"/>
        <w:ind w:left="0" w:leftChars="0" w:right="0"/>
        <w:rPr>
          <w:rFonts w:hint="eastAsia" w:ascii="仿宋" w:hAnsi="仿宋" w:eastAsia="仿宋" w:cs="仿宋"/>
          <w:b/>
          <w:color w:val="auto"/>
          <w:sz w:val="24"/>
          <w:szCs w:val="24"/>
          <w:highlight w:val="none"/>
        </w:rPr>
      </w:pPr>
      <w:bookmarkStart w:id="25" w:name="_Toc7067"/>
      <w:r>
        <w:rPr>
          <w:rFonts w:hint="eastAsia" w:ascii="仿宋" w:hAnsi="仿宋" w:eastAsia="仿宋" w:cs="仿宋"/>
          <w:b/>
          <w:color w:val="auto"/>
          <w:sz w:val="24"/>
          <w:szCs w:val="24"/>
          <w:highlight w:val="none"/>
        </w:rPr>
        <w:br w:type="page"/>
      </w:r>
    </w:p>
    <w:p>
      <w:pPr>
        <w:kinsoku/>
        <w:wordWrap/>
        <w:overflowPunct/>
        <w:bidi w:val="0"/>
        <w:spacing w:beforeAutospacing="0" w:line="440" w:lineRule="exact"/>
        <w:ind w:left="0" w:leftChars="0" w:right="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法人代表授权书格式</w:t>
      </w:r>
      <w:bookmarkEnd w:id="25"/>
    </w:p>
    <w:p>
      <w:pPr>
        <w:kinsoku/>
        <w:wordWrap/>
        <w:overflowPunct/>
        <w:bidi w:val="0"/>
        <w:spacing w:beforeAutospacing="0" w:line="44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本授权书声明：注册于</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（地区的名称）的</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（公司名称），现授权委托</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（投标人名称）的</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为我的代理人，以</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（投标人名称）的名义参加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（项目名称和项目编号）采购项目的投标活动。代理人在参加整个招标投标活动所签署的一切文件和处理与之相关的一切事物，我均予承认。</w:t>
      </w:r>
    </w:p>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代理人：   性别：  年龄：</w:t>
      </w:r>
    </w:p>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部  门：   职务：</w:t>
      </w:r>
    </w:p>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mc:AlternateContent>
          <mc:Choice Requires="wps">
            <w:drawing>
              <wp:anchor distT="0" distB="0" distL="114300" distR="114300" simplePos="0" relativeHeight="251664384" behindDoc="0" locked="0" layoutInCell="1" allowOverlap="1">
                <wp:simplePos x="0" y="0"/>
                <wp:positionH relativeFrom="column">
                  <wp:posOffset>3107690</wp:posOffset>
                </wp:positionH>
                <wp:positionV relativeFrom="paragraph">
                  <wp:posOffset>183515</wp:posOffset>
                </wp:positionV>
                <wp:extent cx="2971800" cy="1895475"/>
                <wp:effectExtent l="4445" t="4445" r="14605" b="5080"/>
                <wp:wrapNone/>
                <wp:docPr id="5"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wps:txbx>
                      <wps:bodyPr rot="0" vert="horz" wrap="square" lIns="91440" tIns="45720" rIns="91440" bIns="45720" anchor="t" anchorCtr="0" upright="1">
                        <a:noAutofit/>
                      </wps:bodyPr>
                    </wps:wsp>
                  </a:graphicData>
                </a:graphic>
              </wp:anchor>
            </w:drawing>
          </mc:Choice>
          <mc:Fallback>
            <w:pict>
              <v:shape id="文本框 3" o:spid="_x0000_s1026" o:spt="202" type="#_x0000_t202" style="position:absolute;left:0pt;margin-left:244.7pt;margin-top:14.45pt;height:149.25pt;width:234pt;z-index:251664384;mso-width-relative:page;mso-height-relative:page;" fillcolor="#FFFFFF" filled="t" stroked="t" coordsize="21600,21600" o:gfxdata="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HteJJraAAAACgEAAA8AAAAAAAAA&#10;AQAgAAAAIgAAAGRycy9kb3ducmV2LnhtbFBLAQIUABQAAAAIAIdO4kAGWmR2SAIAAJYEAAAOAAAA&#10;AAAAAAEAIAAAACkBAABkcnMvZTJvRG9jLnhtbFBLBQYAAAAABgAGAFkBAADjBQAAAAA=&#10;">
                <v:fill on="t" focussize="0,0"/>
                <v:stroke color="#000000" miterlimit="2" joinstyle="miter"/>
                <v:imagedata o:title=""/>
                <o:lock v:ext="edit" aspectratio="f"/>
                <v:textbo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v:textbox>
              </v:shape>
            </w:pict>
          </mc:Fallback>
        </mc:AlternateContent>
      </w:r>
      <w:r>
        <w:rPr>
          <w:rFonts w:hint="eastAsia" w:ascii="仿宋" w:hAnsi="仿宋" w:eastAsia="仿宋" w:cs="仿宋"/>
          <w:color w:val="auto"/>
          <w:sz w:val="24"/>
          <w:szCs w:val="24"/>
          <w:highlight w:val="none"/>
        </w:rPr>
        <mc:AlternateContent>
          <mc:Choice Requires="wps">
            <w:drawing>
              <wp:anchor distT="0" distB="0" distL="114300" distR="114300" simplePos="0" relativeHeight="251663360" behindDoc="0" locked="0" layoutInCell="1" allowOverlap="1">
                <wp:simplePos x="0" y="0"/>
                <wp:positionH relativeFrom="column">
                  <wp:posOffset>-92710</wp:posOffset>
                </wp:positionH>
                <wp:positionV relativeFrom="paragraph">
                  <wp:posOffset>183515</wp:posOffset>
                </wp:positionV>
                <wp:extent cx="2971800" cy="1895475"/>
                <wp:effectExtent l="4445" t="4445" r="14605" b="5080"/>
                <wp:wrapNone/>
                <wp:docPr id="3"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wps:txbx>
                      <wps:bodyPr rot="0" vert="horz" wrap="square" lIns="91440" tIns="45720" rIns="91440" bIns="45720" anchor="t" anchorCtr="0" upright="1">
                        <a:noAutofit/>
                      </wps:bodyPr>
                    </wps:wsp>
                  </a:graphicData>
                </a:graphic>
              </wp:anchor>
            </w:drawing>
          </mc:Choice>
          <mc:Fallback>
            <w:pict>
              <v:shape id="文本框 4" o:spid="_x0000_s1026" o:spt="202" type="#_x0000_t202" style="position:absolute;left:0pt;margin-left:-7.3pt;margin-top:14.45pt;height:149.25pt;width:234pt;z-index:251663360;mso-width-relative:page;mso-height-relative:page;" fillcolor="#FFFFFF" filled="t" stroked="t" coordsize="21600,21600" o:gfxdata="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aVYDy2wAAAAoBAAAPAAAAAAAA&#10;AAEAIAAAACIAAABkcnMvZG93bnJldi54bWxQSwECFAAUAAAACACHTuJASZXpeUgCAACWBAAADgAA&#10;AAAAAAABACAAAAAqAQAAZHJzL2Uyb0RvYy54bWxQSwUGAAAAAAYABgBZAQAA5AUAAAAA&#10;">
                <v:fill on="t" focussize="0,0"/>
                <v:stroke color="#000000" miterlimit="2" joinstyle="miter"/>
                <v:imagedata o:title=""/>
                <o:lock v:ext="edit" aspectratio="f"/>
                <v:textbo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v:textbox>
              </v:shape>
            </w:pict>
          </mc:Fallback>
        </mc:AlternateContent>
      </w:r>
    </w:p>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p>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p>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p>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p>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p>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p>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p>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p>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mc:AlternateContent>
          <mc:Choice Requires="wps">
            <w:drawing>
              <wp:anchor distT="0" distB="0" distL="114300" distR="114300" simplePos="0" relativeHeight="251662336" behindDoc="0" locked="0" layoutInCell="1" allowOverlap="1">
                <wp:simplePos x="0" y="0"/>
                <wp:positionH relativeFrom="column">
                  <wp:posOffset>3107690</wp:posOffset>
                </wp:positionH>
                <wp:positionV relativeFrom="paragraph">
                  <wp:posOffset>18415</wp:posOffset>
                </wp:positionV>
                <wp:extent cx="2971800" cy="1895475"/>
                <wp:effectExtent l="4445" t="4445" r="14605" b="508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p/>
                          <w:p/>
                          <w:p/>
                          <w:p>
                            <w:pPr>
                              <w:jc w:val="center"/>
                              <w:rPr>
                                <w:rFonts w:ascii="仿宋" w:hAnsi="仿宋" w:eastAsia="仿宋"/>
                                <w:sz w:val="36"/>
                                <w:szCs w:val="36"/>
                              </w:rPr>
                            </w:pPr>
                            <w:r>
                              <w:rPr>
                                <w:rFonts w:hint="eastAsia" w:ascii="仿宋" w:hAnsi="仿宋" w:eastAsia="仿宋"/>
                                <w:sz w:val="36"/>
                                <w:szCs w:val="36"/>
                              </w:rPr>
                              <w:t>代理人身份证复印件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4.7pt;margin-top:1.45pt;height:149.25pt;width:234pt;z-index:251662336;mso-width-relative:page;mso-height-relative:page;" fillcolor="#FFFFFF" filled="t" stroked="t" coordsize="21600,21600" o:gfxdata="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S/yHl9kAAAAJAQAADwAAAAAAAAAB&#10;ACAAAAAiAAAAZHJzL2Rvd25yZXYueG1sUEsBAhQAFAAAAAgAh07iQBl99etIAgAAlgQAAA4AAAAA&#10;AAAAAQAgAAAAKAEAAGRycy9lMm9Eb2MueG1sUEsFBgAAAAAGAAYAWQEAAOIFAAAAAA==&#10;">
                <v:fill on="t" focussize="0,0"/>
                <v:stroke color="#000000" miterlimit="2" joinstyle="miter"/>
                <v:imagedata o:title=""/>
                <o:lock v:ext="edit" aspectratio="f"/>
                <v:textbox>
                  <w:txbxContent>
                    <w:p/>
                    <w:p/>
                    <w:p/>
                    <w:p/>
                    <w:p>
                      <w:pPr>
                        <w:jc w:val="center"/>
                        <w:rPr>
                          <w:rFonts w:ascii="仿宋" w:hAnsi="仿宋" w:eastAsia="仿宋"/>
                          <w:sz w:val="36"/>
                          <w:szCs w:val="36"/>
                        </w:rPr>
                      </w:pPr>
                      <w:r>
                        <w:rPr>
                          <w:rFonts w:hint="eastAsia" w:ascii="仿宋" w:hAnsi="仿宋" w:eastAsia="仿宋"/>
                          <w:sz w:val="36"/>
                          <w:szCs w:val="36"/>
                        </w:rPr>
                        <w:t>代理人身份证复印件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v:textbox>
              </v:shape>
            </w:pict>
          </mc:Fallback>
        </mc:AlternateContent>
      </w:r>
      <w:r>
        <w:rPr>
          <w:rFonts w:hint="eastAsia" w:ascii="仿宋" w:hAnsi="仿宋" w:eastAsia="仿宋" w:cs="仿宋"/>
          <w:color w:val="auto"/>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-92710</wp:posOffset>
                </wp:positionH>
                <wp:positionV relativeFrom="paragraph">
                  <wp:posOffset>18415</wp:posOffset>
                </wp:positionV>
                <wp:extent cx="2971800" cy="1895475"/>
                <wp:effectExtent l="4445" t="4445" r="14605" b="508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p/>
                          <w:p/>
                          <w:p/>
                          <w:p>
                            <w:pPr>
                              <w:jc w:val="center"/>
                              <w:rPr>
                                <w:rFonts w:ascii="仿宋" w:hAnsi="仿宋" w:eastAsia="仿宋"/>
                                <w:sz w:val="36"/>
                                <w:szCs w:val="36"/>
                              </w:rPr>
                            </w:pPr>
                            <w:r>
                              <w:rPr>
                                <w:rFonts w:hint="eastAsia" w:ascii="仿宋" w:hAnsi="仿宋" w:eastAsia="仿宋"/>
                                <w:sz w:val="36"/>
                                <w:szCs w:val="36"/>
                              </w:rPr>
                              <w:t>代理人身份证复印件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7.3pt;margin-top:1.45pt;height:149.25pt;width:234pt;z-index:251661312;mso-width-relative:page;mso-height-relative:page;" fillcolor="#FFFFFF" filled="t" stroked="t" coordsize="21600,21600" o:gfxdata="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AiPVAjaAAAACQEAAA8AAAAAAAAA&#10;AQAgAAAAIgAAAGRycy9kb3ducmV2LnhtbFBLAQIUABQAAAAIAIdO4kD5ZKynSAIAAJYEAAAOAAAA&#10;AAAAAAEAIAAAACkBAABkcnMvZTJvRG9jLnhtbFBLBQYAAAAABgAGAFkBAADjBQAAAAA=&#10;">
                <v:fill on="t" focussize="0,0"/>
                <v:stroke color="#000000" miterlimit="2" joinstyle="miter"/>
                <v:imagedata o:title=""/>
                <o:lock v:ext="edit" aspectratio="f"/>
                <v:textbox>
                  <w:txbxContent>
                    <w:p/>
                    <w:p/>
                    <w:p/>
                    <w:p/>
                    <w:p>
                      <w:pPr>
                        <w:jc w:val="center"/>
                        <w:rPr>
                          <w:rFonts w:ascii="仿宋" w:hAnsi="仿宋" w:eastAsia="仿宋"/>
                          <w:sz w:val="36"/>
                          <w:szCs w:val="36"/>
                        </w:rPr>
                      </w:pPr>
                      <w:r>
                        <w:rPr>
                          <w:rFonts w:hint="eastAsia" w:ascii="仿宋" w:hAnsi="仿宋" w:eastAsia="仿宋"/>
                          <w:sz w:val="36"/>
                          <w:szCs w:val="36"/>
                        </w:rPr>
                        <w:t>代理人身份证复印件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v:textbox>
              </v:shape>
            </w:pict>
          </mc:Fallback>
        </mc:AlternateContent>
      </w:r>
    </w:p>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p>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p>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p>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p>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p>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p>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p>
    <w:p>
      <w:pPr>
        <w:kinsoku/>
        <w:wordWrap/>
        <w:overflowPunct/>
        <w:bidi w:val="0"/>
        <w:spacing w:beforeAutospacing="0" w:line="440" w:lineRule="exact"/>
        <w:ind w:left="0" w:leftChars="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投标人（盖章）：</w:t>
      </w:r>
    </w:p>
    <w:p>
      <w:pPr>
        <w:kinsoku/>
        <w:wordWrap/>
        <w:overflowPunct/>
        <w:bidi w:val="0"/>
        <w:spacing w:beforeAutospacing="0" w:line="440" w:lineRule="exact"/>
        <w:ind w:left="0" w:leftChars="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法定代表人或授权代理人（签字盖章）：</w:t>
      </w:r>
    </w:p>
    <w:p>
      <w:pPr>
        <w:kinsoku/>
        <w:wordWrap/>
        <w:overflowPunct/>
        <w:bidi w:val="0"/>
        <w:spacing w:beforeAutospacing="0" w:line="440" w:lineRule="exact"/>
        <w:ind w:left="0" w:leftChars="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日  期：  年  月  日</w:t>
      </w:r>
    </w:p>
    <w:p>
      <w:pPr>
        <w:kinsoku/>
        <w:wordWrap/>
        <w:overflowPunct/>
        <w:bidi w:val="0"/>
        <w:spacing w:beforeAutospacing="0" w:line="440" w:lineRule="exact"/>
        <w:ind w:left="0" w:leftChars="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pPr>
        <w:kinsoku/>
        <w:wordWrap/>
        <w:overflowPunct/>
        <w:bidi w:val="0"/>
        <w:spacing w:beforeAutospacing="0" w:line="440" w:lineRule="exact"/>
        <w:ind w:left="0" w:leftChars="0" w:right="0"/>
        <w:jc w:val="center"/>
        <w:rPr>
          <w:rFonts w:hint="eastAsia" w:ascii="仿宋" w:hAnsi="仿宋" w:eastAsia="仿宋" w:cs="仿宋"/>
          <w:b/>
          <w:color w:val="auto"/>
          <w:sz w:val="24"/>
          <w:szCs w:val="24"/>
          <w:highlight w:val="none"/>
        </w:rPr>
      </w:pPr>
      <w:bookmarkStart w:id="26" w:name="_Toc15073"/>
      <w:bookmarkStart w:id="27" w:name="_Toc294186060"/>
      <w:bookmarkStart w:id="28" w:name="_Toc294206743"/>
      <w:bookmarkStart w:id="29" w:name="_Toc12308"/>
      <w:r>
        <w:rPr>
          <w:rFonts w:hint="eastAsia" w:ascii="仿宋" w:hAnsi="仿宋" w:eastAsia="仿宋" w:cs="仿宋"/>
          <w:b/>
          <w:color w:val="auto"/>
          <w:sz w:val="24"/>
          <w:szCs w:val="24"/>
          <w:highlight w:val="none"/>
        </w:rPr>
        <w:t>近三年的业绩</w:t>
      </w:r>
      <w:bookmarkEnd w:id="26"/>
    </w:p>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p>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投标人名称（公章）：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项目编号：</w:t>
      </w:r>
      <w:r>
        <w:rPr>
          <w:rFonts w:hint="eastAsia" w:ascii="仿宋" w:hAnsi="仿宋" w:eastAsia="仿宋" w:cs="仿宋"/>
          <w:color w:val="auto"/>
          <w:sz w:val="24"/>
          <w:szCs w:val="24"/>
          <w:highlight w:val="none"/>
          <w:u w:val="single"/>
        </w:rPr>
        <w:t>　　　　　　　　　　　</w:t>
      </w:r>
    </w:p>
    <w:tbl>
      <w:tblPr>
        <w:tblStyle w:val="51"/>
        <w:tblW w:w="901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3"/>
        <w:gridCol w:w="2197"/>
        <w:gridCol w:w="1936"/>
        <w:gridCol w:w="1628"/>
        <w:gridCol w:w="17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503" w:type="dxa"/>
            <w:tcBorders>
              <w:top w:val="single" w:color="auto" w:sz="4" w:space="0"/>
              <w:left w:val="single" w:color="auto" w:sz="4" w:space="0"/>
              <w:bottom w:val="single" w:color="auto" w:sz="4" w:space="0"/>
              <w:right w:val="single" w:color="auto" w:sz="4" w:space="0"/>
            </w:tcBorders>
            <w:vAlign w:val="center"/>
          </w:tcPr>
          <w:p>
            <w:pPr>
              <w:pStyle w:val="397"/>
              <w:kinsoku/>
              <w:wordWrap/>
              <w:overflowPunct/>
              <w:bidi w:val="0"/>
              <w:spacing w:beforeAutospacing="0" w:line="440" w:lineRule="exact"/>
              <w:ind w:left="0" w:leftChars="0" w:right="0"/>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地　　区</w:t>
            </w:r>
          </w:p>
        </w:tc>
        <w:tc>
          <w:tcPr>
            <w:tcW w:w="2197" w:type="dxa"/>
            <w:tcBorders>
              <w:top w:val="single" w:color="auto" w:sz="4" w:space="0"/>
              <w:left w:val="single" w:color="auto" w:sz="4" w:space="0"/>
              <w:bottom w:val="single" w:color="auto" w:sz="4" w:space="0"/>
              <w:right w:val="single" w:color="auto" w:sz="4" w:space="0"/>
            </w:tcBorders>
            <w:vAlign w:val="center"/>
          </w:tcPr>
          <w:p>
            <w:pPr>
              <w:pStyle w:val="397"/>
              <w:kinsoku/>
              <w:wordWrap/>
              <w:overflowPunct/>
              <w:bidi w:val="0"/>
              <w:spacing w:beforeAutospacing="0" w:line="440" w:lineRule="exact"/>
              <w:ind w:left="0" w:leftChars="0" w:right="0"/>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产品名称</w:t>
            </w:r>
          </w:p>
        </w:tc>
        <w:tc>
          <w:tcPr>
            <w:tcW w:w="1936" w:type="dxa"/>
            <w:tcBorders>
              <w:top w:val="single" w:color="auto" w:sz="4" w:space="0"/>
              <w:left w:val="single" w:color="auto" w:sz="4" w:space="0"/>
              <w:bottom w:val="single" w:color="auto" w:sz="4" w:space="0"/>
              <w:right w:val="single" w:color="auto" w:sz="4" w:space="0"/>
            </w:tcBorders>
            <w:vAlign w:val="center"/>
          </w:tcPr>
          <w:p>
            <w:pPr>
              <w:pStyle w:val="397"/>
              <w:kinsoku/>
              <w:wordWrap/>
              <w:overflowPunct/>
              <w:bidi w:val="0"/>
              <w:spacing w:beforeAutospacing="0" w:line="440" w:lineRule="exact"/>
              <w:ind w:left="0" w:leftChars="0" w:right="0" w:firstLine="720" w:firstLineChars="300"/>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类型</w:t>
            </w:r>
          </w:p>
        </w:tc>
        <w:tc>
          <w:tcPr>
            <w:tcW w:w="1628" w:type="dxa"/>
            <w:tcBorders>
              <w:top w:val="single" w:color="auto" w:sz="4" w:space="0"/>
              <w:left w:val="single" w:color="auto" w:sz="4" w:space="0"/>
              <w:bottom w:val="single" w:color="auto" w:sz="4" w:space="0"/>
              <w:right w:val="single" w:color="auto" w:sz="4" w:space="0"/>
            </w:tcBorders>
            <w:vAlign w:val="center"/>
          </w:tcPr>
          <w:p>
            <w:pPr>
              <w:pStyle w:val="397"/>
              <w:kinsoku/>
              <w:wordWrap/>
              <w:overflowPunct/>
              <w:bidi w:val="0"/>
              <w:spacing w:beforeAutospacing="0" w:line="440" w:lineRule="exact"/>
              <w:ind w:left="0" w:leftChars="0" w:right="0"/>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数 量</w:t>
            </w:r>
          </w:p>
        </w:tc>
        <w:tc>
          <w:tcPr>
            <w:tcW w:w="1753" w:type="dxa"/>
            <w:tcBorders>
              <w:top w:val="single" w:color="auto" w:sz="4" w:space="0"/>
              <w:left w:val="single" w:color="auto" w:sz="4" w:space="0"/>
              <w:bottom w:val="single" w:color="auto" w:sz="4" w:space="0"/>
              <w:right w:val="single" w:color="auto" w:sz="4" w:space="0"/>
            </w:tcBorders>
            <w:vAlign w:val="center"/>
          </w:tcPr>
          <w:p>
            <w:pPr>
              <w:pStyle w:val="397"/>
              <w:kinsoku/>
              <w:wordWrap/>
              <w:overflowPunct/>
              <w:bidi w:val="0"/>
              <w:spacing w:beforeAutospacing="0" w:line="440" w:lineRule="exact"/>
              <w:ind w:left="0" w:leftChars="0" w:right="0"/>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503" w:type="dxa"/>
            <w:tcBorders>
              <w:top w:val="single" w:color="auto" w:sz="4" w:space="0"/>
              <w:left w:val="single" w:color="auto" w:sz="4" w:space="0"/>
              <w:bottom w:val="single" w:color="auto" w:sz="4" w:space="0"/>
              <w:right w:val="single" w:color="auto" w:sz="4" w:space="0"/>
            </w:tcBorders>
          </w:tcPr>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p>
        </w:tc>
        <w:tc>
          <w:tcPr>
            <w:tcW w:w="2197" w:type="dxa"/>
            <w:tcBorders>
              <w:top w:val="single" w:color="auto" w:sz="4" w:space="0"/>
              <w:left w:val="single" w:color="auto" w:sz="4" w:space="0"/>
              <w:bottom w:val="single" w:color="auto" w:sz="4" w:space="0"/>
              <w:right w:val="single" w:color="auto" w:sz="4" w:space="0"/>
            </w:tcBorders>
          </w:tcPr>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p>
        </w:tc>
        <w:tc>
          <w:tcPr>
            <w:tcW w:w="1936" w:type="dxa"/>
            <w:tcBorders>
              <w:top w:val="single" w:color="auto" w:sz="4" w:space="0"/>
              <w:left w:val="single" w:color="auto" w:sz="4" w:space="0"/>
              <w:bottom w:val="single" w:color="auto" w:sz="4" w:space="0"/>
              <w:right w:val="single" w:color="auto" w:sz="4" w:space="0"/>
            </w:tcBorders>
          </w:tcPr>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p>
        </w:tc>
        <w:tc>
          <w:tcPr>
            <w:tcW w:w="1628" w:type="dxa"/>
            <w:tcBorders>
              <w:top w:val="single" w:color="auto" w:sz="4" w:space="0"/>
              <w:left w:val="single" w:color="auto" w:sz="4" w:space="0"/>
              <w:bottom w:val="single" w:color="auto" w:sz="4" w:space="0"/>
              <w:right w:val="single" w:color="auto" w:sz="4" w:space="0"/>
            </w:tcBorders>
          </w:tcPr>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p>
        </w:tc>
        <w:tc>
          <w:tcPr>
            <w:tcW w:w="1753" w:type="dxa"/>
            <w:tcBorders>
              <w:top w:val="single" w:color="auto" w:sz="4" w:space="0"/>
              <w:left w:val="single" w:color="auto" w:sz="4" w:space="0"/>
              <w:bottom w:val="single" w:color="auto" w:sz="4" w:space="0"/>
              <w:right w:val="single" w:color="auto" w:sz="4" w:space="0"/>
            </w:tcBorders>
          </w:tcPr>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503" w:type="dxa"/>
            <w:tcBorders>
              <w:top w:val="single" w:color="auto" w:sz="4" w:space="0"/>
              <w:left w:val="single" w:color="auto" w:sz="4" w:space="0"/>
              <w:bottom w:val="single" w:color="auto" w:sz="4" w:space="0"/>
              <w:right w:val="single" w:color="auto" w:sz="4" w:space="0"/>
            </w:tcBorders>
          </w:tcPr>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p>
        </w:tc>
        <w:tc>
          <w:tcPr>
            <w:tcW w:w="2197" w:type="dxa"/>
            <w:tcBorders>
              <w:top w:val="single" w:color="auto" w:sz="4" w:space="0"/>
              <w:left w:val="single" w:color="auto" w:sz="4" w:space="0"/>
              <w:bottom w:val="single" w:color="auto" w:sz="4" w:space="0"/>
              <w:right w:val="single" w:color="auto" w:sz="4" w:space="0"/>
            </w:tcBorders>
          </w:tcPr>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p>
        </w:tc>
        <w:tc>
          <w:tcPr>
            <w:tcW w:w="1936" w:type="dxa"/>
            <w:tcBorders>
              <w:top w:val="single" w:color="auto" w:sz="4" w:space="0"/>
              <w:left w:val="single" w:color="auto" w:sz="4" w:space="0"/>
              <w:bottom w:val="single" w:color="auto" w:sz="4" w:space="0"/>
              <w:right w:val="single" w:color="auto" w:sz="4" w:space="0"/>
            </w:tcBorders>
          </w:tcPr>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p>
        </w:tc>
        <w:tc>
          <w:tcPr>
            <w:tcW w:w="1628" w:type="dxa"/>
            <w:tcBorders>
              <w:top w:val="single" w:color="auto" w:sz="4" w:space="0"/>
              <w:left w:val="single" w:color="auto" w:sz="4" w:space="0"/>
              <w:bottom w:val="single" w:color="auto" w:sz="4" w:space="0"/>
              <w:right w:val="single" w:color="auto" w:sz="4" w:space="0"/>
            </w:tcBorders>
          </w:tcPr>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p>
        </w:tc>
        <w:tc>
          <w:tcPr>
            <w:tcW w:w="1753" w:type="dxa"/>
            <w:tcBorders>
              <w:top w:val="single" w:color="auto" w:sz="4" w:space="0"/>
              <w:left w:val="single" w:color="auto" w:sz="4" w:space="0"/>
              <w:bottom w:val="single" w:color="auto" w:sz="4" w:space="0"/>
              <w:right w:val="single" w:color="auto" w:sz="4" w:space="0"/>
            </w:tcBorders>
          </w:tcPr>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503" w:type="dxa"/>
            <w:tcBorders>
              <w:top w:val="single" w:color="auto" w:sz="4" w:space="0"/>
              <w:left w:val="single" w:color="auto" w:sz="4" w:space="0"/>
              <w:bottom w:val="single" w:color="auto" w:sz="4" w:space="0"/>
              <w:right w:val="single" w:color="auto" w:sz="4" w:space="0"/>
            </w:tcBorders>
          </w:tcPr>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p>
        </w:tc>
        <w:tc>
          <w:tcPr>
            <w:tcW w:w="2197" w:type="dxa"/>
            <w:tcBorders>
              <w:top w:val="single" w:color="auto" w:sz="4" w:space="0"/>
              <w:left w:val="single" w:color="auto" w:sz="4" w:space="0"/>
              <w:bottom w:val="single" w:color="auto" w:sz="4" w:space="0"/>
              <w:right w:val="single" w:color="auto" w:sz="4" w:space="0"/>
            </w:tcBorders>
          </w:tcPr>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p>
        </w:tc>
        <w:tc>
          <w:tcPr>
            <w:tcW w:w="1936" w:type="dxa"/>
            <w:tcBorders>
              <w:top w:val="single" w:color="auto" w:sz="4" w:space="0"/>
              <w:left w:val="single" w:color="auto" w:sz="4" w:space="0"/>
              <w:bottom w:val="single" w:color="auto" w:sz="4" w:space="0"/>
              <w:right w:val="single" w:color="auto" w:sz="4" w:space="0"/>
            </w:tcBorders>
          </w:tcPr>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p>
        </w:tc>
        <w:tc>
          <w:tcPr>
            <w:tcW w:w="1628" w:type="dxa"/>
            <w:tcBorders>
              <w:top w:val="single" w:color="auto" w:sz="4" w:space="0"/>
              <w:left w:val="single" w:color="auto" w:sz="4" w:space="0"/>
              <w:bottom w:val="single" w:color="auto" w:sz="4" w:space="0"/>
              <w:right w:val="single" w:color="auto" w:sz="4" w:space="0"/>
            </w:tcBorders>
          </w:tcPr>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p>
        </w:tc>
        <w:tc>
          <w:tcPr>
            <w:tcW w:w="1753" w:type="dxa"/>
            <w:tcBorders>
              <w:top w:val="single" w:color="auto" w:sz="4" w:space="0"/>
              <w:left w:val="single" w:color="auto" w:sz="4" w:space="0"/>
              <w:bottom w:val="single" w:color="auto" w:sz="4" w:space="0"/>
              <w:right w:val="single" w:color="auto" w:sz="4" w:space="0"/>
            </w:tcBorders>
          </w:tcPr>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503" w:type="dxa"/>
            <w:tcBorders>
              <w:top w:val="single" w:color="auto" w:sz="4" w:space="0"/>
              <w:left w:val="single" w:color="auto" w:sz="4" w:space="0"/>
              <w:bottom w:val="single" w:color="auto" w:sz="4" w:space="0"/>
              <w:right w:val="single" w:color="auto" w:sz="4" w:space="0"/>
            </w:tcBorders>
          </w:tcPr>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p>
        </w:tc>
        <w:tc>
          <w:tcPr>
            <w:tcW w:w="2197" w:type="dxa"/>
            <w:tcBorders>
              <w:top w:val="single" w:color="auto" w:sz="4" w:space="0"/>
              <w:left w:val="single" w:color="auto" w:sz="4" w:space="0"/>
              <w:bottom w:val="single" w:color="auto" w:sz="4" w:space="0"/>
              <w:right w:val="single" w:color="auto" w:sz="4" w:space="0"/>
            </w:tcBorders>
          </w:tcPr>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p>
        </w:tc>
        <w:tc>
          <w:tcPr>
            <w:tcW w:w="1936" w:type="dxa"/>
            <w:tcBorders>
              <w:top w:val="single" w:color="auto" w:sz="4" w:space="0"/>
              <w:left w:val="single" w:color="auto" w:sz="4" w:space="0"/>
              <w:bottom w:val="single" w:color="auto" w:sz="4" w:space="0"/>
              <w:right w:val="single" w:color="auto" w:sz="4" w:space="0"/>
            </w:tcBorders>
          </w:tcPr>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p>
        </w:tc>
        <w:tc>
          <w:tcPr>
            <w:tcW w:w="1628" w:type="dxa"/>
            <w:tcBorders>
              <w:top w:val="single" w:color="auto" w:sz="4" w:space="0"/>
              <w:left w:val="single" w:color="auto" w:sz="4" w:space="0"/>
              <w:bottom w:val="single" w:color="auto" w:sz="4" w:space="0"/>
              <w:right w:val="single" w:color="auto" w:sz="4" w:space="0"/>
            </w:tcBorders>
          </w:tcPr>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p>
        </w:tc>
        <w:tc>
          <w:tcPr>
            <w:tcW w:w="1753" w:type="dxa"/>
            <w:tcBorders>
              <w:top w:val="single" w:color="auto" w:sz="4" w:space="0"/>
              <w:left w:val="single" w:color="auto" w:sz="4" w:space="0"/>
              <w:bottom w:val="single" w:color="auto" w:sz="4" w:space="0"/>
              <w:right w:val="single" w:color="auto" w:sz="4" w:space="0"/>
            </w:tcBorders>
          </w:tcPr>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p>
        </w:tc>
      </w:tr>
    </w:tbl>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p>
    <w:p>
      <w:pPr>
        <w:kinsoku/>
        <w:wordWrap/>
        <w:overflowPunct/>
        <w:bidi w:val="0"/>
        <w:spacing w:beforeAutospacing="0" w:line="440" w:lineRule="exact"/>
        <w:ind w:left="0" w:leftChars="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投标人（盖章）：</w:t>
      </w:r>
    </w:p>
    <w:p>
      <w:pPr>
        <w:kinsoku/>
        <w:wordWrap/>
        <w:overflowPunct/>
        <w:bidi w:val="0"/>
        <w:spacing w:beforeAutospacing="0" w:line="440" w:lineRule="exact"/>
        <w:ind w:left="0" w:leftChars="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法定代表人或授权代理人（签字盖章）：</w:t>
      </w:r>
    </w:p>
    <w:p>
      <w:pPr>
        <w:kinsoku/>
        <w:wordWrap/>
        <w:overflowPunct/>
        <w:bidi w:val="0"/>
        <w:spacing w:beforeAutospacing="0" w:line="440" w:lineRule="exact"/>
        <w:ind w:left="0" w:leftChars="0" w:right="0" w:firstLine="48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  期：  年  月  日</w:t>
      </w:r>
    </w:p>
    <w:p>
      <w:pPr>
        <w:pStyle w:val="2"/>
        <w:kinsoku/>
        <w:wordWrap/>
        <w:overflowPunct/>
        <w:bidi w:val="0"/>
        <w:spacing w:beforeAutospacing="0" w:line="440" w:lineRule="exact"/>
        <w:ind w:left="0" w:leftChars="0" w:right="0" w:firstLine="480"/>
        <w:rPr>
          <w:rFonts w:hint="eastAsia" w:ascii="仿宋" w:hAnsi="仿宋" w:eastAsia="仿宋" w:cs="仿宋"/>
          <w:color w:val="auto"/>
          <w:sz w:val="24"/>
          <w:szCs w:val="24"/>
          <w:highlight w:val="none"/>
        </w:rPr>
      </w:pPr>
    </w:p>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p>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注：须附投标人需提供中标通知书（成交通知书）、采购合同或协议（含首页、采购设备品牌型号页、配置清单、售后服务及数量页、签字盖章页）复印件，否则业绩不予认可。等证明材料。</w:t>
      </w:r>
    </w:p>
    <w:bookmarkEnd w:id="27"/>
    <w:bookmarkEnd w:id="28"/>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p>
    <w:p>
      <w:pPr>
        <w:kinsoku/>
        <w:wordWrap/>
        <w:overflowPunct/>
        <w:bidi w:val="0"/>
        <w:spacing w:beforeAutospacing="0" w:line="440" w:lineRule="exact"/>
        <w:ind w:left="0" w:leftChars="0" w:right="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br w:type="page"/>
      </w:r>
    </w:p>
    <w:p>
      <w:pPr>
        <w:kinsoku/>
        <w:wordWrap/>
        <w:overflowPunct/>
        <w:bidi w:val="0"/>
        <w:adjustRightInd w:val="0"/>
        <w:snapToGrid w:val="0"/>
        <w:spacing w:beforeAutospacing="0" w:line="440" w:lineRule="exact"/>
        <w:ind w:left="0" w:leftChars="0" w:right="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属于中小企业的相关证明资料</w:t>
      </w:r>
      <w:bookmarkEnd w:id="29"/>
    </w:p>
    <w:p>
      <w:pPr>
        <w:pBdr>
          <w:top w:val="single" w:color="auto" w:sz="4" w:space="0"/>
          <w:left w:val="single" w:color="auto" w:sz="4" w:space="0"/>
          <w:bottom w:val="single" w:color="auto" w:sz="4" w:space="0"/>
          <w:right w:val="single" w:color="auto" w:sz="4" w:space="0"/>
        </w:pBdr>
        <w:kinsoku/>
        <w:wordWrap/>
        <w:overflowPunct/>
        <w:bidi w:val="0"/>
        <w:adjustRightInd w:val="0"/>
        <w:snapToGrid w:val="0"/>
        <w:spacing w:beforeAutospacing="0" w:line="440" w:lineRule="exact"/>
        <w:ind w:left="0" w:leftChars="0" w:right="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中小企业声明函</w:t>
      </w:r>
    </w:p>
    <w:p>
      <w:pPr>
        <w:pBdr>
          <w:top w:val="single" w:color="auto" w:sz="4" w:space="0"/>
          <w:left w:val="single" w:color="auto" w:sz="4" w:space="0"/>
          <w:bottom w:val="single" w:color="auto" w:sz="4" w:space="0"/>
          <w:right w:val="single" w:color="auto" w:sz="4" w:space="0"/>
        </w:pBdr>
        <w:kinsoku/>
        <w:wordWrap/>
        <w:overflowPunct/>
        <w:bidi w:val="0"/>
        <w:adjustRightInd w:val="0"/>
        <w:snapToGrid w:val="0"/>
        <w:spacing w:beforeAutospacing="0" w:line="440" w:lineRule="exact"/>
        <w:ind w:left="0" w:leftChars="0" w:right="0" w:firstLine="504"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本公司郑重声明，根据《政府采购促进中小企业发展暂行办法》（财库[2011]181号）的规定，本公司为（请填写：中型、小型、微型）企业。即，本公司同时满足以下条件：</w:t>
      </w:r>
    </w:p>
    <w:p>
      <w:pPr>
        <w:pBdr>
          <w:top w:val="single" w:color="auto" w:sz="4" w:space="0"/>
          <w:left w:val="single" w:color="auto" w:sz="4" w:space="0"/>
          <w:bottom w:val="single" w:color="auto" w:sz="4" w:space="0"/>
          <w:right w:val="single" w:color="auto" w:sz="4" w:space="0"/>
        </w:pBdr>
        <w:kinsoku/>
        <w:wordWrap/>
        <w:overflowPunct/>
        <w:bidi w:val="0"/>
        <w:adjustRightInd w:val="0"/>
        <w:snapToGrid w:val="0"/>
        <w:spacing w:beforeAutospacing="0" w:line="440" w:lineRule="exact"/>
        <w:ind w:left="0" w:leftChars="0" w:right="0" w:firstLine="504"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1.根据《工业和信息化部、国家统计局、国家发展和改革委员会、财政部关于印发中小企业划型标准规定的通知》（工信部联企业[2011]300号）规定的划分标准，本公司为（请填写：中型、小型、微型）企业。</w:t>
      </w:r>
    </w:p>
    <w:p>
      <w:pPr>
        <w:pBdr>
          <w:top w:val="single" w:color="auto" w:sz="4" w:space="0"/>
          <w:left w:val="single" w:color="auto" w:sz="4" w:space="0"/>
          <w:bottom w:val="single" w:color="auto" w:sz="4" w:space="0"/>
          <w:right w:val="single" w:color="auto" w:sz="4" w:space="0"/>
        </w:pBdr>
        <w:kinsoku/>
        <w:wordWrap/>
        <w:overflowPunct/>
        <w:bidi w:val="0"/>
        <w:adjustRightInd w:val="0"/>
        <w:snapToGrid w:val="0"/>
        <w:spacing w:beforeAutospacing="0" w:line="440" w:lineRule="exact"/>
        <w:ind w:left="0" w:leftChars="0" w:right="0" w:firstLine="504"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2.本公司参加单位的 项目采购活动提供本企业制造的货物，由本企业承担工程、提供服务，或者提供其他（请填写：中型、小型、微型）企业制造的货物。本条所称货物不包括使用大型企业注册商标的货物。</w:t>
      </w:r>
    </w:p>
    <w:p>
      <w:pPr>
        <w:pBdr>
          <w:top w:val="single" w:color="auto" w:sz="4" w:space="0"/>
          <w:left w:val="single" w:color="auto" w:sz="4" w:space="0"/>
          <w:bottom w:val="single" w:color="auto" w:sz="4" w:space="0"/>
          <w:right w:val="single" w:color="auto" w:sz="4" w:space="0"/>
        </w:pBdr>
        <w:kinsoku/>
        <w:wordWrap/>
        <w:overflowPunct/>
        <w:bidi w:val="0"/>
        <w:adjustRightInd w:val="0"/>
        <w:snapToGrid w:val="0"/>
        <w:spacing w:beforeAutospacing="0" w:line="440" w:lineRule="exact"/>
        <w:ind w:left="0" w:leftChars="0" w:right="0" w:firstLine="504"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本公司对上述声明的真实性负责。如有虚假，将依法承担相应责任。</w:t>
      </w:r>
    </w:p>
    <w:p>
      <w:pPr>
        <w:pBdr>
          <w:top w:val="single" w:color="auto" w:sz="4" w:space="0"/>
          <w:left w:val="single" w:color="auto" w:sz="4" w:space="0"/>
          <w:bottom w:val="single" w:color="auto" w:sz="4" w:space="0"/>
          <w:right w:val="single" w:color="auto" w:sz="4" w:space="0"/>
        </w:pBdr>
        <w:kinsoku/>
        <w:wordWrap/>
        <w:overflowPunct/>
        <w:bidi w:val="0"/>
        <w:adjustRightInd w:val="0"/>
        <w:snapToGrid w:val="0"/>
        <w:spacing w:beforeAutospacing="0" w:line="440" w:lineRule="exact"/>
        <w:ind w:left="0" w:leftChars="0" w:right="0" w:firstLine="480" w:firstLineChars="200"/>
        <w:jc w:val="left"/>
        <w:rPr>
          <w:rFonts w:hint="eastAsia" w:ascii="仿宋" w:hAnsi="仿宋" w:eastAsia="仿宋" w:cs="仿宋"/>
          <w:color w:val="auto"/>
          <w:sz w:val="24"/>
          <w:szCs w:val="24"/>
          <w:highlight w:val="none"/>
        </w:rPr>
      </w:pPr>
    </w:p>
    <w:p>
      <w:pPr>
        <w:pBdr>
          <w:top w:val="single" w:color="auto" w:sz="4" w:space="0"/>
          <w:left w:val="single" w:color="auto" w:sz="4" w:space="0"/>
          <w:bottom w:val="single" w:color="auto" w:sz="4" w:space="0"/>
          <w:right w:val="single" w:color="auto" w:sz="4" w:space="0"/>
        </w:pBdr>
        <w:kinsoku/>
        <w:wordWrap/>
        <w:overflowPunct/>
        <w:bidi w:val="0"/>
        <w:adjustRightInd w:val="0"/>
        <w:snapToGrid w:val="0"/>
        <w:spacing w:beforeAutospacing="0" w:line="440" w:lineRule="exact"/>
        <w:ind w:left="0" w:leftChars="0" w:right="0" w:firstLine="504" w:firstLineChars="200"/>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 xml:space="preserve">            投标人名称（盖单位章）： </w:t>
      </w:r>
    </w:p>
    <w:p>
      <w:pPr>
        <w:pBdr>
          <w:top w:val="single" w:color="auto" w:sz="4" w:space="0"/>
          <w:left w:val="single" w:color="auto" w:sz="4" w:space="0"/>
          <w:bottom w:val="single" w:color="auto" w:sz="4" w:space="0"/>
          <w:right w:val="single" w:color="auto" w:sz="4" w:space="0"/>
        </w:pBdr>
        <w:kinsoku/>
        <w:wordWrap/>
        <w:overflowPunct/>
        <w:bidi w:val="0"/>
        <w:adjustRightInd w:val="0"/>
        <w:snapToGrid w:val="0"/>
        <w:spacing w:beforeAutospacing="0" w:line="440" w:lineRule="exact"/>
        <w:ind w:left="0" w:leftChars="0" w:right="0" w:firstLine="504" w:firstLineChars="200"/>
        <w:jc w:val="center"/>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 xml:space="preserve">             日期：</w:t>
      </w:r>
      <w:r>
        <w:rPr>
          <w:rFonts w:hint="eastAsia" w:ascii="仿宋" w:hAnsi="仿宋" w:eastAsia="仿宋" w:cs="仿宋"/>
          <w:color w:val="auto"/>
          <w:sz w:val="24"/>
          <w:szCs w:val="24"/>
          <w:highlight w:val="none"/>
        </w:rPr>
        <w:t>年月日</w:t>
      </w:r>
    </w:p>
    <w:p>
      <w:pPr>
        <w:pBdr>
          <w:top w:val="single" w:color="auto" w:sz="4" w:space="0"/>
          <w:left w:val="single" w:color="auto" w:sz="4" w:space="0"/>
          <w:bottom w:val="single" w:color="auto" w:sz="4" w:space="0"/>
          <w:right w:val="single" w:color="auto" w:sz="4" w:space="0"/>
        </w:pBdr>
        <w:kinsoku/>
        <w:wordWrap/>
        <w:overflowPunct/>
        <w:bidi w:val="0"/>
        <w:adjustRightInd w:val="0"/>
        <w:snapToGrid w:val="0"/>
        <w:spacing w:beforeAutospacing="0" w:line="440" w:lineRule="exact"/>
        <w:ind w:left="0" w:leftChars="0" w:right="0" w:firstLine="600" w:firstLineChars="2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说明：1、填写前请认真阅读</w:t>
      </w:r>
      <w:r>
        <w:rPr>
          <w:rFonts w:hint="eastAsia" w:ascii="仿宋" w:hAnsi="仿宋" w:eastAsia="仿宋" w:cs="仿宋"/>
          <w:color w:val="auto"/>
          <w:spacing w:val="6"/>
          <w:sz w:val="24"/>
          <w:szCs w:val="24"/>
          <w:highlight w:val="none"/>
        </w:rPr>
        <w:t>《工业和信息化部、国家统计局、国家发展和改革委员会、财政部关于印发中小企业划型标准规定的通知》（工信部联企业[2011]300号）和《财政部工业和信息化部</w:t>
      </w:r>
      <w:r>
        <w:rPr>
          <w:rFonts w:hint="eastAsia" w:ascii="仿宋" w:hAnsi="仿宋" w:eastAsia="仿宋" w:cs="仿宋"/>
          <w:bCs/>
          <w:color w:val="auto"/>
          <w:sz w:val="24"/>
          <w:szCs w:val="24"/>
          <w:highlight w:val="none"/>
        </w:rPr>
        <w:t>关于印发＜政府采购促进中小企业发展暂行办法＞的通知》(</w:t>
      </w:r>
      <w:r>
        <w:rPr>
          <w:rFonts w:hint="eastAsia" w:ascii="仿宋" w:hAnsi="仿宋" w:eastAsia="仿宋" w:cs="仿宋"/>
          <w:color w:val="auto"/>
          <w:sz w:val="24"/>
          <w:szCs w:val="24"/>
          <w:highlight w:val="none"/>
        </w:rPr>
        <w:t>财库[2011]181号)相关规定。</w:t>
      </w:r>
    </w:p>
    <w:p>
      <w:pPr>
        <w:pBdr>
          <w:top w:val="single" w:color="auto" w:sz="4" w:space="0"/>
          <w:left w:val="single" w:color="auto" w:sz="4" w:space="0"/>
          <w:bottom w:val="single" w:color="auto" w:sz="4" w:space="0"/>
          <w:right w:val="single" w:color="auto" w:sz="4" w:space="0"/>
        </w:pBdr>
        <w:kinsoku/>
        <w:wordWrap/>
        <w:overflowPunct/>
        <w:bidi w:val="0"/>
        <w:adjustRightInd w:val="0"/>
        <w:snapToGrid w:val="0"/>
        <w:spacing w:beforeAutospacing="0" w:line="440" w:lineRule="exact"/>
        <w:ind w:left="0" w:leftChars="0" w:right="0" w:firstLine="600" w:firstLineChars="2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2、中小企业部分提供其他中小企业制造货物的应另附说明，并与后面的报价一栏表保持一致。</w:t>
      </w:r>
    </w:p>
    <w:p>
      <w:pPr>
        <w:pBdr>
          <w:top w:val="single" w:color="auto" w:sz="4" w:space="0"/>
          <w:left w:val="single" w:color="auto" w:sz="4" w:space="0"/>
          <w:bottom w:val="single" w:color="auto" w:sz="4" w:space="0"/>
          <w:right w:val="single" w:color="auto" w:sz="4" w:space="0"/>
        </w:pBdr>
        <w:kinsoku/>
        <w:wordWrap/>
        <w:overflowPunct/>
        <w:bidi w:val="0"/>
        <w:adjustRightInd w:val="0"/>
        <w:snapToGrid w:val="0"/>
        <w:spacing w:beforeAutospacing="0" w:line="440" w:lineRule="exact"/>
        <w:ind w:left="0" w:leftChars="0" w:right="0" w:firstLine="600" w:firstLineChars="2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3、未按上述要求提供、填写的，评审时不予以考虑。</w:t>
      </w:r>
    </w:p>
    <w:p>
      <w:pPr>
        <w:pBdr>
          <w:top w:val="single" w:color="auto" w:sz="4" w:space="0"/>
          <w:left w:val="single" w:color="auto" w:sz="4" w:space="0"/>
          <w:bottom w:val="single" w:color="auto" w:sz="4" w:space="0"/>
          <w:right w:val="single" w:color="auto" w:sz="4" w:space="0"/>
        </w:pBdr>
        <w:kinsoku/>
        <w:wordWrap/>
        <w:overflowPunct/>
        <w:bidi w:val="0"/>
        <w:adjustRightInd w:val="0"/>
        <w:snapToGrid w:val="0"/>
        <w:spacing w:beforeAutospacing="0" w:line="440" w:lineRule="exact"/>
        <w:ind w:left="0" w:leftChars="0" w:right="0"/>
        <w:jc w:val="center"/>
        <w:rPr>
          <w:rFonts w:hint="eastAsia" w:ascii="仿宋" w:hAnsi="仿宋" w:eastAsia="仿宋" w:cs="仿宋"/>
          <w:b/>
          <w:color w:val="auto"/>
          <w:sz w:val="24"/>
          <w:szCs w:val="24"/>
          <w:highlight w:val="none"/>
        </w:rPr>
      </w:pPr>
    </w:p>
    <w:p>
      <w:pPr>
        <w:pBdr>
          <w:top w:val="single" w:color="auto" w:sz="4" w:space="0"/>
          <w:left w:val="single" w:color="auto" w:sz="4" w:space="0"/>
          <w:bottom w:val="single" w:color="auto" w:sz="4" w:space="0"/>
          <w:right w:val="single" w:color="auto" w:sz="4" w:space="0"/>
        </w:pBdr>
        <w:kinsoku/>
        <w:wordWrap/>
        <w:overflowPunct/>
        <w:bidi w:val="0"/>
        <w:adjustRightInd w:val="0"/>
        <w:snapToGrid w:val="0"/>
        <w:spacing w:beforeAutospacing="0" w:line="440" w:lineRule="exact"/>
        <w:ind w:left="0" w:leftChars="0" w:right="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中小企业证明材料</w:t>
      </w:r>
    </w:p>
    <w:p>
      <w:pPr>
        <w:pBdr>
          <w:top w:val="single" w:color="auto" w:sz="4" w:space="0"/>
          <w:left w:val="single" w:color="auto" w:sz="4" w:space="0"/>
          <w:bottom w:val="single" w:color="auto" w:sz="4" w:space="0"/>
          <w:right w:val="single" w:color="auto" w:sz="4" w:space="0"/>
        </w:pBdr>
        <w:kinsoku/>
        <w:wordWrap/>
        <w:overflowPunct/>
        <w:bidi w:val="0"/>
        <w:adjustRightInd w:val="0"/>
        <w:snapToGrid w:val="0"/>
        <w:spacing w:beforeAutospacing="0" w:line="440" w:lineRule="exact"/>
        <w:ind w:left="0" w:leftChars="0" w:right="0" w:firstLine="600" w:firstLineChars="2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1.投标人工商行政注册地管理部门出具的小微企业证明材料；</w:t>
      </w:r>
    </w:p>
    <w:p>
      <w:pPr>
        <w:pBdr>
          <w:top w:val="single" w:color="auto" w:sz="4" w:space="0"/>
          <w:left w:val="single" w:color="auto" w:sz="4" w:space="0"/>
          <w:bottom w:val="single" w:color="auto" w:sz="4" w:space="0"/>
          <w:right w:val="single" w:color="auto" w:sz="4" w:space="0"/>
        </w:pBdr>
        <w:kinsoku/>
        <w:wordWrap/>
        <w:overflowPunct/>
        <w:bidi w:val="0"/>
        <w:adjustRightInd w:val="0"/>
        <w:snapToGrid w:val="0"/>
        <w:spacing w:beforeAutospacing="0" w:line="440" w:lineRule="exact"/>
        <w:ind w:left="0" w:leftChars="0" w:right="0" w:firstLine="600" w:firstLineChars="2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2.如属于监狱和戒毒企业，需提供由省级以上监狱管理局、戒毒管理局（含新疆生产建设兵团）出具的属于监狱企业的证明文件.</w:t>
      </w:r>
    </w:p>
    <w:p>
      <w:pPr>
        <w:pBdr>
          <w:top w:val="single" w:color="auto" w:sz="4" w:space="0"/>
          <w:left w:val="single" w:color="auto" w:sz="4" w:space="0"/>
          <w:bottom w:val="single" w:color="auto" w:sz="4" w:space="0"/>
          <w:right w:val="single" w:color="auto" w:sz="4" w:space="0"/>
        </w:pBdr>
        <w:kinsoku/>
        <w:wordWrap/>
        <w:overflowPunct/>
        <w:bidi w:val="0"/>
        <w:adjustRightInd w:val="0"/>
        <w:snapToGrid w:val="0"/>
        <w:spacing w:beforeAutospacing="0" w:line="440" w:lineRule="exact"/>
        <w:ind w:left="0" w:leftChars="0" w:right="0" w:firstLine="600" w:firstLineChars="2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3.证明材料加盖投标人公章。</w:t>
      </w:r>
    </w:p>
    <w:p>
      <w:pPr>
        <w:kinsoku/>
        <w:wordWrap/>
        <w:overflowPunct/>
        <w:bidi w:val="0"/>
        <w:spacing w:beforeAutospacing="0" w:line="440" w:lineRule="exact"/>
        <w:ind w:left="0" w:leftChars="0" w:right="0"/>
        <w:jc w:val="center"/>
        <w:rPr>
          <w:rFonts w:hint="eastAsia" w:ascii="仿宋" w:hAnsi="仿宋" w:eastAsia="仿宋" w:cs="仿宋"/>
          <w:b/>
          <w:color w:val="auto"/>
          <w:sz w:val="24"/>
          <w:szCs w:val="24"/>
          <w:highlight w:val="none"/>
        </w:rPr>
      </w:pPr>
    </w:p>
    <w:p>
      <w:pPr>
        <w:kinsoku/>
        <w:wordWrap/>
        <w:overflowPunct/>
        <w:bidi w:val="0"/>
        <w:spacing w:beforeAutospacing="0" w:line="440" w:lineRule="exact"/>
        <w:ind w:left="0" w:leftChars="0" w:right="0"/>
        <w:jc w:val="center"/>
        <w:rPr>
          <w:rFonts w:hint="eastAsia" w:ascii="仿宋" w:hAnsi="仿宋" w:eastAsia="仿宋" w:cs="仿宋"/>
          <w:b/>
          <w:color w:val="auto"/>
          <w:sz w:val="24"/>
          <w:szCs w:val="24"/>
          <w:highlight w:val="none"/>
        </w:rPr>
      </w:pPr>
    </w:p>
    <w:p>
      <w:pPr>
        <w:kinsoku/>
        <w:wordWrap/>
        <w:overflowPunct/>
        <w:bidi w:val="0"/>
        <w:spacing w:beforeAutospacing="0" w:line="440" w:lineRule="exact"/>
        <w:ind w:left="0" w:leftChars="0" w:right="0"/>
        <w:jc w:val="center"/>
        <w:rPr>
          <w:rFonts w:hint="eastAsia" w:ascii="仿宋" w:hAnsi="仿宋" w:eastAsia="仿宋" w:cs="仿宋"/>
          <w:b/>
          <w:color w:val="auto"/>
          <w:sz w:val="24"/>
          <w:szCs w:val="24"/>
          <w:highlight w:val="none"/>
        </w:rPr>
      </w:pPr>
    </w:p>
    <w:p>
      <w:pPr>
        <w:kinsoku/>
        <w:wordWrap/>
        <w:overflowPunct/>
        <w:bidi w:val="0"/>
        <w:spacing w:beforeAutospacing="0" w:line="440" w:lineRule="exact"/>
        <w:ind w:left="0" w:leftChars="0" w:right="0"/>
        <w:jc w:val="center"/>
        <w:rPr>
          <w:rFonts w:hint="eastAsia" w:ascii="仿宋" w:hAnsi="仿宋" w:eastAsia="仿宋" w:cs="仿宋"/>
          <w:b/>
          <w:color w:val="auto"/>
          <w:sz w:val="24"/>
          <w:szCs w:val="24"/>
          <w:highlight w:val="none"/>
        </w:rPr>
      </w:pPr>
    </w:p>
    <w:p>
      <w:pPr>
        <w:kinsoku/>
        <w:wordWrap/>
        <w:overflowPunct/>
        <w:bidi w:val="0"/>
        <w:spacing w:beforeAutospacing="0" w:line="440" w:lineRule="exact"/>
        <w:ind w:left="0" w:leftChars="0" w:right="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br w:type="page"/>
      </w:r>
    </w:p>
    <w:p>
      <w:pPr>
        <w:kinsoku/>
        <w:wordWrap/>
        <w:overflowPunct/>
        <w:bidi w:val="0"/>
        <w:spacing w:beforeAutospacing="0" w:line="440" w:lineRule="exact"/>
        <w:ind w:left="0" w:leftChars="0" w:right="0"/>
        <w:jc w:val="center"/>
        <w:rPr>
          <w:rFonts w:hint="eastAsia" w:ascii="仿宋" w:hAnsi="仿宋" w:eastAsia="仿宋" w:cs="仿宋"/>
          <w:b/>
          <w:color w:val="auto"/>
          <w:sz w:val="24"/>
          <w:szCs w:val="24"/>
          <w:highlight w:val="none"/>
        </w:rPr>
      </w:pPr>
      <w:bookmarkStart w:id="30" w:name="_Toc10735"/>
      <w:r>
        <w:rPr>
          <w:rFonts w:hint="eastAsia" w:ascii="仿宋" w:hAnsi="仿宋" w:eastAsia="仿宋" w:cs="仿宋"/>
          <w:b/>
          <w:color w:val="auto"/>
          <w:sz w:val="24"/>
          <w:szCs w:val="24"/>
          <w:highlight w:val="none"/>
        </w:rPr>
        <w:t>质量认证（有关部门出具的合格证）</w:t>
      </w:r>
      <w:bookmarkEnd w:id="30"/>
    </w:p>
    <w:p>
      <w:pPr>
        <w:numPr>
          <w:ilvl w:val="0"/>
          <w:numId w:val="14"/>
        </w:num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有关投标产品的合格证复印件（加盖公章）</w:t>
      </w:r>
    </w:p>
    <w:p>
      <w:pPr>
        <w:pStyle w:val="2"/>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p>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p>
    <w:p>
      <w:pPr>
        <w:kinsoku/>
        <w:wordWrap/>
        <w:overflowPunct/>
        <w:bidi w:val="0"/>
        <w:spacing w:beforeAutospacing="0" w:line="440" w:lineRule="exact"/>
        <w:ind w:left="0" w:leftChars="0" w:right="0"/>
        <w:jc w:val="center"/>
        <w:rPr>
          <w:rFonts w:hint="eastAsia" w:ascii="仿宋" w:hAnsi="仿宋" w:eastAsia="仿宋" w:cs="仿宋"/>
          <w:b/>
          <w:color w:val="auto"/>
          <w:sz w:val="24"/>
          <w:szCs w:val="24"/>
          <w:highlight w:val="none"/>
        </w:rPr>
      </w:pPr>
      <w:bookmarkStart w:id="31" w:name="_Toc30840"/>
      <w:r>
        <w:rPr>
          <w:rFonts w:hint="eastAsia" w:ascii="仿宋" w:hAnsi="仿宋" w:eastAsia="仿宋" w:cs="仿宋"/>
          <w:b/>
          <w:color w:val="auto"/>
          <w:sz w:val="24"/>
          <w:szCs w:val="24"/>
          <w:highlight w:val="none"/>
        </w:rPr>
        <w:t>关于资格的声明函</w:t>
      </w:r>
      <w:bookmarkEnd w:id="31"/>
    </w:p>
    <w:p>
      <w:pPr>
        <w:kinsoku/>
        <w:wordWrap/>
        <w:overflowPunct/>
        <w:topLinePunct/>
        <w:bidi w:val="0"/>
        <w:spacing w:beforeAutospacing="0" w:line="44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（招标代理机构）</w:t>
      </w:r>
    </w:p>
    <w:p>
      <w:pPr>
        <w:kinsoku/>
        <w:wordWrap/>
        <w:overflowPunct/>
        <w:topLinePunct/>
        <w:bidi w:val="0"/>
        <w:spacing w:beforeAutospacing="0" w:line="440" w:lineRule="exact"/>
        <w:ind w:left="0" w:leftChars="0" w:right="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关于贵方</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（招标编号）招标公告关于“</w:t>
      </w:r>
      <w:r>
        <w:rPr>
          <w:rFonts w:hint="eastAsia" w:ascii="仿宋" w:hAnsi="仿宋" w:eastAsia="仿宋" w:cs="仿宋"/>
          <w:color w:val="auto"/>
          <w:sz w:val="24"/>
          <w:szCs w:val="24"/>
          <w:highlight w:val="none"/>
          <w:u w:val="single"/>
        </w:rPr>
        <w:t>　　　　　　　　</w:t>
      </w:r>
      <w:r>
        <w:rPr>
          <w:rFonts w:hint="eastAsia" w:ascii="仿宋" w:hAnsi="仿宋" w:eastAsia="仿宋" w:cs="仿宋"/>
          <w:color w:val="auto"/>
          <w:sz w:val="24"/>
          <w:szCs w:val="24"/>
          <w:highlight w:val="none"/>
        </w:rPr>
        <w:t>”的招标项目，本签字人愿意参加投标，并有能力完成</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（项目名称） ，并保证我单位与采购人无政府采购实施条例第九条应回避的关系，在投标报名及投标全过程中提供的企业证明文件、证件、签章及有关附件等资料的原件及复印件是真实、有效的，无伪造、编造、变造、篡改和隐瞒等虚假内容，且复印件与原件一致，若提供虚假内容，我单位将承担全部责任，并承担由此造成的全部损失。</w:t>
      </w:r>
    </w:p>
    <w:p>
      <w:pPr>
        <w:kinsoku/>
        <w:wordWrap/>
        <w:overflowPunct/>
        <w:topLinePunct/>
        <w:bidi w:val="0"/>
        <w:spacing w:beforeAutospacing="0" w:line="440" w:lineRule="exact"/>
        <w:ind w:left="0" w:leftChars="0" w:right="0" w:firstLine="480" w:firstLineChars="200"/>
        <w:rPr>
          <w:rFonts w:hint="eastAsia" w:ascii="仿宋" w:hAnsi="仿宋" w:eastAsia="仿宋" w:cs="仿宋"/>
          <w:color w:val="auto"/>
          <w:sz w:val="24"/>
          <w:szCs w:val="24"/>
          <w:highlight w:val="none"/>
        </w:rPr>
      </w:pPr>
    </w:p>
    <w:p>
      <w:pPr>
        <w:kinsoku/>
        <w:wordWrap/>
        <w:overflowPunct/>
        <w:bidi w:val="0"/>
        <w:spacing w:beforeAutospacing="0" w:line="440" w:lineRule="exact"/>
        <w:ind w:left="0" w:leftChars="0" w:right="0"/>
        <w:jc w:val="center"/>
        <w:rPr>
          <w:rFonts w:hint="eastAsia" w:ascii="仿宋" w:hAnsi="仿宋" w:eastAsia="仿宋" w:cs="仿宋"/>
          <w:color w:val="auto"/>
          <w:sz w:val="24"/>
          <w:szCs w:val="24"/>
          <w:highlight w:val="none"/>
        </w:rPr>
      </w:pPr>
      <w:bookmarkStart w:id="32" w:name="_Toc11196"/>
      <w:r>
        <w:rPr>
          <w:rFonts w:hint="eastAsia" w:ascii="仿宋" w:hAnsi="仿宋" w:eastAsia="仿宋" w:cs="仿宋"/>
          <w:color w:val="auto"/>
          <w:sz w:val="24"/>
          <w:szCs w:val="24"/>
          <w:highlight w:val="none"/>
        </w:rPr>
        <w:t>投标人（盖章）：</w:t>
      </w:r>
    </w:p>
    <w:p>
      <w:pPr>
        <w:kinsoku/>
        <w:wordWrap/>
        <w:overflowPunct/>
        <w:bidi w:val="0"/>
        <w:spacing w:beforeAutospacing="0" w:line="440" w:lineRule="exact"/>
        <w:ind w:left="0" w:leftChars="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法定代表人或授权代理人（签字盖章）：</w:t>
      </w:r>
    </w:p>
    <w:p>
      <w:pPr>
        <w:kinsoku/>
        <w:wordWrap/>
        <w:overflowPunct/>
        <w:bidi w:val="0"/>
        <w:spacing w:beforeAutospacing="0" w:line="440" w:lineRule="exact"/>
        <w:ind w:left="0" w:leftChars="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日  期：  年  月  日</w:t>
      </w:r>
    </w:p>
    <w:p>
      <w:pPr>
        <w:kinsoku/>
        <w:wordWrap/>
        <w:overflowPunct/>
        <w:bidi w:val="0"/>
        <w:spacing w:beforeAutospacing="0" w:line="440" w:lineRule="exact"/>
        <w:ind w:left="0" w:leftChars="0" w:right="0"/>
        <w:jc w:val="center"/>
        <w:rPr>
          <w:rFonts w:hint="eastAsia" w:ascii="仿宋" w:hAnsi="仿宋" w:eastAsia="仿宋" w:cs="仿宋"/>
          <w:b/>
          <w:color w:val="auto"/>
          <w:sz w:val="24"/>
          <w:szCs w:val="24"/>
          <w:highlight w:val="none"/>
        </w:rPr>
      </w:pPr>
    </w:p>
    <w:p>
      <w:pPr>
        <w:kinsoku/>
        <w:wordWrap/>
        <w:overflowPunct/>
        <w:bidi w:val="0"/>
        <w:spacing w:beforeAutospacing="0" w:line="440" w:lineRule="exact"/>
        <w:ind w:left="0" w:leftChars="0" w:right="0"/>
        <w:jc w:val="center"/>
        <w:rPr>
          <w:rFonts w:hint="eastAsia" w:ascii="仿宋" w:hAnsi="仿宋" w:eastAsia="仿宋" w:cs="仿宋"/>
          <w:b/>
          <w:color w:val="auto"/>
          <w:sz w:val="24"/>
          <w:szCs w:val="24"/>
          <w:highlight w:val="none"/>
        </w:rPr>
      </w:pPr>
    </w:p>
    <w:p>
      <w:pPr>
        <w:kinsoku/>
        <w:wordWrap/>
        <w:overflowPunct/>
        <w:bidi w:val="0"/>
        <w:spacing w:beforeAutospacing="0" w:line="440" w:lineRule="exact"/>
        <w:ind w:left="0" w:leftChars="0" w:right="0"/>
        <w:jc w:val="center"/>
        <w:rPr>
          <w:rFonts w:hint="eastAsia" w:ascii="仿宋" w:hAnsi="仿宋" w:eastAsia="仿宋" w:cs="仿宋"/>
          <w:b/>
          <w:color w:val="auto"/>
          <w:sz w:val="24"/>
          <w:szCs w:val="24"/>
          <w:highlight w:val="none"/>
        </w:rPr>
      </w:pPr>
    </w:p>
    <w:p>
      <w:pPr>
        <w:kinsoku/>
        <w:wordWrap/>
        <w:overflowPunct/>
        <w:bidi w:val="0"/>
        <w:spacing w:beforeAutospacing="0" w:line="440" w:lineRule="exact"/>
        <w:ind w:left="0" w:leftChars="0" w:right="0"/>
        <w:jc w:val="center"/>
        <w:rPr>
          <w:rFonts w:hint="eastAsia" w:ascii="仿宋" w:hAnsi="仿宋" w:eastAsia="仿宋" w:cs="仿宋"/>
          <w:b/>
          <w:color w:val="auto"/>
          <w:sz w:val="24"/>
          <w:szCs w:val="24"/>
          <w:highlight w:val="none"/>
        </w:rPr>
      </w:pPr>
    </w:p>
    <w:p>
      <w:pPr>
        <w:kinsoku/>
        <w:wordWrap/>
        <w:overflowPunct/>
        <w:bidi w:val="0"/>
        <w:spacing w:beforeAutospacing="0" w:line="440" w:lineRule="exact"/>
        <w:ind w:left="0" w:leftChars="0" w:right="0"/>
        <w:jc w:val="center"/>
        <w:rPr>
          <w:rFonts w:hint="eastAsia" w:ascii="仿宋" w:hAnsi="仿宋" w:eastAsia="仿宋" w:cs="仿宋"/>
          <w:b/>
          <w:color w:val="auto"/>
          <w:sz w:val="24"/>
          <w:szCs w:val="24"/>
          <w:highlight w:val="none"/>
        </w:rPr>
      </w:pPr>
    </w:p>
    <w:p>
      <w:pPr>
        <w:kinsoku/>
        <w:wordWrap/>
        <w:overflowPunct/>
        <w:bidi w:val="0"/>
        <w:spacing w:beforeAutospacing="0" w:line="440" w:lineRule="exact"/>
        <w:ind w:left="0" w:leftChars="0" w:right="0"/>
        <w:jc w:val="center"/>
        <w:rPr>
          <w:rFonts w:hint="eastAsia" w:ascii="仿宋" w:hAnsi="仿宋" w:eastAsia="仿宋" w:cs="仿宋"/>
          <w:b/>
          <w:color w:val="auto"/>
          <w:sz w:val="24"/>
          <w:szCs w:val="24"/>
          <w:highlight w:val="none"/>
        </w:rPr>
      </w:pPr>
    </w:p>
    <w:p>
      <w:pPr>
        <w:kinsoku/>
        <w:wordWrap/>
        <w:overflowPunct/>
        <w:bidi w:val="0"/>
        <w:spacing w:beforeAutospacing="0" w:line="440" w:lineRule="exact"/>
        <w:ind w:left="0" w:leftChars="0" w:right="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缴纳投标保证金证明的复印件</w:t>
      </w:r>
      <w:bookmarkEnd w:id="32"/>
    </w:p>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p>
    <w:p>
      <w:pPr>
        <w:kinsoku/>
        <w:wordWrap/>
        <w:overflowPunct/>
        <w:bidi w:val="0"/>
        <w:spacing w:beforeAutospacing="0" w:line="440" w:lineRule="exact"/>
        <w:ind w:left="0" w:leftChars="0" w:right="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此处应附缴纳投标保证金证明的复印件（加盖公章）</w:t>
      </w:r>
    </w:p>
    <w:p>
      <w:pPr>
        <w:kinsoku/>
        <w:wordWrap/>
        <w:overflowPunct/>
        <w:bidi w:val="0"/>
        <w:adjustRightInd w:val="0"/>
        <w:snapToGrid w:val="0"/>
        <w:spacing w:beforeAutospacing="0" w:line="440" w:lineRule="exact"/>
        <w:ind w:left="0" w:leftChars="0" w:right="0"/>
        <w:rPr>
          <w:rFonts w:hint="eastAsia" w:ascii="仿宋" w:hAnsi="仿宋" w:eastAsia="仿宋" w:cs="仿宋"/>
          <w:bCs/>
          <w:color w:val="auto"/>
          <w:sz w:val="24"/>
          <w:szCs w:val="24"/>
          <w:highlight w:val="none"/>
        </w:rPr>
      </w:pPr>
    </w:p>
    <w:p>
      <w:pPr>
        <w:kinsoku/>
        <w:wordWrap/>
        <w:overflowPunct/>
        <w:bidi w:val="0"/>
        <w:adjustRightInd w:val="0"/>
        <w:snapToGrid w:val="0"/>
        <w:spacing w:beforeAutospacing="0" w:line="440" w:lineRule="exact"/>
        <w:ind w:left="0" w:leftChars="0" w:right="0"/>
        <w:jc w:val="center"/>
        <w:rPr>
          <w:rFonts w:hint="eastAsia" w:ascii="仿宋" w:hAnsi="仿宋" w:eastAsia="仿宋" w:cs="仿宋"/>
          <w:bCs/>
          <w:color w:val="auto"/>
          <w:sz w:val="24"/>
          <w:szCs w:val="24"/>
          <w:highlight w:val="none"/>
        </w:rPr>
      </w:pPr>
    </w:p>
    <w:p>
      <w:pPr>
        <w:kinsoku/>
        <w:wordWrap/>
        <w:overflowPunct/>
        <w:bidi w:val="0"/>
        <w:adjustRightInd w:val="0"/>
        <w:snapToGrid w:val="0"/>
        <w:spacing w:beforeAutospacing="0" w:line="440" w:lineRule="exact"/>
        <w:ind w:left="0" w:leftChars="0" w:right="0"/>
        <w:jc w:val="center"/>
        <w:rPr>
          <w:rFonts w:hint="eastAsia" w:ascii="仿宋" w:hAnsi="仿宋" w:eastAsia="仿宋" w:cs="仿宋"/>
          <w:bCs/>
          <w:color w:val="auto"/>
          <w:sz w:val="24"/>
          <w:szCs w:val="24"/>
          <w:highlight w:val="none"/>
        </w:rPr>
      </w:pPr>
    </w:p>
    <w:p>
      <w:pPr>
        <w:kinsoku/>
        <w:wordWrap/>
        <w:overflowPunct/>
        <w:bidi w:val="0"/>
        <w:adjustRightInd w:val="0"/>
        <w:snapToGrid w:val="0"/>
        <w:spacing w:beforeAutospacing="0" w:line="440" w:lineRule="exact"/>
        <w:ind w:left="0" w:leftChars="0" w:right="0"/>
        <w:jc w:val="center"/>
        <w:rPr>
          <w:rFonts w:hint="eastAsia" w:ascii="仿宋" w:hAnsi="仿宋" w:eastAsia="仿宋" w:cs="仿宋"/>
          <w:bCs/>
          <w:color w:val="auto"/>
          <w:sz w:val="24"/>
          <w:szCs w:val="24"/>
          <w:highlight w:val="none"/>
        </w:rPr>
      </w:pPr>
    </w:p>
    <w:p>
      <w:pPr>
        <w:kinsoku/>
        <w:wordWrap/>
        <w:overflowPunct/>
        <w:bidi w:val="0"/>
        <w:adjustRightInd w:val="0"/>
        <w:snapToGrid w:val="0"/>
        <w:spacing w:beforeAutospacing="0" w:line="440" w:lineRule="exact"/>
        <w:ind w:left="0" w:leftChars="0" w:right="0"/>
        <w:jc w:val="center"/>
        <w:rPr>
          <w:rFonts w:hint="eastAsia" w:ascii="仿宋" w:hAnsi="仿宋" w:eastAsia="仿宋" w:cs="仿宋"/>
          <w:bCs/>
          <w:color w:val="auto"/>
          <w:sz w:val="24"/>
          <w:szCs w:val="24"/>
          <w:highlight w:val="none"/>
        </w:rPr>
      </w:pPr>
    </w:p>
    <w:p>
      <w:pPr>
        <w:kinsoku/>
        <w:wordWrap/>
        <w:overflowPunct/>
        <w:bidi w:val="0"/>
        <w:adjustRightInd w:val="0"/>
        <w:snapToGrid w:val="0"/>
        <w:spacing w:beforeAutospacing="0" w:line="440" w:lineRule="exact"/>
        <w:ind w:left="0" w:leftChars="0" w:right="0"/>
        <w:jc w:val="center"/>
        <w:rPr>
          <w:rFonts w:hint="eastAsia" w:ascii="仿宋" w:hAnsi="仿宋" w:eastAsia="仿宋" w:cs="仿宋"/>
          <w:bCs/>
          <w:color w:val="auto"/>
          <w:sz w:val="24"/>
          <w:szCs w:val="24"/>
          <w:highlight w:val="none"/>
        </w:rPr>
      </w:pPr>
    </w:p>
    <w:p>
      <w:pPr>
        <w:kinsoku/>
        <w:wordWrap/>
        <w:overflowPunct/>
        <w:bidi w:val="0"/>
        <w:adjustRightInd w:val="0"/>
        <w:snapToGrid w:val="0"/>
        <w:spacing w:beforeAutospacing="0" w:line="440" w:lineRule="exact"/>
        <w:ind w:left="0" w:leftChars="0" w:right="0"/>
        <w:jc w:val="center"/>
        <w:rPr>
          <w:rFonts w:hint="eastAsia" w:ascii="仿宋" w:hAnsi="仿宋" w:eastAsia="仿宋" w:cs="仿宋"/>
          <w:bCs/>
          <w:color w:val="auto"/>
          <w:sz w:val="24"/>
          <w:szCs w:val="24"/>
          <w:highlight w:val="none"/>
        </w:rPr>
      </w:pPr>
    </w:p>
    <w:p>
      <w:pPr>
        <w:kinsoku/>
        <w:wordWrap/>
        <w:overflowPunct/>
        <w:bidi w:val="0"/>
        <w:adjustRightInd w:val="0"/>
        <w:snapToGrid w:val="0"/>
        <w:spacing w:beforeAutospacing="0" w:line="440" w:lineRule="exact"/>
        <w:ind w:left="0" w:leftChars="0" w:right="0"/>
        <w:jc w:val="center"/>
        <w:rPr>
          <w:rFonts w:hint="eastAsia" w:ascii="仿宋" w:hAnsi="仿宋" w:eastAsia="仿宋" w:cs="仿宋"/>
          <w:bCs/>
          <w:color w:val="auto"/>
          <w:sz w:val="24"/>
          <w:szCs w:val="24"/>
          <w:highlight w:val="none"/>
        </w:rPr>
      </w:pPr>
    </w:p>
    <w:p>
      <w:pPr>
        <w:kinsoku/>
        <w:wordWrap/>
        <w:overflowPunct/>
        <w:bidi w:val="0"/>
        <w:spacing w:beforeAutospacing="0" w:line="440" w:lineRule="exact"/>
        <w:ind w:left="0" w:leftChars="0" w:right="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商务条款偏离表</w:t>
      </w:r>
    </w:p>
    <w:p>
      <w:pPr>
        <w:shd w:val="clear" w:color="auto" w:fill="FFFFFF"/>
        <w:kinsoku/>
        <w:wordWrap/>
        <w:overflowPunct/>
        <w:bidi w:val="0"/>
        <w:spacing w:beforeAutospacing="0" w:line="440" w:lineRule="exact"/>
        <w:ind w:left="0" w:leftChars="0" w:right="0" w:firstLine="99"/>
        <w:jc w:val="left"/>
        <w:rPr>
          <w:rFonts w:hint="eastAsia" w:ascii="仿宋" w:hAnsi="仿宋" w:eastAsia="仿宋" w:cs="仿宋"/>
          <w:color w:val="auto"/>
          <w:sz w:val="24"/>
          <w:szCs w:val="24"/>
          <w:highlight w:val="none"/>
          <w:shd w:val="clear" w:color="auto" w:fill="FFFFFF"/>
        </w:rPr>
      </w:pPr>
    </w:p>
    <w:p>
      <w:pPr>
        <w:shd w:val="clear" w:color="auto" w:fill="FFFFFF"/>
        <w:kinsoku/>
        <w:wordWrap/>
        <w:overflowPunct/>
        <w:bidi w:val="0"/>
        <w:spacing w:beforeAutospacing="0" w:line="440" w:lineRule="exact"/>
        <w:ind w:left="0" w:leftChars="0" w:right="0" w:firstLine="480" w:firstLineChars="200"/>
        <w:jc w:val="left"/>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lang w:bidi="ar"/>
        </w:rPr>
        <w:t>项目名称：                                 项目编号：</w:t>
      </w:r>
    </w:p>
    <w:tbl>
      <w:tblPr>
        <w:tblStyle w:val="51"/>
        <w:tblW w:w="8955" w:type="dxa"/>
        <w:tblInd w:w="468" w:type="dxa"/>
        <w:tblLayout w:type="fixed"/>
        <w:tblCellMar>
          <w:top w:w="0" w:type="dxa"/>
          <w:left w:w="108" w:type="dxa"/>
          <w:bottom w:w="0" w:type="dxa"/>
          <w:right w:w="108" w:type="dxa"/>
        </w:tblCellMar>
      </w:tblPr>
      <w:tblGrid>
        <w:gridCol w:w="901"/>
        <w:gridCol w:w="1725"/>
        <w:gridCol w:w="1941"/>
        <w:gridCol w:w="2050"/>
        <w:gridCol w:w="2338"/>
      </w:tblGrid>
      <w:tr>
        <w:tblPrEx>
          <w:tblCellMar>
            <w:top w:w="0" w:type="dxa"/>
            <w:left w:w="108" w:type="dxa"/>
            <w:bottom w:w="0" w:type="dxa"/>
            <w:right w:w="108" w:type="dxa"/>
          </w:tblCellMar>
        </w:tblPrEx>
        <w:trPr>
          <w:cantSplit/>
          <w:trHeight w:val="651" w:hRule="exact"/>
        </w:trPr>
        <w:tc>
          <w:tcPr>
            <w:tcW w:w="900" w:type="dxa"/>
            <w:tcBorders>
              <w:top w:val="single" w:color="auto" w:sz="6" w:space="0"/>
              <w:left w:val="single" w:color="auto" w:sz="6" w:space="0"/>
              <w:bottom w:val="single" w:color="auto" w:sz="6" w:space="0"/>
              <w:right w:val="single" w:color="auto" w:sz="6" w:space="0"/>
            </w:tcBorders>
            <w:shd w:val="clear" w:color="auto" w:fill="auto"/>
          </w:tcPr>
          <w:p>
            <w:pPr>
              <w:shd w:val="clear" w:color="auto" w:fill="FFFFFF"/>
              <w:kinsoku/>
              <w:wordWrap/>
              <w:overflowPunct/>
              <w:bidi w:val="0"/>
              <w:spacing w:beforeAutospacing="0" w:line="440" w:lineRule="exact"/>
              <w:ind w:left="0" w:leftChars="0" w:right="0"/>
              <w:jc w:val="left"/>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lang w:bidi="ar"/>
              </w:rPr>
              <w:t>序号</w:t>
            </w:r>
          </w:p>
        </w:tc>
        <w:tc>
          <w:tcPr>
            <w:tcW w:w="1725" w:type="dxa"/>
            <w:tcBorders>
              <w:top w:val="single" w:color="auto" w:sz="6" w:space="0"/>
              <w:left w:val="single" w:color="auto" w:sz="6" w:space="0"/>
              <w:bottom w:val="single" w:color="auto" w:sz="6" w:space="0"/>
              <w:right w:val="single" w:color="auto" w:sz="6" w:space="0"/>
            </w:tcBorders>
            <w:shd w:val="clear" w:color="auto" w:fill="auto"/>
          </w:tcPr>
          <w:p>
            <w:pPr>
              <w:shd w:val="clear" w:color="auto" w:fill="FFFFFF"/>
              <w:kinsoku/>
              <w:wordWrap/>
              <w:overflowPunct/>
              <w:bidi w:val="0"/>
              <w:spacing w:beforeAutospacing="0" w:line="440" w:lineRule="exact"/>
              <w:ind w:left="0" w:leftChars="0" w:right="0" w:firstLine="99"/>
              <w:jc w:val="left"/>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lang w:bidi="ar"/>
              </w:rPr>
              <w:t>条款序号</w:t>
            </w:r>
          </w:p>
        </w:tc>
        <w:tc>
          <w:tcPr>
            <w:tcW w:w="1941" w:type="dxa"/>
            <w:tcBorders>
              <w:top w:val="single" w:color="auto" w:sz="6" w:space="0"/>
              <w:left w:val="single" w:color="auto" w:sz="6" w:space="0"/>
              <w:bottom w:val="single" w:color="auto" w:sz="6" w:space="0"/>
              <w:right w:val="single" w:color="auto" w:sz="6" w:space="0"/>
            </w:tcBorders>
            <w:shd w:val="clear" w:color="auto" w:fill="auto"/>
          </w:tcPr>
          <w:p>
            <w:pPr>
              <w:shd w:val="clear" w:color="auto" w:fill="FFFFFF"/>
              <w:kinsoku/>
              <w:wordWrap/>
              <w:overflowPunct/>
              <w:bidi w:val="0"/>
              <w:spacing w:beforeAutospacing="0" w:line="440" w:lineRule="exact"/>
              <w:ind w:left="0" w:leftChars="0" w:right="0" w:firstLine="99"/>
              <w:jc w:val="left"/>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lang w:bidi="ar"/>
              </w:rPr>
              <w:t>采购条款</w:t>
            </w:r>
          </w:p>
        </w:tc>
        <w:tc>
          <w:tcPr>
            <w:tcW w:w="2050" w:type="dxa"/>
            <w:tcBorders>
              <w:top w:val="single" w:color="auto" w:sz="6" w:space="0"/>
              <w:left w:val="single" w:color="auto" w:sz="6" w:space="0"/>
              <w:bottom w:val="single" w:color="auto" w:sz="6" w:space="0"/>
              <w:right w:val="single" w:color="auto" w:sz="6" w:space="0"/>
            </w:tcBorders>
            <w:shd w:val="clear" w:color="auto" w:fill="auto"/>
          </w:tcPr>
          <w:p>
            <w:pPr>
              <w:shd w:val="clear" w:color="auto" w:fill="FFFFFF"/>
              <w:kinsoku/>
              <w:wordWrap/>
              <w:overflowPunct/>
              <w:bidi w:val="0"/>
              <w:spacing w:beforeAutospacing="0" w:line="440" w:lineRule="exact"/>
              <w:ind w:left="0" w:leftChars="0" w:right="0" w:firstLine="99"/>
              <w:jc w:val="left"/>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lang w:bidi="ar"/>
              </w:rPr>
              <w:t>投标条款</w:t>
            </w:r>
          </w:p>
        </w:tc>
        <w:tc>
          <w:tcPr>
            <w:tcW w:w="2338" w:type="dxa"/>
            <w:tcBorders>
              <w:top w:val="single" w:color="auto" w:sz="6" w:space="0"/>
              <w:left w:val="single" w:color="auto" w:sz="6" w:space="0"/>
              <w:bottom w:val="single" w:color="auto" w:sz="6" w:space="0"/>
              <w:right w:val="single" w:color="auto" w:sz="6" w:space="0"/>
            </w:tcBorders>
            <w:shd w:val="clear" w:color="auto" w:fill="auto"/>
          </w:tcPr>
          <w:p>
            <w:pPr>
              <w:shd w:val="clear" w:color="auto" w:fill="FFFFFF"/>
              <w:kinsoku/>
              <w:wordWrap/>
              <w:overflowPunct/>
              <w:bidi w:val="0"/>
              <w:spacing w:beforeAutospacing="0" w:line="440" w:lineRule="exact"/>
              <w:ind w:left="0" w:leftChars="0" w:right="0"/>
              <w:jc w:val="left"/>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lang w:bidi="ar"/>
              </w:rPr>
              <w:t>备   注</w:t>
            </w:r>
          </w:p>
        </w:tc>
      </w:tr>
      <w:tr>
        <w:tblPrEx>
          <w:tblCellMar>
            <w:top w:w="0" w:type="dxa"/>
            <w:left w:w="108" w:type="dxa"/>
            <w:bottom w:w="0" w:type="dxa"/>
            <w:right w:w="108" w:type="dxa"/>
          </w:tblCellMar>
        </w:tblPrEx>
        <w:trPr>
          <w:cantSplit/>
          <w:trHeight w:val="651" w:hRule="exact"/>
        </w:trPr>
        <w:tc>
          <w:tcPr>
            <w:tcW w:w="900" w:type="dxa"/>
            <w:tcBorders>
              <w:top w:val="single" w:color="auto" w:sz="6" w:space="0"/>
              <w:left w:val="single" w:color="auto" w:sz="6" w:space="0"/>
              <w:bottom w:val="single" w:color="auto" w:sz="6" w:space="0"/>
              <w:right w:val="single" w:color="auto" w:sz="6" w:space="0"/>
            </w:tcBorders>
            <w:shd w:val="clear" w:color="auto" w:fill="auto"/>
          </w:tcPr>
          <w:p>
            <w:pPr>
              <w:shd w:val="clear" w:color="auto" w:fill="FFFFFF"/>
              <w:kinsoku/>
              <w:wordWrap/>
              <w:overflowPunct/>
              <w:bidi w:val="0"/>
              <w:spacing w:beforeAutospacing="0" w:line="440" w:lineRule="exact"/>
              <w:ind w:left="0" w:leftChars="0" w:right="0" w:firstLine="99"/>
              <w:jc w:val="left"/>
              <w:rPr>
                <w:rFonts w:hint="eastAsia" w:ascii="仿宋" w:hAnsi="仿宋" w:eastAsia="仿宋" w:cs="仿宋"/>
                <w:color w:val="auto"/>
                <w:sz w:val="24"/>
                <w:szCs w:val="24"/>
                <w:highlight w:val="none"/>
                <w:shd w:val="clear" w:color="auto" w:fill="FFFFFF"/>
              </w:rPr>
            </w:pPr>
          </w:p>
        </w:tc>
        <w:tc>
          <w:tcPr>
            <w:tcW w:w="1725" w:type="dxa"/>
            <w:tcBorders>
              <w:top w:val="single" w:color="auto" w:sz="6" w:space="0"/>
              <w:left w:val="single" w:color="auto" w:sz="6" w:space="0"/>
              <w:bottom w:val="single" w:color="auto" w:sz="6" w:space="0"/>
              <w:right w:val="single" w:color="auto" w:sz="6" w:space="0"/>
            </w:tcBorders>
            <w:shd w:val="clear" w:color="auto" w:fill="auto"/>
          </w:tcPr>
          <w:p>
            <w:pPr>
              <w:shd w:val="clear" w:color="auto" w:fill="FFFFFF"/>
              <w:kinsoku/>
              <w:wordWrap/>
              <w:overflowPunct/>
              <w:bidi w:val="0"/>
              <w:spacing w:beforeAutospacing="0" w:line="440" w:lineRule="exact"/>
              <w:ind w:left="0" w:leftChars="0" w:right="0" w:firstLine="99"/>
              <w:jc w:val="left"/>
              <w:rPr>
                <w:rFonts w:hint="eastAsia" w:ascii="仿宋" w:hAnsi="仿宋" w:eastAsia="仿宋" w:cs="仿宋"/>
                <w:color w:val="auto"/>
                <w:sz w:val="24"/>
                <w:szCs w:val="24"/>
                <w:highlight w:val="none"/>
                <w:shd w:val="clear" w:color="auto" w:fill="FFFFFF"/>
              </w:rPr>
            </w:pPr>
          </w:p>
        </w:tc>
        <w:tc>
          <w:tcPr>
            <w:tcW w:w="1941" w:type="dxa"/>
            <w:tcBorders>
              <w:top w:val="single" w:color="auto" w:sz="6" w:space="0"/>
              <w:left w:val="single" w:color="auto" w:sz="6" w:space="0"/>
              <w:bottom w:val="single" w:color="auto" w:sz="6" w:space="0"/>
              <w:right w:val="single" w:color="auto" w:sz="6" w:space="0"/>
            </w:tcBorders>
            <w:shd w:val="clear" w:color="auto" w:fill="auto"/>
          </w:tcPr>
          <w:p>
            <w:pPr>
              <w:shd w:val="clear" w:color="auto" w:fill="FFFFFF"/>
              <w:kinsoku/>
              <w:wordWrap/>
              <w:overflowPunct/>
              <w:bidi w:val="0"/>
              <w:spacing w:beforeAutospacing="0" w:line="440" w:lineRule="exact"/>
              <w:ind w:left="0" w:leftChars="0" w:right="0" w:firstLine="99"/>
              <w:jc w:val="left"/>
              <w:rPr>
                <w:rFonts w:hint="eastAsia" w:ascii="仿宋" w:hAnsi="仿宋" w:eastAsia="仿宋" w:cs="仿宋"/>
                <w:color w:val="auto"/>
                <w:sz w:val="24"/>
                <w:szCs w:val="24"/>
                <w:highlight w:val="none"/>
                <w:shd w:val="clear" w:color="auto" w:fill="FFFFFF"/>
              </w:rPr>
            </w:pPr>
          </w:p>
        </w:tc>
        <w:tc>
          <w:tcPr>
            <w:tcW w:w="2050" w:type="dxa"/>
            <w:tcBorders>
              <w:top w:val="single" w:color="auto" w:sz="6" w:space="0"/>
              <w:left w:val="single" w:color="auto" w:sz="6" w:space="0"/>
              <w:bottom w:val="single" w:color="auto" w:sz="6" w:space="0"/>
              <w:right w:val="single" w:color="auto" w:sz="6" w:space="0"/>
            </w:tcBorders>
            <w:shd w:val="clear" w:color="auto" w:fill="auto"/>
          </w:tcPr>
          <w:p>
            <w:pPr>
              <w:shd w:val="clear" w:color="auto" w:fill="FFFFFF"/>
              <w:kinsoku/>
              <w:wordWrap/>
              <w:overflowPunct/>
              <w:bidi w:val="0"/>
              <w:spacing w:beforeAutospacing="0" w:line="440" w:lineRule="exact"/>
              <w:ind w:left="0" w:leftChars="0" w:right="0" w:firstLine="99"/>
              <w:jc w:val="left"/>
              <w:rPr>
                <w:rFonts w:hint="eastAsia" w:ascii="仿宋" w:hAnsi="仿宋" w:eastAsia="仿宋" w:cs="仿宋"/>
                <w:color w:val="auto"/>
                <w:sz w:val="24"/>
                <w:szCs w:val="24"/>
                <w:highlight w:val="none"/>
                <w:shd w:val="clear" w:color="auto" w:fill="FFFFFF"/>
              </w:rPr>
            </w:pPr>
          </w:p>
        </w:tc>
        <w:tc>
          <w:tcPr>
            <w:tcW w:w="2338" w:type="dxa"/>
            <w:tcBorders>
              <w:top w:val="single" w:color="auto" w:sz="6" w:space="0"/>
              <w:left w:val="single" w:color="auto" w:sz="6" w:space="0"/>
              <w:bottom w:val="single" w:color="auto" w:sz="6" w:space="0"/>
              <w:right w:val="single" w:color="auto" w:sz="6" w:space="0"/>
            </w:tcBorders>
            <w:shd w:val="clear" w:color="auto" w:fill="auto"/>
          </w:tcPr>
          <w:p>
            <w:pPr>
              <w:shd w:val="clear" w:color="auto" w:fill="FFFFFF"/>
              <w:kinsoku/>
              <w:wordWrap/>
              <w:overflowPunct/>
              <w:bidi w:val="0"/>
              <w:spacing w:beforeAutospacing="0" w:line="440" w:lineRule="exact"/>
              <w:ind w:left="0" w:leftChars="0" w:right="0" w:firstLine="99"/>
              <w:jc w:val="left"/>
              <w:rPr>
                <w:rFonts w:hint="eastAsia" w:ascii="仿宋" w:hAnsi="仿宋" w:eastAsia="仿宋" w:cs="仿宋"/>
                <w:color w:val="auto"/>
                <w:sz w:val="24"/>
                <w:szCs w:val="24"/>
                <w:highlight w:val="none"/>
                <w:shd w:val="clear" w:color="auto" w:fill="FFFFFF"/>
              </w:rPr>
            </w:pPr>
          </w:p>
        </w:tc>
      </w:tr>
      <w:tr>
        <w:tblPrEx>
          <w:tblCellMar>
            <w:top w:w="0" w:type="dxa"/>
            <w:left w:w="108" w:type="dxa"/>
            <w:bottom w:w="0" w:type="dxa"/>
            <w:right w:w="108" w:type="dxa"/>
          </w:tblCellMar>
        </w:tblPrEx>
        <w:trPr>
          <w:cantSplit/>
          <w:trHeight w:val="651" w:hRule="exact"/>
        </w:trPr>
        <w:tc>
          <w:tcPr>
            <w:tcW w:w="900" w:type="dxa"/>
            <w:tcBorders>
              <w:top w:val="single" w:color="auto" w:sz="6" w:space="0"/>
              <w:left w:val="single" w:color="auto" w:sz="6" w:space="0"/>
              <w:bottom w:val="single" w:color="auto" w:sz="6" w:space="0"/>
              <w:right w:val="single" w:color="auto" w:sz="6" w:space="0"/>
            </w:tcBorders>
            <w:shd w:val="clear" w:color="auto" w:fill="auto"/>
          </w:tcPr>
          <w:p>
            <w:pPr>
              <w:shd w:val="clear" w:color="auto" w:fill="FFFFFF"/>
              <w:kinsoku/>
              <w:wordWrap/>
              <w:overflowPunct/>
              <w:bidi w:val="0"/>
              <w:spacing w:beforeAutospacing="0" w:line="440" w:lineRule="exact"/>
              <w:ind w:left="0" w:leftChars="0" w:right="0" w:firstLine="99"/>
              <w:jc w:val="left"/>
              <w:rPr>
                <w:rFonts w:hint="eastAsia" w:ascii="仿宋" w:hAnsi="仿宋" w:eastAsia="仿宋" w:cs="仿宋"/>
                <w:color w:val="auto"/>
                <w:sz w:val="24"/>
                <w:szCs w:val="24"/>
                <w:highlight w:val="none"/>
                <w:shd w:val="clear" w:color="auto" w:fill="FFFFFF"/>
              </w:rPr>
            </w:pPr>
          </w:p>
        </w:tc>
        <w:tc>
          <w:tcPr>
            <w:tcW w:w="1725" w:type="dxa"/>
            <w:tcBorders>
              <w:top w:val="single" w:color="auto" w:sz="6" w:space="0"/>
              <w:left w:val="single" w:color="auto" w:sz="6" w:space="0"/>
              <w:bottom w:val="single" w:color="auto" w:sz="6" w:space="0"/>
              <w:right w:val="single" w:color="auto" w:sz="6" w:space="0"/>
            </w:tcBorders>
            <w:shd w:val="clear" w:color="auto" w:fill="auto"/>
          </w:tcPr>
          <w:p>
            <w:pPr>
              <w:shd w:val="clear" w:color="auto" w:fill="FFFFFF"/>
              <w:kinsoku/>
              <w:wordWrap/>
              <w:overflowPunct/>
              <w:bidi w:val="0"/>
              <w:spacing w:beforeAutospacing="0" w:line="440" w:lineRule="exact"/>
              <w:ind w:left="0" w:leftChars="0" w:right="0" w:firstLine="99"/>
              <w:jc w:val="left"/>
              <w:rPr>
                <w:rFonts w:hint="eastAsia" w:ascii="仿宋" w:hAnsi="仿宋" w:eastAsia="仿宋" w:cs="仿宋"/>
                <w:color w:val="auto"/>
                <w:sz w:val="24"/>
                <w:szCs w:val="24"/>
                <w:highlight w:val="none"/>
                <w:shd w:val="clear" w:color="auto" w:fill="FFFFFF"/>
              </w:rPr>
            </w:pPr>
          </w:p>
        </w:tc>
        <w:tc>
          <w:tcPr>
            <w:tcW w:w="1941" w:type="dxa"/>
            <w:tcBorders>
              <w:top w:val="single" w:color="auto" w:sz="6" w:space="0"/>
              <w:left w:val="single" w:color="auto" w:sz="6" w:space="0"/>
              <w:bottom w:val="single" w:color="auto" w:sz="6" w:space="0"/>
              <w:right w:val="single" w:color="auto" w:sz="6" w:space="0"/>
            </w:tcBorders>
            <w:shd w:val="clear" w:color="auto" w:fill="auto"/>
          </w:tcPr>
          <w:p>
            <w:pPr>
              <w:shd w:val="clear" w:color="auto" w:fill="FFFFFF"/>
              <w:kinsoku/>
              <w:wordWrap/>
              <w:overflowPunct/>
              <w:bidi w:val="0"/>
              <w:spacing w:beforeAutospacing="0" w:line="440" w:lineRule="exact"/>
              <w:ind w:left="0" w:leftChars="0" w:right="0" w:firstLine="99"/>
              <w:jc w:val="left"/>
              <w:rPr>
                <w:rFonts w:hint="eastAsia" w:ascii="仿宋" w:hAnsi="仿宋" w:eastAsia="仿宋" w:cs="仿宋"/>
                <w:color w:val="auto"/>
                <w:sz w:val="24"/>
                <w:szCs w:val="24"/>
                <w:highlight w:val="none"/>
                <w:shd w:val="clear" w:color="auto" w:fill="FFFFFF"/>
              </w:rPr>
            </w:pPr>
          </w:p>
        </w:tc>
        <w:tc>
          <w:tcPr>
            <w:tcW w:w="2050" w:type="dxa"/>
            <w:tcBorders>
              <w:top w:val="single" w:color="auto" w:sz="6" w:space="0"/>
              <w:left w:val="single" w:color="auto" w:sz="6" w:space="0"/>
              <w:bottom w:val="single" w:color="auto" w:sz="6" w:space="0"/>
              <w:right w:val="single" w:color="auto" w:sz="6" w:space="0"/>
            </w:tcBorders>
            <w:shd w:val="clear" w:color="auto" w:fill="auto"/>
          </w:tcPr>
          <w:p>
            <w:pPr>
              <w:shd w:val="clear" w:color="auto" w:fill="FFFFFF"/>
              <w:kinsoku/>
              <w:wordWrap/>
              <w:overflowPunct/>
              <w:bidi w:val="0"/>
              <w:spacing w:beforeAutospacing="0" w:line="440" w:lineRule="exact"/>
              <w:ind w:left="0" w:leftChars="0" w:right="0" w:firstLine="99"/>
              <w:jc w:val="left"/>
              <w:rPr>
                <w:rFonts w:hint="eastAsia" w:ascii="仿宋" w:hAnsi="仿宋" w:eastAsia="仿宋" w:cs="仿宋"/>
                <w:color w:val="auto"/>
                <w:sz w:val="24"/>
                <w:szCs w:val="24"/>
                <w:highlight w:val="none"/>
                <w:shd w:val="clear" w:color="auto" w:fill="FFFFFF"/>
              </w:rPr>
            </w:pPr>
          </w:p>
        </w:tc>
        <w:tc>
          <w:tcPr>
            <w:tcW w:w="2338" w:type="dxa"/>
            <w:tcBorders>
              <w:top w:val="single" w:color="auto" w:sz="6" w:space="0"/>
              <w:left w:val="single" w:color="auto" w:sz="6" w:space="0"/>
              <w:bottom w:val="single" w:color="auto" w:sz="6" w:space="0"/>
              <w:right w:val="single" w:color="auto" w:sz="6" w:space="0"/>
            </w:tcBorders>
            <w:shd w:val="clear" w:color="auto" w:fill="auto"/>
          </w:tcPr>
          <w:p>
            <w:pPr>
              <w:shd w:val="clear" w:color="auto" w:fill="FFFFFF"/>
              <w:kinsoku/>
              <w:wordWrap/>
              <w:overflowPunct/>
              <w:bidi w:val="0"/>
              <w:spacing w:beforeAutospacing="0" w:line="440" w:lineRule="exact"/>
              <w:ind w:left="0" w:leftChars="0" w:right="0" w:firstLine="99"/>
              <w:jc w:val="left"/>
              <w:rPr>
                <w:rFonts w:hint="eastAsia" w:ascii="仿宋" w:hAnsi="仿宋" w:eastAsia="仿宋" w:cs="仿宋"/>
                <w:color w:val="auto"/>
                <w:sz w:val="24"/>
                <w:szCs w:val="24"/>
                <w:highlight w:val="none"/>
                <w:shd w:val="clear" w:color="auto" w:fill="FFFFFF"/>
              </w:rPr>
            </w:pPr>
          </w:p>
        </w:tc>
      </w:tr>
      <w:tr>
        <w:tblPrEx>
          <w:tblCellMar>
            <w:top w:w="0" w:type="dxa"/>
            <w:left w:w="108" w:type="dxa"/>
            <w:bottom w:w="0" w:type="dxa"/>
            <w:right w:w="108" w:type="dxa"/>
          </w:tblCellMar>
        </w:tblPrEx>
        <w:trPr>
          <w:cantSplit/>
          <w:trHeight w:val="651" w:hRule="exact"/>
        </w:trPr>
        <w:tc>
          <w:tcPr>
            <w:tcW w:w="900" w:type="dxa"/>
            <w:tcBorders>
              <w:top w:val="single" w:color="auto" w:sz="6" w:space="0"/>
              <w:left w:val="single" w:color="auto" w:sz="6" w:space="0"/>
              <w:bottom w:val="single" w:color="auto" w:sz="6" w:space="0"/>
              <w:right w:val="single" w:color="auto" w:sz="6" w:space="0"/>
            </w:tcBorders>
            <w:shd w:val="clear" w:color="auto" w:fill="auto"/>
          </w:tcPr>
          <w:p>
            <w:pPr>
              <w:shd w:val="clear" w:color="auto" w:fill="FFFFFF"/>
              <w:kinsoku/>
              <w:wordWrap/>
              <w:overflowPunct/>
              <w:bidi w:val="0"/>
              <w:spacing w:beforeAutospacing="0" w:line="440" w:lineRule="exact"/>
              <w:ind w:left="0" w:leftChars="0" w:right="0" w:firstLine="99"/>
              <w:jc w:val="left"/>
              <w:rPr>
                <w:rFonts w:hint="eastAsia" w:ascii="仿宋" w:hAnsi="仿宋" w:eastAsia="仿宋" w:cs="仿宋"/>
                <w:color w:val="auto"/>
                <w:sz w:val="24"/>
                <w:szCs w:val="24"/>
                <w:highlight w:val="none"/>
                <w:shd w:val="clear" w:color="auto" w:fill="FFFFFF"/>
              </w:rPr>
            </w:pPr>
          </w:p>
        </w:tc>
        <w:tc>
          <w:tcPr>
            <w:tcW w:w="1725" w:type="dxa"/>
            <w:tcBorders>
              <w:top w:val="single" w:color="auto" w:sz="6" w:space="0"/>
              <w:left w:val="single" w:color="auto" w:sz="6" w:space="0"/>
              <w:bottom w:val="single" w:color="auto" w:sz="6" w:space="0"/>
              <w:right w:val="single" w:color="auto" w:sz="6" w:space="0"/>
            </w:tcBorders>
            <w:shd w:val="clear" w:color="auto" w:fill="auto"/>
          </w:tcPr>
          <w:p>
            <w:pPr>
              <w:shd w:val="clear" w:color="auto" w:fill="FFFFFF"/>
              <w:kinsoku/>
              <w:wordWrap/>
              <w:overflowPunct/>
              <w:bidi w:val="0"/>
              <w:spacing w:beforeAutospacing="0" w:line="440" w:lineRule="exact"/>
              <w:ind w:left="0" w:leftChars="0" w:right="0" w:firstLine="99"/>
              <w:jc w:val="left"/>
              <w:rPr>
                <w:rFonts w:hint="eastAsia" w:ascii="仿宋" w:hAnsi="仿宋" w:eastAsia="仿宋" w:cs="仿宋"/>
                <w:color w:val="auto"/>
                <w:sz w:val="24"/>
                <w:szCs w:val="24"/>
                <w:highlight w:val="none"/>
                <w:shd w:val="clear" w:color="auto" w:fill="FFFFFF"/>
              </w:rPr>
            </w:pPr>
          </w:p>
        </w:tc>
        <w:tc>
          <w:tcPr>
            <w:tcW w:w="1941" w:type="dxa"/>
            <w:tcBorders>
              <w:top w:val="single" w:color="auto" w:sz="6" w:space="0"/>
              <w:left w:val="single" w:color="auto" w:sz="6" w:space="0"/>
              <w:bottom w:val="single" w:color="auto" w:sz="6" w:space="0"/>
              <w:right w:val="single" w:color="auto" w:sz="6" w:space="0"/>
            </w:tcBorders>
            <w:shd w:val="clear" w:color="auto" w:fill="auto"/>
          </w:tcPr>
          <w:p>
            <w:pPr>
              <w:shd w:val="clear" w:color="auto" w:fill="FFFFFF"/>
              <w:kinsoku/>
              <w:wordWrap/>
              <w:overflowPunct/>
              <w:bidi w:val="0"/>
              <w:spacing w:beforeAutospacing="0" w:line="440" w:lineRule="exact"/>
              <w:ind w:left="0" w:leftChars="0" w:right="0" w:firstLine="99"/>
              <w:jc w:val="left"/>
              <w:rPr>
                <w:rFonts w:hint="eastAsia" w:ascii="仿宋" w:hAnsi="仿宋" w:eastAsia="仿宋" w:cs="仿宋"/>
                <w:color w:val="auto"/>
                <w:sz w:val="24"/>
                <w:szCs w:val="24"/>
                <w:highlight w:val="none"/>
                <w:shd w:val="clear" w:color="auto" w:fill="FFFFFF"/>
              </w:rPr>
            </w:pPr>
          </w:p>
        </w:tc>
        <w:tc>
          <w:tcPr>
            <w:tcW w:w="2050" w:type="dxa"/>
            <w:tcBorders>
              <w:top w:val="single" w:color="auto" w:sz="6" w:space="0"/>
              <w:left w:val="single" w:color="auto" w:sz="6" w:space="0"/>
              <w:bottom w:val="single" w:color="auto" w:sz="6" w:space="0"/>
              <w:right w:val="single" w:color="auto" w:sz="6" w:space="0"/>
            </w:tcBorders>
            <w:shd w:val="clear" w:color="auto" w:fill="auto"/>
          </w:tcPr>
          <w:p>
            <w:pPr>
              <w:shd w:val="clear" w:color="auto" w:fill="FFFFFF"/>
              <w:kinsoku/>
              <w:wordWrap/>
              <w:overflowPunct/>
              <w:bidi w:val="0"/>
              <w:spacing w:beforeAutospacing="0" w:line="440" w:lineRule="exact"/>
              <w:ind w:left="0" w:leftChars="0" w:right="0" w:firstLine="99"/>
              <w:jc w:val="left"/>
              <w:rPr>
                <w:rFonts w:hint="eastAsia" w:ascii="仿宋" w:hAnsi="仿宋" w:eastAsia="仿宋" w:cs="仿宋"/>
                <w:color w:val="auto"/>
                <w:sz w:val="24"/>
                <w:szCs w:val="24"/>
                <w:highlight w:val="none"/>
                <w:shd w:val="clear" w:color="auto" w:fill="FFFFFF"/>
              </w:rPr>
            </w:pPr>
          </w:p>
        </w:tc>
        <w:tc>
          <w:tcPr>
            <w:tcW w:w="2338" w:type="dxa"/>
            <w:tcBorders>
              <w:top w:val="single" w:color="auto" w:sz="6" w:space="0"/>
              <w:left w:val="single" w:color="auto" w:sz="6" w:space="0"/>
              <w:bottom w:val="single" w:color="auto" w:sz="6" w:space="0"/>
              <w:right w:val="single" w:color="auto" w:sz="6" w:space="0"/>
            </w:tcBorders>
            <w:shd w:val="clear" w:color="auto" w:fill="auto"/>
          </w:tcPr>
          <w:p>
            <w:pPr>
              <w:shd w:val="clear" w:color="auto" w:fill="FFFFFF"/>
              <w:kinsoku/>
              <w:wordWrap/>
              <w:overflowPunct/>
              <w:bidi w:val="0"/>
              <w:spacing w:beforeAutospacing="0" w:line="440" w:lineRule="exact"/>
              <w:ind w:left="0" w:leftChars="0" w:right="0" w:firstLine="99"/>
              <w:jc w:val="left"/>
              <w:rPr>
                <w:rFonts w:hint="eastAsia" w:ascii="仿宋" w:hAnsi="仿宋" w:eastAsia="仿宋" w:cs="仿宋"/>
                <w:color w:val="auto"/>
                <w:sz w:val="24"/>
                <w:szCs w:val="24"/>
                <w:highlight w:val="none"/>
                <w:shd w:val="clear" w:color="auto" w:fill="FFFFFF"/>
              </w:rPr>
            </w:pPr>
          </w:p>
        </w:tc>
      </w:tr>
    </w:tbl>
    <w:p>
      <w:pPr>
        <w:shd w:val="clear" w:color="auto" w:fill="FFFFFF"/>
        <w:kinsoku/>
        <w:wordWrap/>
        <w:overflowPunct/>
        <w:bidi w:val="0"/>
        <w:spacing w:beforeAutospacing="0" w:line="440" w:lineRule="exact"/>
        <w:ind w:left="0" w:leftChars="0" w:right="0" w:firstLine="99"/>
        <w:jc w:val="left"/>
        <w:rPr>
          <w:rFonts w:hint="eastAsia" w:ascii="仿宋" w:hAnsi="仿宋" w:eastAsia="仿宋" w:cs="仿宋"/>
          <w:color w:val="auto"/>
          <w:sz w:val="24"/>
          <w:szCs w:val="24"/>
          <w:highlight w:val="none"/>
          <w:shd w:val="clear" w:color="auto" w:fill="FFFFFF"/>
        </w:rPr>
      </w:pPr>
    </w:p>
    <w:p>
      <w:pPr>
        <w:pStyle w:val="45"/>
        <w:widowControl w:val="0"/>
        <w:shd w:val="clear" w:color="auto" w:fill="FFFFFF"/>
        <w:kinsoku/>
        <w:wordWrap/>
        <w:overflowPunct/>
        <w:autoSpaceDE w:val="0"/>
        <w:autoSpaceDN w:val="0"/>
        <w:bidi w:val="0"/>
        <w:adjustRightInd w:val="0"/>
        <w:snapToGrid w:val="0"/>
        <w:spacing w:before="0" w:beforeAutospacing="0" w:after="0" w:afterAutospacing="0" w:line="440" w:lineRule="exact"/>
        <w:ind w:left="0" w:leftChars="0" w:right="0"/>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lang w:bidi="ar"/>
        </w:rPr>
        <w:t>投标人（盖公章）：</w:t>
      </w:r>
    </w:p>
    <w:p>
      <w:pPr>
        <w:shd w:val="clear" w:color="auto" w:fill="FFFFFF"/>
        <w:kinsoku/>
        <w:wordWrap/>
        <w:overflowPunct/>
        <w:bidi w:val="0"/>
        <w:spacing w:beforeAutospacing="0" w:line="440" w:lineRule="exact"/>
        <w:ind w:left="0" w:leftChars="0" w:right="0"/>
        <w:jc w:val="left"/>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lang w:bidi="ar"/>
        </w:rPr>
        <w:t>法定代表人或授权代理人（签字或盖章）：</w:t>
      </w:r>
    </w:p>
    <w:p>
      <w:pPr>
        <w:shd w:val="clear" w:color="auto" w:fill="FFFFFF"/>
        <w:kinsoku/>
        <w:wordWrap/>
        <w:overflowPunct/>
        <w:bidi w:val="0"/>
        <w:adjustRightInd w:val="0"/>
        <w:snapToGrid w:val="0"/>
        <w:spacing w:beforeAutospacing="0" w:line="440" w:lineRule="exact"/>
        <w:ind w:left="0" w:leftChars="0" w:right="0"/>
        <w:jc w:val="left"/>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lang w:bidi="ar"/>
        </w:rPr>
        <w:t>日期：  年  月  日</w:t>
      </w:r>
    </w:p>
    <w:p>
      <w:pPr>
        <w:shd w:val="clear" w:color="auto" w:fill="FFFFFF"/>
        <w:kinsoku/>
        <w:wordWrap/>
        <w:overflowPunct/>
        <w:bidi w:val="0"/>
        <w:spacing w:beforeAutospacing="0" w:line="440" w:lineRule="exact"/>
        <w:ind w:left="0" w:leftChars="0" w:right="0" w:firstLine="99"/>
        <w:jc w:val="left"/>
        <w:rPr>
          <w:rFonts w:hint="eastAsia" w:ascii="仿宋" w:hAnsi="仿宋" w:eastAsia="仿宋" w:cs="仿宋"/>
          <w:color w:val="auto"/>
          <w:sz w:val="24"/>
          <w:szCs w:val="24"/>
          <w:highlight w:val="none"/>
          <w:shd w:val="clear" w:color="auto" w:fill="FFFFFF"/>
        </w:rPr>
      </w:pPr>
    </w:p>
    <w:p>
      <w:pPr>
        <w:pStyle w:val="2"/>
        <w:kinsoku/>
        <w:wordWrap/>
        <w:overflowPunct/>
        <w:bidi w:val="0"/>
        <w:spacing w:beforeAutospacing="0" w:line="440" w:lineRule="exact"/>
        <w:ind w:left="0" w:leftChars="0" w:right="0"/>
        <w:rPr>
          <w:rFonts w:hint="eastAsia" w:ascii="仿宋" w:hAnsi="仿宋" w:eastAsia="仿宋" w:cs="仿宋"/>
          <w:color w:val="auto"/>
          <w:sz w:val="24"/>
          <w:szCs w:val="24"/>
          <w:highlight w:val="none"/>
          <w:shd w:val="clear" w:color="auto" w:fill="FFFFFF"/>
        </w:rPr>
      </w:pPr>
    </w:p>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p>
    <w:p>
      <w:pPr>
        <w:kinsoku/>
        <w:wordWrap/>
        <w:overflowPunct/>
        <w:bidi w:val="0"/>
        <w:spacing w:beforeAutospacing="0" w:line="440" w:lineRule="exact"/>
        <w:ind w:left="0" w:leftChars="0" w:right="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技术条款偏离表</w:t>
      </w:r>
    </w:p>
    <w:p>
      <w:pPr>
        <w:shd w:val="clear" w:color="auto" w:fill="FFFFFF"/>
        <w:kinsoku/>
        <w:wordWrap/>
        <w:overflowPunct/>
        <w:bidi w:val="0"/>
        <w:spacing w:beforeAutospacing="0" w:line="440" w:lineRule="exact"/>
        <w:ind w:left="0" w:leftChars="0" w:right="0" w:firstLine="120" w:firstLineChars="50"/>
        <w:jc w:val="left"/>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lang w:bidi="ar"/>
        </w:rPr>
        <w:t>项目名称：                                   项目编号：</w:t>
      </w:r>
    </w:p>
    <w:tbl>
      <w:tblPr>
        <w:tblStyle w:val="51"/>
        <w:tblW w:w="9210" w:type="dxa"/>
        <w:jc w:val="center"/>
        <w:tblLayout w:type="fixed"/>
        <w:tblCellMar>
          <w:top w:w="0" w:type="dxa"/>
          <w:left w:w="108" w:type="dxa"/>
          <w:bottom w:w="0" w:type="dxa"/>
          <w:right w:w="108" w:type="dxa"/>
        </w:tblCellMar>
      </w:tblPr>
      <w:tblGrid>
        <w:gridCol w:w="1180"/>
        <w:gridCol w:w="1654"/>
        <w:gridCol w:w="2126"/>
        <w:gridCol w:w="2125"/>
        <w:gridCol w:w="2125"/>
      </w:tblGrid>
      <w:tr>
        <w:tblPrEx>
          <w:tblCellMar>
            <w:top w:w="0" w:type="dxa"/>
            <w:left w:w="108" w:type="dxa"/>
            <w:bottom w:w="0" w:type="dxa"/>
            <w:right w:w="108" w:type="dxa"/>
          </w:tblCellMar>
        </w:tblPrEx>
        <w:trPr>
          <w:cantSplit/>
          <w:trHeight w:val="567" w:hRule="exact"/>
          <w:jc w:val="center"/>
        </w:trPr>
        <w:tc>
          <w:tcPr>
            <w:tcW w:w="1180" w:type="dxa"/>
            <w:tcBorders>
              <w:top w:val="single" w:color="auto" w:sz="6" w:space="0"/>
              <w:left w:val="single" w:color="auto" w:sz="6" w:space="0"/>
              <w:bottom w:val="single" w:color="auto" w:sz="6" w:space="0"/>
              <w:right w:val="single" w:color="auto" w:sz="6" w:space="0"/>
            </w:tcBorders>
            <w:shd w:val="clear" w:color="auto" w:fill="auto"/>
          </w:tcPr>
          <w:p>
            <w:pPr>
              <w:shd w:val="clear" w:color="auto" w:fill="FFFFFF"/>
              <w:kinsoku/>
              <w:wordWrap/>
              <w:overflowPunct/>
              <w:bidi w:val="0"/>
              <w:spacing w:beforeAutospacing="0" w:line="440" w:lineRule="exact"/>
              <w:ind w:left="0" w:leftChars="0" w:right="0" w:firstLine="99"/>
              <w:jc w:val="left"/>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lang w:bidi="ar"/>
              </w:rPr>
              <w:t>序 号</w:t>
            </w:r>
          </w:p>
        </w:tc>
        <w:tc>
          <w:tcPr>
            <w:tcW w:w="1655" w:type="dxa"/>
            <w:tcBorders>
              <w:top w:val="single" w:color="auto" w:sz="6" w:space="0"/>
              <w:left w:val="single" w:color="auto" w:sz="6" w:space="0"/>
              <w:bottom w:val="single" w:color="auto" w:sz="6" w:space="0"/>
              <w:right w:val="single" w:color="auto" w:sz="6" w:space="0"/>
            </w:tcBorders>
            <w:shd w:val="clear" w:color="auto" w:fill="auto"/>
          </w:tcPr>
          <w:p>
            <w:pPr>
              <w:shd w:val="clear" w:color="auto" w:fill="FFFFFF"/>
              <w:kinsoku/>
              <w:wordWrap/>
              <w:overflowPunct/>
              <w:bidi w:val="0"/>
              <w:spacing w:beforeAutospacing="0" w:line="440" w:lineRule="exact"/>
              <w:ind w:left="0" w:leftChars="0" w:right="0" w:firstLine="99"/>
              <w:jc w:val="left"/>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lang w:bidi="ar"/>
              </w:rPr>
              <w:t>采购需求</w:t>
            </w:r>
          </w:p>
        </w:tc>
        <w:tc>
          <w:tcPr>
            <w:tcW w:w="2127" w:type="dxa"/>
            <w:tcBorders>
              <w:top w:val="single" w:color="auto" w:sz="6" w:space="0"/>
              <w:left w:val="single" w:color="auto" w:sz="6" w:space="0"/>
              <w:bottom w:val="single" w:color="auto" w:sz="6" w:space="0"/>
              <w:right w:val="single" w:color="auto" w:sz="6" w:space="0"/>
            </w:tcBorders>
            <w:shd w:val="clear" w:color="auto" w:fill="auto"/>
          </w:tcPr>
          <w:p>
            <w:pPr>
              <w:shd w:val="clear" w:color="auto" w:fill="FFFFFF"/>
              <w:kinsoku/>
              <w:wordWrap/>
              <w:overflowPunct/>
              <w:bidi w:val="0"/>
              <w:spacing w:beforeAutospacing="0" w:line="440" w:lineRule="exact"/>
              <w:ind w:left="0" w:leftChars="0" w:right="0" w:firstLine="99"/>
              <w:jc w:val="left"/>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lang w:bidi="ar"/>
              </w:rPr>
              <w:t>采购要求</w:t>
            </w:r>
          </w:p>
        </w:tc>
        <w:tc>
          <w:tcPr>
            <w:tcW w:w="2126" w:type="dxa"/>
            <w:tcBorders>
              <w:top w:val="single" w:color="auto" w:sz="6" w:space="0"/>
              <w:left w:val="single" w:color="auto" w:sz="6" w:space="0"/>
              <w:bottom w:val="single" w:color="auto" w:sz="6" w:space="0"/>
              <w:right w:val="single" w:color="auto" w:sz="6" w:space="0"/>
            </w:tcBorders>
            <w:shd w:val="clear" w:color="auto" w:fill="auto"/>
          </w:tcPr>
          <w:p>
            <w:pPr>
              <w:shd w:val="clear" w:color="auto" w:fill="FFFFFF"/>
              <w:kinsoku/>
              <w:wordWrap/>
              <w:overflowPunct/>
              <w:bidi w:val="0"/>
              <w:spacing w:beforeAutospacing="0" w:line="440" w:lineRule="exact"/>
              <w:ind w:left="0" w:leftChars="0" w:right="0" w:firstLine="99"/>
              <w:jc w:val="left"/>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lang w:bidi="ar"/>
              </w:rPr>
              <w:t>投标响应</w:t>
            </w:r>
          </w:p>
        </w:tc>
        <w:tc>
          <w:tcPr>
            <w:tcW w:w="2126" w:type="dxa"/>
            <w:tcBorders>
              <w:top w:val="single" w:color="auto" w:sz="6" w:space="0"/>
              <w:left w:val="single" w:color="auto" w:sz="6" w:space="0"/>
              <w:bottom w:val="single" w:color="auto" w:sz="6" w:space="0"/>
              <w:right w:val="single" w:color="auto" w:sz="6" w:space="0"/>
            </w:tcBorders>
            <w:shd w:val="clear" w:color="auto" w:fill="auto"/>
          </w:tcPr>
          <w:p>
            <w:pPr>
              <w:shd w:val="clear" w:color="auto" w:fill="FFFFFF"/>
              <w:kinsoku/>
              <w:wordWrap/>
              <w:overflowPunct/>
              <w:bidi w:val="0"/>
              <w:spacing w:beforeAutospacing="0" w:line="440" w:lineRule="exact"/>
              <w:ind w:left="0" w:leftChars="0" w:right="0" w:firstLine="99"/>
              <w:jc w:val="left"/>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lang w:bidi="ar"/>
              </w:rPr>
              <w:t>备注</w:t>
            </w:r>
          </w:p>
        </w:tc>
      </w:tr>
      <w:tr>
        <w:tblPrEx>
          <w:tblCellMar>
            <w:top w:w="0" w:type="dxa"/>
            <w:left w:w="108" w:type="dxa"/>
            <w:bottom w:w="0" w:type="dxa"/>
            <w:right w:w="108" w:type="dxa"/>
          </w:tblCellMar>
        </w:tblPrEx>
        <w:trPr>
          <w:cantSplit/>
          <w:trHeight w:val="567" w:hRule="exact"/>
          <w:jc w:val="center"/>
        </w:trPr>
        <w:tc>
          <w:tcPr>
            <w:tcW w:w="1180" w:type="dxa"/>
            <w:tcBorders>
              <w:top w:val="single" w:color="auto" w:sz="6" w:space="0"/>
              <w:left w:val="single" w:color="auto" w:sz="6" w:space="0"/>
              <w:bottom w:val="single" w:color="auto" w:sz="6" w:space="0"/>
              <w:right w:val="single" w:color="auto" w:sz="6" w:space="0"/>
            </w:tcBorders>
            <w:shd w:val="clear" w:color="auto" w:fill="auto"/>
          </w:tcPr>
          <w:p>
            <w:pPr>
              <w:shd w:val="clear" w:color="auto" w:fill="FFFFFF"/>
              <w:kinsoku/>
              <w:wordWrap/>
              <w:overflowPunct/>
              <w:bidi w:val="0"/>
              <w:spacing w:beforeAutospacing="0" w:line="440" w:lineRule="exact"/>
              <w:ind w:left="0" w:leftChars="0" w:right="0" w:firstLine="99"/>
              <w:jc w:val="left"/>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lang w:bidi="ar"/>
              </w:rPr>
              <w:t>1</w:t>
            </w:r>
          </w:p>
        </w:tc>
        <w:tc>
          <w:tcPr>
            <w:tcW w:w="1655" w:type="dxa"/>
            <w:tcBorders>
              <w:top w:val="single" w:color="auto" w:sz="6" w:space="0"/>
              <w:left w:val="single" w:color="auto" w:sz="6" w:space="0"/>
              <w:bottom w:val="single" w:color="auto" w:sz="6" w:space="0"/>
              <w:right w:val="single" w:color="auto" w:sz="6" w:space="0"/>
            </w:tcBorders>
            <w:shd w:val="clear" w:color="auto" w:fill="auto"/>
            <w:vAlign w:val="center"/>
          </w:tcPr>
          <w:p>
            <w:pPr>
              <w:shd w:val="clear" w:color="auto" w:fill="FFFFFF"/>
              <w:kinsoku/>
              <w:wordWrap/>
              <w:overflowPunct/>
              <w:bidi w:val="0"/>
              <w:spacing w:beforeAutospacing="0" w:line="440" w:lineRule="exact"/>
              <w:ind w:left="0" w:leftChars="0" w:right="0"/>
              <w:jc w:val="left"/>
              <w:rPr>
                <w:rFonts w:hint="eastAsia" w:ascii="仿宋" w:hAnsi="仿宋" w:eastAsia="仿宋" w:cs="仿宋"/>
                <w:color w:val="auto"/>
                <w:sz w:val="24"/>
                <w:szCs w:val="24"/>
                <w:highlight w:val="none"/>
                <w:shd w:val="clear" w:color="auto" w:fill="FFFFFF"/>
              </w:rPr>
            </w:pPr>
          </w:p>
        </w:tc>
        <w:tc>
          <w:tcPr>
            <w:tcW w:w="2127" w:type="dxa"/>
            <w:tcBorders>
              <w:top w:val="single" w:color="auto" w:sz="6" w:space="0"/>
              <w:left w:val="single" w:color="auto" w:sz="6" w:space="0"/>
              <w:bottom w:val="single" w:color="auto" w:sz="6" w:space="0"/>
              <w:right w:val="single" w:color="auto" w:sz="6" w:space="0"/>
            </w:tcBorders>
            <w:shd w:val="clear" w:color="auto" w:fill="auto"/>
          </w:tcPr>
          <w:p>
            <w:pPr>
              <w:shd w:val="clear" w:color="auto" w:fill="FFFFFF"/>
              <w:kinsoku/>
              <w:wordWrap/>
              <w:overflowPunct/>
              <w:bidi w:val="0"/>
              <w:spacing w:beforeAutospacing="0" w:line="440" w:lineRule="exact"/>
              <w:ind w:left="0" w:leftChars="0" w:right="0" w:firstLine="99"/>
              <w:jc w:val="left"/>
              <w:rPr>
                <w:rFonts w:hint="eastAsia" w:ascii="仿宋" w:hAnsi="仿宋" w:eastAsia="仿宋" w:cs="仿宋"/>
                <w:color w:val="auto"/>
                <w:sz w:val="24"/>
                <w:szCs w:val="24"/>
                <w:highlight w:val="none"/>
                <w:shd w:val="clear" w:color="auto" w:fill="FFFFFF"/>
              </w:rPr>
            </w:pPr>
          </w:p>
        </w:tc>
        <w:tc>
          <w:tcPr>
            <w:tcW w:w="2126" w:type="dxa"/>
            <w:tcBorders>
              <w:top w:val="single" w:color="auto" w:sz="6" w:space="0"/>
              <w:left w:val="single" w:color="auto" w:sz="6" w:space="0"/>
              <w:bottom w:val="single" w:color="auto" w:sz="6" w:space="0"/>
              <w:right w:val="single" w:color="auto" w:sz="6" w:space="0"/>
            </w:tcBorders>
            <w:shd w:val="clear" w:color="auto" w:fill="auto"/>
          </w:tcPr>
          <w:p>
            <w:pPr>
              <w:shd w:val="clear" w:color="auto" w:fill="FFFFFF"/>
              <w:kinsoku/>
              <w:wordWrap/>
              <w:overflowPunct/>
              <w:bidi w:val="0"/>
              <w:spacing w:beforeAutospacing="0" w:line="440" w:lineRule="exact"/>
              <w:ind w:left="0" w:leftChars="0" w:right="0" w:firstLine="99"/>
              <w:jc w:val="left"/>
              <w:rPr>
                <w:rFonts w:hint="eastAsia" w:ascii="仿宋" w:hAnsi="仿宋" w:eastAsia="仿宋" w:cs="仿宋"/>
                <w:color w:val="auto"/>
                <w:sz w:val="24"/>
                <w:szCs w:val="24"/>
                <w:highlight w:val="none"/>
                <w:shd w:val="clear" w:color="auto" w:fill="FFFFFF"/>
              </w:rPr>
            </w:pPr>
          </w:p>
        </w:tc>
        <w:tc>
          <w:tcPr>
            <w:tcW w:w="2126" w:type="dxa"/>
            <w:tcBorders>
              <w:top w:val="single" w:color="auto" w:sz="6" w:space="0"/>
              <w:left w:val="single" w:color="auto" w:sz="6" w:space="0"/>
              <w:bottom w:val="single" w:color="auto" w:sz="6" w:space="0"/>
              <w:right w:val="single" w:color="auto" w:sz="6" w:space="0"/>
            </w:tcBorders>
            <w:shd w:val="clear" w:color="auto" w:fill="auto"/>
          </w:tcPr>
          <w:p>
            <w:pPr>
              <w:shd w:val="clear" w:color="auto" w:fill="FFFFFF"/>
              <w:kinsoku/>
              <w:wordWrap/>
              <w:overflowPunct/>
              <w:bidi w:val="0"/>
              <w:spacing w:beforeAutospacing="0" w:line="440" w:lineRule="exact"/>
              <w:ind w:left="0" w:leftChars="0" w:right="0" w:firstLine="99"/>
              <w:jc w:val="left"/>
              <w:rPr>
                <w:rFonts w:hint="eastAsia" w:ascii="仿宋" w:hAnsi="仿宋" w:eastAsia="仿宋" w:cs="仿宋"/>
                <w:color w:val="auto"/>
                <w:sz w:val="24"/>
                <w:szCs w:val="24"/>
                <w:highlight w:val="none"/>
                <w:shd w:val="clear" w:color="auto" w:fill="FFFFFF"/>
              </w:rPr>
            </w:pPr>
          </w:p>
        </w:tc>
      </w:tr>
      <w:tr>
        <w:tblPrEx>
          <w:tblCellMar>
            <w:top w:w="0" w:type="dxa"/>
            <w:left w:w="108" w:type="dxa"/>
            <w:bottom w:w="0" w:type="dxa"/>
            <w:right w:w="108" w:type="dxa"/>
          </w:tblCellMar>
        </w:tblPrEx>
        <w:trPr>
          <w:cantSplit/>
          <w:trHeight w:val="567" w:hRule="exact"/>
          <w:jc w:val="center"/>
        </w:trPr>
        <w:tc>
          <w:tcPr>
            <w:tcW w:w="1180" w:type="dxa"/>
            <w:tcBorders>
              <w:top w:val="single" w:color="auto" w:sz="6" w:space="0"/>
              <w:left w:val="single" w:color="auto" w:sz="6" w:space="0"/>
              <w:bottom w:val="single" w:color="auto" w:sz="6" w:space="0"/>
              <w:right w:val="single" w:color="auto" w:sz="6" w:space="0"/>
            </w:tcBorders>
            <w:shd w:val="clear" w:color="auto" w:fill="auto"/>
          </w:tcPr>
          <w:p>
            <w:pPr>
              <w:shd w:val="clear" w:color="auto" w:fill="FFFFFF"/>
              <w:kinsoku/>
              <w:wordWrap/>
              <w:overflowPunct/>
              <w:bidi w:val="0"/>
              <w:spacing w:beforeAutospacing="0" w:line="440" w:lineRule="exact"/>
              <w:ind w:left="0" w:leftChars="0" w:right="0" w:firstLine="99"/>
              <w:jc w:val="left"/>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lang w:bidi="ar"/>
              </w:rPr>
              <w:t>2</w:t>
            </w:r>
          </w:p>
        </w:tc>
        <w:tc>
          <w:tcPr>
            <w:tcW w:w="1655" w:type="dxa"/>
            <w:tcBorders>
              <w:top w:val="single" w:color="auto" w:sz="6" w:space="0"/>
              <w:left w:val="single" w:color="auto" w:sz="6" w:space="0"/>
              <w:bottom w:val="single" w:color="auto" w:sz="6" w:space="0"/>
              <w:right w:val="single" w:color="auto" w:sz="6" w:space="0"/>
            </w:tcBorders>
            <w:shd w:val="clear" w:color="auto" w:fill="auto"/>
            <w:vAlign w:val="center"/>
          </w:tcPr>
          <w:p>
            <w:pPr>
              <w:shd w:val="clear" w:color="auto" w:fill="FFFFFF"/>
              <w:kinsoku/>
              <w:wordWrap/>
              <w:overflowPunct/>
              <w:bidi w:val="0"/>
              <w:spacing w:beforeAutospacing="0" w:line="440" w:lineRule="exact"/>
              <w:ind w:left="0" w:leftChars="0" w:right="0"/>
              <w:jc w:val="left"/>
              <w:rPr>
                <w:rFonts w:hint="eastAsia" w:ascii="仿宋" w:hAnsi="仿宋" w:eastAsia="仿宋" w:cs="仿宋"/>
                <w:color w:val="auto"/>
                <w:sz w:val="24"/>
                <w:szCs w:val="24"/>
                <w:highlight w:val="none"/>
                <w:shd w:val="clear" w:color="auto" w:fill="FFFFFF"/>
              </w:rPr>
            </w:pPr>
          </w:p>
        </w:tc>
        <w:tc>
          <w:tcPr>
            <w:tcW w:w="2127" w:type="dxa"/>
            <w:tcBorders>
              <w:top w:val="single" w:color="auto" w:sz="6" w:space="0"/>
              <w:left w:val="single" w:color="auto" w:sz="6" w:space="0"/>
              <w:bottom w:val="single" w:color="auto" w:sz="6" w:space="0"/>
              <w:right w:val="single" w:color="auto" w:sz="6" w:space="0"/>
            </w:tcBorders>
            <w:shd w:val="clear" w:color="auto" w:fill="auto"/>
          </w:tcPr>
          <w:p>
            <w:pPr>
              <w:shd w:val="clear" w:color="auto" w:fill="FFFFFF"/>
              <w:kinsoku/>
              <w:wordWrap/>
              <w:overflowPunct/>
              <w:bidi w:val="0"/>
              <w:spacing w:beforeAutospacing="0" w:line="440" w:lineRule="exact"/>
              <w:ind w:left="0" w:leftChars="0" w:right="0" w:firstLine="99"/>
              <w:jc w:val="left"/>
              <w:rPr>
                <w:rFonts w:hint="eastAsia" w:ascii="仿宋" w:hAnsi="仿宋" w:eastAsia="仿宋" w:cs="仿宋"/>
                <w:color w:val="auto"/>
                <w:sz w:val="24"/>
                <w:szCs w:val="24"/>
                <w:highlight w:val="none"/>
                <w:shd w:val="clear" w:color="auto" w:fill="FFFFFF"/>
              </w:rPr>
            </w:pPr>
          </w:p>
        </w:tc>
        <w:tc>
          <w:tcPr>
            <w:tcW w:w="2126" w:type="dxa"/>
            <w:tcBorders>
              <w:top w:val="single" w:color="auto" w:sz="6" w:space="0"/>
              <w:left w:val="single" w:color="auto" w:sz="6" w:space="0"/>
              <w:bottom w:val="single" w:color="auto" w:sz="6" w:space="0"/>
              <w:right w:val="single" w:color="auto" w:sz="6" w:space="0"/>
            </w:tcBorders>
            <w:shd w:val="clear" w:color="auto" w:fill="auto"/>
          </w:tcPr>
          <w:p>
            <w:pPr>
              <w:shd w:val="clear" w:color="auto" w:fill="FFFFFF"/>
              <w:kinsoku/>
              <w:wordWrap/>
              <w:overflowPunct/>
              <w:bidi w:val="0"/>
              <w:spacing w:beforeAutospacing="0" w:line="440" w:lineRule="exact"/>
              <w:ind w:left="0" w:leftChars="0" w:right="0" w:firstLine="99"/>
              <w:jc w:val="left"/>
              <w:rPr>
                <w:rFonts w:hint="eastAsia" w:ascii="仿宋" w:hAnsi="仿宋" w:eastAsia="仿宋" w:cs="仿宋"/>
                <w:color w:val="auto"/>
                <w:sz w:val="24"/>
                <w:szCs w:val="24"/>
                <w:highlight w:val="none"/>
                <w:shd w:val="clear" w:color="auto" w:fill="FFFFFF"/>
              </w:rPr>
            </w:pPr>
          </w:p>
        </w:tc>
        <w:tc>
          <w:tcPr>
            <w:tcW w:w="2126" w:type="dxa"/>
            <w:tcBorders>
              <w:top w:val="single" w:color="auto" w:sz="6" w:space="0"/>
              <w:left w:val="single" w:color="auto" w:sz="6" w:space="0"/>
              <w:bottom w:val="single" w:color="auto" w:sz="6" w:space="0"/>
              <w:right w:val="single" w:color="auto" w:sz="6" w:space="0"/>
            </w:tcBorders>
            <w:shd w:val="clear" w:color="auto" w:fill="auto"/>
          </w:tcPr>
          <w:p>
            <w:pPr>
              <w:shd w:val="clear" w:color="auto" w:fill="FFFFFF"/>
              <w:kinsoku/>
              <w:wordWrap/>
              <w:overflowPunct/>
              <w:bidi w:val="0"/>
              <w:spacing w:beforeAutospacing="0" w:line="440" w:lineRule="exact"/>
              <w:ind w:left="0" w:leftChars="0" w:right="0" w:firstLine="99"/>
              <w:jc w:val="left"/>
              <w:rPr>
                <w:rFonts w:hint="eastAsia" w:ascii="仿宋" w:hAnsi="仿宋" w:eastAsia="仿宋" w:cs="仿宋"/>
                <w:color w:val="auto"/>
                <w:sz w:val="24"/>
                <w:szCs w:val="24"/>
                <w:highlight w:val="none"/>
                <w:shd w:val="clear" w:color="auto" w:fill="FFFFFF"/>
              </w:rPr>
            </w:pPr>
          </w:p>
        </w:tc>
      </w:tr>
      <w:tr>
        <w:tblPrEx>
          <w:tblCellMar>
            <w:top w:w="0" w:type="dxa"/>
            <w:left w:w="108" w:type="dxa"/>
            <w:bottom w:w="0" w:type="dxa"/>
            <w:right w:w="108" w:type="dxa"/>
          </w:tblCellMar>
        </w:tblPrEx>
        <w:trPr>
          <w:cantSplit/>
          <w:trHeight w:val="567" w:hRule="exact"/>
          <w:jc w:val="center"/>
        </w:trPr>
        <w:tc>
          <w:tcPr>
            <w:tcW w:w="1180" w:type="dxa"/>
            <w:tcBorders>
              <w:top w:val="single" w:color="auto" w:sz="6" w:space="0"/>
              <w:left w:val="single" w:color="auto" w:sz="6" w:space="0"/>
              <w:bottom w:val="single" w:color="auto" w:sz="6" w:space="0"/>
              <w:right w:val="single" w:color="auto" w:sz="6" w:space="0"/>
            </w:tcBorders>
            <w:shd w:val="clear" w:color="auto" w:fill="auto"/>
          </w:tcPr>
          <w:p>
            <w:pPr>
              <w:shd w:val="clear" w:color="auto" w:fill="FFFFFF"/>
              <w:kinsoku/>
              <w:wordWrap/>
              <w:overflowPunct/>
              <w:bidi w:val="0"/>
              <w:spacing w:beforeAutospacing="0" w:line="440" w:lineRule="exact"/>
              <w:ind w:left="0" w:leftChars="0" w:right="0" w:firstLine="99"/>
              <w:jc w:val="left"/>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lang w:bidi="ar"/>
              </w:rPr>
              <w:t>...</w:t>
            </w:r>
          </w:p>
        </w:tc>
        <w:tc>
          <w:tcPr>
            <w:tcW w:w="1655" w:type="dxa"/>
            <w:tcBorders>
              <w:top w:val="single" w:color="auto" w:sz="6" w:space="0"/>
              <w:left w:val="single" w:color="auto" w:sz="6" w:space="0"/>
              <w:bottom w:val="single" w:color="auto" w:sz="6" w:space="0"/>
              <w:right w:val="single" w:color="auto" w:sz="6" w:space="0"/>
            </w:tcBorders>
            <w:shd w:val="clear" w:color="auto" w:fill="auto"/>
            <w:vAlign w:val="center"/>
          </w:tcPr>
          <w:p>
            <w:pPr>
              <w:shd w:val="clear" w:color="auto" w:fill="FFFFFF"/>
              <w:kinsoku/>
              <w:wordWrap/>
              <w:overflowPunct/>
              <w:bidi w:val="0"/>
              <w:spacing w:beforeAutospacing="0" w:line="440" w:lineRule="exact"/>
              <w:ind w:left="0" w:leftChars="0" w:right="0"/>
              <w:jc w:val="left"/>
              <w:rPr>
                <w:rFonts w:hint="eastAsia" w:ascii="仿宋" w:hAnsi="仿宋" w:eastAsia="仿宋" w:cs="仿宋"/>
                <w:color w:val="auto"/>
                <w:sz w:val="24"/>
                <w:szCs w:val="24"/>
                <w:highlight w:val="none"/>
                <w:shd w:val="clear" w:color="auto" w:fill="FFFFFF"/>
              </w:rPr>
            </w:pPr>
          </w:p>
        </w:tc>
        <w:tc>
          <w:tcPr>
            <w:tcW w:w="2127" w:type="dxa"/>
            <w:tcBorders>
              <w:top w:val="single" w:color="auto" w:sz="6" w:space="0"/>
              <w:left w:val="single" w:color="auto" w:sz="6" w:space="0"/>
              <w:bottom w:val="single" w:color="auto" w:sz="6" w:space="0"/>
              <w:right w:val="single" w:color="auto" w:sz="6" w:space="0"/>
            </w:tcBorders>
            <w:shd w:val="clear" w:color="auto" w:fill="auto"/>
          </w:tcPr>
          <w:p>
            <w:pPr>
              <w:shd w:val="clear" w:color="auto" w:fill="FFFFFF"/>
              <w:kinsoku/>
              <w:wordWrap/>
              <w:overflowPunct/>
              <w:bidi w:val="0"/>
              <w:spacing w:beforeAutospacing="0" w:line="440" w:lineRule="exact"/>
              <w:ind w:left="0" w:leftChars="0" w:right="0" w:firstLine="99"/>
              <w:jc w:val="left"/>
              <w:rPr>
                <w:rFonts w:hint="eastAsia" w:ascii="仿宋" w:hAnsi="仿宋" w:eastAsia="仿宋" w:cs="仿宋"/>
                <w:color w:val="auto"/>
                <w:sz w:val="24"/>
                <w:szCs w:val="24"/>
                <w:highlight w:val="none"/>
                <w:shd w:val="clear" w:color="auto" w:fill="FFFFFF"/>
              </w:rPr>
            </w:pPr>
          </w:p>
        </w:tc>
        <w:tc>
          <w:tcPr>
            <w:tcW w:w="2126" w:type="dxa"/>
            <w:tcBorders>
              <w:top w:val="single" w:color="auto" w:sz="6" w:space="0"/>
              <w:left w:val="single" w:color="auto" w:sz="6" w:space="0"/>
              <w:bottom w:val="single" w:color="auto" w:sz="6" w:space="0"/>
              <w:right w:val="single" w:color="auto" w:sz="6" w:space="0"/>
            </w:tcBorders>
            <w:shd w:val="clear" w:color="auto" w:fill="auto"/>
          </w:tcPr>
          <w:p>
            <w:pPr>
              <w:shd w:val="clear" w:color="auto" w:fill="FFFFFF"/>
              <w:kinsoku/>
              <w:wordWrap/>
              <w:overflowPunct/>
              <w:bidi w:val="0"/>
              <w:spacing w:beforeAutospacing="0" w:line="440" w:lineRule="exact"/>
              <w:ind w:left="0" w:leftChars="0" w:right="0" w:firstLine="99"/>
              <w:jc w:val="left"/>
              <w:rPr>
                <w:rFonts w:hint="eastAsia" w:ascii="仿宋" w:hAnsi="仿宋" w:eastAsia="仿宋" w:cs="仿宋"/>
                <w:color w:val="auto"/>
                <w:sz w:val="24"/>
                <w:szCs w:val="24"/>
                <w:highlight w:val="none"/>
                <w:shd w:val="clear" w:color="auto" w:fill="FFFFFF"/>
              </w:rPr>
            </w:pPr>
          </w:p>
        </w:tc>
        <w:tc>
          <w:tcPr>
            <w:tcW w:w="2126" w:type="dxa"/>
            <w:tcBorders>
              <w:top w:val="single" w:color="auto" w:sz="6" w:space="0"/>
              <w:left w:val="single" w:color="auto" w:sz="6" w:space="0"/>
              <w:bottom w:val="single" w:color="auto" w:sz="6" w:space="0"/>
              <w:right w:val="single" w:color="auto" w:sz="6" w:space="0"/>
            </w:tcBorders>
            <w:shd w:val="clear" w:color="auto" w:fill="auto"/>
          </w:tcPr>
          <w:p>
            <w:pPr>
              <w:shd w:val="clear" w:color="auto" w:fill="FFFFFF"/>
              <w:kinsoku/>
              <w:wordWrap/>
              <w:overflowPunct/>
              <w:bidi w:val="0"/>
              <w:spacing w:beforeAutospacing="0" w:line="440" w:lineRule="exact"/>
              <w:ind w:left="0" w:leftChars="0" w:right="0" w:firstLine="99"/>
              <w:jc w:val="left"/>
              <w:rPr>
                <w:rFonts w:hint="eastAsia" w:ascii="仿宋" w:hAnsi="仿宋" w:eastAsia="仿宋" w:cs="仿宋"/>
                <w:color w:val="auto"/>
                <w:sz w:val="24"/>
                <w:szCs w:val="24"/>
                <w:highlight w:val="none"/>
                <w:shd w:val="clear" w:color="auto" w:fill="FFFFFF"/>
              </w:rPr>
            </w:pPr>
          </w:p>
        </w:tc>
      </w:tr>
    </w:tbl>
    <w:p>
      <w:pPr>
        <w:shd w:val="clear" w:color="auto" w:fill="FFFFFF"/>
        <w:kinsoku/>
        <w:wordWrap/>
        <w:overflowPunct/>
        <w:bidi w:val="0"/>
        <w:spacing w:beforeAutospacing="0" w:line="440" w:lineRule="exact"/>
        <w:ind w:left="0" w:leftChars="0" w:right="0"/>
        <w:jc w:val="left"/>
        <w:rPr>
          <w:rFonts w:hint="eastAsia" w:ascii="仿宋" w:hAnsi="仿宋" w:eastAsia="仿宋" w:cs="仿宋"/>
          <w:color w:val="auto"/>
          <w:sz w:val="24"/>
          <w:szCs w:val="24"/>
          <w:highlight w:val="none"/>
          <w:shd w:val="clear" w:color="auto" w:fill="FFFFFF"/>
        </w:rPr>
      </w:pPr>
    </w:p>
    <w:p>
      <w:pPr>
        <w:pStyle w:val="45"/>
        <w:widowControl w:val="0"/>
        <w:shd w:val="clear" w:color="auto" w:fill="FFFFFF"/>
        <w:kinsoku/>
        <w:wordWrap/>
        <w:overflowPunct/>
        <w:autoSpaceDE w:val="0"/>
        <w:autoSpaceDN w:val="0"/>
        <w:bidi w:val="0"/>
        <w:adjustRightInd w:val="0"/>
        <w:snapToGrid w:val="0"/>
        <w:spacing w:before="0" w:beforeAutospacing="0" w:after="0" w:afterAutospacing="0" w:line="440" w:lineRule="exact"/>
        <w:ind w:left="0" w:leftChars="0" w:right="0"/>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lang w:bidi="ar"/>
        </w:rPr>
        <w:t>投标人（盖公章）：</w:t>
      </w:r>
    </w:p>
    <w:p>
      <w:pPr>
        <w:shd w:val="clear" w:color="auto" w:fill="FFFFFF"/>
        <w:kinsoku/>
        <w:wordWrap/>
        <w:overflowPunct/>
        <w:bidi w:val="0"/>
        <w:spacing w:beforeAutospacing="0" w:line="440" w:lineRule="exact"/>
        <w:ind w:left="0" w:leftChars="0" w:right="0"/>
        <w:jc w:val="left"/>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lang w:bidi="ar"/>
        </w:rPr>
        <w:t>法定代表人或授权代理人（签字或盖章）：</w:t>
      </w:r>
    </w:p>
    <w:p>
      <w:pPr>
        <w:shd w:val="clear" w:color="auto" w:fill="FFFFFF"/>
        <w:kinsoku/>
        <w:wordWrap/>
        <w:overflowPunct/>
        <w:bidi w:val="0"/>
        <w:spacing w:beforeAutospacing="0" w:line="440" w:lineRule="exact"/>
        <w:ind w:left="0" w:leftChars="0" w:right="0"/>
        <w:jc w:val="left"/>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lang w:bidi="ar"/>
        </w:rPr>
        <w:t>日期：  年  月  日</w:t>
      </w:r>
    </w:p>
    <w:p>
      <w:pPr>
        <w:widowControl/>
        <w:kinsoku/>
        <w:wordWrap/>
        <w:overflowPunct/>
        <w:bidi w:val="0"/>
        <w:spacing w:beforeAutospacing="0" w:line="440" w:lineRule="exact"/>
        <w:ind w:left="0" w:leftChars="0" w:right="0"/>
        <w:jc w:val="left"/>
        <w:rPr>
          <w:rFonts w:hint="eastAsia" w:ascii="仿宋" w:hAnsi="仿宋" w:eastAsia="仿宋" w:cs="仿宋"/>
          <w:color w:val="auto"/>
          <w:sz w:val="24"/>
          <w:szCs w:val="24"/>
          <w:highlight w:val="none"/>
        </w:rPr>
      </w:pPr>
    </w:p>
    <w:sectPr>
      <w:headerReference r:id="rId4" w:type="first"/>
      <w:footerReference r:id="rId6" w:type="first"/>
      <w:headerReference r:id="rId3" w:type="default"/>
      <w:footerReference r:id="rId5" w:type="default"/>
      <w:pgSz w:w="11906" w:h="16838"/>
      <w:pgMar w:top="1474" w:right="1457" w:bottom="1247" w:left="1740"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宋体">
    <w:panose1 w:val="02010600040101010101"/>
    <w:charset w:val="86"/>
    <w:family w:val="auto"/>
    <w:pitch w:val="default"/>
    <w:sig w:usb0="00000287" w:usb1="080F0000" w:usb2="00000000" w:usb3="00000000" w:csb0="0004009F" w:csb1="DFD70000"/>
  </w:font>
  <w:font w:name="Arial Unicode MS">
    <w:panose1 w:val="020B0604020202020204"/>
    <w:charset w:val="86"/>
    <w:family w:val="swiss"/>
    <w:pitch w:val="default"/>
    <w:sig w:usb0="FFFFFFFF" w:usb1="E9FFFFFF" w:usb2="0000003F" w:usb3="00000000" w:csb0="603F01FF" w:csb1="FFFF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幼圆">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华文仿宋">
    <w:panose1 w:val="02010600040101010101"/>
    <w:charset w:val="86"/>
    <w:family w:val="auto"/>
    <w:pitch w:val="default"/>
    <w:sig w:usb0="00000287" w:usb1="080F0000" w:usb2="00000000" w:usb3="00000000" w:csb0="0004009F" w:csb1="DFD70000"/>
  </w:font>
  <w:font w:name="Helvetica">
    <w:altName w:val="Arial"/>
    <w:panose1 w:val="020B0504020202020204"/>
    <w:charset w:val="00"/>
    <w:family w:val="swiss"/>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长城仿宋">
    <w:altName w:val="黑体"/>
    <w:panose1 w:val="00000000000000000000"/>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粗黑宋简体">
    <w:altName w:val="宋体"/>
    <w:panose1 w:val="02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utoSpaceDE w:val="0"/>
      <w:autoSpaceDN w:val="0"/>
      <w:adjustRightInd w:val="0"/>
      <w:ind w:firstLine="480"/>
      <w:jc w:val="left"/>
      <w:rPr>
        <w:rFonts w:ascii="宋体"/>
        <w:kern w:val="0"/>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4"/>
                            <w:rPr>
                              <w:rStyle w:val="57"/>
                            </w:rPr>
                          </w:pPr>
                          <w:r>
                            <w:fldChar w:fldCharType="begin"/>
                          </w:r>
                          <w:r>
                            <w:rPr>
                              <w:rStyle w:val="57"/>
                            </w:rPr>
                            <w:instrText xml:space="preserve">PAGE  </w:instrText>
                          </w:r>
                          <w:r>
                            <w:fldChar w:fldCharType="separate"/>
                          </w:r>
                          <w:r>
                            <w:rPr>
                              <w:rStyle w:val="57"/>
                            </w:rPr>
                            <w:t>25</w:t>
                          </w:r>
                          <w:r>
                            <w:fldChar w:fldCharType="end"/>
                          </w:r>
                        </w:p>
                      </w:txbxContent>
                    </wps:txbx>
                    <wps:bodyPr wrap="none" lIns="0" tIns="0" rIns="0" bIns="0" upright="1">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zSVju0AAAAAUBAAAPAAAAAAAAAAEAIAAAACIA&#10;AABkcnMvZG93bnJldi54bWxQSwECFAAUAAAACACHTuJA5PnvetgBAACwAwAADgAAAAAAAAABACAA&#10;AAAfAQAAZHJzL2Uyb0RvYy54bWxQSwUGAAAAAAYABgBZAQAAaQUAAAAA&#10;">
              <v:fill on="f" focussize="0,0"/>
              <v:stroke on="f" weight="0.5pt"/>
              <v:imagedata o:title=""/>
              <o:lock v:ext="edit" aspectratio="f"/>
              <v:textbox inset="0mm,0mm,0mm,0mm" style="mso-fit-shape-to-text:t;">
                <w:txbxContent>
                  <w:p>
                    <w:pPr>
                      <w:pStyle w:val="34"/>
                      <w:rPr>
                        <w:rStyle w:val="57"/>
                      </w:rPr>
                    </w:pPr>
                    <w:r>
                      <w:fldChar w:fldCharType="begin"/>
                    </w:r>
                    <w:r>
                      <w:rPr>
                        <w:rStyle w:val="57"/>
                      </w:rPr>
                      <w:instrText xml:space="preserve">PAGE  </w:instrText>
                    </w:r>
                    <w:r>
                      <w:fldChar w:fldCharType="separate"/>
                    </w:r>
                    <w:r>
                      <w:rPr>
                        <w:rStyle w:val="57"/>
                      </w:rPr>
                      <w:t>25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p>
    <w:pPr>
      <w:pStyle w:val="3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9" name="文本框 28"/>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9525">
                        <a:noFill/>
                      </a:ln>
                      <a:effectLst/>
                    </wps:spPr>
                    <wps:txbx>
                      <w:txbxContent>
                        <w:p>
                          <w:pPr>
                            <w:snapToGrid w:val="0"/>
                            <w:rPr>
                              <w:sz w:val="18"/>
                            </w:rPr>
                          </w:pPr>
                          <w:r>
                            <w:fldChar w:fldCharType="begin"/>
                          </w:r>
                          <w:r>
                            <w:instrText xml:space="preserve"> PAGE  \* MERGEFORMAT </w:instrText>
                          </w:r>
                          <w:r>
                            <w:fldChar w:fldCharType="separate"/>
                          </w:r>
                          <w:r>
                            <w:rPr>
                              <w:sz w:val="18"/>
                            </w:rPr>
                            <w:t>1</w:t>
                          </w:r>
                          <w:r>
                            <w:rPr>
                              <w:sz w:val="18"/>
                            </w:rPr>
                            <w:fldChar w:fldCharType="end"/>
                          </w:r>
                        </w:p>
                      </w:txbxContent>
                    </wps:txbx>
                    <wps:bodyPr wrap="none" lIns="0" tIns="0" rIns="0" bIns="0" upright="1">
                      <a:spAutoFit/>
                    </wps:bodyPr>
                  </wps:wsp>
                </a:graphicData>
              </a:graphic>
            </wp:anchor>
          </w:drawing>
        </mc:Choice>
        <mc:Fallback>
          <w:pict>
            <v:shape id="文本框 28"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Q+V+SdAAAAADAQAADwAAAAAAAAABACAA&#10;AAAiAAAAZHJzL2Rvd25yZXYueG1sUEsBAhQAFAAAAAgAh07iQOyq/o7cAQAArwMAAA4AAAAAAAAA&#10;AQAgAAAAHwEAAGRycy9lMm9Eb2MueG1sUEsFBgAAAAAGAAYAWQEAAG0FAAAAAA==&#10;">
              <v:fill on="f" focussize="0,0"/>
              <v:stroke on="f"/>
              <v:imagedata o:title=""/>
              <o:lock v:ext="edit" aspectratio="f"/>
              <v:textbox inset="0mm,0mm,0mm,0mm" style="mso-fit-shape-to-text:t;">
                <w:txbxContent>
                  <w:p>
                    <w:pPr>
                      <w:snapToGrid w:val="0"/>
                      <w:rPr>
                        <w:sz w:val="18"/>
                      </w:rPr>
                    </w:pPr>
                    <w:r>
                      <w:fldChar w:fldCharType="begin"/>
                    </w:r>
                    <w:r>
                      <w:instrText xml:space="preserve"> PAGE  \* MERGEFORMAT </w:instrText>
                    </w:r>
                    <w:r>
                      <w:fldChar w:fldCharType="separate"/>
                    </w:r>
                    <w:r>
                      <w:rPr>
                        <w:sz w:val="18"/>
                      </w:rPr>
                      <w:t>1</w:t>
                    </w:r>
                    <w:r>
                      <w:rPr>
                        <w:sz w:val="18"/>
                      </w:rP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10" name="文本框 1026"/>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9525">
                        <a:noFill/>
                      </a:ln>
                      <a:effectLst/>
                    </wps:spPr>
                    <wps:txbx>
                      <w:txbxContent>
                        <w:p>
                          <w:pPr>
                            <w:snapToGrid w:val="0"/>
                            <w:rPr>
                              <w:sz w:val="18"/>
                            </w:rPr>
                          </w:pP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D5X5J0AAAAAMBAAAPAAAAAAAAAAEA&#10;IAAAACIAAABkcnMvZG93bnJldi54bWxQSwECFAAUAAAACACHTuJAJE3AGt4BAACyAwAADgAAAAAA&#10;AAABACAAAAAfAQAAZHJzL2Uyb0RvYy54bWxQSwUGAAAAAAYABgBZAQAAbwUAAAAA&#10;">
              <v:fill on="f" focussize="0,0"/>
              <v:stroke on="f"/>
              <v:imagedata o:title=""/>
              <o:lock v:ext="edit" aspectratio="f"/>
              <v:textbox inset="0mm,0mm,0mm,0mm" style="mso-fit-shape-to-text:t;">
                <w:txbxContent>
                  <w:p>
                    <w:pPr>
                      <w:snapToGrid w:val="0"/>
                      <w:rPr>
                        <w:sz w:val="18"/>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Bdr>
        <w:bottom w:val="thinThickSmallGap" w:color="auto" w:sz="12" w:space="1"/>
      </w:pBdr>
      <w:ind w:firstLine="360"/>
      <w:jc w:val="both"/>
      <w:rPr>
        <w:rFonts w:ascii="宋体"/>
        <w:kern w:val="0"/>
        <w:sz w:val="20"/>
      </w:rPr>
    </w:pPr>
    <w:r>
      <w:rPr>
        <w:rFonts w:hint="eastAsia" w:ascii="宋体" w:hAnsi="宋体" w:cs="宋体"/>
        <w:sz w:val="18"/>
        <w:szCs w:val="18"/>
      </w:rPr>
      <w:drawing>
        <wp:inline distT="0" distB="0" distL="114300" distR="114300">
          <wp:extent cx="456565" cy="436245"/>
          <wp:effectExtent l="0" t="0" r="635" b="1905"/>
          <wp:docPr id="11" name="图片 1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图片1"/>
                  <pic:cNvPicPr>
                    <a:picLocks noChangeAspect="1"/>
                  </pic:cNvPicPr>
                </pic:nvPicPr>
                <pic:blipFill>
                  <a:blip r:embed="rId1"/>
                  <a:stretch>
                    <a:fillRect/>
                  </a:stretch>
                </pic:blipFill>
                <pic:spPr>
                  <a:xfrm>
                    <a:off x="0" y="0"/>
                    <a:ext cx="456565" cy="436245"/>
                  </a:xfrm>
                  <a:prstGeom prst="rect">
                    <a:avLst/>
                  </a:prstGeom>
                </pic:spPr>
              </pic:pic>
            </a:graphicData>
          </a:graphic>
        </wp:inline>
      </w:drawing>
    </w:r>
    <w:r>
      <w:rPr>
        <w:rFonts w:hint="eastAsia" w:ascii="宋体" w:hAnsi="宋体" w:cs="宋体"/>
        <w:sz w:val="18"/>
        <w:szCs w:val="18"/>
        <w:lang w:val="en-US" w:eastAsia="zh-CN"/>
      </w:rPr>
      <w:t xml:space="preserve">     </w:t>
    </w:r>
    <w:r>
      <w:rPr>
        <w:rFonts w:hint="eastAsia"/>
        <w:lang w:val="en-US" w:eastAsia="zh-CN"/>
      </w:rPr>
      <w:t>乌鲁木齐市友谊医院运动心肺及康复系统（进口）采购项目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Bdr>
        <w:bottom w:val="thinThickSmallGap" w:color="auto" w:sz="12" w:space="1"/>
      </w:pBdr>
      <w:ind w:firstLine="360"/>
      <w:jc w:val="both"/>
    </w:pPr>
    <w:r>
      <w:rPr>
        <w:rFonts w:hint="eastAsia" w:ascii="宋体" w:hAnsi="宋体" w:cs="宋体"/>
        <w:sz w:val="18"/>
        <w:szCs w:val="18"/>
      </w:rPr>
      <w:drawing>
        <wp:inline distT="0" distB="0" distL="114300" distR="114300">
          <wp:extent cx="456565" cy="436245"/>
          <wp:effectExtent l="0" t="0" r="635" b="1905"/>
          <wp:docPr id="8" name="图片 8"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图片1"/>
                  <pic:cNvPicPr>
                    <a:picLocks noChangeAspect="1"/>
                  </pic:cNvPicPr>
                </pic:nvPicPr>
                <pic:blipFill>
                  <a:blip r:embed="rId1"/>
                  <a:stretch>
                    <a:fillRect/>
                  </a:stretch>
                </pic:blipFill>
                <pic:spPr>
                  <a:xfrm>
                    <a:off x="0" y="0"/>
                    <a:ext cx="456565" cy="436245"/>
                  </a:xfrm>
                  <a:prstGeom prst="rect">
                    <a:avLst/>
                  </a:prstGeom>
                </pic:spPr>
              </pic:pic>
            </a:graphicData>
          </a:graphic>
        </wp:inline>
      </w:drawing>
    </w:r>
    <w:r>
      <w:rPr>
        <w:rFonts w:hint="eastAsia" w:ascii="宋体" w:hAnsi="宋体" w:cs="宋体"/>
        <w:sz w:val="18"/>
        <w:szCs w:val="18"/>
        <w:lang w:val="en-US" w:eastAsia="zh-CN"/>
      </w:rPr>
      <w:t xml:space="preserve">     </w:t>
    </w:r>
    <w:r>
      <w:rPr>
        <w:rFonts w:hint="eastAsia"/>
        <w:lang w:val="en-US" w:eastAsia="zh-CN"/>
      </w:rPr>
      <w:t>乌鲁木齐市友谊医院运动心肺及康复系统（进口）采购项目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02CFDB"/>
    <w:multiLevelType w:val="singleLevel"/>
    <w:tmpl w:val="9602CFDB"/>
    <w:lvl w:ilvl="0" w:tentative="0">
      <w:start w:val="1"/>
      <w:numFmt w:val="decimal"/>
      <w:suff w:val="nothing"/>
      <w:lvlText w:val="%1．"/>
      <w:lvlJc w:val="left"/>
      <w:pPr>
        <w:ind w:left="0" w:firstLine="400"/>
      </w:pPr>
      <w:rPr>
        <w:rFonts w:hint="default"/>
      </w:rPr>
    </w:lvl>
  </w:abstractNum>
  <w:abstractNum w:abstractNumId="1">
    <w:nsid w:val="9700EEA9"/>
    <w:multiLevelType w:val="singleLevel"/>
    <w:tmpl w:val="9700EEA9"/>
    <w:lvl w:ilvl="0" w:tentative="0">
      <w:start w:val="10"/>
      <w:numFmt w:val="decimal"/>
      <w:suff w:val="nothing"/>
      <w:lvlText w:val="%1、"/>
      <w:lvlJc w:val="left"/>
    </w:lvl>
  </w:abstractNum>
  <w:abstractNum w:abstractNumId="2">
    <w:nsid w:val="FFFFFF7E"/>
    <w:multiLevelType w:val="singleLevel"/>
    <w:tmpl w:val="FFFFFF7E"/>
    <w:lvl w:ilvl="0" w:tentative="0">
      <w:start w:val="1"/>
      <w:numFmt w:val="decimal"/>
      <w:pStyle w:val="22"/>
      <w:lvlText w:val="%1."/>
      <w:lvlJc w:val="left"/>
      <w:pPr>
        <w:tabs>
          <w:tab w:val="left" w:pos="1200"/>
        </w:tabs>
        <w:ind w:left="1200" w:hanging="360"/>
      </w:pPr>
    </w:lvl>
  </w:abstractNum>
  <w:abstractNum w:abstractNumId="3">
    <w:nsid w:val="0DB639E9"/>
    <w:multiLevelType w:val="multilevel"/>
    <w:tmpl w:val="0DB639E9"/>
    <w:lvl w:ilvl="0" w:tentative="0">
      <w:start w:val="1"/>
      <w:numFmt w:val="decimal"/>
      <w:pStyle w:val="161"/>
      <w:lvlText w:val="%1"/>
      <w:lvlJc w:val="left"/>
      <w:pPr>
        <w:tabs>
          <w:tab w:val="left" w:pos="360"/>
        </w:tabs>
        <w:ind w:left="0" w:firstLine="0"/>
      </w:pPr>
    </w:lvl>
    <w:lvl w:ilvl="1" w:tentative="0">
      <w:start w:val="1"/>
      <w:numFmt w:val="decimal"/>
      <w:pStyle w:val="36"/>
      <w:isLgl/>
      <w:lvlText w:val="%1.%2"/>
      <w:lvlJc w:val="left"/>
      <w:pPr>
        <w:tabs>
          <w:tab w:val="left" w:pos="720"/>
        </w:tabs>
        <w:ind w:left="0" w:firstLine="0"/>
      </w:pPr>
    </w:lvl>
    <w:lvl w:ilvl="2" w:tentative="0">
      <w:start w:val="1"/>
      <w:numFmt w:val="decimal"/>
      <w:isLgl/>
      <w:lvlText w:val="%1.%2.%3"/>
      <w:lvlJc w:val="left"/>
      <w:pPr>
        <w:tabs>
          <w:tab w:val="left" w:pos="1440"/>
        </w:tabs>
        <w:ind w:left="0" w:firstLine="0"/>
      </w:pPr>
    </w:lvl>
    <w:lvl w:ilvl="3" w:tentative="0">
      <w:start w:val="1"/>
      <w:numFmt w:val="decimal"/>
      <w:isLgl/>
      <w:lvlText w:val="%1.%2.%3.%4"/>
      <w:lvlJc w:val="left"/>
      <w:pPr>
        <w:tabs>
          <w:tab w:val="left" w:pos="1800"/>
        </w:tabs>
        <w:ind w:left="0" w:firstLine="0"/>
      </w:pPr>
    </w:lvl>
    <w:lvl w:ilvl="4" w:tentative="0">
      <w:start w:val="1"/>
      <w:numFmt w:val="decimal"/>
      <w:isLgl/>
      <w:lvlText w:val="%1.%2.%3.%4.%5"/>
      <w:lvlJc w:val="left"/>
      <w:pPr>
        <w:tabs>
          <w:tab w:val="left" w:pos="570"/>
        </w:tabs>
        <w:ind w:left="570" w:hanging="570"/>
      </w:pPr>
    </w:lvl>
    <w:lvl w:ilvl="5" w:tentative="0">
      <w:start w:val="1"/>
      <w:numFmt w:val="decimal"/>
      <w:isLgl/>
      <w:lvlText w:val="%1.%2.%3.%4.%5.%6"/>
      <w:lvlJc w:val="left"/>
      <w:pPr>
        <w:tabs>
          <w:tab w:val="left" w:pos="570"/>
        </w:tabs>
        <w:ind w:left="570" w:hanging="570"/>
      </w:pPr>
    </w:lvl>
    <w:lvl w:ilvl="6" w:tentative="0">
      <w:start w:val="1"/>
      <w:numFmt w:val="decimal"/>
      <w:isLgl/>
      <w:lvlText w:val="%1.%2.%3.%4.%5.%6.%7"/>
      <w:lvlJc w:val="left"/>
      <w:pPr>
        <w:tabs>
          <w:tab w:val="left" w:pos="570"/>
        </w:tabs>
        <w:ind w:left="570" w:hanging="570"/>
      </w:pPr>
    </w:lvl>
    <w:lvl w:ilvl="7" w:tentative="0">
      <w:start w:val="1"/>
      <w:numFmt w:val="decimal"/>
      <w:isLgl/>
      <w:lvlText w:val="%1.%2.%3.%4.%5.%6.%7.%8"/>
      <w:lvlJc w:val="left"/>
      <w:pPr>
        <w:tabs>
          <w:tab w:val="left" w:pos="570"/>
        </w:tabs>
        <w:ind w:left="570" w:hanging="570"/>
      </w:pPr>
    </w:lvl>
    <w:lvl w:ilvl="8" w:tentative="0">
      <w:start w:val="1"/>
      <w:numFmt w:val="decimal"/>
      <w:isLgl/>
      <w:lvlText w:val="%1.%2.%3.%4.%5.%6.%7.%8.%9"/>
      <w:lvlJc w:val="left"/>
      <w:pPr>
        <w:tabs>
          <w:tab w:val="left" w:pos="570"/>
        </w:tabs>
        <w:ind w:left="570" w:hanging="570"/>
      </w:pPr>
    </w:lvl>
  </w:abstractNum>
  <w:abstractNum w:abstractNumId="4">
    <w:nsid w:val="10635673"/>
    <w:multiLevelType w:val="multilevel"/>
    <w:tmpl w:val="10635673"/>
    <w:lvl w:ilvl="0" w:tentative="0">
      <w:start w:val="1"/>
      <w:numFmt w:val="decimal"/>
      <w:pStyle w:val="44"/>
      <w:lvlText w:val="%1."/>
      <w:lvlJc w:val="left"/>
      <w:pPr>
        <w:tabs>
          <w:tab w:val="left" w:pos="1000"/>
        </w:tabs>
        <w:ind w:left="1000" w:hanging="360"/>
      </w:pPr>
      <w:rPr>
        <w:rFonts w:hint="default"/>
      </w:rPr>
    </w:lvl>
    <w:lvl w:ilvl="1" w:tentative="0">
      <w:start w:val="1"/>
      <w:numFmt w:val="lowerLetter"/>
      <w:lvlText w:val="%2)"/>
      <w:lvlJc w:val="left"/>
      <w:pPr>
        <w:tabs>
          <w:tab w:val="left" w:pos="1480"/>
        </w:tabs>
        <w:ind w:left="1480" w:hanging="420"/>
      </w:pPr>
    </w:lvl>
    <w:lvl w:ilvl="2" w:tentative="0">
      <w:start w:val="1"/>
      <w:numFmt w:val="lowerRoman"/>
      <w:lvlText w:val="%3."/>
      <w:lvlJc w:val="right"/>
      <w:pPr>
        <w:tabs>
          <w:tab w:val="left" w:pos="1900"/>
        </w:tabs>
        <w:ind w:left="1900" w:hanging="420"/>
      </w:pPr>
    </w:lvl>
    <w:lvl w:ilvl="3" w:tentative="0">
      <w:start w:val="1"/>
      <w:numFmt w:val="decimal"/>
      <w:lvlText w:val="%4."/>
      <w:lvlJc w:val="left"/>
      <w:pPr>
        <w:tabs>
          <w:tab w:val="left" w:pos="2320"/>
        </w:tabs>
        <w:ind w:left="2320" w:hanging="420"/>
      </w:pPr>
    </w:lvl>
    <w:lvl w:ilvl="4" w:tentative="0">
      <w:start w:val="1"/>
      <w:numFmt w:val="lowerLetter"/>
      <w:lvlText w:val="%5)"/>
      <w:lvlJc w:val="left"/>
      <w:pPr>
        <w:tabs>
          <w:tab w:val="left" w:pos="2740"/>
        </w:tabs>
        <w:ind w:left="2740" w:hanging="420"/>
      </w:pPr>
    </w:lvl>
    <w:lvl w:ilvl="5" w:tentative="0">
      <w:start w:val="1"/>
      <w:numFmt w:val="lowerRoman"/>
      <w:lvlText w:val="%6."/>
      <w:lvlJc w:val="right"/>
      <w:pPr>
        <w:tabs>
          <w:tab w:val="left" w:pos="3160"/>
        </w:tabs>
        <w:ind w:left="3160" w:hanging="420"/>
      </w:pPr>
    </w:lvl>
    <w:lvl w:ilvl="6" w:tentative="0">
      <w:start w:val="1"/>
      <w:numFmt w:val="decimal"/>
      <w:lvlText w:val="%7."/>
      <w:lvlJc w:val="left"/>
      <w:pPr>
        <w:tabs>
          <w:tab w:val="left" w:pos="3580"/>
        </w:tabs>
        <w:ind w:left="3580" w:hanging="420"/>
      </w:pPr>
    </w:lvl>
    <w:lvl w:ilvl="7" w:tentative="0">
      <w:start w:val="1"/>
      <w:numFmt w:val="lowerLetter"/>
      <w:lvlText w:val="%8)"/>
      <w:lvlJc w:val="left"/>
      <w:pPr>
        <w:tabs>
          <w:tab w:val="left" w:pos="4000"/>
        </w:tabs>
        <w:ind w:left="4000" w:hanging="420"/>
      </w:pPr>
    </w:lvl>
    <w:lvl w:ilvl="8" w:tentative="0">
      <w:start w:val="1"/>
      <w:numFmt w:val="lowerRoman"/>
      <w:lvlText w:val="%9."/>
      <w:lvlJc w:val="right"/>
      <w:pPr>
        <w:tabs>
          <w:tab w:val="left" w:pos="4420"/>
        </w:tabs>
        <w:ind w:left="4420" w:hanging="420"/>
      </w:pPr>
    </w:lvl>
  </w:abstractNum>
  <w:abstractNum w:abstractNumId="5">
    <w:nsid w:val="171359DD"/>
    <w:multiLevelType w:val="multilevel"/>
    <w:tmpl w:val="171359DD"/>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pStyle w:val="24"/>
      <w:lvlText w:val=""/>
      <w:lvlJc w:val="left"/>
      <w:pPr>
        <w:tabs>
          <w:tab w:val="left" w:pos="3780"/>
        </w:tabs>
        <w:ind w:left="3780" w:hanging="420"/>
      </w:pPr>
      <w:rPr>
        <w:rFonts w:hint="default" w:ascii="Wingdings" w:hAnsi="Wingdings"/>
      </w:rPr>
    </w:lvl>
  </w:abstractNum>
  <w:abstractNum w:abstractNumId="6">
    <w:nsid w:val="17486058"/>
    <w:multiLevelType w:val="multilevel"/>
    <w:tmpl w:val="17486058"/>
    <w:lvl w:ilvl="0" w:tentative="0">
      <w:start w:val="1"/>
      <w:numFmt w:val="decimal"/>
      <w:lvlText w:val="%1、"/>
      <w:lvlJc w:val="left"/>
      <w:pPr>
        <w:tabs>
          <w:tab w:val="left" w:pos="840"/>
        </w:tabs>
        <w:ind w:left="840" w:hanging="420"/>
      </w:pPr>
      <w:rPr>
        <w:rFonts w:hint="eastAsia"/>
      </w:rPr>
    </w:lvl>
    <w:lvl w:ilvl="1" w:tentative="0">
      <w:start w:val="1"/>
      <w:numFmt w:val="lowerLetter"/>
      <w:lvlText w:val="%2)"/>
      <w:lvlJc w:val="left"/>
      <w:pPr>
        <w:tabs>
          <w:tab w:val="left" w:pos="1260"/>
        </w:tabs>
        <w:ind w:left="1260" w:hanging="420"/>
      </w:pPr>
    </w:lvl>
    <w:lvl w:ilvl="2" w:tentative="0">
      <w:start w:val="1"/>
      <w:numFmt w:val="lowerRoman"/>
      <w:pStyle w:val="291"/>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7">
    <w:nsid w:val="1F1468F9"/>
    <w:multiLevelType w:val="multilevel"/>
    <w:tmpl w:val="1F1468F9"/>
    <w:lvl w:ilvl="0" w:tentative="0">
      <w:start w:val="1"/>
      <w:numFmt w:val="japaneseCounting"/>
      <w:pStyle w:val="210"/>
      <w:lvlText w:val="%1、"/>
      <w:lvlJc w:val="left"/>
      <w:pPr>
        <w:tabs>
          <w:tab w:val="left" w:pos="1360"/>
        </w:tabs>
        <w:ind w:left="1360" w:hanging="720"/>
      </w:pPr>
      <w:rPr>
        <w:rFonts w:hint="default"/>
      </w:rPr>
    </w:lvl>
    <w:lvl w:ilvl="1" w:tentative="0">
      <w:start w:val="1"/>
      <w:numFmt w:val="lowerLetter"/>
      <w:pStyle w:val="217"/>
      <w:lvlText w:val="%2)"/>
      <w:lvlJc w:val="left"/>
      <w:pPr>
        <w:tabs>
          <w:tab w:val="left" w:pos="1480"/>
        </w:tabs>
        <w:ind w:left="1480" w:hanging="420"/>
      </w:pPr>
    </w:lvl>
    <w:lvl w:ilvl="2" w:tentative="0">
      <w:start w:val="1"/>
      <w:numFmt w:val="lowerRoman"/>
      <w:pStyle w:val="207"/>
      <w:lvlText w:val="%3."/>
      <w:lvlJc w:val="right"/>
      <w:pPr>
        <w:tabs>
          <w:tab w:val="left" w:pos="1900"/>
        </w:tabs>
        <w:ind w:left="1900" w:hanging="420"/>
      </w:pPr>
    </w:lvl>
    <w:lvl w:ilvl="3" w:tentative="0">
      <w:start w:val="1"/>
      <w:numFmt w:val="decimal"/>
      <w:lvlText w:val="%4."/>
      <w:lvlJc w:val="left"/>
      <w:pPr>
        <w:tabs>
          <w:tab w:val="left" w:pos="2320"/>
        </w:tabs>
        <w:ind w:left="2320" w:hanging="420"/>
      </w:pPr>
    </w:lvl>
    <w:lvl w:ilvl="4" w:tentative="0">
      <w:start w:val="1"/>
      <w:numFmt w:val="lowerLetter"/>
      <w:lvlText w:val="%5)"/>
      <w:lvlJc w:val="left"/>
      <w:pPr>
        <w:tabs>
          <w:tab w:val="left" w:pos="2740"/>
        </w:tabs>
        <w:ind w:left="2740" w:hanging="420"/>
      </w:pPr>
    </w:lvl>
    <w:lvl w:ilvl="5" w:tentative="0">
      <w:start w:val="1"/>
      <w:numFmt w:val="lowerRoman"/>
      <w:lvlText w:val="%6."/>
      <w:lvlJc w:val="right"/>
      <w:pPr>
        <w:tabs>
          <w:tab w:val="left" w:pos="3160"/>
        </w:tabs>
        <w:ind w:left="3160" w:hanging="420"/>
      </w:pPr>
    </w:lvl>
    <w:lvl w:ilvl="6" w:tentative="0">
      <w:start w:val="1"/>
      <w:numFmt w:val="decimal"/>
      <w:lvlText w:val="%7."/>
      <w:lvlJc w:val="left"/>
      <w:pPr>
        <w:tabs>
          <w:tab w:val="left" w:pos="3580"/>
        </w:tabs>
        <w:ind w:left="3580" w:hanging="420"/>
      </w:pPr>
    </w:lvl>
    <w:lvl w:ilvl="7" w:tentative="0">
      <w:start w:val="1"/>
      <w:numFmt w:val="lowerLetter"/>
      <w:lvlText w:val="%8)"/>
      <w:lvlJc w:val="left"/>
      <w:pPr>
        <w:tabs>
          <w:tab w:val="left" w:pos="4000"/>
        </w:tabs>
        <w:ind w:left="4000" w:hanging="420"/>
      </w:pPr>
    </w:lvl>
    <w:lvl w:ilvl="8" w:tentative="0">
      <w:start w:val="1"/>
      <w:numFmt w:val="lowerRoman"/>
      <w:lvlText w:val="%9."/>
      <w:lvlJc w:val="right"/>
      <w:pPr>
        <w:tabs>
          <w:tab w:val="left" w:pos="4420"/>
        </w:tabs>
        <w:ind w:left="4420" w:hanging="420"/>
      </w:pPr>
    </w:lvl>
  </w:abstractNum>
  <w:abstractNum w:abstractNumId="8">
    <w:nsid w:val="211C7829"/>
    <w:multiLevelType w:val="multilevel"/>
    <w:tmpl w:val="211C7829"/>
    <w:lvl w:ilvl="0" w:tentative="0">
      <w:start w:val="1"/>
      <w:numFmt w:val="decimal"/>
      <w:lvlText w:val="%1、"/>
      <w:lvlJc w:val="left"/>
      <w:pPr>
        <w:tabs>
          <w:tab w:val="left" w:pos="360"/>
        </w:tabs>
        <w:ind w:left="360" w:hanging="360"/>
      </w:pPr>
      <w:rPr>
        <w:rFonts w:hint="eastAsia" w:ascii="Times New Roman" w:hAnsi="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26845082"/>
    <w:multiLevelType w:val="multilevel"/>
    <w:tmpl w:val="26845082"/>
    <w:lvl w:ilvl="0" w:tentative="0">
      <w:start w:val="1"/>
      <w:numFmt w:val="decimal"/>
      <w:pStyle w:val="220"/>
      <w:lvlText w:val="%1."/>
      <w:lvlJc w:val="left"/>
      <w:pPr>
        <w:ind w:left="420" w:hanging="420"/>
      </w:pPr>
    </w:lvl>
    <w:lvl w:ilvl="1" w:tentative="0">
      <w:start w:val="1"/>
      <w:numFmt w:val="decimal"/>
      <w:lvlText w:val="(%2)"/>
      <w:lvlJc w:val="left"/>
      <w:pPr>
        <w:ind w:left="900" w:hanging="48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2DB9C813"/>
    <w:multiLevelType w:val="singleLevel"/>
    <w:tmpl w:val="2DB9C813"/>
    <w:lvl w:ilvl="0" w:tentative="0">
      <w:start w:val="3"/>
      <w:numFmt w:val="chineseCounting"/>
      <w:suff w:val="space"/>
      <w:lvlText w:val="第%1章"/>
      <w:lvlJc w:val="left"/>
      <w:rPr>
        <w:rFonts w:hint="eastAsia"/>
      </w:rPr>
    </w:lvl>
  </w:abstractNum>
  <w:abstractNum w:abstractNumId="11">
    <w:nsid w:val="5A33DCAB"/>
    <w:multiLevelType w:val="singleLevel"/>
    <w:tmpl w:val="5A33DCAB"/>
    <w:lvl w:ilvl="0" w:tentative="0">
      <w:start w:val="1"/>
      <w:numFmt w:val="decimal"/>
      <w:suff w:val="nothing"/>
      <w:lvlText w:val="%1、"/>
      <w:lvlJc w:val="left"/>
    </w:lvl>
  </w:abstractNum>
  <w:abstractNum w:abstractNumId="12">
    <w:nsid w:val="6A9A5F31"/>
    <w:multiLevelType w:val="multilevel"/>
    <w:tmpl w:val="6A9A5F31"/>
    <w:lvl w:ilvl="0" w:tentative="0">
      <w:start w:val="1"/>
      <w:numFmt w:val="decimal"/>
      <w:pStyle w:val="329"/>
      <w:lvlText w:val="%1."/>
      <w:lvlJc w:val="left"/>
      <w:pPr>
        <w:tabs>
          <w:tab w:val="left" w:pos="1000"/>
        </w:tabs>
        <w:ind w:left="1000" w:hanging="360"/>
      </w:pPr>
      <w:rPr>
        <w:rFonts w:hint="default"/>
      </w:rPr>
    </w:lvl>
    <w:lvl w:ilvl="1" w:tentative="0">
      <w:start w:val="1"/>
      <w:numFmt w:val="lowerLetter"/>
      <w:lvlText w:val="%2)"/>
      <w:lvlJc w:val="left"/>
      <w:pPr>
        <w:tabs>
          <w:tab w:val="left" w:pos="1480"/>
        </w:tabs>
        <w:ind w:left="1480" w:hanging="420"/>
      </w:pPr>
    </w:lvl>
    <w:lvl w:ilvl="2" w:tentative="0">
      <w:start w:val="1"/>
      <w:numFmt w:val="lowerRoman"/>
      <w:lvlText w:val="%3."/>
      <w:lvlJc w:val="right"/>
      <w:pPr>
        <w:tabs>
          <w:tab w:val="left" w:pos="1900"/>
        </w:tabs>
        <w:ind w:left="1900" w:hanging="420"/>
      </w:pPr>
    </w:lvl>
    <w:lvl w:ilvl="3" w:tentative="0">
      <w:start w:val="1"/>
      <w:numFmt w:val="decimal"/>
      <w:lvlText w:val="%4."/>
      <w:lvlJc w:val="left"/>
      <w:pPr>
        <w:tabs>
          <w:tab w:val="left" w:pos="2320"/>
        </w:tabs>
        <w:ind w:left="2320" w:hanging="420"/>
      </w:pPr>
    </w:lvl>
    <w:lvl w:ilvl="4" w:tentative="0">
      <w:start w:val="1"/>
      <w:numFmt w:val="lowerLetter"/>
      <w:lvlText w:val="%5)"/>
      <w:lvlJc w:val="left"/>
      <w:pPr>
        <w:tabs>
          <w:tab w:val="left" w:pos="2740"/>
        </w:tabs>
        <w:ind w:left="2740" w:hanging="420"/>
      </w:pPr>
    </w:lvl>
    <w:lvl w:ilvl="5" w:tentative="0">
      <w:start w:val="1"/>
      <w:numFmt w:val="lowerRoman"/>
      <w:lvlText w:val="%6."/>
      <w:lvlJc w:val="right"/>
      <w:pPr>
        <w:tabs>
          <w:tab w:val="left" w:pos="3160"/>
        </w:tabs>
        <w:ind w:left="3160" w:hanging="420"/>
      </w:pPr>
    </w:lvl>
    <w:lvl w:ilvl="6" w:tentative="0">
      <w:start w:val="1"/>
      <w:numFmt w:val="decimal"/>
      <w:lvlText w:val="%7."/>
      <w:lvlJc w:val="left"/>
      <w:pPr>
        <w:tabs>
          <w:tab w:val="left" w:pos="3580"/>
        </w:tabs>
        <w:ind w:left="3580" w:hanging="420"/>
      </w:pPr>
    </w:lvl>
    <w:lvl w:ilvl="7" w:tentative="0">
      <w:start w:val="1"/>
      <w:numFmt w:val="lowerLetter"/>
      <w:lvlText w:val="%8)"/>
      <w:lvlJc w:val="left"/>
      <w:pPr>
        <w:tabs>
          <w:tab w:val="left" w:pos="4000"/>
        </w:tabs>
        <w:ind w:left="4000" w:hanging="420"/>
      </w:pPr>
    </w:lvl>
    <w:lvl w:ilvl="8" w:tentative="0">
      <w:start w:val="1"/>
      <w:numFmt w:val="lowerRoman"/>
      <w:pStyle w:val="183"/>
      <w:lvlText w:val="%9."/>
      <w:lvlJc w:val="right"/>
      <w:pPr>
        <w:tabs>
          <w:tab w:val="left" w:pos="4420"/>
        </w:tabs>
        <w:ind w:left="4420" w:hanging="420"/>
      </w:pPr>
    </w:lvl>
  </w:abstractNum>
  <w:abstractNum w:abstractNumId="13">
    <w:nsid w:val="6D9F4248"/>
    <w:multiLevelType w:val="singleLevel"/>
    <w:tmpl w:val="6D9F4248"/>
    <w:lvl w:ilvl="0" w:tentative="0">
      <w:start w:val="1"/>
      <w:numFmt w:val="decimal"/>
      <w:pStyle w:val="364"/>
      <w:lvlText w:val="%1）"/>
      <w:lvlJc w:val="left"/>
      <w:pPr>
        <w:tabs>
          <w:tab w:val="left" w:pos="1050"/>
        </w:tabs>
        <w:ind w:left="1050" w:hanging="450"/>
      </w:pPr>
      <w:rPr>
        <w:rFonts w:hint="eastAsia"/>
      </w:rPr>
    </w:lvl>
  </w:abstractNum>
  <w:num w:numId="1">
    <w:abstractNumId w:val="2"/>
  </w:num>
  <w:num w:numId="2">
    <w:abstractNumId w:val="5"/>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2"/>
  </w:num>
  <w:num w:numId="6">
    <w:abstractNumId w:val="7"/>
  </w:num>
  <w:num w:numId="7">
    <w:abstractNumId w:val="9"/>
  </w:num>
  <w:num w:numId="8">
    <w:abstractNumId w:val="6"/>
  </w:num>
  <w:num w:numId="9">
    <w:abstractNumId w:val="13"/>
  </w:num>
  <w:num w:numId="10">
    <w:abstractNumId w:val="0"/>
  </w:num>
  <w:num w:numId="11">
    <w:abstractNumId w:val="10"/>
  </w:num>
  <w:num w:numId="12">
    <w:abstractNumId w:val="8"/>
  </w:num>
  <w:num w:numId="13">
    <w:abstractNumId w:val="1"/>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hideSpellingError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4FCD"/>
    <w:rsid w:val="00000AEA"/>
    <w:rsid w:val="00000DDA"/>
    <w:rsid w:val="00003DF0"/>
    <w:rsid w:val="000102F3"/>
    <w:rsid w:val="000134DD"/>
    <w:rsid w:val="000136D3"/>
    <w:rsid w:val="00014327"/>
    <w:rsid w:val="00015D1E"/>
    <w:rsid w:val="000167E6"/>
    <w:rsid w:val="00020F60"/>
    <w:rsid w:val="00022A20"/>
    <w:rsid w:val="00022D26"/>
    <w:rsid w:val="00024560"/>
    <w:rsid w:val="00030505"/>
    <w:rsid w:val="0003278E"/>
    <w:rsid w:val="00034A43"/>
    <w:rsid w:val="000352C5"/>
    <w:rsid w:val="00035885"/>
    <w:rsid w:val="00036222"/>
    <w:rsid w:val="00043900"/>
    <w:rsid w:val="000449B9"/>
    <w:rsid w:val="00044D2B"/>
    <w:rsid w:val="00047A39"/>
    <w:rsid w:val="000546D5"/>
    <w:rsid w:val="00056544"/>
    <w:rsid w:val="000612C4"/>
    <w:rsid w:val="0006152D"/>
    <w:rsid w:val="000625F2"/>
    <w:rsid w:val="0006428E"/>
    <w:rsid w:val="000656E6"/>
    <w:rsid w:val="000705D3"/>
    <w:rsid w:val="0007163E"/>
    <w:rsid w:val="00075AD1"/>
    <w:rsid w:val="00076211"/>
    <w:rsid w:val="00086AC1"/>
    <w:rsid w:val="00092CBF"/>
    <w:rsid w:val="000A0583"/>
    <w:rsid w:val="000A06AE"/>
    <w:rsid w:val="000A102D"/>
    <w:rsid w:val="000A22E2"/>
    <w:rsid w:val="000A41BE"/>
    <w:rsid w:val="000B11EF"/>
    <w:rsid w:val="000C56DE"/>
    <w:rsid w:val="000D1E04"/>
    <w:rsid w:val="000D3357"/>
    <w:rsid w:val="000D368C"/>
    <w:rsid w:val="000E11DE"/>
    <w:rsid w:val="000E4367"/>
    <w:rsid w:val="000E4CCF"/>
    <w:rsid w:val="000E4D22"/>
    <w:rsid w:val="000E4DA1"/>
    <w:rsid w:val="000E5E87"/>
    <w:rsid w:val="000E7DF6"/>
    <w:rsid w:val="000F0F00"/>
    <w:rsid w:val="000F5E09"/>
    <w:rsid w:val="000F6DD6"/>
    <w:rsid w:val="001003EC"/>
    <w:rsid w:val="00102E7D"/>
    <w:rsid w:val="001048A5"/>
    <w:rsid w:val="00105061"/>
    <w:rsid w:val="001073BD"/>
    <w:rsid w:val="00112CFC"/>
    <w:rsid w:val="00122E6E"/>
    <w:rsid w:val="00125224"/>
    <w:rsid w:val="00126CDC"/>
    <w:rsid w:val="001304E5"/>
    <w:rsid w:val="0013418A"/>
    <w:rsid w:val="00136683"/>
    <w:rsid w:val="00136B1C"/>
    <w:rsid w:val="001405FB"/>
    <w:rsid w:val="00140736"/>
    <w:rsid w:val="001479B2"/>
    <w:rsid w:val="00150B0B"/>
    <w:rsid w:val="0015792D"/>
    <w:rsid w:val="001615CB"/>
    <w:rsid w:val="00165B27"/>
    <w:rsid w:val="00166AAC"/>
    <w:rsid w:val="00167545"/>
    <w:rsid w:val="00170F86"/>
    <w:rsid w:val="001739F4"/>
    <w:rsid w:val="00191086"/>
    <w:rsid w:val="001929EC"/>
    <w:rsid w:val="001944BA"/>
    <w:rsid w:val="00195435"/>
    <w:rsid w:val="001A3269"/>
    <w:rsid w:val="001A432C"/>
    <w:rsid w:val="001B0FD7"/>
    <w:rsid w:val="001B26E8"/>
    <w:rsid w:val="001B3765"/>
    <w:rsid w:val="001B523D"/>
    <w:rsid w:val="001B5C95"/>
    <w:rsid w:val="001C00B2"/>
    <w:rsid w:val="001C03B4"/>
    <w:rsid w:val="001C244E"/>
    <w:rsid w:val="001C42FE"/>
    <w:rsid w:val="001C553D"/>
    <w:rsid w:val="001C5C1A"/>
    <w:rsid w:val="001C6827"/>
    <w:rsid w:val="001E1023"/>
    <w:rsid w:val="001E4953"/>
    <w:rsid w:val="001E7482"/>
    <w:rsid w:val="001F7BE4"/>
    <w:rsid w:val="00200216"/>
    <w:rsid w:val="00200317"/>
    <w:rsid w:val="00203A5E"/>
    <w:rsid w:val="00204228"/>
    <w:rsid w:val="00211E9C"/>
    <w:rsid w:val="00212250"/>
    <w:rsid w:val="00216CED"/>
    <w:rsid w:val="002171EC"/>
    <w:rsid w:val="00217849"/>
    <w:rsid w:val="002207F9"/>
    <w:rsid w:val="00227536"/>
    <w:rsid w:val="00230CA6"/>
    <w:rsid w:val="00235122"/>
    <w:rsid w:val="0023520A"/>
    <w:rsid w:val="00241E50"/>
    <w:rsid w:val="00243DA6"/>
    <w:rsid w:val="00245676"/>
    <w:rsid w:val="00245EF3"/>
    <w:rsid w:val="00247CF6"/>
    <w:rsid w:val="00251FBF"/>
    <w:rsid w:val="0025215D"/>
    <w:rsid w:val="0025498D"/>
    <w:rsid w:val="0026102C"/>
    <w:rsid w:val="00264A32"/>
    <w:rsid w:val="00264F51"/>
    <w:rsid w:val="00271EAD"/>
    <w:rsid w:val="00273E2E"/>
    <w:rsid w:val="0027419C"/>
    <w:rsid w:val="00281F9F"/>
    <w:rsid w:val="0028293E"/>
    <w:rsid w:val="00283C51"/>
    <w:rsid w:val="00290391"/>
    <w:rsid w:val="0029194B"/>
    <w:rsid w:val="00292185"/>
    <w:rsid w:val="0029293F"/>
    <w:rsid w:val="00292DB0"/>
    <w:rsid w:val="002A0E05"/>
    <w:rsid w:val="002A1A24"/>
    <w:rsid w:val="002A4B2D"/>
    <w:rsid w:val="002A53F6"/>
    <w:rsid w:val="002A56D7"/>
    <w:rsid w:val="002A58FF"/>
    <w:rsid w:val="002C2E0E"/>
    <w:rsid w:val="002C5179"/>
    <w:rsid w:val="002C52A3"/>
    <w:rsid w:val="002C56BE"/>
    <w:rsid w:val="002C5E72"/>
    <w:rsid w:val="002C768C"/>
    <w:rsid w:val="002D1385"/>
    <w:rsid w:val="002D16D4"/>
    <w:rsid w:val="002D23E7"/>
    <w:rsid w:val="002D4B10"/>
    <w:rsid w:val="002D546F"/>
    <w:rsid w:val="002E038E"/>
    <w:rsid w:val="002E255C"/>
    <w:rsid w:val="002E40F4"/>
    <w:rsid w:val="002E42C0"/>
    <w:rsid w:val="002E519F"/>
    <w:rsid w:val="002E5283"/>
    <w:rsid w:val="002F084A"/>
    <w:rsid w:val="002F6610"/>
    <w:rsid w:val="002F6FB9"/>
    <w:rsid w:val="002F7BF0"/>
    <w:rsid w:val="003023DD"/>
    <w:rsid w:val="003042C5"/>
    <w:rsid w:val="00334591"/>
    <w:rsid w:val="003351A8"/>
    <w:rsid w:val="00335618"/>
    <w:rsid w:val="00336405"/>
    <w:rsid w:val="00341F88"/>
    <w:rsid w:val="003426A9"/>
    <w:rsid w:val="0034295F"/>
    <w:rsid w:val="00342B32"/>
    <w:rsid w:val="00344970"/>
    <w:rsid w:val="00346BCF"/>
    <w:rsid w:val="0034724F"/>
    <w:rsid w:val="00347CD0"/>
    <w:rsid w:val="0035602D"/>
    <w:rsid w:val="00361CF9"/>
    <w:rsid w:val="003629E4"/>
    <w:rsid w:val="0036410A"/>
    <w:rsid w:val="003707C8"/>
    <w:rsid w:val="00375776"/>
    <w:rsid w:val="00376997"/>
    <w:rsid w:val="00376BEC"/>
    <w:rsid w:val="00382375"/>
    <w:rsid w:val="00382B8A"/>
    <w:rsid w:val="003834AF"/>
    <w:rsid w:val="00383817"/>
    <w:rsid w:val="0038713F"/>
    <w:rsid w:val="00393790"/>
    <w:rsid w:val="003A41CB"/>
    <w:rsid w:val="003B0DCE"/>
    <w:rsid w:val="003B1831"/>
    <w:rsid w:val="003B38A8"/>
    <w:rsid w:val="003B3B19"/>
    <w:rsid w:val="003B69B0"/>
    <w:rsid w:val="003C16B9"/>
    <w:rsid w:val="003C1FA9"/>
    <w:rsid w:val="003C2723"/>
    <w:rsid w:val="003C555C"/>
    <w:rsid w:val="003C5C65"/>
    <w:rsid w:val="003C759F"/>
    <w:rsid w:val="003C7FDE"/>
    <w:rsid w:val="003D0E6D"/>
    <w:rsid w:val="003D2FC1"/>
    <w:rsid w:val="003E3071"/>
    <w:rsid w:val="003E3DAC"/>
    <w:rsid w:val="003E3F41"/>
    <w:rsid w:val="003E55C2"/>
    <w:rsid w:val="003F71ED"/>
    <w:rsid w:val="003F7D41"/>
    <w:rsid w:val="004004EA"/>
    <w:rsid w:val="0040075F"/>
    <w:rsid w:val="0040537A"/>
    <w:rsid w:val="0040696B"/>
    <w:rsid w:val="0041036E"/>
    <w:rsid w:val="00413A28"/>
    <w:rsid w:val="004201C2"/>
    <w:rsid w:val="00421DE0"/>
    <w:rsid w:val="00422ECF"/>
    <w:rsid w:val="004250E5"/>
    <w:rsid w:val="004307DA"/>
    <w:rsid w:val="00432DD2"/>
    <w:rsid w:val="00436CD1"/>
    <w:rsid w:val="0043799B"/>
    <w:rsid w:val="00443853"/>
    <w:rsid w:val="00451AC1"/>
    <w:rsid w:val="004572F7"/>
    <w:rsid w:val="004577E0"/>
    <w:rsid w:val="00460766"/>
    <w:rsid w:val="00465C92"/>
    <w:rsid w:val="00466CDE"/>
    <w:rsid w:val="00467BCB"/>
    <w:rsid w:val="00472DCE"/>
    <w:rsid w:val="0047332B"/>
    <w:rsid w:val="004777C0"/>
    <w:rsid w:val="00490378"/>
    <w:rsid w:val="00490EB6"/>
    <w:rsid w:val="00491671"/>
    <w:rsid w:val="004917A2"/>
    <w:rsid w:val="0049544D"/>
    <w:rsid w:val="004A389E"/>
    <w:rsid w:val="004A40E2"/>
    <w:rsid w:val="004A5EE5"/>
    <w:rsid w:val="004B4757"/>
    <w:rsid w:val="004B4F30"/>
    <w:rsid w:val="004B4F5D"/>
    <w:rsid w:val="004B5B6A"/>
    <w:rsid w:val="004B7B78"/>
    <w:rsid w:val="004C1170"/>
    <w:rsid w:val="004C11A4"/>
    <w:rsid w:val="004C209B"/>
    <w:rsid w:val="004C278A"/>
    <w:rsid w:val="004C522A"/>
    <w:rsid w:val="004C6AE5"/>
    <w:rsid w:val="004D3651"/>
    <w:rsid w:val="004D6CBC"/>
    <w:rsid w:val="004D7DA3"/>
    <w:rsid w:val="004E615D"/>
    <w:rsid w:val="004E6914"/>
    <w:rsid w:val="004F0562"/>
    <w:rsid w:val="004F1888"/>
    <w:rsid w:val="004F7549"/>
    <w:rsid w:val="004F7E5B"/>
    <w:rsid w:val="00500D26"/>
    <w:rsid w:val="005024CA"/>
    <w:rsid w:val="005047D8"/>
    <w:rsid w:val="00512955"/>
    <w:rsid w:val="00512B57"/>
    <w:rsid w:val="00514B7C"/>
    <w:rsid w:val="005168A2"/>
    <w:rsid w:val="00517FFA"/>
    <w:rsid w:val="00520252"/>
    <w:rsid w:val="00521633"/>
    <w:rsid w:val="00526058"/>
    <w:rsid w:val="00532C70"/>
    <w:rsid w:val="005332A3"/>
    <w:rsid w:val="00533AD3"/>
    <w:rsid w:val="00534579"/>
    <w:rsid w:val="00534DB3"/>
    <w:rsid w:val="005364E1"/>
    <w:rsid w:val="005404AB"/>
    <w:rsid w:val="00540FFD"/>
    <w:rsid w:val="00541FC4"/>
    <w:rsid w:val="00551AE8"/>
    <w:rsid w:val="005534F2"/>
    <w:rsid w:val="005549B3"/>
    <w:rsid w:val="00555E57"/>
    <w:rsid w:val="00561655"/>
    <w:rsid w:val="0056293B"/>
    <w:rsid w:val="00562BE0"/>
    <w:rsid w:val="00563232"/>
    <w:rsid w:val="00565621"/>
    <w:rsid w:val="00566F13"/>
    <w:rsid w:val="0056796B"/>
    <w:rsid w:val="00570F8D"/>
    <w:rsid w:val="00571CC4"/>
    <w:rsid w:val="00573964"/>
    <w:rsid w:val="00576987"/>
    <w:rsid w:val="00580C33"/>
    <w:rsid w:val="00580C50"/>
    <w:rsid w:val="00581369"/>
    <w:rsid w:val="00583843"/>
    <w:rsid w:val="00585770"/>
    <w:rsid w:val="00590B02"/>
    <w:rsid w:val="00590EAD"/>
    <w:rsid w:val="00594C11"/>
    <w:rsid w:val="0059502F"/>
    <w:rsid w:val="005A6E37"/>
    <w:rsid w:val="005B0E24"/>
    <w:rsid w:val="005B3B7D"/>
    <w:rsid w:val="005B7DE3"/>
    <w:rsid w:val="005C0200"/>
    <w:rsid w:val="005C6264"/>
    <w:rsid w:val="005C7FD4"/>
    <w:rsid w:val="005D15C4"/>
    <w:rsid w:val="005D2471"/>
    <w:rsid w:val="005D28D5"/>
    <w:rsid w:val="005E0521"/>
    <w:rsid w:val="005E3E88"/>
    <w:rsid w:val="005E3EA9"/>
    <w:rsid w:val="005E4FF6"/>
    <w:rsid w:val="005F056E"/>
    <w:rsid w:val="005F1F99"/>
    <w:rsid w:val="005F5405"/>
    <w:rsid w:val="005F6E83"/>
    <w:rsid w:val="006034DD"/>
    <w:rsid w:val="00610574"/>
    <w:rsid w:val="00610D13"/>
    <w:rsid w:val="006132FB"/>
    <w:rsid w:val="00616421"/>
    <w:rsid w:val="00617BFD"/>
    <w:rsid w:val="006212F7"/>
    <w:rsid w:val="006246B9"/>
    <w:rsid w:val="006254B1"/>
    <w:rsid w:val="0062599E"/>
    <w:rsid w:val="00625E54"/>
    <w:rsid w:val="006266E2"/>
    <w:rsid w:val="00630AF0"/>
    <w:rsid w:val="00634877"/>
    <w:rsid w:val="006443CE"/>
    <w:rsid w:val="00645328"/>
    <w:rsid w:val="006457D0"/>
    <w:rsid w:val="00646FC1"/>
    <w:rsid w:val="0064780F"/>
    <w:rsid w:val="006505B8"/>
    <w:rsid w:val="00660F16"/>
    <w:rsid w:val="006620AF"/>
    <w:rsid w:val="00664F0C"/>
    <w:rsid w:val="006668B6"/>
    <w:rsid w:val="00670A57"/>
    <w:rsid w:val="00670AE4"/>
    <w:rsid w:val="006721C0"/>
    <w:rsid w:val="0067363E"/>
    <w:rsid w:val="00673B9A"/>
    <w:rsid w:val="00675331"/>
    <w:rsid w:val="00676E72"/>
    <w:rsid w:val="00683023"/>
    <w:rsid w:val="0069131F"/>
    <w:rsid w:val="006919B2"/>
    <w:rsid w:val="006926A8"/>
    <w:rsid w:val="00694755"/>
    <w:rsid w:val="006A30E5"/>
    <w:rsid w:val="006A502F"/>
    <w:rsid w:val="006B121E"/>
    <w:rsid w:val="006B18E7"/>
    <w:rsid w:val="006B2B21"/>
    <w:rsid w:val="006B36F6"/>
    <w:rsid w:val="006C1C88"/>
    <w:rsid w:val="006C6E9D"/>
    <w:rsid w:val="006D0F48"/>
    <w:rsid w:val="006D1905"/>
    <w:rsid w:val="006D2865"/>
    <w:rsid w:val="006D5447"/>
    <w:rsid w:val="006D6482"/>
    <w:rsid w:val="006D6CF4"/>
    <w:rsid w:val="006D7196"/>
    <w:rsid w:val="006D7565"/>
    <w:rsid w:val="006E08B3"/>
    <w:rsid w:val="006F267E"/>
    <w:rsid w:val="006F51C5"/>
    <w:rsid w:val="006F5E01"/>
    <w:rsid w:val="00701ED3"/>
    <w:rsid w:val="00702269"/>
    <w:rsid w:val="007022CE"/>
    <w:rsid w:val="00702F4D"/>
    <w:rsid w:val="0071327B"/>
    <w:rsid w:val="00716D64"/>
    <w:rsid w:val="00717ABF"/>
    <w:rsid w:val="00720121"/>
    <w:rsid w:val="00720758"/>
    <w:rsid w:val="00722EA2"/>
    <w:rsid w:val="007373C0"/>
    <w:rsid w:val="00737833"/>
    <w:rsid w:val="00740BC7"/>
    <w:rsid w:val="00741A91"/>
    <w:rsid w:val="007422A3"/>
    <w:rsid w:val="007446BA"/>
    <w:rsid w:val="00747D7F"/>
    <w:rsid w:val="00754010"/>
    <w:rsid w:val="00756FAE"/>
    <w:rsid w:val="00757CDD"/>
    <w:rsid w:val="00764E5E"/>
    <w:rsid w:val="00766F7C"/>
    <w:rsid w:val="00770DEC"/>
    <w:rsid w:val="00771411"/>
    <w:rsid w:val="0077384C"/>
    <w:rsid w:val="007771AB"/>
    <w:rsid w:val="007814CD"/>
    <w:rsid w:val="0078669A"/>
    <w:rsid w:val="0079167A"/>
    <w:rsid w:val="007942B8"/>
    <w:rsid w:val="00795068"/>
    <w:rsid w:val="007954DF"/>
    <w:rsid w:val="00795BA6"/>
    <w:rsid w:val="00797539"/>
    <w:rsid w:val="007A00B2"/>
    <w:rsid w:val="007A15F9"/>
    <w:rsid w:val="007A3609"/>
    <w:rsid w:val="007A5C8E"/>
    <w:rsid w:val="007A6ADC"/>
    <w:rsid w:val="007A7A17"/>
    <w:rsid w:val="007B34C7"/>
    <w:rsid w:val="007B4BD3"/>
    <w:rsid w:val="007B725C"/>
    <w:rsid w:val="007C2B26"/>
    <w:rsid w:val="007C52E1"/>
    <w:rsid w:val="007C55EA"/>
    <w:rsid w:val="007C5E07"/>
    <w:rsid w:val="007C62DA"/>
    <w:rsid w:val="007D13E2"/>
    <w:rsid w:val="007D2215"/>
    <w:rsid w:val="007D32C3"/>
    <w:rsid w:val="007D686C"/>
    <w:rsid w:val="007E00DD"/>
    <w:rsid w:val="007E72A9"/>
    <w:rsid w:val="007E7600"/>
    <w:rsid w:val="007F391D"/>
    <w:rsid w:val="007F3B0C"/>
    <w:rsid w:val="007F4559"/>
    <w:rsid w:val="007F4862"/>
    <w:rsid w:val="007F5877"/>
    <w:rsid w:val="007F6F11"/>
    <w:rsid w:val="007F7114"/>
    <w:rsid w:val="007F7139"/>
    <w:rsid w:val="007F71DA"/>
    <w:rsid w:val="0080278D"/>
    <w:rsid w:val="00807932"/>
    <w:rsid w:val="00810D53"/>
    <w:rsid w:val="00816388"/>
    <w:rsid w:val="00817EAB"/>
    <w:rsid w:val="0082048A"/>
    <w:rsid w:val="00830F55"/>
    <w:rsid w:val="00835EDC"/>
    <w:rsid w:val="008413AC"/>
    <w:rsid w:val="00845198"/>
    <w:rsid w:val="0084746C"/>
    <w:rsid w:val="00847BFC"/>
    <w:rsid w:val="00851B27"/>
    <w:rsid w:val="00856503"/>
    <w:rsid w:val="008572C5"/>
    <w:rsid w:val="00857A41"/>
    <w:rsid w:val="008601D6"/>
    <w:rsid w:val="00870424"/>
    <w:rsid w:val="0087583B"/>
    <w:rsid w:val="00876777"/>
    <w:rsid w:val="00883400"/>
    <w:rsid w:val="00883CCD"/>
    <w:rsid w:val="00885B3C"/>
    <w:rsid w:val="00885B7C"/>
    <w:rsid w:val="0088652F"/>
    <w:rsid w:val="00891216"/>
    <w:rsid w:val="00893BFB"/>
    <w:rsid w:val="00893F42"/>
    <w:rsid w:val="008941CB"/>
    <w:rsid w:val="00894C19"/>
    <w:rsid w:val="008952CE"/>
    <w:rsid w:val="008A041A"/>
    <w:rsid w:val="008A2299"/>
    <w:rsid w:val="008A38D7"/>
    <w:rsid w:val="008A4C64"/>
    <w:rsid w:val="008B110B"/>
    <w:rsid w:val="008B2F2D"/>
    <w:rsid w:val="008B426E"/>
    <w:rsid w:val="008C30D3"/>
    <w:rsid w:val="008D317E"/>
    <w:rsid w:val="008D71BD"/>
    <w:rsid w:val="008E2A4B"/>
    <w:rsid w:val="008E6152"/>
    <w:rsid w:val="008E65F7"/>
    <w:rsid w:val="008F43DC"/>
    <w:rsid w:val="008F4A93"/>
    <w:rsid w:val="008F6F81"/>
    <w:rsid w:val="009005ED"/>
    <w:rsid w:val="0090616A"/>
    <w:rsid w:val="00911664"/>
    <w:rsid w:val="00917B95"/>
    <w:rsid w:val="009210CF"/>
    <w:rsid w:val="00923682"/>
    <w:rsid w:val="0092654C"/>
    <w:rsid w:val="00930768"/>
    <w:rsid w:val="0093109B"/>
    <w:rsid w:val="00932B76"/>
    <w:rsid w:val="00934356"/>
    <w:rsid w:val="00935971"/>
    <w:rsid w:val="00941969"/>
    <w:rsid w:val="009540EE"/>
    <w:rsid w:val="00955B82"/>
    <w:rsid w:val="00960765"/>
    <w:rsid w:val="00960C00"/>
    <w:rsid w:val="00961CEE"/>
    <w:rsid w:val="00961F1A"/>
    <w:rsid w:val="00964B8C"/>
    <w:rsid w:val="00964C41"/>
    <w:rsid w:val="00965466"/>
    <w:rsid w:val="00965488"/>
    <w:rsid w:val="00966114"/>
    <w:rsid w:val="00970299"/>
    <w:rsid w:val="00970622"/>
    <w:rsid w:val="00971F3C"/>
    <w:rsid w:val="0097270E"/>
    <w:rsid w:val="0097295B"/>
    <w:rsid w:val="00974886"/>
    <w:rsid w:val="0097524E"/>
    <w:rsid w:val="00980606"/>
    <w:rsid w:val="009809B2"/>
    <w:rsid w:val="00985DF9"/>
    <w:rsid w:val="00993F87"/>
    <w:rsid w:val="009953F0"/>
    <w:rsid w:val="00995BB7"/>
    <w:rsid w:val="00997269"/>
    <w:rsid w:val="009A03F2"/>
    <w:rsid w:val="009B573A"/>
    <w:rsid w:val="009C35B0"/>
    <w:rsid w:val="009D0F53"/>
    <w:rsid w:val="009D2478"/>
    <w:rsid w:val="009D5546"/>
    <w:rsid w:val="009E1923"/>
    <w:rsid w:val="009E4564"/>
    <w:rsid w:val="009E4AA0"/>
    <w:rsid w:val="009E505E"/>
    <w:rsid w:val="00A0033A"/>
    <w:rsid w:val="00A01127"/>
    <w:rsid w:val="00A040F7"/>
    <w:rsid w:val="00A04136"/>
    <w:rsid w:val="00A05775"/>
    <w:rsid w:val="00A05BFE"/>
    <w:rsid w:val="00A05DE9"/>
    <w:rsid w:val="00A1208F"/>
    <w:rsid w:val="00A150B4"/>
    <w:rsid w:val="00A15FB3"/>
    <w:rsid w:val="00A20B8E"/>
    <w:rsid w:val="00A22FDE"/>
    <w:rsid w:val="00A24349"/>
    <w:rsid w:val="00A266B4"/>
    <w:rsid w:val="00A363C0"/>
    <w:rsid w:val="00A40E43"/>
    <w:rsid w:val="00A41258"/>
    <w:rsid w:val="00A41DA0"/>
    <w:rsid w:val="00A435BD"/>
    <w:rsid w:val="00A44C17"/>
    <w:rsid w:val="00A47A4E"/>
    <w:rsid w:val="00A54B2B"/>
    <w:rsid w:val="00A57223"/>
    <w:rsid w:val="00A574B7"/>
    <w:rsid w:val="00A61A22"/>
    <w:rsid w:val="00A64F2E"/>
    <w:rsid w:val="00A6590F"/>
    <w:rsid w:val="00A66B5D"/>
    <w:rsid w:val="00A67661"/>
    <w:rsid w:val="00A70A19"/>
    <w:rsid w:val="00A70BDC"/>
    <w:rsid w:val="00A7288C"/>
    <w:rsid w:val="00A73B00"/>
    <w:rsid w:val="00A80A75"/>
    <w:rsid w:val="00A8119B"/>
    <w:rsid w:val="00A82AFE"/>
    <w:rsid w:val="00A84755"/>
    <w:rsid w:val="00A84912"/>
    <w:rsid w:val="00A84D56"/>
    <w:rsid w:val="00A863E1"/>
    <w:rsid w:val="00A86EF4"/>
    <w:rsid w:val="00A87D4D"/>
    <w:rsid w:val="00A906A1"/>
    <w:rsid w:val="00A949F2"/>
    <w:rsid w:val="00AA4907"/>
    <w:rsid w:val="00AA4C88"/>
    <w:rsid w:val="00AA698B"/>
    <w:rsid w:val="00AB1B73"/>
    <w:rsid w:val="00AB2B68"/>
    <w:rsid w:val="00AB5BC7"/>
    <w:rsid w:val="00AB734E"/>
    <w:rsid w:val="00AB764C"/>
    <w:rsid w:val="00AC0293"/>
    <w:rsid w:val="00AC0C3C"/>
    <w:rsid w:val="00AC1DF7"/>
    <w:rsid w:val="00AC30FA"/>
    <w:rsid w:val="00AC55ED"/>
    <w:rsid w:val="00AD2362"/>
    <w:rsid w:val="00AD3B93"/>
    <w:rsid w:val="00AD3C57"/>
    <w:rsid w:val="00AD59A6"/>
    <w:rsid w:val="00AF3D22"/>
    <w:rsid w:val="00AF7C7E"/>
    <w:rsid w:val="00B01220"/>
    <w:rsid w:val="00B01BE4"/>
    <w:rsid w:val="00B028F9"/>
    <w:rsid w:val="00B03AD3"/>
    <w:rsid w:val="00B07097"/>
    <w:rsid w:val="00B100D9"/>
    <w:rsid w:val="00B1264A"/>
    <w:rsid w:val="00B13213"/>
    <w:rsid w:val="00B13B9C"/>
    <w:rsid w:val="00B16A30"/>
    <w:rsid w:val="00B220DF"/>
    <w:rsid w:val="00B23411"/>
    <w:rsid w:val="00B25BAE"/>
    <w:rsid w:val="00B269C9"/>
    <w:rsid w:val="00B2770C"/>
    <w:rsid w:val="00B30663"/>
    <w:rsid w:val="00B31017"/>
    <w:rsid w:val="00B367E1"/>
    <w:rsid w:val="00B36D03"/>
    <w:rsid w:val="00B41DAF"/>
    <w:rsid w:val="00B41EFC"/>
    <w:rsid w:val="00B43A3C"/>
    <w:rsid w:val="00B50C39"/>
    <w:rsid w:val="00B51C11"/>
    <w:rsid w:val="00B548E6"/>
    <w:rsid w:val="00B57963"/>
    <w:rsid w:val="00B6165F"/>
    <w:rsid w:val="00B61B6B"/>
    <w:rsid w:val="00B622C7"/>
    <w:rsid w:val="00B636EF"/>
    <w:rsid w:val="00B647AB"/>
    <w:rsid w:val="00B6739D"/>
    <w:rsid w:val="00B674A8"/>
    <w:rsid w:val="00B7207A"/>
    <w:rsid w:val="00B72FFF"/>
    <w:rsid w:val="00B76B4F"/>
    <w:rsid w:val="00B80428"/>
    <w:rsid w:val="00B829FF"/>
    <w:rsid w:val="00B82DBD"/>
    <w:rsid w:val="00B82F3A"/>
    <w:rsid w:val="00B85161"/>
    <w:rsid w:val="00B8519C"/>
    <w:rsid w:val="00B90C52"/>
    <w:rsid w:val="00B91888"/>
    <w:rsid w:val="00B91A85"/>
    <w:rsid w:val="00BA146E"/>
    <w:rsid w:val="00BA29A1"/>
    <w:rsid w:val="00BA3078"/>
    <w:rsid w:val="00BA7116"/>
    <w:rsid w:val="00BA7214"/>
    <w:rsid w:val="00BB2C27"/>
    <w:rsid w:val="00BB2CA4"/>
    <w:rsid w:val="00BB557F"/>
    <w:rsid w:val="00BB74D8"/>
    <w:rsid w:val="00BC0687"/>
    <w:rsid w:val="00BC19D9"/>
    <w:rsid w:val="00BC1A74"/>
    <w:rsid w:val="00BC417B"/>
    <w:rsid w:val="00BC42E0"/>
    <w:rsid w:val="00BD54AF"/>
    <w:rsid w:val="00BE5B8F"/>
    <w:rsid w:val="00BF00A6"/>
    <w:rsid w:val="00BF04FF"/>
    <w:rsid w:val="00BF0E3B"/>
    <w:rsid w:val="00BF1518"/>
    <w:rsid w:val="00BF183B"/>
    <w:rsid w:val="00BF4434"/>
    <w:rsid w:val="00C00684"/>
    <w:rsid w:val="00C029C2"/>
    <w:rsid w:val="00C0690B"/>
    <w:rsid w:val="00C12996"/>
    <w:rsid w:val="00C12CF2"/>
    <w:rsid w:val="00C1414E"/>
    <w:rsid w:val="00C14198"/>
    <w:rsid w:val="00C30F9C"/>
    <w:rsid w:val="00C32C62"/>
    <w:rsid w:val="00C330B0"/>
    <w:rsid w:val="00C343B9"/>
    <w:rsid w:val="00C3511C"/>
    <w:rsid w:val="00C377BD"/>
    <w:rsid w:val="00C37B28"/>
    <w:rsid w:val="00C44F36"/>
    <w:rsid w:val="00C44FC5"/>
    <w:rsid w:val="00C46028"/>
    <w:rsid w:val="00C460FC"/>
    <w:rsid w:val="00C50DB0"/>
    <w:rsid w:val="00C50EC9"/>
    <w:rsid w:val="00C529A7"/>
    <w:rsid w:val="00C53F37"/>
    <w:rsid w:val="00C54814"/>
    <w:rsid w:val="00C57F06"/>
    <w:rsid w:val="00C61748"/>
    <w:rsid w:val="00C61FA3"/>
    <w:rsid w:val="00C6206A"/>
    <w:rsid w:val="00C62BEC"/>
    <w:rsid w:val="00C7052C"/>
    <w:rsid w:val="00C70581"/>
    <w:rsid w:val="00C7121C"/>
    <w:rsid w:val="00C73C7E"/>
    <w:rsid w:val="00C7634A"/>
    <w:rsid w:val="00C76FA8"/>
    <w:rsid w:val="00C77AEB"/>
    <w:rsid w:val="00C8055E"/>
    <w:rsid w:val="00C826C2"/>
    <w:rsid w:val="00C83197"/>
    <w:rsid w:val="00C91A7B"/>
    <w:rsid w:val="00C9253B"/>
    <w:rsid w:val="00C9318B"/>
    <w:rsid w:val="00C93278"/>
    <w:rsid w:val="00C9367C"/>
    <w:rsid w:val="00C9467F"/>
    <w:rsid w:val="00C96277"/>
    <w:rsid w:val="00CA1091"/>
    <w:rsid w:val="00CA1C39"/>
    <w:rsid w:val="00CA2668"/>
    <w:rsid w:val="00CA2CC5"/>
    <w:rsid w:val="00CA47A9"/>
    <w:rsid w:val="00CA7A04"/>
    <w:rsid w:val="00CB1BF6"/>
    <w:rsid w:val="00CB2833"/>
    <w:rsid w:val="00CB3496"/>
    <w:rsid w:val="00CB41B1"/>
    <w:rsid w:val="00CB66E6"/>
    <w:rsid w:val="00CB690D"/>
    <w:rsid w:val="00CB74B0"/>
    <w:rsid w:val="00CC359A"/>
    <w:rsid w:val="00CC372B"/>
    <w:rsid w:val="00CC44A2"/>
    <w:rsid w:val="00CC5794"/>
    <w:rsid w:val="00CC6952"/>
    <w:rsid w:val="00CC733D"/>
    <w:rsid w:val="00CC786E"/>
    <w:rsid w:val="00CD0CF2"/>
    <w:rsid w:val="00CD51D0"/>
    <w:rsid w:val="00CD7809"/>
    <w:rsid w:val="00CE3FA2"/>
    <w:rsid w:val="00CE46AB"/>
    <w:rsid w:val="00CE4996"/>
    <w:rsid w:val="00CE53D0"/>
    <w:rsid w:val="00CE651E"/>
    <w:rsid w:val="00CE6B38"/>
    <w:rsid w:val="00CF2C00"/>
    <w:rsid w:val="00CF746D"/>
    <w:rsid w:val="00D034D5"/>
    <w:rsid w:val="00D17C38"/>
    <w:rsid w:val="00D22E91"/>
    <w:rsid w:val="00D22FD6"/>
    <w:rsid w:val="00D25D49"/>
    <w:rsid w:val="00D315FE"/>
    <w:rsid w:val="00D33800"/>
    <w:rsid w:val="00D36B96"/>
    <w:rsid w:val="00D40C5D"/>
    <w:rsid w:val="00D473C2"/>
    <w:rsid w:val="00D52167"/>
    <w:rsid w:val="00D52673"/>
    <w:rsid w:val="00D52A88"/>
    <w:rsid w:val="00D533F2"/>
    <w:rsid w:val="00D565B2"/>
    <w:rsid w:val="00D57BB3"/>
    <w:rsid w:val="00D64159"/>
    <w:rsid w:val="00D65E20"/>
    <w:rsid w:val="00D66C4F"/>
    <w:rsid w:val="00D70994"/>
    <w:rsid w:val="00D71E82"/>
    <w:rsid w:val="00D8376F"/>
    <w:rsid w:val="00D870E4"/>
    <w:rsid w:val="00D92759"/>
    <w:rsid w:val="00D975AC"/>
    <w:rsid w:val="00DA0A93"/>
    <w:rsid w:val="00DA47F5"/>
    <w:rsid w:val="00DB040D"/>
    <w:rsid w:val="00DB36E2"/>
    <w:rsid w:val="00DB4070"/>
    <w:rsid w:val="00DB7C22"/>
    <w:rsid w:val="00DC0E1D"/>
    <w:rsid w:val="00DC1DC6"/>
    <w:rsid w:val="00DC3CCD"/>
    <w:rsid w:val="00DC58F7"/>
    <w:rsid w:val="00DD0A8D"/>
    <w:rsid w:val="00DD2142"/>
    <w:rsid w:val="00DD23B8"/>
    <w:rsid w:val="00DD27EB"/>
    <w:rsid w:val="00DD2C47"/>
    <w:rsid w:val="00DD3EBB"/>
    <w:rsid w:val="00DE1178"/>
    <w:rsid w:val="00DE3B0B"/>
    <w:rsid w:val="00DE5F9B"/>
    <w:rsid w:val="00DF08DE"/>
    <w:rsid w:val="00DF2E1C"/>
    <w:rsid w:val="00DF3540"/>
    <w:rsid w:val="00DF778F"/>
    <w:rsid w:val="00E00C89"/>
    <w:rsid w:val="00E02C6C"/>
    <w:rsid w:val="00E03BC6"/>
    <w:rsid w:val="00E063AE"/>
    <w:rsid w:val="00E11914"/>
    <w:rsid w:val="00E11E6F"/>
    <w:rsid w:val="00E126DC"/>
    <w:rsid w:val="00E1278F"/>
    <w:rsid w:val="00E15292"/>
    <w:rsid w:val="00E168DA"/>
    <w:rsid w:val="00E17A7E"/>
    <w:rsid w:val="00E23450"/>
    <w:rsid w:val="00E27190"/>
    <w:rsid w:val="00E34FCD"/>
    <w:rsid w:val="00E3558F"/>
    <w:rsid w:val="00E359DC"/>
    <w:rsid w:val="00E36D47"/>
    <w:rsid w:val="00E37A23"/>
    <w:rsid w:val="00E43A77"/>
    <w:rsid w:val="00E45FF7"/>
    <w:rsid w:val="00E50392"/>
    <w:rsid w:val="00E50A7E"/>
    <w:rsid w:val="00E51A9B"/>
    <w:rsid w:val="00E51D6C"/>
    <w:rsid w:val="00E558A5"/>
    <w:rsid w:val="00E572C4"/>
    <w:rsid w:val="00E6683C"/>
    <w:rsid w:val="00E74A2A"/>
    <w:rsid w:val="00E7625B"/>
    <w:rsid w:val="00E83DCC"/>
    <w:rsid w:val="00E85174"/>
    <w:rsid w:val="00E92DAE"/>
    <w:rsid w:val="00E93BA6"/>
    <w:rsid w:val="00E97D7F"/>
    <w:rsid w:val="00EA1B66"/>
    <w:rsid w:val="00EA2425"/>
    <w:rsid w:val="00EA2BDD"/>
    <w:rsid w:val="00EA5E8D"/>
    <w:rsid w:val="00EB1B58"/>
    <w:rsid w:val="00EB27A6"/>
    <w:rsid w:val="00EB335A"/>
    <w:rsid w:val="00EB34B8"/>
    <w:rsid w:val="00EB6208"/>
    <w:rsid w:val="00EB76A8"/>
    <w:rsid w:val="00EB7B14"/>
    <w:rsid w:val="00EC749E"/>
    <w:rsid w:val="00EC7841"/>
    <w:rsid w:val="00ED0AEE"/>
    <w:rsid w:val="00ED30BC"/>
    <w:rsid w:val="00ED4158"/>
    <w:rsid w:val="00ED5C9D"/>
    <w:rsid w:val="00ED6D53"/>
    <w:rsid w:val="00EF2474"/>
    <w:rsid w:val="00EF28EF"/>
    <w:rsid w:val="00EF36E1"/>
    <w:rsid w:val="00EF3F5A"/>
    <w:rsid w:val="00EF42B2"/>
    <w:rsid w:val="00F06ED6"/>
    <w:rsid w:val="00F079DD"/>
    <w:rsid w:val="00F109AE"/>
    <w:rsid w:val="00F10CC1"/>
    <w:rsid w:val="00F12B25"/>
    <w:rsid w:val="00F155B4"/>
    <w:rsid w:val="00F15F87"/>
    <w:rsid w:val="00F16F41"/>
    <w:rsid w:val="00F2048D"/>
    <w:rsid w:val="00F25837"/>
    <w:rsid w:val="00F25BF7"/>
    <w:rsid w:val="00F32612"/>
    <w:rsid w:val="00F33776"/>
    <w:rsid w:val="00F37180"/>
    <w:rsid w:val="00F42432"/>
    <w:rsid w:val="00F43CFD"/>
    <w:rsid w:val="00F458A2"/>
    <w:rsid w:val="00F52281"/>
    <w:rsid w:val="00F64445"/>
    <w:rsid w:val="00F65CCF"/>
    <w:rsid w:val="00F6704C"/>
    <w:rsid w:val="00F71ACC"/>
    <w:rsid w:val="00F7287D"/>
    <w:rsid w:val="00F83254"/>
    <w:rsid w:val="00F90EE2"/>
    <w:rsid w:val="00F91D16"/>
    <w:rsid w:val="00F95A79"/>
    <w:rsid w:val="00F961E6"/>
    <w:rsid w:val="00FA0B49"/>
    <w:rsid w:val="00FA2214"/>
    <w:rsid w:val="00FA2A21"/>
    <w:rsid w:val="00FA31E4"/>
    <w:rsid w:val="00FA3547"/>
    <w:rsid w:val="00FA73D6"/>
    <w:rsid w:val="00FB20E9"/>
    <w:rsid w:val="00FB2CEF"/>
    <w:rsid w:val="00FB7981"/>
    <w:rsid w:val="00FC0D0D"/>
    <w:rsid w:val="00FC22F7"/>
    <w:rsid w:val="00FC69EA"/>
    <w:rsid w:val="00FC7A43"/>
    <w:rsid w:val="00FD2C49"/>
    <w:rsid w:val="00FD2E32"/>
    <w:rsid w:val="00FD36C5"/>
    <w:rsid w:val="00FD7644"/>
    <w:rsid w:val="00FD7CBA"/>
    <w:rsid w:val="00FE0BB0"/>
    <w:rsid w:val="00FE38E6"/>
    <w:rsid w:val="00FF0B2D"/>
    <w:rsid w:val="0107000F"/>
    <w:rsid w:val="01CC4DE7"/>
    <w:rsid w:val="026D4E26"/>
    <w:rsid w:val="02A92A79"/>
    <w:rsid w:val="03C33200"/>
    <w:rsid w:val="03EC5701"/>
    <w:rsid w:val="04C27C98"/>
    <w:rsid w:val="04E60AB3"/>
    <w:rsid w:val="04F91BFF"/>
    <w:rsid w:val="04FC7BC9"/>
    <w:rsid w:val="05A92F49"/>
    <w:rsid w:val="064A280D"/>
    <w:rsid w:val="06A53C45"/>
    <w:rsid w:val="06C92DA5"/>
    <w:rsid w:val="07A20FE4"/>
    <w:rsid w:val="08652EDE"/>
    <w:rsid w:val="09094E7C"/>
    <w:rsid w:val="0A290583"/>
    <w:rsid w:val="0A7259C6"/>
    <w:rsid w:val="0AAE4AE9"/>
    <w:rsid w:val="0BB72938"/>
    <w:rsid w:val="0BB95138"/>
    <w:rsid w:val="0BE83AA0"/>
    <w:rsid w:val="0C515952"/>
    <w:rsid w:val="0C8B0472"/>
    <w:rsid w:val="0D9E3D3D"/>
    <w:rsid w:val="0DF040F7"/>
    <w:rsid w:val="0EDC52DC"/>
    <w:rsid w:val="0F2B556D"/>
    <w:rsid w:val="0F905DBC"/>
    <w:rsid w:val="114D729E"/>
    <w:rsid w:val="117E083E"/>
    <w:rsid w:val="13DA26B3"/>
    <w:rsid w:val="13F44E24"/>
    <w:rsid w:val="1439311D"/>
    <w:rsid w:val="146B27EE"/>
    <w:rsid w:val="15016D6F"/>
    <w:rsid w:val="15FE100F"/>
    <w:rsid w:val="160D2E2D"/>
    <w:rsid w:val="170C2FA8"/>
    <w:rsid w:val="172D56AC"/>
    <w:rsid w:val="174F4DAE"/>
    <w:rsid w:val="17FA1625"/>
    <w:rsid w:val="183F68B3"/>
    <w:rsid w:val="18B7158F"/>
    <w:rsid w:val="19646885"/>
    <w:rsid w:val="198A52C8"/>
    <w:rsid w:val="1A312889"/>
    <w:rsid w:val="1A5430FD"/>
    <w:rsid w:val="1B6D4BF7"/>
    <w:rsid w:val="1CDC17BD"/>
    <w:rsid w:val="1E554701"/>
    <w:rsid w:val="1EC677CA"/>
    <w:rsid w:val="1F3000C7"/>
    <w:rsid w:val="215A7D54"/>
    <w:rsid w:val="26560327"/>
    <w:rsid w:val="26B63C78"/>
    <w:rsid w:val="275058EB"/>
    <w:rsid w:val="285E17C7"/>
    <w:rsid w:val="287731A2"/>
    <w:rsid w:val="28A81925"/>
    <w:rsid w:val="29961D8A"/>
    <w:rsid w:val="29DD10B4"/>
    <w:rsid w:val="2A4E7C51"/>
    <w:rsid w:val="2A8A732C"/>
    <w:rsid w:val="2BBD6398"/>
    <w:rsid w:val="2D5F0A48"/>
    <w:rsid w:val="2DB256F9"/>
    <w:rsid w:val="2E995ECC"/>
    <w:rsid w:val="2EBC10D1"/>
    <w:rsid w:val="2F483DFA"/>
    <w:rsid w:val="2F6D304C"/>
    <w:rsid w:val="309E2809"/>
    <w:rsid w:val="30CF12A6"/>
    <w:rsid w:val="31A44680"/>
    <w:rsid w:val="33ED1360"/>
    <w:rsid w:val="34EA4FB4"/>
    <w:rsid w:val="34F768F8"/>
    <w:rsid w:val="350A3B54"/>
    <w:rsid w:val="356345BC"/>
    <w:rsid w:val="356A334D"/>
    <w:rsid w:val="36573B47"/>
    <w:rsid w:val="37B41AB0"/>
    <w:rsid w:val="37B93FC6"/>
    <w:rsid w:val="384F1543"/>
    <w:rsid w:val="386971DF"/>
    <w:rsid w:val="387D7A2E"/>
    <w:rsid w:val="397D305E"/>
    <w:rsid w:val="39BF3D88"/>
    <w:rsid w:val="3AAE39D9"/>
    <w:rsid w:val="3AC06FC9"/>
    <w:rsid w:val="3AE44EB8"/>
    <w:rsid w:val="3B032217"/>
    <w:rsid w:val="3BA46952"/>
    <w:rsid w:val="3BE8072D"/>
    <w:rsid w:val="3CC65832"/>
    <w:rsid w:val="3D6D2828"/>
    <w:rsid w:val="3D9D19C7"/>
    <w:rsid w:val="3E7A4107"/>
    <w:rsid w:val="3EAE3388"/>
    <w:rsid w:val="3F430F65"/>
    <w:rsid w:val="3F581B44"/>
    <w:rsid w:val="3F685E30"/>
    <w:rsid w:val="3F905757"/>
    <w:rsid w:val="402368D7"/>
    <w:rsid w:val="41053798"/>
    <w:rsid w:val="410604BD"/>
    <w:rsid w:val="417A41E3"/>
    <w:rsid w:val="42BE475E"/>
    <w:rsid w:val="43684640"/>
    <w:rsid w:val="438155C0"/>
    <w:rsid w:val="4396088C"/>
    <w:rsid w:val="447F107A"/>
    <w:rsid w:val="44EA1FB1"/>
    <w:rsid w:val="4529576A"/>
    <w:rsid w:val="45815C74"/>
    <w:rsid w:val="46AB5221"/>
    <w:rsid w:val="46FA4F87"/>
    <w:rsid w:val="472D2E3A"/>
    <w:rsid w:val="48DA7033"/>
    <w:rsid w:val="49CD5D7F"/>
    <w:rsid w:val="4A050F74"/>
    <w:rsid w:val="4A1A0AE2"/>
    <w:rsid w:val="4A712068"/>
    <w:rsid w:val="4AD574C8"/>
    <w:rsid w:val="4B140480"/>
    <w:rsid w:val="4B2244CF"/>
    <w:rsid w:val="4B7E3875"/>
    <w:rsid w:val="4BB12D23"/>
    <w:rsid w:val="4BE306CD"/>
    <w:rsid w:val="4C0233EC"/>
    <w:rsid w:val="4C762A25"/>
    <w:rsid w:val="4C791780"/>
    <w:rsid w:val="4C7E15D8"/>
    <w:rsid w:val="4D3D02D8"/>
    <w:rsid w:val="4D8962E0"/>
    <w:rsid w:val="4E061A01"/>
    <w:rsid w:val="4E0D1C98"/>
    <w:rsid w:val="4E6D2E5C"/>
    <w:rsid w:val="4EB53B1E"/>
    <w:rsid w:val="4FCD10E5"/>
    <w:rsid w:val="507575E2"/>
    <w:rsid w:val="50B7530E"/>
    <w:rsid w:val="528A6A9C"/>
    <w:rsid w:val="52D903CE"/>
    <w:rsid w:val="531D1CA7"/>
    <w:rsid w:val="5343550A"/>
    <w:rsid w:val="537E5450"/>
    <w:rsid w:val="53D4279D"/>
    <w:rsid w:val="54C91F96"/>
    <w:rsid w:val="554E0167"/>
    <w:rsid w:val="559713DE"/>
    <w:rsid w:val="56C25FA1"/>
    <w:rsid w:val="56E81357"/>
    <w:rsid w:val="57004BA7"/>
    <w:rsid w:val="571436D6"/>
    <w:rsid w:val="574447B2"/>
    <w:rsid w:val="57E83C0C"/>
    <w:rsid w:val="580A0CA6"/>
    <w:rsid w:val="59C129EA"/>
    <w:rsid w:val="5AC27FFF"/>
    <w:rsid w:val="5BDD6503"/>
    <w:rsid w:val="5C136002"/>
    <w:rsid w:val="5C7850B1"/>
    <w:rsid w:val="5C933046"/>
    <w:rsid w:val="5D163ED3"/>
    <w:rsid w:val="5E7950B1"/>
    <w:rsid w:val="5F895024"/>
    <w:rsid w:val="5FA168E1"/>
    <w:rsid w:val="604C39D3"/>
    <w:rsid w:val="62BC594B"/>
    <w:rsid w:val="630C6E2C"/>
    <w:rsid w:val="6356053C"/>
    <w:rsid w:val="63691224"/>
    <w:rsid w:val="659C10AF"/>
    <w:rsid w:val="65C0196D"/>
    <w:rsid w:val="66C23E51"/>
    <w:rsid w:val="672659B9"/>
    <w:rsid w:val="69171C0A"/>
    <w:rsid w:val="696C09EF"/>
    <w:rsid w:val="69A062F1"/>
    <w:rsid w:val="6A1E1239"/>
    <w:rsid w:val="6A283910"/>
    <w:rsid w:val="6AB15824"/>
    <w:rsid w:val="6B787D2D"/>
    <w:rsid w:val="6C50257B"/>
    <w:rsid w:val="6C8B4DFA"/>
    <w:rsid w:val="6DBA0D5D"/>
    <w:rsid w:val="6E154949"/>
    <w:rsid w:val="6EF64503"/>
    <w:rsid w:val="6F120FC2"/>
    <w:rsid w:val="6F77291C"/>
    <w:rsid w:val="6F7E501F"/>
    <w:rsid w:val="6FCF0299"/>
    <w:rsid w:val="71BB7D97"/>
    <w:rsid w:val="723C47A4"/>
    <w:rsid w:val="73B60A4F"/>
    <w:rsid w:val="73C969CF"/>
    <w:rsid w:val="747B0E41"/>
    <w:rsid w:val="7BF3102E"/>
    <w:rsid w:val="7CBA4E8C"/>
    <w:rsid w:val="7CF46AAB"/>
    <w:rsid w:val="7D0D2DB0"/>
    <w:rsid w:val="7D9D2930"/>
    <w:rsid w:val="7EB54216"/>
    <w:rsid w:val="7F427B7E"/>
    <w:rsid w:val="7F4865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qFormat="1"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16"/>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74"/>
    <w:qFormat/>
    <w:uiPriority w:val="0"/>
    <w:pPr>
      <w:keepNext/>
      <w:keepLines/>
      <w:adjustRightInd w:val="0"/>
      <w:spacing w:beforeLines="50" w:afterLines="50"/>
      <w:ind w:firstLine="200" w:firstLineChars="200"/>
      <w:jc w:val="left"/>
      <w:textAlignment w:val="baseline"/>
      <w:outlineLvl w:val="1"/>
    </w:pPr>
    <w:rPr>
      <w:rFonts w:ascii="Arial" w:hAnsi="Arial" w:eastAsia="黑体"/>
      <w:b/>
      <w:kern w:val="0"/>
      <w:sz w:val="24"/>
    </w:rPr>
  </w:style>
  <w:style w:type="paragraph" w:styleId="5">
    <w:name w:val="heading 3"/>
    <w:basedOn w:val="1"/>
    <w:next w:val="1"/>
    <w:link w:val="89"/>
    <w:qFormat/>
    <w:uiPriority w:val="0"/>
    <w:pPr>
      <w:keepNext/>
      <w:keepLines/>
      <w:spacing w:before="260" w:after="260" w:line="415" w:lineRule="auto"/>
      <w:outlineLvl w:val="2"/>
    </w:pPr>
    <w:rPr>
      <w:b/>
      <w:bCs/>
      <w:sz w:val="32"/>
      <w:szCs w:val="32"/>
    </w:rPr>
  </w:style>
  <w:style w:type="paragraph" w:styleId="6">
    <w:name w:val="heading 4"/>
    <w:basedOn w:val="5"/>
    <w:next w:val="1"/>
    <w:link w:val="130"/>
    <w:qFormat/>
    <w:uiPriority w:val="0"/>
    <w:pPr>
      <w:autoSpaceDE w:val="0"/>
      <w:autoSpaceDN w:val="0"/>
      <w:adjustRightInd w:val="0"/>
      <w:spacing w:before="280" w:after="290" w:line="376" w:lineRule="atLeast"/>
      <w:jc w:val="left"/>
      <w:textAlignment w:val="baseline"/>
      <w:outlineLvl w:val="3"/>
    </w:pPr>
    <w:rPr>
      <w:rFonts w:ascii="黑体" w:hAnsi="黑体" w:eastAsia="黑体"/>
      <w:kern w:val="0"/>
      <w:sz w:val="28"/>
      <w:szCs w:val="20"/>
    </w:rPr>
  </w:style>
  <w:style w:type="paragraph" w:styleId="7">
    <w:name w:val="heading 5"/>
    <w:basedOn w:val="1"/>
    <w:next w:val="1"/>
    <w:link w:val="115"/>
    <w:qFormat/>
    <w:uiPriority w:val="0"/>
    <w:pPr>
      <w:spacing w:before="240" w:after="60"/>
      <w:outlineLvl w:val="4"/>
    </w:pPr>
    <w:rPr>
      <w:sz w:val="22"/>
      <w:szCs w:val="20"/>
    </w:rPr>
  </w:style>
  <w:style w:type="paragraph" w:styleId="8">
    <w:name w:val="heading 6"/>
    <w:basedOn w:val="1"/>
    <w:next w:val="1"/>
    <w:link w:val="70"/>
    <w:qFormat/>
    <w:uiPriority w:val="0"/>
    <w:pPr>
      <w:spacing w:before="240" w:after="60"/>
      <w:outlineLvl w:val="5"/>
    </w:pPr>
    <w:rPr>
      <w:i/>
      <w:iCs/>
      <w:sz w:val="22"/>
      <w:szCs w:val="20"/>
    </w:rPr>
  </w:style>
  <w:style w:type="paragraph" w:styleId="9">
    <w:name w:val="heading 7"/>
    <w:basedOn w:val="1"/>
    <w:next w:val="1"/>
    <w:link w:val="105"/>
    <w:qFormat/>
    <w:uiPriority w:val="0"/>
    <w:pPr>
      <w:spacing w:before="240" w:after="60"/>
      <w:outlineLvl w:val="6"/>
    </w:pPr>
    <w:rPr>
      <w:rFonts w:ascii="Arial" w:hAnsi="Arial"/>
      <w:sz w:val="20"/>
      <w:szCs w:val="20"/>
    </w:rPr>
  </w:style>
  <w:style w:type="paragraph" w:styleId="10">
    <w:name w:val="heading 8"/>
    <w:basedOn w:val="1"/>
    <w:next w:val="1"/>
    <w:link w:val="92"/>
    <w:qFormat/>
    <w:uiPriority w:val="0"/>
    <w:pPr>
      <w:spacing w:before="240" w:after="60"/>
      <w:outlineLvl w:val="7"/>
    </w:pPr>
    <w:rPr>
      <w:rFonts w:ascii="Arial" w:hAnsi="Arial"/>
      <w:i/>
      <w:iCs/>
      <w:sz w:val="20"/>
      <w:szCs w:val="20"/>
    </w:rPr>
  </w:style>
  <w:style w:type="paragraph" w:styleId="11">
    <w:name w:val="heading 9"/>
    <w:basedOn w:val="1"/>
    <w:next w:val="1"/>
    <w:link w:val="129"/>
    <w:qFormat/>
    <w:uiPriority w:val="0"/>
    <w:pPr>
      <w:spacing w:before="240" w:after="60"/>
      <w:outlineLvl w:val="8"/>
    </w:pPr>
    <w:rPr>
      <w:rFonts w:ascii="Arial" w:hAnsi="Arial"/>
      <w:b/>
      <w:i/>
      <w:iCs/>
      <w:sz w:val="18"/>
      <w:szCs w:val="20"/>
    </w:rPr>
  </w:style>
  <w:style w:type="character" w:default="1" w:styleId="55">
    <w:name w:val="Default Paragraph Font"/>
    <w:unhideWhenUsed/>
    <w:qFormat/>
    <w:uiPriority w:val="1"/>
  </w:style>
  <w:style w:type="table" w:default="1" w:styleId="51">
    <w:name w:val="Normal Table"/>
    <w:semiHidden/>
    <w:unhideWhenUsed/>
    <w:uiPriority w:val="99"/>
    <w:tblPr>
      <w:tblCellMar>
        <w:top w:w="0" w:type="dxa"/>
        <w:left w:w="108" w:type="dxa"/>
        <w:bottom w:w="0" w:type="dxa"/>
        <w:right w:w="108" w:type="dxa"/>
      </w:tblCellMar>
    </w:tblPr>
  </w:style>
  <w:style w:type="paragraph" w:styleId="2">
    <w:name w:val="Body Text"/>
    <w:basedOn w:val="1"/>
    <w:next w:val="1"/>
    <w:link w:val="64"/>
    <w:qFormat/>
    <w:uiPriority w:val="0"/>
    <w:pPr>
      <w:spacing w:line="360" w:lineRule="auto"/>
    </w:pPr>
    <w:rPr>
      <w:sz w:val="24"/>
      <w:szCs w:val="20"/>
    </w:rPr>
  </w:style>
  <w:style w:type="paragraph" w:styleId="12">
    <w:name w:val="toc 7"/>
    <w:basedOn w:val="1"/>
    <w:next w:val="1"/>
    <w:qFormat/>
    <w:uiPriority w:val="0"/>
    <w:pPr>
      <w:ind w:left="1680"/>
      <w:jc w:val="left"/>
    </w:pPr>
    <w:rPr>
      <w:rFonts w:ascii="Calibri" w:hAnsi="Calibri"/>
      <w:sz w:val="18"/>
      <w:szCs w:val="20"/>
    </w:rPr>
  </w:style>
  <w:style w:type="paragraph" w:styleId="13">
    <w:name w:val="List Number"/>
    <w:basedOn w:val="1"/>
    <w:qFormat/>
    <w:uiPriority w:val="0"/>
    <w:pPr>
      <w:spacing w:line="360" w:lineRule="auto"/>
      <w:ind w:firstLine="425"/>
    </w:pPr>
    <w:rPr>
      <w:sz w:val="24"/>
      <w:szCs w:val="20"/>
    </w:rPr>
  </w:style>
  <w:style w:type="paragraph" w:styleId="14">
    <w:name w:val="Normal Indent"/>
    <w:basedOn w:val="1"/>
    <w:link w:val="124"/>
    <w:qFormat/>
    <w:uiPriority w:val="0"/>
    <w:pPr>
      <w:spacing w:line="360" w:lineRule="auto"/>
      <w:ind w:firstLine="420"/>
    </w:pPr>
    <w:rPr>
      <w:sz w:val="24"/>
      <w:szCs w:val="20"/>
    </w:rPr>
  </w:style>
  <w:style w:type="paragraph" w:styleId="15">
    <w:name w:val="caption"/>
    <w:basedOn w:val="1"/>
    <w:next w:val="1"/>
    <w:qFormat/>
    <w:uiPriority w:val="0"/>
    <w:pPr>
      <w:spacing w:before="152" w:after="160"/>
    </w:pPr>
    <w:rPr>
      <w:rFonts w:ascii="Arial" w:hAnsi="Arial" w:eastAsia="黑体" w:cs="Arial"/>
      <w:sz w:val="20"/>
      <w:szCs w:val="20"/>
    </w:rPr>
  </w:style>
  <w:style w:type="paragraph" w:styleId="16">
    <w:name w:val="Document Map"/>
    <w:basedOn w:val="1"/>
    <w:link w:val="126"/>
    <w:qFormat/>
    <w:uiPriority w:val="0"/>
    <w:pPr>
      <w:shd w:val="clear" w:color="auto" w:fill="000080"/>
    </w:pPr>
  </w:style>
  <w:style w:type="paragraph" w:styleId="17">
    <w:name w:val="toa heading"/>
    <w:basedOn w:val="1"/>
    <w:next w:val="1"/>
    <w:qFormat/>
    <w:uiPriority w:val="0"/>
    <w:pPr>
      <w:spacing w:before="200"/>
      <w:jc w:val="center"/>
    </w:pPr>
    <w:rPr>
      <w:rFonts w:ascii="Arial" w:hAnsi="Arial" w:eastAsia="黑体"/>
      <w:sz w:val="44"/>
    </w:rPr>
  </w:style>
  <w:style w:type="paragraph" w:styleId="18">
    <w:name w:val="annotation text"/>
    <w:basedOn w:val="1"/>
    <w:link w:val="84"/>
    <w:qFormat/>
    <w:uiPriority w:val="0"/>
    <w:pPr>
      <w:jc w:val="left"/>
    </w:pPr>
  </w:style>
  <w:style w:type="paragraph" w:styleId="19">
    <w:name w:val="Salutation"/>
    <w:basedOn w:val="1"/>
    <w:next w:val="1"/>
    <w:link w:val="121"/>
    <w:qFormat/>
    <w:uiPriority w:val="0"/>
    <w:pPr>
      <w:spacing w:line="520" w:lineRule="exact"/>
    </w:pPr>
    <w:rPr>
      <w:rFonts w:ascii="华文宋体" w:hAnsi="Arial Unicode MS" w:eastAsia="华文宋体"/>
      <w:sz w:val="24"/>
      <w:szCs w:val="20"/>
    </w:rPr>
  </w:style>
  <w:style w:type="paragraph" w:styleId="20">
    <w:name w:val="Body Text 3"/>
    <w:basedOn w:val="1"/>
    <w:link w:val="106"/>
    <w:qFormat/>
    <w:uiPriority w:val="0"/>
    <w:pPr>
      <w:spacing w:after="120"/>
      <w:ind w:left="283"/>
    </w:pPr>
    <w:rPr>
      <w:rFonts w:ascii="Arial" w:hAnsi="Arial"/>
      <w:szCs w:val="20"/>
    </w:rPr>
  </w:style>
  <w:style w:type="paragraph" w:styleId="21">
    <w:name w:val="Body Text Indent"/>
    <w:basedOn w:val="1"/>
    <w:link w:val="123"/>
    <w:qFormat/>
    <w:uiPriority w:val="0"/>
    <w:pPr>
      <w:autoSpaceDE w:val="0"/>
      <w:autoSpaceDN w:val="0"/>
      <w:adjustRightInd w:val="0"/>
      <w:spacing w:line="360" w:lineRule="auto"/>
      <w:ind w:firstLine="480"/>
      <w:jc w:val="left"/>
    </w:pPr>
    <w:rPr>
      <w:rFonts w:eastAsia="仿宋_GB2312"/>
      <w:b/>
      <w:bCs/>
      <w:color w:val="000000"/>
      <w:kern w:val="0"/>
      <w:sz w:val="32"/>
      <w:szCs w:val="28"/>
    </w:rPr>
  </w:style>
  <w:style w:type="paragraph" w:styleId="22">
    <w:name w:val="List Number 3"/>
    <w:basedOn w:val="1"/>
    <w:qFormat/>
    <w:uiPriority w:val="0"/>
    <w:pPr>
      <w:numPr>
        <w:ilvl w:val="0"/>
        <w:numId w:val="1"/>
      </w:numPr>
    </w:pPr>
  </w:style>
  <w:style w:type="paragraph" w:styleId="23">
    <w:name w:val="List 2"/>
    <w:basedOn w:val="1"/>
    <w:qFormat/>
    <w:uiPriority w:val="0"/>
    <w:pPr>
      <w:ind w:left="100" w:leftChars="200" w:hanging="200" w:hangingChars="200"/>
    </w:pPr>
    <w:rPr>
      <w:sz w:val="28"/>
    </w:rPr>
  </w:style>
  <w:style w:type="paragraph" w:styleId="24">
    <w:name w:val="List Continue"/>
    <w:basedOn w:val="1"/>
    <w:qFormat/>
    <w:uiPriority w:val="0"/>
    <w:pPr>
      <w:numPr>
        <w:ilvl w:val="8"/>
        <w:numId w:val="2"/>
      </w:numPr>
      <w:tabs>
        <w:tab w:val="clear" w:pos="3780"/>
      </w:tabs>
      <w:spacing w:after="120"/>
      <w:ind w:left="420" w:leftChars="200" w:firstLine="0"/>
    </w:pPr>
  </w:style>
  <w:style w:type="paragraph" w:styleId="25">
    <w:name w:val="Block Text"/>
    <w:basedOn w:val="1"/>
    <w:qFormat/>
    <w:uiPriority w:val="0"/>
    <w:pPr>
      <w:ind w:left="1200" w:right="-72" w:hanging="30"/>
    </w:pPr>
    <w:rPr>
      <w:rFonts w:ascii="Arial" w:hAnsi="Arial" w:eastAsia="幼圆" w:cs="Arial"/>
      <w:sz w:val="22"/>
      <w:szCs w:val="20"/>
    </w:rPr>
  </w:style>
  <w:style w:type="paragraph" w:styleId="26">
    <w:name w:val="HTML Address"/>
    <w:basedOn w:val="1"/>
    <w:qFormat/>
    <w:uiPriority w:val="0"/>
    <w:rPr>
      <w:sz w:val="24"/>
    </w:rPr>
  </w:style>
  <w:style w:type="paragraph" w:styleId="27">
    <w:name w:val="toc 5"/>
    <w:basedOn w:val="1"/>
    <w:next w:val="1"/>
    <w:qFormat/>
    <w:uiPriority w:val="0"/>
    <w:pPr>
      <w:ind w:left="1120"/>
      <w:jc w:val="left"/>
    </w:pPr>
    <w:rPr>
      <w:rFonts w:ascii="Calibri" w:hAnsi="Calibri"/>
      <w:sz w:val="18"/>
      <w:szCs w:val="20"/>
    </w:rPr>
  </w:style>
  <w:style w:type="paragraph" w:styleId="28">
    <w:name w:val="toc 3"/>
    <w:basedOn w:val="1"/>
    <w:next w:val="1"/>
    <w:qFormat/>
    <w:uiPriority w:val="0"/>
    <w:pPr>
      <w:ind w:left="560"/>
      <w:jc w:val="left"/>
    </w:pPr>
    <w:rPr>
      <w:rFonts w:ascii="Calibri" w:hAnsi="Calibri"/>
      <w:i/>
      <w:sz w:val="20"/>
      <w:szCs w:val="20"/>
    </w:rPr>
  </w:style>
  <w:style w:type="paragraph" w:styleId="29">
    <w:name w:val="Plain Text"/>
    <w:basedOn w:val="1"/>
    <w:link w:val="119"/>
    <w:qFormat/>
    <w:uiPriority w:val="0"/>
    <w:rPr>
      <w:rFonts w:ascii="宋体" w:hAnsi="宋体"/>
      <w:szCs w:val="21"/>
    </w:rPr>
  </w:style>
  <w:style w:type="paragraph" w:styleId="30">
    <w:name w:val="toc 8"/>
    <w:basedOn w:val="1"/>
    <w:next w:val="1"/>
    <w:qFormat/>
    <w:uiPriority w:val="0"/>
    <w:pPr>
      <w:ind w:left="1960"/>
      <w:jc w:val="left"/>
    </w:pPr>
    <w:rPr>
      <w:rFonts w:ascii="Calibri" w:hAnsi="Calibri"/>
      <w:sz w:val="18"/>
      <w:szCs w:val="20"/>
    </w:rPr>
  </w:style>
  <w:style w:type="paragraph" w:styleId="31">
    <w:name w:val="Date"/>
    <w:basedOn w:val="1"/>
    <w:next w:val="1"/>
    <w:link w:val="104"/>
    <w:qFormat/>
    <w:uiPriority w:val="0"/>
    <w:pPr>
      <w:ind w:left="100" w:leftChars="2500"/>
    </w:pPr>
  </w:style>
  <w:style w:type="paragraph" w:styleId="32">
    <w:name w:val="Body Text Indent 2"/>
    <w:basedOn w:val="1"/>
    <w:link w:val="120"/>
    <w:qFormat/>
    <w:uiPriority w:val="0"/>
    <w:pPr>
      <w:autoSpaceDE w:val="0"/>
      <w:autoSpaceDN w:val="0"/>
      <w:adjustRightInd w:val="0"/>
      <w:spacing w:line="620" w:lineRule="exact"/>
      <w:ind w:firstLine="480"/>
    </w:pPr>
    <w:rPr>
      <w:rFonts w:eastAsia="仿宋_GB2312"/>
      <w:color w:val="000000"/>
      <w:kern w:val="0"/>
      <w:sz w:val="32"/>
      <w:szCs w:val="28"/>
    </w:rPr>
  </w:style>
  <w:style w:type="paragraph" w:styleId="33">
    <w:name w:val="Balloon Text"/>
    <w:basedOn w:val="1"/>
    <w:link w:val="111"/>
    <w:qFormat/>
    <w:uiPriority w:val="0"/>
    <w:rPr>
      <w:sz w:val="18"/>
      <w:szCs w:val="18"/>
    </w:rPr>
  </w:style>
  <w:style w:type="paragraph" w:styleId="34">
    <w:name w:val="footer"/>
    <w:basedOn w:val="1"/>
    <w:link w:val="114"/>
    <w:qFormat/>
    <w:uiPriority w:val="99"/>
    <w:pPr>
      <w:tabs>
        <w:tab w:val="center" w:pos="4153"/>
        <w:tab w:val="right" w:pos="8306"/>
      </w:tabs>
      <w:snapToGrid w:val="0"/>
      <w:jc w:val="left"/>
    </w:pPr>
    <w:rPr>
      <w:sz w:val="18"/>
      <w:szCs w:val="18"/>
    </w:rPr>
  </w:style>
  <w:style w:type="paragraph" w:styleId="35">
    <w:name w:val="header"/>
    <w:basedOn w:val="1"/>
    <w:link w:val="85"/>
    <w:qFormat/>
    <w:uiPriority w:val="99"/>
    <w:pPr>
      <w:pBdr>
        <w:bottom w:val="single" w:color="auto" w:sz="6" w:space="1"/>
      </w:pBdr>
      <w:tabs>
        <w:tab w:val="center" w:pos="4153"/>
        <w:tab w:val="right" w:pos="8306"/>
      </w:tabs>
      <w:snapToGrid w:val="0"/>
      <w:ind w:firstLine="200" w:firstLineChars="200"/>
      <w:jc w:val="center"/>
    </w:pPr>
    <w:rPr>
      <w:sz w:val="18"/>
      <w:szCs w:val="21"/>
    </w:rPr>
  </w:style>
  <w:style w:type="paragraph" w:styleId="36">
    <w:name w:val="toc 1"/>
    <w:basedOn w:val="1"/>
    <w:next w:val="1"/>
    <w:qFormat/>
    <w:uiPriority w:val="39"/>
    <w:pPr>
      <w:numPr>
        <w:ilvl w:val="1"/>
        <w:numId w:val="3"/>
      </w:numPr>
      <w:tabs>
        <w:tab w:val="right" w:leader="dot" w:pos="9060"/>
        <w:tab w:val="clear" w:pos="720"/>
      </w:tabs>
      <w:snapToGrid w:val="0"/>
      <w:spacing w:beforeLines="20" w:afterLines="20" w:line="288" w:lineRule="auto"/>
      <w:ind w:firstLine="200" w:firstLineChars="200"/>
      <w:jc w:val="left"/>
    </w:pPr>
    <w:rPr>
      <w:rFonts w:eastAsia="黑体"/>
      <w:caps/>
      <w:szCs w:val="21"/>
    </w:rPr>
  </w:style>
  <w:style w:type="paragraph" w:styleId="37">
    <w:name w:val="toc 4"/>
    <w:basedOn w:val="1"/>
    <w:next w:val="1"/>
    <w:qFormat/>
    <w:uiPriority w:val="0"/>
    <w:pPr>
      <w:ind w:left="840"/>
      <w:jc w:val="left"/>
    </w:pPr>
    <w:rPr>
      <w:rFonts w:ascii="Calibri" w:hAnsi="Calibri"/>
      <w:sz w:val="18"/>
      <w:szCs w:val="20"/>
    </w:rPr>
  </w:style>
  <w:style w:type="paragraph" w:styleId="38">
    <w:name w:val="Subtitle"/>
    <w:basedOn w:val="1"/>
    <w:link w:val="387"/>
    <w:qFormat/>
    <w:uiPriority w:val="0"/>
    <w:pPr>
      <w:spacing w:after="60"/>
      <w:jc w:val="center"/>
    </w:pPr>
    <w:rPr>
      <w:rFonts w:ascii="Arial" w:hAnsi="Arial" w:eastAsia="黑体"/>
      <w:i/>
    </w:rPr>
  </w:style>
  <w:style w:type="paragraph" w:styleId="39">
    <w:name w:val="List"/>
    <w:basedOn w:val="1"/>
    <w:qFormat/>
    <w:uiPriority w:val="0"/>
    <w:pPr>
      <w:ind w:left="200" w:hanging="200" w:hangingChars="200"/>
    </w:pPr>
    <w:rPr>
      <w:sz w:val="28"/>
    </w:rPr>
  </w:style>
  <w:style w:type="paragraph" w:styleId="40">
    <w:name w:val="toc 6"/>
    <w:basedOn w:val="1"/>
    <w:next w:val="1"/>
    <w:qFormat/>
    <w:uiPriority w:val="0"/>
    <w:pPr>
      <w:ind w:left="1400"/>
      <w:jc w:val="left"/>
    </w:pPr>
    <w:rPr>
      <w:rFonts w:ascii="Calibri" w:hAnsi="Calibri"/>
      <w:sz w:val="18"/>
      <w:szCs w:val="20"/>
    </w:rPr>
  </w:style>
  <w:style w:type="paragraph" w:styleId="41">
    <w:name w:val="Body Text Indent 3"/>
    <w:basedOn w:val="1"/>
    <w:link w:val="117"/>
    <w:qFormat/>
    <w:uiPriority w:val="0"/>
    <w:pPr>
      <w:spacing w:line="620" w:lineRule="exact"/>
      <w:ind w:firstLine="640" w:firstLineChars="200"/>
    </w:pPr>
    <w:rPr>
      <w:rFonts w:eastAsia="仿宋_GB2312"/>
      <w:sz w:val="32"/>
    </w:rPr>
  </w:style>
  <w:style w:type="paragraph" w:styleId="42">
    <w:name w:val="toc 2"/>
    <w:basedOn w:val="1"/>
    <w:next w:val="1"/>
    <w:qFormat/>
    <w:uiPriority w:val="39"/>
    <w:pPr>
      <w:tabs>
        <w:tab w:val="right" w:leader="dot" w:pos="9060"/>
      </w:tabs>
      <w:snapToGrid w:val="0"/>
      <w:spacing w:line="288" w:lineRule="auto"/>
      <w:ind w:left="210" w:firstLine="200" w:firstLineChars="200"/>
      <w:jc w:val="left"/>
    </w:pPr>
    <w:rPr>
      <w:smallCaps/>
      <w:sz w:val="20"/>
      <w:szCs w:val="21"/>
    </w:rPr>
  </w:style>
  <w:style w:type="paragraph" w:styleId="43">
    <w:name w:val="toc 9"/>
    <w:basedOn w:val="1"/>
    <w:next w:val="1"/>
    <w:qFormat/>
    <w:uiPriority w:val="0"/>
    <w:pPr>
      <w:ind w:left="2240"/>
      <w:jc w:val="left"/>
    </w:pPr>
    <w:rPr>
      <w:rFonts w:ascii="Calibri" w:hAnsi="Calibri"/>
      <w:sz w:val="18"/>
      <w:szCs w:val="20"/>
    </w:rPr>
  </w:style>
  <w:style w:type="paragraph" w:styleId="44">
    <w:name w:val="Body Text 2"/>
    <w:basedOn w:val="1"/>
    <w:link w:val="107"/>
    <w:qFormat/>
    <w:uiPriority w:val="0"/>
    <w:pPr>
      <w:numPr>
        <w:ilvl w:val="0"/>
        <w:numId w:val="4"/>
      </w:numPr>
      <w:spacing w:line="360" w:lineRule="auto"/>
    </w:pPr>
    <w:rPr>
      <w:sz w:val="24"/>
      <w:szCs w:val="20"/>
    </w:rPr>
  </w:style>
  <w:style w:type="paragraph" w:styleId="45">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6">
    <w:name w:val="index 1"/>
    <w:basedOn w:val="1"/>
    <w:next w:val="1"/>
    <w:qFormat/>
    <w:uiPriority w:val="0"/>
    <w:pPr>
      <w:spacing w:line="360" w:lineRule="auto"/>
      <w:jc w:val="center"/>
    </w:pPr>
    <w:rPr>
      <w:rFonts w:ascii="宋体" w:hAnsi="宋体"/>
      <w:bCs/>
    </w:rPr>
  </w:style>
  <w:style w:type="paragraph" w:styleId="47">
    <w:name w:val="Title"/>
    <w:basedOn w:val="29"/>
    <w:next w:val="29"/>
    <w:link w:val="73"/>
    <w:qFormat/>
    <w:uiPriority w:val="0"/>
    <w:pPr>
      <w:spacing w:before="240" w:after="60"/>
    </w:pPr>
    <w:rPr>
      <w:rFonts w:ascii="Arial" w:hAnsi="Arial"/>
      <w:b/>
      <w:kern w:val="18"/>
      <w:sz w:val="30"/>
      <w:szCs w:val="20"/>
    </w:rPr>
  </w:style>
  <w:style w:type="paragraph" w:styleId="48">
    <w:name w:val="annotation subject"/>
    <w:basedOn w:val="18"/>
    <w:next w:val="18"/>
    <w:link w:val="108"/>
    <w:qFormat/>
    <w:uiPriority w:val="0"/>
    <w:rPr>
      <w:b/>
      <w:bCs/>
    </w:rPr>
  </w:style>
  <w:style w:type="paragraph" w:styleId="49">
    <w:name w:val="Body Text First Indent"/>
    <w:basedOn w:val="2"/>
    <w:link w:val="79"/>
    <w:qFormat/>
    <w:uiPriority w:val="0"/>
    <w:pPr>
      <w:spacing w:after="120" w:line="520" w:lineRule="exact"/>
      <w:ind w:firstLine="100" w:firstLineChars="100"/>
      <w:jc w:val="left"/>
    </w:pPr>
    <w:rPr>
      <w:sz w:val="28"/>
    </w:rPr>
  </w:style>
  <w:style w:type="paragraph" w:styleId="50">
    <w:name w:val="Body Text First Indent 2"/>
    <w:basedOn w:val="21"/>
    <w:link w:val="383"/>
    <w:qFormat/>
    <w:uiPriority w:val="0"/>
    <w:pPr>
      <w:autoSpaceDE/>
      <w:autoSpaceDN/>
      <w:adjustRightInd/>
      <w:spacing w:after="120" w:line="240" w:lineRule="auto"/>
      <w:ind w:left="420" w:leftChars="200" w:firstLine="420" w:firstLineChars="200"/>
      <w:jc w:val="both"/>
    </w:pPr>
    <w:rPr>
      <w:rFonts w:eastAsia="宋体"/>
      <w:b w:val="0"/>
      <w:bCs w:val="0"/>
      <w:color w:val="auto"/>
      <w:kern w:val="2"/>
      <w:sz w:val="21"/>
      <w:szCs w:val="24"/>
    </w:rPr>
  </w:style>
  <w:style w:type="table" w:styleId="52">
    <w:name w:val="Table Grid"/>
    <w:basedOn w:val="5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53">
    <w:name w:val="Table Theme"/>
    <w:basedOn w:val="5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54">
    <w:name w:val="Table Elegant"/>
    <w:basedOn w:val="51"/>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56">
    <w:name w:val="Strong"/>
    <w:basedOn w:val="55"/>
    <w:qFormat/>
    <w:uiPriority w:val="0"/>
    <w:rPr>
      <w:b/>
      <w:bCs/>
    </w:rPr>
  </w:style>
  <w:style w:type="character" w:styleId="57">
    <w:name w:val="page number"/>
    <w:basedOn w:val="55"/>
    <w:qFormat/>
    <w:uiPriority w:val="0"/>
  </w:style>
  <w:style w:type="character" w:styleId="58">
    <w:name w:val="FollowedHyperlink"/>
    <w:qFormat/>
    <w:uiPriority w:val="0"/>
    <w:rPr>
      <w:color w:val="800080"/>
      <w:u w:val="single"/>
    </w:rPr>
  </w:style>
  <w:style w:type="character" w:styleId="59">
    <w:name w:val="Emphasis"/>
    <w:qFormat/>
    <w:uiPriority w:val="0"/>
    <w:rPr>
      <w:color w:val="CC0033"/>
    </w:rPr>
  </w:style>
  <w:style w:type="character" w:styleId="60">
    <w:name w:val="line number"/>
    <w:basedOn w:val="55"/>
    <w:qFormat/>
    <w:uiPriority w:val="0"/>
  </w:style>
  <w:style w:type="character" w:styleId="61">
    <w:name w:val="Hyperlink"/>
    <w:qFormat/>
    <w:uiPriority w:val="99"/>
    <w:rPr>
      <w:color w:val="000000"/>
      <w:sz w:val="18"/>
      <w:szCs w:val="18"/>
      <w:u w:val="none"/>
    </w:rPr>
  </w:style>
  <w:style w:type="character" w:styleId="62">
    <w:name w:val="annotation reference"/>
    <w:qFormat/>
    <w:uiPriority w:val="0"/>
    <w:rPr>
      <w:sz w:val="21"/>
      <w:szCs w:val="21"/>
    </w:rPr>
  </w:style>
  <w:style w:type="character" w:customStyle="1" w:styleId="63">
    <w:name w:val="unnamed11"/>
    <w:qFormat/>
    <w:uiPriority w:val="0"/>
    <w:rPr>
      <w:sz w:val="26"/>
    </w:rPr>
  </w:style>
  <w:style w:type="character" w:customStyle="1" w:styleId="64">
    <w:name w:val="正文文本 Char"/>
    <w:link w:val="2"/>
    <w:qFormat/>
    <w:uiPriority w:val="0"/>
    <w:rPr>
      <w:rFonts w:eastAsia="宋体"/>
      <w:kern w:val="2"/>
      <w:sz w:val="24"/>
      <w:lang w:bidi="ar-SA"/>
    </w:rPr>
  </w:style>
  <w:style w:type="character" w:customStyle="1" w:styleId="65">
    <w:name w:val="para1"/>
    <w:qFormat/>
    <w:uiPriority w:val="0"/>
    <w:rPr>
      <w:rFonts w:hint="default" w:ascii="Arial" w:hAnsi="Arial"/>
      <w:sz w:val="18"/>
    </w:rPr>
  </w:style>
  <w:style w:type="character" w:customStyle="1" w:styleId="66">
    <w:name w:val="标题 4 Char1"/>
    <w:qFormat/>
    <w:uiPriority w:val="0"/>
    <w:rPr>
      <w:rFonts w:ascii="Arial" w:hAnsi="Arial" w:eastAsia="黑体"/>
      <w:b/>
      <w:kern w:val="2"/>
      <w:sz w:val="28"/>
      <w:lang w:val="en-US" w:eastAsia="zh-CN"/>
    </w:rPr>
  </w:style>
  <w:style w:type="character" w:customStyle="1" w:styleId="67">
    <w:name w:val="彩色列表 - 着色 1 Char"/>
    <w:qFormat/>
    <w:locked/>
    <w:uiPriority w:val="0"/>
    <w:rPr>
      <w:rFonts w:ascii="Calibri" w:hAnsi="Calibri" w:eastAsia="宋体"/>
      <w:kern w:val="2"/>
      <w:sz w:val="21"/>
      <w:szCs w:val="22"/>
      <w:lang w:val="en-US" w:eastAsia="zh-CN" w:bidi="ar-SA"/>
    </w:rPr>
  </w:style>
  <w:style w:type="character" w:customStyle="1" w:styleId="68">
    <w:name w:val="标题 1 Char Char"/>
    <w:qFormat/>
    <w:uiPriority w:val="0"/>
    <w:rPr>
      <w:rFonts w:eastAsia="宋体"/>
      <w:b/>
      <w:spacing w:val="-2"/>
      <w:sz w:val="24"/>
      <w:lang w:val="en-US" w:eastAsia="zh-CN" w:bidi="ar-SA"/>
    </w:rPr>
  </w:style>
  <w:style w:type="character" w:customStyle="1" w:styleId="69">
    <w:name w:val="Heading 2 Hidden Char1"/>
    <w:qFormat/>
    <w:uiPriority w:val="0"/>
    <w:rPr>
      <w:rFonts w:ascii="Arial" w:hAnsi="Arial" w:eastAsia="黑体" w:cs="Arial"/>
      <w:b/>
      <w:sz w:val="24"/>
      <w:szCs w:val="24"/>
    </w:rPr>
  </w:style>
  <w:style w:type="character" w:customStyle="1" w:styleId="70">
    <w:name w:val="标题 6 Char"/>
    <w:link w:val="8"/>
    <w:qFormat/>
    <w:uiPriority w:val="0"/>
    <w:rPr>
      <w:rFonts w:eastAsia="宋体"/>
      <w:i/>
      <w:iCs/>
      <w:kern w:val="2"/>
      <w:sz w:val="22"/>
      <w:lang w:bidi="ar-SA"/>
    </w:rPr>
  </w:style>
  <w:style w:type="character" w:customStyle="1" w:styleId="71">
    <w:name w:val="Heading 1 Char"/>
    <w:qFormat/>
    <w:locked/>
    <w:uiPriority w:val="0"/>
    <w:rPr>
      <w:rFonts w:cs="Times New Roman"/>
      <w:b/>
      <w:bCs/>
      <w:kern w:val="44"/>
      <w:sz w:val="44"/>
      <w:szCs w:val="44"/>
    </w:rPr>
  </w:style>
  <w:style w:type="character" w:customStyle="1" w:styleId="72">
    <w:name w:val="a-标题3 Char"/>
    <w:qFormat/>
    <w:uiPriority w:val="0"/>
    <w:rPr>
      <w:rFonts w:ascii="楷体_GB2312" w:eastAsia="楷体_GB2312"/>
      <w:b/>
      <w:bCs/>
      <w:kern w:val="2"/>
      <w:sz w:val="28"/>
      <w:lang w:val="en-US" w:eastAsia="zh-CN" w:bidi="ar-SA"/>
    </w:rPr>
  </w:style>
  <w:style w:type="character" w:customStyle="1" w:styleId="73">
    <w:name w:val="标题 Char"/>
    <w:link w:val="47"/>
    <w:qFormat/>
    <w:uiPriority w:val="0"/>
    <w:rPr>
      <w:rFonts w:ascii="Arial" w:hAnsi="Arial" w:eastAsia="宋体"/>
      <w:b/>
      <w:kern w:val="18"/>
      <w:sz w:val="30"/>
      <w:lang w:bidi="ar-SA"/>
    </w:rPr>
  </w:style>
  <w:style w:type="character" w:customStyle="1" w:styleId="74">
    <w:name w:val="标题 2 Char"/>
    <w:link w:val="4"/>
    <w:qFormat/>
    <w:uiPriority w:val="0"/>
    <w:rPr>
      <w:rFonts w:ascii="Arial" w:hAnsi="Arial" w:eastAsia="黑体"/>
      <w:b/>
      <w:sz w:val="24"/>
      <w:szCs w:val="24"/>
      <w:lang w:bidi="ar-SA"/>
    </w:rPr>
  </w:style>
  <w:style w:type="character" w:customStyle="1" w:styleId="75">
    <w:name w:val="正文文本样式 Char Char"/>
    <w:link w:val="76"/>
    <w:qFormat/>
    <w:uiPriority w:val="0"/>
    <w:rPr>
      <w:rFonts w:eastAsia="宋体"/>
      <w:sz w:val="24"/>
      <w:lang w:bidi="ar-SA"/>
    </w:rPr>
  </w:style>
  <w:style w:type="paragraph" w:customStyle="1" w:styleId="76">
    <w:name w:val="正文文本样式"/>
    <w:basedOn w:val="1"/>
    <w:link w:val="75"/>
    <w:qFormat/>
    <w:uiPriority w:val="0"/>
    <w:pPr>
      <w:spacing w:line="360" w:lineRule="auto"/>
      <w:ind w:firstLine="482"/>
    </w:pPr>
    <w:rPr>
      <w:kern w:val="0"/>
      <w:sz w:val="24"/>
      <w:szCs w:val="20"/>
    </w:rPr>
  </w:style>
  <w:style w:type="character" w:customStyle="1" w:styleId="77">
    <w:name w:val="无间隔 Char"/>
    <w:link w:val="78"/>
    <w:qFormat/>
    <w:uiPriority w:val="0"/>
    <w:rPr>
      <w:rFonts w:ascii="Calibri" w:hAnsi="Calibri"/>
      <w:sz w:val="22"/>
      <w:szCs w:val="22"/>
      <w:lang w:val="en-US" w:eastAsia="zh-CN" w:bidi="ar-SA"/>
    </w:rPr>
  </w:style>
  <w:style w:type="paragraph" w:customStyle="1" w:styleId="78">
    <w:name w:val="无间隔1"/>
    <w:link w:val="77"/>
    <w:qFormat/>
    <w:uiPriority w:val="0"/>
    <w:rPr>
      <w:rFonts w:ascii="Calibri" w:hAnsi="Calibri" w:eastAsia="宋体" w:cs="Times New Roman"/>
      <w:sz w:val="22"/>
      <w:szCs w:val="22"/>
      <w:lang w:val="en-US" w:eastAsia="zh-CN" w:bidi="ar-SA"/>
    </w:rPr>
  </w:style>
  <w:style w:type="character" w:customStyle="1" w:styleId="79">
    <w:name w:val="正文首行缩进 Char"/>
    <w:link w:val="49"/>
    <w:qFormat/>
    <w:uiPriority w:val="0"/>
    <w:rPr>
      <w:rFonts w:eastAsia="宋体"/>
      <w:kern w:val="2"/>
      <w:sz w:val="28"/>
      <w:lang w:bidi="ar-SA"/>
    </w:rPr>
  </w:style>
  <w:style w:type="character" w:customStyle="1" w:styleId="80">
    <w:name w:val="列出段落 Char"/>
    <w:link w:val="81"/>
    <w:qFormat/>
    <w:locked/>
    <w:uiPriority w:val="0"/>
    <w:rPr>
      <w:rFonts w:ascii="Calibri" w:hAnsi="Calibri" w:eastAsia="宋体"/>
      <w:kern w:val="2"/>
      <w:sz w:val="21"/>
      <w:szCs w:val="22"/>
      <w:lang w:val="en-US" w:eastAsia="zh-CN" w:bidi="ar-SA"/>
    </w:rPr>
  </w:style>
  <w:style w:type="paragraph" w:customStyle="1" w:styleId="81">
    <w:name w:val="列出段落21"/>
    <w:basedOn w:val="1"/>
    <w:link w:val="80"/>
    <w:qFormat/>
    <w:uiPriority w:val="0"/>
    <w:pPr>
      <w:ind w:firstLine="420" w:firstLineChars="200"/>
    </w:pPr>
    <w:rPr>
      <w:rFonts w:ascii="Calibri" w:hAnsi="Calibri"/>
      <w:szCs w:val="22"/>
    </w:rPr>
  </w:style>
  <w:style w:type="character" w:customStyle="1" w:styleId="82">
    <w:name w:val="Header Char"/>
    <w:qFormat/>
    <w:locked/>
    <w:uiPriority w:val="0"/>
    <w:rPr>
      <w:rFonts w:cs="Times New Roman"/>
      <w:sz w:val="18"/>
      <w:szCs w:val="18"/>
    </w:rPr>
  </w:style>
  <w:style w:type="character" w:customStyle="1" w:styleId="83">
    <w:name w:val="style15"/>
    <w:basedOn w:val="55"/>
    <w:qFormat/>
    <w:uiPriority w:val="0"/>
  </w:style>
  <w:style w:type="character" w:customStyle="1" w:styleId="84">
    <w:name w:val="批注文字 Char"/>
    <w:link w:val="18"/>
    <w:qFormat/>
    <w:uiPriority w:val="0"/>
    <w:rPr>
      <w:rFonts w:eastAsia="宋体"/>
      <w:kern w:val="2"/>
      <w:sz w:val="21"/>
      <w:szCs w:val="24"/>
      <w:lang w:bidi="ar-SA"/>
    </w:rPr>
  </w:style>
  <w:style w:type="character" w:customStyle="1" w:styleId="85">
    <w:name w:val="页眉 Char"/>
    <w:link w:val="35"/>
    <w:qFormat/>
    <w:uiPriority w:val="99"/>
    <w:rPr>
      <w:rFonts w:eastAsia="宋体"/>
      <w:kern w:val="2"/>
      <w:sz w:val="18"/>
      <w:szCs w:val="21"/>
      <w:lang w:bidi="ar-SA"/>
    </w:rPr>
  </w:style>
  <w:style w:type="character" w:customStyle="1" w:styleId="86">
    <w:name w:val="Footer Char"/>
    <w:qFormat/>
    <w:locked/>
    <w:uiPriority w:val="0"/>
    <w:rPr>
      <w:rFonts w:cs="Times New Roman"/>
      <w:sz w:val="18"/>
      <w:szCs w:val="18"/>
    </w:rPr>
  </w:style>
  <w:style w:type="character" w:customStyle="1" w:styleId="87">
    <w:name w:val="marklong"/>
    <w:qFormat/>
    <w:uiPriority w:val="0"/>
  </w:style>
  <w:style w:type="character" w:customStyle="1" w:styleId="88">
    <w:name w:val="Balloon Text Char"/>
    <w:semiHidden/>
    <w:qFormat/>
    <w:locked/>
    <w:uiPriority w:val="0"/>
    <w:rPr>
      <w:rFonts w:ascii="Calibri" w:hAnsi="Calibri" w:eastAsia="宋体" w:cs="Times New Roman"/>
      <w:sz w:val="18"/>
      <w:szCs w:val="18"/>
    </w:rPr>
  </w:style>
  <w:style w:type="character" w:customStyle="1" w:styleId="89">
    <w:name w:val="标题 3 Char"/>
    <w:link w:val="5"/>
    <w:qFormat/>
    <w:uiPriority w:val="0"/>
    <w:rPr>
      <w:rFonts w:eastAsia="宋体"/>
      <w:b/>
      <w:bCs/>
      <w:kern w:val="2"/>
      <w:sz w:val="32"/>
      <w:szCs w:val="32"/>
      <w:lang w:bidi="ar-SA"/>
    </w:rPr>
  </w:style>
  <w:style w:type="character" w:customStyle="1" w:styleId="90">
    <w:name w:val="List Paragraph Char"/>
    <w:link w:val="91"/>
    <w:qFormat/>
    <w:uiPriority w:val="0"/>
    <w:rPr>
      <w:rFonts w:eastAsia="宋体"/>
      <w:kern w:val="2"/>
      <w:sz w:val="21"/>
      <w:lang w:val="en-US" w:eastAsia="zh-CN" w:bidi="ar-SA"/>
    </w:rPr>
  </w:style>
  <w:style w:type="paragraph" w:customStyle="1" w:styleId="91">
    <w:name w:val="列出段落1"/>
    <w:basedOn w:val="1"/>
    <w:link w:val="90"/>
    <w:qFormat/>
    <w:uiPriority w:val="0"/>
    <w:pPr>
      <w:ind w:firstLine="200" w:firstLineChars="200"/>
    </w:pPr>
    <w:rPr>
      <w:szCs w:val="20"/>
    </w:rPr>
  </w:style>
  <w:style w:type="character" w:customStyle="1" w:styleId="92">
    <w:name w:val="标题 8 Char"/>
    <w:link w:val="10"/>
    <w:qFormat/>
    <w:uiPriority w:val="0"/>
    <w:rPr>
      <w:rFonts w:ascii="Arial" w:hAnsi="Arial" w:eastAsia="宋体"/>
      <w:i/>
      <w:iCs/>
      <w:kern w:val="2"/>
      <w:lang w:bidi="ar-SA"/>
    </w:rPr>
  </w:style>
  <w:style w:type="character" w:customStyle="1" w:styleId="93">
    <w:name w:val="标准文本 Char"/>
    <w:link w:val="94"/>
    <w:qFormat/>
    <w:locked/>
    <w:uiPriority w:val="0"/>
    <w:rPr>
      <w:rFonts w:ascii="宋体" w:hAnsi="宋体"/>
      <w:color w:val="000000"/>
      <w:szCs w:val="21"/>
      <w:lang w:bidi="ar-SA"/>
    </w:rPr>
  </w:style>
  <w:style w:type="paragraph" w:customStyle="1" w:styleId="94">
    <w:name w:val="标准文本"/>
    <w:basedOn w:val="1"/>
    <w:link w:val="93"/>
    <w:qFormat/>
    <w:uiPriority w:val="0"/>
    <w:pPr>
      <w:tabs>
        <w:tab w:val="left" w:pos="3060"/>
        <w:tab w:val="left" w:pos="6048"/>
        <w:tab w:val="left" w:pos="7668"/>
      </w:tabs>
      <w:spacing w:line="312" w:lineRule="auto"/>
      <w:ind w:firstLine="420" w:firstLineChars="200"/>
    </w:pPr>
    <w:rPr>
      <w:rFonts w:ascii="宋体" w:hAnsi="宋体"/>
      <w:color w:val="000000"/>
      <w:kern w:val="0"/>
      <w:sz w:val="20"/>
      <w:szCs w:val="21"/>
    </w:rPr>
  </w:style>
  <w:style w:type="character" w:customStyle="1" w:styleId="95">
    <w:name w:val="font3"/>
    <w:qFormat/>
    <w:uiPriority w:val="0"/>
  </w:style>
  <w:style w:type="character" w:customStyle="1" w:styleId="96">
    <w:name w:val="自定义正文 Char Char"/>
    <w:link w:val="97"/>
    <w:qFormat/>
    <w:uiPriority w:val="0"/>
    <w:rPr>
      <w:rFonts w:ascii="宋体" w:hAnsi="宋体" w:eastAsia="宋体"/>
      <w:kern w:val="2"/>
      <w:sz w:val="24"/>
      <w:szCs w:val="24"/>
      <w:lang w:bidi="ar-SA"/>
    </w:rPr>
  </w:style>
  <w:style w:type="paragraph" w:customStyle="1" w:styleId="97">
    <w:name w:val="自定义正文"/>
    <w:basedOn w:val="1"/>
    <w:link w:val="96"/>
    <w:qFormat/>
    <w:uiPriority w:val="0"/>
    <w:pPr>
      <w:spacing w:after="60" w:line="360" w:lineRule="auto"/>
      <w:ind w:firstLine="200" w:firstLineChars="200"/>
      <w:jc w:val="left"/>
    </w:pPr>
    <w:rPr>
      <w:rFonts w:ascii="宋体" w:hAnsi="宋体"/>
      <w:sz w:val="24"/>
    </w:rPr>
  </w:style>
  <w:style w:type="character" w:customStyle="1" w:styleId="98">
    <w:name w:val="H1 Char"/>
    <w:qFormat/>
    <w:uiPriority w:val="0"/>
    <w:rPr>
      <w:b/>
      <w:bCs/>
      <w:kern w:val="44"/>
      <w:sz w:val="44"/>
      <w:szCs w:val="44"/>
    </w:rPr>
  </w:style>
  <w:style w:type="character" w:customStyle="1" w:styleId="99">
    <w:name w:val="text-content11"/>
    <w:qFormat/>
    <w:uiPriority w:val="0"/>
    <w:rPr>
      <w:rFonts w:hint="default" w:ascii="Tahoma" w:hAnsi="Tahoma" w:cs="Tahoma"/>
      <w:color w:val="555555"/>
      <w:sz w:val="18"/>
      <w:szCs w:val="18"/>
    </w:rPr>
  </w:style>
  <w:style w:type="character" w:customStyle="1" w:styleId="100">
    <w:name w:val="纯文本 Char"/>
    <w:qFormat/>
    <w:uiPriority w:val="0"/>
    <w:rPr>
      <w:rFonts w:ascii="宋体" w:hAnsi="Courier New" w:cs="Courier New"/>
      <w:kern w:val="2"/>
      <w:sz w:val="21"/>
      <w:szCs w:val="21"/>
    </w:rPr>
  </w:style>
  <w:style w:type="character" w:customStyle="1" w:styleId="101">
    <w:name w:val="style31"/>
    <w:qFormat/>
    <w:uiPriority w:val="0"/>
    <w:rPr>
      <w:sz w:val="18"/>
    </w:rPr>
  </w:style>
  <w:style w:type="character" w:customStyle="1" w:styleId="102">
    <w:name w:val="引文目录标题 Char"/>
    <w:qFormat/>
    <w:uiPriority w:val="0"/>
    <w:rPr>
      <w:rFonts w:ascii="Arial" w:hAnsi="Arial" w:eastAsia="宋体"/>
      <w:kern w:val="2"/>
      <w:sz w:val="24"/>
      <w:lang w:val="en-US" w:eastAsia="zh-CN"/>
    </w:rPr>
  </w:style>
  <w:style w:type="character" w:customStyle="1" w:styleId="103">
    <w:name w:val="Comment Text Char"/>
    <w:semiHidden/>
    <w:qFormat/>
    <w:locked/>
    <w:uiPriority w:val="0"/>
    <w:rPr>
      <w:rFonts w:cs="Times New Roman"/>
    </w:rPr>
  </w:style>
  <w:style w:type="character" w:customStyle="1" w:styleId="104">
    <w:name w:val="日期 Char"/>
    <w:link w:val="31"/>
    <w:qFormat/>
    <w:uiPriority w:val="0"/>
    <w:rPr>
      <w:rFonts w:eastAsia="宋体"/>
      <w:kern w:val="2"/>
      <w:sz w:val="21"/>
      <w:szCs w:val="24"/>
      <w:lang w:bidi="ar-SA"/>
    </w:rPr>
  </w:style>
  <w:style w:type="character" w:customStyle="1" w:styleId="105">
    <w:name w:val="标题 7 Char"/>
    <w:link w:val="9"/>
    <w:qFormat/>
    <w:uiPriority w:val="0"/>
    <w:rPr>
      <w:rFonts w:ascii="Arial" w:hAnsi="Arial" w:eastAsia="宋体"/>
      <w:kern w:val="2"/>
      <w:lang w:bidi="ar-SA"/>
    </w:rPr>
  </w:style>
  <w:style w:type="character" w:customStyle="1" w:styleId="106">
    <w:name w:val="正文文本 3 Char"/>
    <w:link w:val="20"/>
    <w:qFormat/>
    <w:uiPriority w:val="0"/>
    <w:rPr>
      <w:rFonts w:ascii="Arial" w:hAnsi="Arial" w:eastAsia="宋体"/>
      <w:kern w:val="2"/>
      <w:sz w:val="21"/>
      <w:lang w:bidi="ar-SA"/>
    </w:rPr>
  </w:style>
  <w:style w:type="character" w:customStyle="1" w:styleId="107">
    <w:name w:val="正文文本 2 Char"/>
    <w:link w:val="44"/>
    <w:qFormat/>
    <w:uiPriority w:val="0"/>
    <w:rPr>
      <w:rFonts w:eastAsia="宋体"/>
      <w:kern w:val="2"/>
      <w:sz w:val="24"/>
      <w:lang w:val="en-US" w:eastAsia="zh-CN" w:bidi="ar-SA"/>
    </w:rPr>
  </w:style>
  <w:style w:type="character" w:customStyle="1" w:styleId="108">
    <w:name w:val="批注主题 Char"/>
    <w:link w:val="48"/>
    <w:qFormat/>
    <w:uiPriority w:val="0"/>
    <w:rPr>
      <w:b/>
      <w:bCs/>
      <w:kern w:val="2"/>
      <w:sz w:val="21"/>
      <w:szCs w:val="24"/>
    </w:rPr>
  </w:style>
  <w:style w:type="character" w:customStyle="1" w:styleId="109">
    <w:name w:val="small"/>
    <w:qFormat/>
    <w:uiPriority w:val="0"/>
  </w:style>
  <w:style w:type="character" w:customStyle="1" w:styleId="110">
    <w:name w:val="批注文字 Char Char"/>
    <w:qFormat/>
    <w:uiPriority w:val="0"/>
    <w:rPr>
      <w:kern w:val="2"/>
      <w:sz w:val="21"/>
    </w:rPr>
  </w:style>
  <w:style w:type="character" w:customStyle="1" w:styleId="111">
    <w:name w:val="批注框文本 Char"/>
    <w:link w:val="33"/>
    <w:qFormat/>
    <w:uiPriority w:val="0"/>
    <w:rPr>
      <w:rFonts w:eastAsia="宋体"/>
      <w:kern w:val="2"/>
      <w:sz w:val="18"/>
      <w:szCs w:val="18"/>
      <w:lang w:bidi="ar-SA"/>
    </w:rPr>
  </w:style>
  <w:style w:type="character" w:customStyle="1" w:styleId="112">
    <w:name w:val="正文2 Char"/>
    <w:link w:val="113"/>
    <w:qFormat/>
    <w:uiPriority w:val="0"/>
    <w:rPr>
      <w:kern w:val="2"/>
      <w:sz w:val="24"/>
      <w:lang w:bidi="ar-SA"/>
    </w:rPr>
  </w:style>
  <w:style w:type="paragraph" w:customStyle="1" w:styleId="113">
    <w:name w:val="正文2"/>
    <w:basedOn w:val="1"/>
    <w:link w:val="112"/>
    <w:qFormat/>
    <w:uiPriority w:val="0"/>
    <w:pPr>
      <w:spacing w:before="156" w:line="360" w:lineRule="auto"/>
      <w:ind w:firstLine="510" w:firstLineChars="200"/>
    </w:pPr>
    <w:rPr>
      <w:sz w:val="24"/>
      <w:szCs w:val="20"/>
    </w:rPr>
  </w:style>
  <w:style w:type="character" w:customStyle="1" w:styleId="114">
    <w:name w:val="页脚 Char"/>
    <w:link w:val="34"/>
    <w:qFormat/>
    <w:uiPriority w:val="99"/>
    <w:rPr>
      <w:rFonts w:eastAsia="宋体"/>
      <w:kern w:val="2"/>
      <w:sz w:val="18"/>
      <w:szCs w:val="18"/>
      <w:lang w:bidi="ar-SA"/>
    </w:rPr>
  </w:style>
  <w:style w:type="character" w:customStyle="1" w:styleId="115">
    <w:name w:val="标题 5 Char"/>
    <w:link w:val="7"/>
    <w:qFormat/>
    <w:uiPriority w:val="0"/>
    <w:rPr>
      <w:rFonts w:eastAsia="宋体"/>
      <w:kern w:val="2"/>
      <w:sz w:val="22"/>
      <w:lang w:bidi="ar-SA"/>
    </w:rPr>
  </w:style>
  <w:style w:type="character" w:customStyle="1" w:styleId="116">
    <w:name w:val="标题 1 Char"/>
    <w:link w:val="3"/>
    <w:qFormat/>
    <w:uiPriority w:val="0"/>
    <w:rPr>
      <w:rFonts w:eastAsia="宋体"/>
      <w:b/>
      <w:bCs/>
      <w:kern w:val="44"/>
      <w:sz w:val="44"/>
      <w:szCs w:val="44"/>
      <w:lang w:bidi="ar-SA"/>
    </w:rPr>
  </w:style>
  <w:style w:type="character" w:customStyle="1" w:styleId="117">
    <w:name w:val="正文文本缩进 3 Char"/>
    <w:link w:val="41"/>
    <w:qFormat/>
    <w:uiPriority w:val="0"/>
    <w:rPr>
      <w:rFonts w:eastAsia="仿宋_GB2312"/>
      <w:kern w:val="2"/>
      <w:sz w:val="32"/>
      <w:szCs w:val="24"/>
      <w:lang w:bidi="ar-SA"/>
    </w:rPr>
  </w:style>
  <w:style w:type="character" w:customStyle="1" w:styleId="118">
    <w:name w:val="Heading 2 Hidden Char"/>
    <w:qFormat/>
    <w:uiPriority w:val="0"/>
    <w:rPr>
      <w:rFonts w:ascii="Arial" w:hAnsi="Arial" w:eastAsia="黑体"/>
      <w:b/>
      <w:kern w:val="2"/>
      <w:sz w:val="32"/>
      <w:lang w:val="en-US" w:eastAsia="zh-CN"/>
    </w:rPr>
  </w:style>
  <w:style w:type="character" w:customStyle="1" w:styleId="119">
    <w:name w:val="纯文本 Char1"/>
    <w:link w:val="29"/>
    <w:qFormat/>
    <w:uiPriority w:val="0"/>
    <w:rPr>
      <w:rFonts w:ascii="宋体" w:hAnsi="宋体" w:eastAsia="宋体"/>
      <w:kern w:val="2"/>
      <w:sz w:val="21"/>
      <w:szCs w:val="21"/>
      <w:lang w:bidi="ar-SA"/>
    </w:rPr>
  </w:style>
  <w:style w:type="character" w:customStyle="1" w:styleId="120">
    <w:name w:val="正文文本缩进 2 Char"/>
    <w:link w:val="32"/>
    <w:qFormat/>
    <w:uiPriority w:val="0"/>
    <w:rPr>
      <w:rFonts w:eastAsia="仿宋_GB2312"/>
      <w:color w:val="000000"/>
      <w:sz w:val="32"/>
      <w:szCs w:val="28"/>
      <w:lang w:bidi="ar-SA"/>
    </w:rPr>
  </w:style>
  <w:style w:type="character" w:customStyle="1" w:styleId="121">
    <w:name w:val="称呼 Char"/>
    <w:link w:val="19"/>
    <w:qFormat/>
    <w:uiPriority w:val="0"/>
    <w:rPr>
      <w:rFonts w:ascii="华文宋体" w:hAnsi="Arial Unicode MS" w:eastAsia="华文宋体"/>
      <w:kern w:val="2"/>
      <w:sz w:val="24"/>
      <w:lang w:bidi="ar-SA"/>
    </w:rPr>
  </w:style>
  <w:style w:type="character" w:customStyle="1" w:styleId="122">
    <w:name w:val="apple-converted-space"/>
    <w:basedOn w:val="55"/>
    <w:qFormat/>
    <w:uiPriority w:val="0"/>
  </w:style>
  <w:style w:type="character" w:customStyle="1" w:styleId="123">
    <w:name w:val="正文文本缩进 Char"/>
    <w:link w:val="21"/>
    <w:qFormat/>
    <w:uiPriority w:val="0"/>
    <w:rPr>
      <w:rFonts w:eastAsia="仿宋_GB2312"/>
      <w:b/>
      <w:bCs/>
      <w:color w:val="000000"/>
      <w:sz w:val="32"/>
      <w:szCs w:val="28"/>
      <w:lang w:bidi="ar-SA"/>
    </w:rPr>
  </w:style>
  <w:style w:type="character" w:customStyle="1" w:styleId="124">
    <w:name w:val="正文缩进 Char"/>
    <w:link w:val="14"/>
    <w:qFormat/>
    <w:locked/>
    <w:uiPriority w:val="0"/>
    <w:rPr>
      <w:rFonts w:eastAsia="宋体"/>
      <w:kern w:val="2"/>
      <w:sz w:val="24"/>
      <w:lang w:bidi="ar-SA"/>
    </w:rPr>
  </w:style>
  <w:style w:type="character" w:customStyle="1" w:styleId="125">
    <w:name w:val="Level 3 Head Char"/>
    <w:qFormat/>
    <w:uiPriority w:val="0"/>
    <w:rPr>
      <w:b/>
      <w:bCs/>
      <w:kern w:val="2"/>
      <w:sz w:val="32"/>
      <w:szCs w:val="32"/>
    </w:rPr>
  </w:style>
  <w:style w:type="character" w:customStyle="1" w:styleId="126">
    <w:name w:val="文档结构图 Char"/>
    <w:link w:val="16"/>
    <w:qFormat/>
    <w:uiPriority w:val="0"/>
    <w:rPr>
      <w:rFonts w:eastAsia="宋体"/>
      <w:kern w:val="2"/>
      <w:sz w:val="21"/>
      <w:szCs w:val="24"/>
      <w:lang w:bidi="ar-SA"/>
    </w:rPr>
  </w:style>
  <w:style w:type="character" w:customStyle="1" w:styleId="127">
    <w:name w:val="正文缩进 Char1"/>
    <w:link w:val="128"/>
    <w:qFormat/>
    <w:uiPriority w:val="0"/>
    <w:rPr>
      <w:rFonts w:eastAsia="宋体"/>
      <w:kern w:val="2"/>
      <w:sz w:val="21"/>
      <w:lang w:val="en-US" w:eastAsia="zh-CN" w:bidi="ar-SA"/>
    </w:rPr>
  </w:style>
  <w:style w:type="paragraph" w:customStyle="1" w:styleId="128">
    <w:name w:val="正文缩进1"/>
    <w:basedOn w:val="1"/>
    <w:link w:val="127"/>
    <w:qFormat/>
    <w:uiPriority w:val="0"/>
    <w:pPr>
      <w:ind w:firstLine="420" w:firstLineChars="200"/>
    </w:pPr>
    <w:rPr>
      <w:szCs w:val="20"/>
    </w:rPr>
  </w:style>
  <w:style w:type="character" w:customStyle="1" w:styleId="129">
    <w:name w:val="标题 9 Char"/>
    <w:link w:val="11"/>
    <w:qFormat/>
    <w:uiPriority w:val="0"/>
    <w:rPr>
      <w:rFonts w:ascii="Arial" w:hAnsi="Arial" w:eastAsia="宋体"/>
      <w:b/>
      <w:i/>
      <w:iCs/>
      <w:kern w:val="2"/>
      <w:sz w:val="18"/>
      <w:lang w:bidi="ar-SA"/>
    </w:rPr>
  </w:style>
  <w:style w:type="character" w:customStyle="1" w:styleId="130">
    <w:name w:val="标题 4 Char"/>
    <w:link w:val="6"/>
    <w:qFormat/>
    <w:uiPriority w:val="0"/>
    <w:rPr>
      <w:rFonts w:ascii="黑体" w:hAnsi="黑体" w:eastAsia="黑体"/>
      <w:b/>
      <w:sz w:val="28"/>
      <w:lang w:bidi="ar-SA"/>
    </w:rPr>
  </w:style>
  <w:style w:type="paragraph" w:customStyle="1" w:styleId="131">
    <w:name w:val="a-标题3"/>
    <w:basedOn w:val="1"/>
    <w:qFormat/>
    <w:uiPriority w:val="0"/>
    <w:pPr>
      <w:spacing w:line="440" w:lineRule="exact"/>
      <w:jc w:val="left"/>
    </w:pPr>
    <w:rPr>
      <w:rFonts w:ascii="楷体_GB2312" w:hAnsi="Arial Unicode MS" w:eastAsia="楷体_GB2312" w:cs="Arial Unicode MS"/>
      <w:b/>
      <w:sz w:val="28"/>
      <w:szCs w:val="20"/>
    </w:rPr>
  </w:style>
  <w:style w:type="paragraph" w:customStyle="1" w:styleId="132">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0"/>
      <w:szCs w:val="20"/>
    </w:rPr>
  </w:style>
  <w:style w:type="paragraph" w:customStyle="1" w:styleId="133">
    <w:name w:val="xl109"/>
    <w:basedOn w:val="1"/>
    <w:qFormat/>
    <w:uiPriority w:val="0"/>
    <w:pPr>
      <w:widowControl/>
      <w:pBdr>
        <w:top w:val="single" w:color="auto" w:sz="4" w:space="0"/>
        <w:lef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34">
    <w:name w:val="样式2"/>
    <w:basedOn w:val="2"/>
    <w:qFormat/>
    <w:uiPriority w:val="0"/>
    <w:pPr>
      <w:spacing w:line="400" w:lineRule="exact"/>
      <w:jc w:val="center"/>
    </w:pPr>
    <w:rPr>
      <w:rFonts w:ascii="宋体" w:hAnsi="宋体"/>
    </w:rPr>
  </w:style>
  <w:style w:type="paragraph" w:customStyle="1" w:styleId="135">
    <w:name w:val="xl10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36">
    <w:name w:val="xl141"/>
    <w:basedOn w:val="1"/>
    <w:qFormat/>
    <w:uiPriority w:val="0"/>
    <w:pPr>
      <w:widowControl/>
      <w:pBdr>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137">
    <w:name w:val="彩色列表 - 强调文字颜色 11"/>
    <w:basedOn w:val="1"/>
    <w:qFormat/>
    <w:uiPriority w:val="0"/>
    <w:pPr>
      <w:ind w:firstLine="420" w:firstLineChars="200"/>
    </w:pPr>
    <w:rPr>
      <w:rFonts w:ascii="Calibri" w:hAnsi="Calibri"/>
      <w:szCs w:val="22"/>
    </w:rPr>
  </w:style>
  <w:style w:type="paragraph" w:customStyle="1" w:styleId="138">
    <w:name w:val="Char Char Char Char Char Char"/>
    <w:basedOn w:val="1"/>
    <w:qFormat/>
    <w:uiPriority w:val="0"/>
    <w:pPr>
      <w:jc w:val="center"/>
    </w:pPr>
    <w:rPr>
      <w:rFonts w:ascii="Tahoma" w:hAnsi="Tahoma"/>
      <w:sz w:val="24"/>
      <w:szCs w:val="20"/>
    </w:rPr>
  </w:style>
  <w:style w:type="paragraph" w:customStyle="1" w:styleId="139">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微软雅黑" w:hAnsi="微软雅黑" w:eastAsia="微软雅黑" w:cs="宋体"/>
      <w:kern w:val="0"/>
      <w:sz w:val="20"/>
      <w:szCs w:val="20"/>
    </w:rPr>
  </w:style>
  <w:style w:type="paragraph" w:customStyle="1" w:styleId="140">
    <w:name w:val="xl133"/>
    <w:basedOn w:val="1"/>
    <w:qFormat/>
    <w:uiPriority w:val="0"/>
    <w:pPr>
      <w:widowControl/>
      <w:pBdr>
        <w:top w:val="single" w:color="auto" w:sz="4" w:space="0"/>
        <w:lef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41">
    <w:name w:val="xl72"/>
    <w:basedOn w:val="1"/>
    <w:qFormat/>
    <w:uiPriority w:val="0"/>
    <w:pPr>
      <w:widowControl/>
      <w:pBdr>
        <w:top w:val="single" w:color="auto" w:sz="4" w:space="0"/>
      </w:pBdr>
      <w:spacing w:before="100" w:beforeAutospacing="1" w:after="100" w:afterAutospacing="1"/>
      <w:jc w:val="left"/>
    </w:pPr>
    <w:rPr>
      <w:rFonts w:ascii="宋体" w:hAnsi="宋体"/>
      <w:kern w:val="0"/>
      <w:sz w:val="24"/>
      <w:szCs w:val="20"/>
    </w:rPr>
  </w:style>
  <w:style w:type="paragraph" w:customStyle="1" w:styleId="142">
    <w:name w:val="xl57"/>
    <w:basedOn w:val="1"/>
    <w:qFormat/>
    <w:uiPriority w:val="0"/>
    <w:pPr>
      <w:widowControl/>
      <w:spacing w:before="100" w:beforeAutospacing="1" w:after="100" w:afterAutospacing="1"/>
      <w:jc w:val="left"/>
      <w:textAlignment w:val="top"/>
    </w:pPr>
    <w:rPr>
      <w:rFonts w:ascii="宋体" w:hAnsi="宋体"/>
      <w:kern w:val="0"/>
      <w:sz w:val="20"/>
      <w:szCs w:val="20"/>
    </w:rPr>
  </w:style>
  <w:style w:type="paragraph" w:customStyle="1" w:styleId="143">
    <w:name w:val="样式1"/>
    <w:basedOn w:val="3"/>
    <w:qFormat/>
    <w:uiPriority w:val="0"/>
    <w:pPr>
      <w:adjustRightInd w:val="0"/>
      <w:spacing w:before="240" w:after="240" w:line="360" w:lineRule="auto"/>
      <w:jc w:val="left"/>
      <w:textAlignment w:val="baseline"/>
    </w:pPr>
    <w:rPr>
      <w:rFonts w:ascii="宋体" w:hAnsi="宋体" w:cs="Arial Unicode MS"/>
      <w:bCs w:val="0"/>
      <w:sz w:val="32"/>
      <w:szCs w:val="20"/>
    </w:rPr>
  </w:style>
  <w:style w:type="paragraph" w:customStyle="1" w:styleId="144">
    <w:name w:val="xl14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20"/>
      <w:szCs w:val="20"/>
    </w:rPr>
  </w:style>
  <w:style w:type="paragraph" w:customStyle="1" w:styleId="145">
    <w:name w:val="xl79"/>
    <w:basedOn w:val="1"/>
    <w:qFormat/>
    <w:uiPriority w:val="0"/>
    <w:pPr>
      <w:widowControl/>
      <w:pBdr>
        <w:bottom w:val="single" w:color="auto" w:sz="4" w:space="0"/>
      </w:pBdr>
      <w:spacing w:before="100" w:beforeAutospacing="1" w:after="100" w:afterAutospacing="1"/>
      <w:jc w:val="right"/>
    </w:pPr>
    <w:rPr>
      <w:kern w:val="0"/>
      <w:sz w:val="22"/>
      <w:szCs w:val="20"/>
    </w:rPr>
  </w:style>
  <w:style w:type="paragraph" w:customStyle="1" w:styleId="146">
    <w:name w:val="批注框文本 Char Char"/>
    <w:basedOn w:val="1"/>
    <w:qFormat/>
    <w:uiPriority w:val="0"/>
    <w:rPr>
      <w:sz w:val="18"/>
      <w:szCs w:val="20"/>
    </w:rPr>
  </w:style>
  <w:style w:type="paragraph" w:customStyle="1" w:styleId="147">
    <w:name w:val="xl48"/>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148">
    <w:name w:val="xl56"/>
    <w:basedOn w:val="1"/>
    <w:qFormat/>
    <w:uiPriority w:val="0"/>
    <w:pPr>
      <w:widowControl/>
      <w:pBdr>
        <w:top w:val="single" w:color="auto" w:sz="4" w:space="0"/>
        <w:bottom w:val="single" w:color="auto" w:sz="4" w:space="0"/>
      </w:pBdr>
      <w:spacing w:before="100" w:beforeAutospacing="1" w:after="100" w:afterAutospacing="1"/>
      <w:jc w:val="center"/>
      <w:textAlignment w:val="center"/>
    </w:pPr>
    <w:rPr>
      <w:kern w:val="0"/>
      <w:sz w:val="20"/>
      <w:szCs w:val="20"/>
    </w:rPr>
  </w:style>
  <w:style w:type="paragraph" w:customStyle="1" w:styleId="149">
    <w:name w:val="样式 正文"/>
    <w:basedOn w:val="1"/>
    <w:next w:val="1"/>
    <w:qFormat/>
    <w:uiPriority w:val="0"/>
    <w:pPr>
      <w:widowControl/>
      <w:spacing w:beforeLines="50" w:afterLines="50"/>
      <w:jc w:val="left"/>
    </w:pPr>
    <w:rPr>
      <w:rFonts w:ascii="宋体" w:cs="宋体"/>
      <w:snapToGrid w:val="0"/>
      <w:kern w:val="0"/>
      <w:szCs w:val="20"/>
    </w:rPr>
  </w:style>
  <w:style w:type="paragraph" w:customStyle="1" w:styleId="150">
    <w:name w:val="xl115"/>
    <w:basedOn w:val="1"/>
    <w:qFormat/>
    <w:uiPriority w:val="0"/>
    <w:pPr>
      <w:widowControl/>
      <w:pBdr>
        <w:left w:val="single" w:color="auto" w:sz="4" w:space="0"/>
        <w:bottom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1">
    <w:name w:val="ST20_17"/>
    <w:basedOn w:val="6"/>
    <w:qFormat/>
    <w:uiPriority w:val="0"/>
    <w:pPr>
      <w:spacing w:before="0" w:after="0" w:line="240" w:lineRule="atLeast"/>
      <w:jc w:val="both"/>
      <w:outlineLvl w:val="9"/>
    </w:pPr>
    <w:rPr>
      <w:rFonts w:ascii="宋体" w:hAnsi="宋体" w:eastAsia="宋体" w:cs="Arial Unicode MS"/>
      <w:b w:val="0"/>
      <w:sz w:val="24"/>
    </w:rPr>
  </w:style>
  <w:style w:type="paragraph" w:customStyle="1" w:styleId="152">
    <w:name w:val="xl1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20"/>
      <w:szCs w:val="20"/>
    </w:rPr>
  </w:style>
  <w:style w:type="paragraph" w:customStyle="1" w:styleId="153">
    <w:name w:val="xl6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黑体" w:hAnsi="宋体" w:eastAsia="黑体"/>
      <w:kern w:val="0"/>
      <w:sz w:val="20"/>
      <w:szCs w:val="20"/>
    </w:rPr>
  </w:style>
  <w:style w:type="paragraph" w:customStyle="1" w:styleId="154">
    <w:name w:val="xl45"/>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155">
    <w:name w:val="xl144"/>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56">
    <w:name w:val="_Style 292"/>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7">
    <w:name w:val="xl60"/>
    <w:basedOn w:val="1"/>
    <w:qFormat/>
    <w:uiPriority w:val="0"/>
    <w:pPr>
      <w:widowControl/>
      <w:pBdr>
        <w:bottom w:val="single" w:color="auto" w:sz="4" w:space="0"/>
      </w:pBdr>
      <w:spacing w:before="100" w:beforeAutospacing="1" w:after="100" w:afterAutospacing="1"/>
      <w:jc w:val="left"/>
    </w:pPr>
    <w:rPr>
      <w:rFonts w:ascii="宋体" w:hAnsi="宋体"/>
      <w:kern w:val="0"/>
      <w:sz w:val="22"/>
      <w:szCs w:val="20"/>
    </w:rPr>
  </w:style>
  <w:style w:type="paragraph" w:customStyle="1" w:styleId="158">
    <w:name w:val="xl44"/>
    <w:basedOn w:val="1"/>
    <w:qFormat/>
    <w:uiPriority w:val="0"/>
    <w:pPr>
      <w:widowControl/>
      <w:spacing w:before="100" w:beforeAutospacing="1" w:after="100" w:afterAutospacing="1"/>
      <w:jc w:val="right"/>
      <w:textAlignment w:val="center"/>
    </w:pPr>
    <w:rPr>
      <w:rFonts w:ascii="宋体" w:hAnsi="宋体"/>
      <w:kern w:val="0"/>
      <w:sz w:val="20"/>
      <w:szCs w:val="20"/>
    </w:rPr>
  </w:style>
  <w:style w:type="paragraph" w:customStyle="1" w:styleId="159">
    <w:name w:val="font19"/>
    <w:basedOn w:val="1"/>
    <w:qFormat/>
    <w:uiPriority w:val="0"/>
    <w:pPr>
      <w:widowControl/>
      <w:spacing w:before="100" w:beforeAutospacing="1" w:after="100" w:afterAutospacing="1"/>
      <w:jc w:val="left"/>
    </w:pPr>
    <w:rPr>
      <w:rFonts w:ascii="宋体" w:hAnsi="宋体" w:cs="宋体"/>
      <w:b/>
      <w:bCs/>
      <w:color w:val="DD0806"/>
      <w:kern w:val="0"/>
      <w:sz w:val="20"/>
      <w:szCs w:val="20"/>
    </w:rPr>
  </w:style>
  <w:style w:type="paragraph" w:customStyle="1" w:styleId="160">
    <w:name w:val="h3"/>
    <w:basedOn w:val="1"/>
    <w:qFormat/>
    <w:uiPriority w:val="0"/>
    <w:pPr>
      <w:widowControl/>
      <w:jc w:val="left"/>
    </w:pPr>
    <w:rPr>
      <w:rFonts w:ascii="宋体" w:hAnsi="宋体"/>
      <w:kern w:val="0"/>
      <w:sz w:val="24"/>
      <w:szCs w:val="20"/>
    </w:rPr>
  </w:style>
  <w:style w:type="paragraph" w:customStyle="1" w:styleId="161">
    <w:name w:val="项目符号2"/>
    <w:basedOn w:val="76"/>
    <w:qFormat/>
    <w:uiPriority w:val="0"/>
    <w:pPr>
      <w:numPr>
        <w:ilvl w:val="0"/>
        <w:numId w:val="3"/>
      </w:numPr>
    </w:pPr>
  </w:style>
  <w:style w:type="paragraph" w:customStyle="1" w:styleId="162">
    <w:name w:val="样式 样式 标题 2 + 段前: 0.5 行 段后: 0.5 行 + 首行缩进:  2 字符 段前: 0.5 行 段后: 0..."/>
    <w:basedOn w:val="163"/>
    <w:qFormat/>
    <w:uiPriority w:val="0"/>
    <w:pPr>
      <w:spacing w:before="50" w:after="50"/>
      <w:ind w:firstLine="0" w:firstLineChars="0"/>
    </w:pPr>
    <w:rPr>
      <w:rFonts w:cs="Times New Roman"/>
      <w:bCs w:val="0"/>
      <w:szCs w:val="20"/>
    </w:rPr>
  </w:style>
  <w:style w:type="paragraph" w:customStyle="1" w:styleId="163">
    <w:name w:val="样式 标题 2 + 段前: 0.5 行 段后: 0.5 行"/>
    <w:basedOn w:val="4"/>
    <w:qFormat/>
    <w:uiPriority w:val="0"/>
    <w:pPr>
      <w:spacing w:beforeLines="0" w:afterLines="0"/>
    </w:pPr>
    <w:rPr>
      <w:rFonts w:ascii="Times New Roman" w:hAnsi="Times New Roman" w:cs="宋体"/>
      <w:b w:val="0"/>
      <w:bCs/>
      <w:sz w:val="21"/>
      <w:szCs w:val="21"/>
    </w:rPr>
  </w:style>
  <w:style w:type="paragraph" w:customStyle="1" w:styleId="164">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65">
    <w:name w:val="font5"/>
    <w:basedOn w:val="1"/>
    <w:qFormat/>
    <w:uiPriority w:val="0"/>
    <w:pPr>
      <w:widowControl/>
      <w:spacing w:before="100" w:beforeAutospacing="1" w:after="100" w:afterAutospacing="1"/>
      <w:jc w:val="left"/>
    </w:pPr>
    <w:rPr>
      <w:rFonts w:hint="eastAsia" w:ascii="宋体" w:hAnsi="宋体"/>
      <w:kern w:val="0"/>
      <w:sz w:val="18"/>
      <w:szCs w:val="20"/>
    </w:rPr>
  </w:style>
  <w:style w:type="paragraph" w:customStyle="1" w:styleId="166">
    <w:name w:val="xl67"/>
    <w:basedOn w:val="1"/>
    <w:qFormat/>
    <w:uiPriority w:val="0"/>
    <w:pPr>
      <w:widowControl/>
      <w:pBdr>
        <w:top w:val="single" w:color="auto" w:sz="4" w:space="0"/>
      </w:pBdr>
      <w:spacing w:before="100" w:beforeAutospacing="1" w:after="100" w:afterAutospacing="1"/>
      <w:jc w:val="left"/>
      <w:textAlignment w:val="top"/>
    </w:pPr>
    <w:rPr>
      <w:rFonts w:ascii="宋体" w:hAnsi="宋体"/>
      <w:kern w:val="0"/>
      <w:sz w:val="20"/>
      <w:szCs w:val="20"/>
    </w:rPr>
  </w:style>
  <w:style w:type="paragraph" w:customStyle="1" w:styleId="167">
    <w:name w:val="样式 标题 21.1 + 小四"/>
    <w:basedOn w:val="4"/>
    <w:qFormat/>
    <w:uiPriority w:val="0"/>
    <w:pPr>
      <w:tabs>
        <w:tab w:val="left" w:pos="720"/>
      </w:tabs>
      <w:snapToGrid w:val="0"/>
      <w:spacing w:beforeLines="0" w:afterLines="0" w:line="360" w:lineRule="auto"/>
      <w:ind w:firstLine="0" w:firstLineChars="0"/>
      <w:jc w:val="both"/>
    </w:pPr>
    <w:rPr>
      <w:rFonts w:ascii="Times New Roman" w:hAnsi="Times New Roman" w:eastAsia="宋体"/>
      <w:b w:val="0"/>
      <w:szCs w:val="20"/>
    </w:rPr>
  </w:style>
  <w:style w:type="paragraph" w:customStyle="1" w:styleId="168">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169">
    <w:name w:val="xl14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color w:val="000000"/>
      <w:kern w:val="0"/>
      <w:sz w:val="20"/>
      <w:szCs w:val="20"/>
    </w:rPr>
  </w:style>
  <w:style w:type="paragraph" w:customStyle="1" w:styleId="170">
    <w:name w:val="xl26"/>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17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72">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18"/>
      <w:szCs w:val="20"/>
    </w:rPr>
  </w:style>
  <w:style w:type="paragraph" w:customStyle="1" w:styleId="173">
    <w:name w:val="xl99"/>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74">
    <w:name w:val="xl29"/>
    <w:basedOn w:val="1"/>
    <w:qFormat/>
    <w:uiPriority w:val="0"/>
    <w:pPr>
      <w:widowControl/>
      <w:spacing w:before="100" w:beforeAutospacing="1" w:after="100" w:afterAutospacing="1"/>
      <w:jc w:val="center"/>
    </w:pPr>
    <w:rPr>
      <w:rFonts w:ascii="Arial Unicode MS" w:hAnsi="Arial Unicode MS" w:eastAsia="Arial Unicode MS" w:cs="Arial Unicode MS"/>
      <w:kern w:val="0"/>
      <w:sz w:val="24"/>
    </w:rPr>
  </w:style>
  <w:style w:type="paragraph" w:customStyle="1" w:styleId="175">
    <w:name w:val="font18"/>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6">
    <w:name w:val="正文小4号"/>
    <w:basedOn w:val="1"/>
    <w:qFormat/>
    <w:uiPriority w:val="0"/>
    <w:pPr>
      <w:spacing w:line="360" w:lineRule="auto"/>
      <w:ind w:firstLine="200" w:firstLineChars="200"/>
    </w:pPr>
    <w:rPr>
      <w:sz w:val="24"/>
    </w:rPr>
  </w:style>
  <w:style w:type="paragraph" w:customStyle="1" w:styleId="177">
    <w:name w:val="Char Char1 Char"/>
    <w:basedOn w:val="1"/>
    <w:qFormat/>
    <w:uiPriority w:val="0"/>
    <w:rPr>
      <w:rFonts w:ascii="仿宋_GB2312" w:eastAsia="仿宋_GB2312"/>
      <w:b/>
      <w:sz w:val="32"/>
      <w:szCs w:val="32"/>
    </w:rPr>
  </w:style>
  <w:style w:type="paragraph" w:customStyle="1" w:styleId="178">
    <w:name w:val="正文1 New"/>
    <w:basedOn w:val="1"/>
    <w:qFormat/>
    <w:uiPriority w:val="0"/>
    <w:pPr>
      <w:spacing w:line="360" w:lineRule="auto"/>
      <w:ind w:left="1260" w:leftChars="600" w:firstLine="540" w:firstLineChars="257"/>
    </w:pPr>
    <w:rPr>
      <w:rFonts w:ascii="宋体" w:hAnsi="宋体"/>
    </w:rPr>
  </w:style>
  <w:style w:type="paragraph" w:customStyle="1" w:styleId="179">
    <w:name w:val="xl76"/>
    <w:basedOn w:val="1"/>
    <w:qFormat/>
    <w:uiPriority w:val="0"/>
    <w:pPr>
      <w:widowControl/>
      <w:pBdr>
        <w:bottom w:val="single" w:color="auto" w:sz="4" w:space="0"/>
      </w:pBdr>
      <w:spacing w:before="100" w:beforeAutospacing="1" w:after="100" w:afterAutospacing="1"/>
      <w:jc w:val="left"/>
    </w:pPr>
    <w:rPr>
      <w:rFonts w:ascii="宋体" w:hAnsi="宋体"/>
      <w:kern w:val="0"/>
      <w:sz w:val="22"/>
      <w:szCs w:val="20"/>
    </w:rPr>
  </w:style>
  <w:style w:type="paragraph" w:customStyle="1" w:styleId="180">
    <w:name w:val="图表文字"/>
    <w:qFormat/>
    <w:uiPriority w:val="0"/>
    <w:pPr>
      <w:tabs>
        <w:tab w:val="left" w:pos="3850"/>
      </w:tabs>
      <w:spacing w:line="320" w:lineRule="exact"/>
      <w:jc w:val="both"/>
    </w:pPr>
    <w:rPr>
      <w:rFonts w:ascii="Times New Roman" w:hAnsi="Times New Roman" w:eastAsia="宋体" w:cs="Times New Roman"/>
      <w:sz w:val="21"/>
      <w:szCs w:val="21"/>
      <w:lang w:val="en-US" w:eastAsia="zh-CN" w:bidi="ar-SA"/>
    </w:rPr>
  </w:style>
  <w:style w:type="paragraph" w:customStyle="1" w:styleId="181">
    <w:name w:val="正文 A"/>
    <w:qFormat/>
    <w:uiPriority w:val="0"/>
    <w:pPr>
      <w:widowControl w:val="0"/>
      <w:jc w:val="both"/>
    </w:pPr>
    <w:rPr>
      <w:rFonts w:ascii="Times New Roman" w:hAnsi="Times New Roman" w:eastAsia="Times New Roman" w:cs="Times New Roman"/>
      <w:color w:val="000000"/>
      <w:kern w:val="2"/>
      <w:sz w:val="21"/>
      <w:szCs w:val="21"/>
      <w:lang w:val="en-US" w:eastAsia="zh-CN" w:bidi="ar-SA"/>
    </w:rPr>
  </w:style>
  <w:style w:type="paragraph" w:customStyle="1" w:styleId="182">
    <w:name w:val="xl124"/>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3">
    <w:name w:val="列表延续"/>
    <w:basedOn w:val="1"/>
    <w:qFormat/>
    <w:uiPriority w:val="0"/>
    <w:pPr>
      <w:numPr>
        <w:ilvl w:val="8"/>
        <w:numId w:val="5"/>
      </w:numPr>
      <w:adjustRightInd w:val="0"/>
      <w:spacing w:line="360" w:lineRule="auto"/>
      <w:textAlignment w:val="baseline"/>
    </w:pPr>
    <w:rPr>
      <w:rFonts w:eastAsia="楷体_GB2312"/>
      <w:kern w:val="28"/>
      <w:sz w:val="28"/>
      <w:szCs w:val="20"/>
    </w:rPr>
  </w:style>
  <w:style w:type="paragraph" w:customStyle="1" w:styleId="184">
    <w:name w:val="Table Paragraph"/>
    <w:basedOn w:val="1"/>
    <w:qFormat/>
    <w:uiPriority w:val="1"/>
    <w:rPr>
      <w:rFonts w:ascii="宋体" w:hAnsi="宋体" w:cs="宋体"/>
      <w:lang w:val="zh-CN" w:bidi="zh-CN"/>
    </w:rPr>
  </w:style>
  <w:style w:type="paragraph" w:customStyle="1" w:styleId="185">
    <w:name w:val="Char Char Char Char Char Char1 Char Char Char Char Char Char Char Char Char"/>
    <w:basedOn w:val="1"/>
    <w:qFormat/>
    <w:uiPriority w:val="0"/>
    <w:pPr>
      <w:adjustRightInd w:val="0"/>
      <w:spacing w:line="360" w:lineRule="auto"/>
    </w:pPr>
    <w:rPr>
      <w:rFonts w:eastAsia="Times New Roman"/>
      <w:kern w:val="0"/>
      <w:sz w:val="20"/>
      <w:szCs w:val="20"/>
    </w:rPr>
  </w:style>
  <w:style w:type="paragraph" w:customStyle="1" w:styleId="186">
    <w:name w:val="Char Char Char"/>
    <w:basedOn w:val="1"/>
    <w:qFormat/>
    <w:uiPriority w:val="0"/>
    <w:pPr>
      <w:widowControl/>
      <w:spacing w:after="160" w:line="240" w:lineRule="exact"/>
      <w:jc w:val="left"/>
    </w:pPr>
    <w:rPr>
      <w:rFonts w:ascii="Verdana" w:hAnsi="Verdana"/>
      <w:kern w:val="0"/>
      <w:szCs w:val="20"/>
      <w:lang w:eastAsia="en-US"/>
    </w:rPr>
  </w:style>
  <w:style w:type="paragraph" w:customStyle="1" w:styleId="187">
    <w:name w:val="xl78"/>
    <w:basedOn w:val="1"/>
    <w:qFormat/>
    <w:uiPriority w:val="0"/>
    <w:pPr>
      <w:widowControl/>
      <w:pBdr>
        <w:bottom w:val="single" w:color="auto" w:sz="4" w:space="0"/>
      </w:pBdr>
      <w:spacing w:before="100" w:beforeAutospacing="1" w:after="100" w:afterAutospacing="1"/>
      <w:jc w:val="right"/>
    </w:pPr>
    <w:rPr>
      <w:rFonts w:ascii="宋体" w:hAnsi="宋体"/>
      <w:kern w:val="0"/>
      <w:sz w:val="22"/>
      <w:szCs w:val="20"/>
    </w:rPr>
  </w:style>
  <w:style w:type="paragraph" w:customStyle="1" w:styleId="188">
    <w:name w:val="A正文"/>
    <w:basedOn w:val="1"/>
    <w:qFormat/>
    <w:uiPriority w:val="0"/>
    <w:pPr>
      <w:widowControl/>
      <w:overflowPunct w:val="0"/>
      <w:autoSpaceDE w:val="0"/>
      <w:autoSpaceDN w:val="0"/>
      <w:adjustRightInd w:val="0"/>
      <w:spacing w:line="360" w:lineRule="auto"/>
      <w:ind w:firstLine="200" w:firstLineChars="200"/>
      <w:jc w:val="left"/>
      <w:textAlignment w:val="baseline"/>
    </w:pPr>
    <w:rPr>
      <w:rFonts w:eastAsia="仿宋_GB2312"/>
      <w:kern w:val="0"/>
      <w:sz w:val="24"/>
      <w:szCs w:val="20"/>
    </w:rPr>
  </w:style>
  <w:style w:type="paragraph" w:customStyle="1" w:styleId="189">
    <w:name w:val="xl9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90">
    <w:name w:val="表格文字"/>
    <w:basedOn w:val="1"/>
    <w:qFormat/>
    <w:uiPriority w:val="0"/>
    <w:pPr>
      <w:spacing w:before="25" w:after="25"/>
      <w:jc w:val="left"/>
    </w:pPr>
    <w:rPr>
      <w:bCs/>
      <w:spacing w:val="10"/>
      <w:kern w:val="0"/>
      <w:sz w:val="24"/>
      <w:szCs w:val="20"/>
    </w:rPr>
  </w:style>
  <w:style w:type="paragraph" w:customStyle="1" w:styleId="191">
    <w:name w:val="标3"/>
    <w:basedOn w:val="1"/>
    <w:qFormat/>
    <w:uiPriority w:val="0"/>
    <w:pPr>
      <w:tabs>
        <w:tab w:val="left" w:pos="1200"/>
      </w:tabs>
      <w:adjustRightInd w:val="0"/>
      <w:snapToGrid w:val="0"/>
      <w:spacing w:before="50"/>
      <w:ind w:left="1200" w:leftChars="400" w:hanging="360" w:hangingChars="200"/>
      <w:outlineLvl w:val="2"/>
    </w:pPr>
    <w:rPr>
      <w:rFonts w:ascii="Arial Narrow" w:hAnsi="Arial Narrow" w:eastAsia="仿宋_GB2312"/>
      <w:sz w:val="28"/>
      <w:szCs w:val="20"/>
    </w:rPr>
  </w:style>
  <w:style w:type="paragraph" w:customStyle="1" w:styleId="192">
    <w:name w:val="xl143"/>
    <w:basedOn w:val="1"/>
    <w:qFormat/>
    <w:uiPriority w:val="0"/>
    <w:pPr>
      <w:widowControl/>
      <w:pBdr>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193">
    <w:name w:val="xl8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宋体" w:hAnsi="宋体" w:cs="宋体"/>
      <w:kern w:val="0"/>
      <w:sz w:val="20"/>
      <w:szCs w:val="20"/>
    </w:rPr>
  </w:style>
  <w:style w:type="paragraph" w:customStyle="1" w:styleId="194">
    <w:name w:val="xl12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5">
    <w:name w:val="排版"/>
    <w:basedOn w:val="1"/>
    <w:next w:val="2"/>
    <w:qFormat/>
    <w:uiPriority w:val="0"/>
    <w:pPr>
      <w:spacing w:line="600" w:lineRule="exact"/>
    </w:pPr>
    <w:rPr>
      <w:rFonts w:eastAsia="华文仿宋"/>
      <w:spacing w:val="6"/>
      <w:sz w:val="32"/>
      <w:szCs w:val="20"/>
    </w:rPr>
  </w:style>
  <w:style w:type="paragraph" w:customStyle="1" w:styleId="196">
    <w:name w:val="页脚1"/>
    <w:basedOn w:val="1"/>
    <w:qFormat/>
    <w:uiPriority w:val="0"/>
    <w:pPr>
      <w:widowControl/>
      <w:tabs>
        <w:tab w:val="center" w:pos="4153"/>
        <w:tab w:val="right" w:pos="8306"/>
      </w:tabs>
      <w:snapToGrid w:val="0"/>
      <w:spacing w:beforeLines="50" w:afterLines="50"/>
      <w:jc w:val="left"/>
    </w:pPr>
    <w:rPr>
      <w:sz w:val="18"/>
      <w:szCs w:val="18"/>
    </w:rPr>
  </w:style>
  <w:style w:type="paragraph" w:customStyle="1" w:styleId="197">
    <w:name w:val="font7"/>
    <w:basedOn w:val="1"/>
    <w:qFormat/>
    <w:uiPriority w:val="0"/>
    <w:pPr>
      <w:widowControl/>
      <w:spacing w:before="100" w:beforeAutospacing="1" w:after="100" w:afterAutospacing="1"/>
      <w:jc w:val="left"/>
    </w:pPr>
    <w:rPr>
      <w:rFonts w:hint="eastAsia" w:ascii="宋体" w:hAnsi="宋体"/>
      <w:kern w:val="0"/>
      <w:sz w:val="22"/>
      <w:szCs w:val="20"/>
    </w:rPr>
  </w:style>
  <w:style w:type="paragraph" w:customStyle="1" w:styleId="198">
    <w:name w:val="表格"/>
    <w:basedOn w:val="1"/>
    <w:qFormat/>
    <w:uiPriority w:val="0"/>
    <w:pPr>
      <w:adjustRightInd w:val="0"/>
      <w:spacing w:line="360" w:lineRule="atLeast"/>
    </w:pPr>
    <w:rPr>
      <w:rFonts w:ascii="黑体" w:hAnsi="黑体" w:eastAsia="黑体" w:cs="Arial Unicode MS"/>
      <w:szCs w:val="21"/>
    </w:rPr>
  </w:style>
  <w:style w:type="paragraph" w:customStyle="1" w:styleId="199">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00">
    <w:name w:val="xl15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20"/>
      <w:szCs w:val="20"/>
    </w:rPr>
  </w:style>
  <w:style w:type="paragraph" w:customStyle="1" w:styleId="201">
    <w:name w:val="xl80"/>
    <w:basedOn w:val="1"/>
    <w:qFormat/>
    <w:uiPriority w:val="0"/>
    <w:pPr>
      <w:widowControl/>
      <w:pBdr>
        <w:bottom w:val="single" w:color="auto" w:sz="4" w:space="0"/>
      </w:pBdr>
      <w:spacing w:before="100" w:beforeAutospacing="1" w:after="100" w:afterAutospacing="1"/>
      <w:jc w:val="right"/>
    </w:pPr>
    <w:rPr>
      <w:rFonts w:ascii="宋体" w:hAnsi="宋体"/>
      <w:kern w:val="0"/>
      <w:sz w:val="22"/>
      <w:szCs w:val="20"/>
    </w:rPr>
  </w:style>
  <w:style w:type="paragraph" w:customStyle="1" w:styleId="202">
    <w:name w:val="表内文字"/>
    <w:basedOn w:val="1"/>
    <w:qFormat/>
    <w:uiPriority w:val="0"/>
    <w:pPr>
      <w:tabs>
        <w:tab w:val="left" w:pos="1418"/>
      </w:tabs>
      <w:spacing w:line="360" w:lineRule="auto"/>
      <w:jc w:val="center"/>
    </w:pPr>
    <w:rPr>
      <w:rFonts w:ascii="仿宋_GB2312" w:eastAsia="仿宋_GB2312"/>
      <w:spacing w:val="-20"/>
      <w:kern w:val="0"/>
      <w:sz w:val="24"/>
    </w:rPr>
  </w:style>
  <w:style w:type="paragraph" w:customStyle="1" w:styleId="203">
    <w:name w:val="xl90"/>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4">
    <w:name w:val="xl11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05">
    <w:name w:val="Char Char Char 字元 字元"/>
    <w:basedOn w:val="1"/>
    <w:qFormat/>
    <w:uiPriority w:val="0"/>
    <w:pPr>
      <w:spacing w:line="360" w:lineRule="auto"/>
      <w:ind w:firstLine="200" w:firstLineChars="200"/>
    </w:pPr>
    <w:rPr>
      <w:szCs w:val="20"/>
    </w:rPr>
  </w:style>
  <w:style w:type="paragraph" w:customStyle="1" w:styleId="206">
    <w:name w:val="xl13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7">
    <w:name w:val="说明书3级标题"/>
    <w:basedOn w:val="1"/>
    <w:next w:val="1"/>
    <w:qFormat/>
    <w:uiPriority w:val="0"/>
    <w:pPr>
      <w:numPr>
        <w:ilvl w:val="2"/>
        <w:numId w:val="6"/>
      </w:numPr>
      <w:spacing w:line="360" w:lineRule="auto"/>
    </w:pPr>
    <w:rPr>
      <w:rFonts w:eastAsia="黑体"/>
      <w:sz w:val="24"/>
    </w:rPr>
  </w:style>
  <w:style w:type="paragraph" w:customStyle="1" w:styleId="208">
    <w:name w:val="xl8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09">
    <w:name w:val="xl8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10">
    <w:name w:val="项目符号1"/>
    <w:basedOn w:val="76"/>
    <w:qFormat/>
    <w:uiPriority w:val="0"/>
    <w:pPr>
      <w:numPr>
        <w:ilvl w:val="0"/>
        <w:numId w:val="6"/>
      </w:numPr>
    </w:pPr>
  </w:style>
  <w:style w:type="paragraph" w:customStyle="1" w:styleId="211">
    <w:name w:val="font14"/>
    <w:basedOn w:val="1"/>
    <w:qFormat/>
    <w:uiPriority w:val="0"/>
    <w:pPr>
      <w:widowControl/>
      <w:spacing w:before="100" w:beforeAutospacing="1" w:after="100" w:afterAutospacing="1"/>
      <w:jc w:val="left"/>
    </w:pPr>
    <w:rPr>
      <w:kern w:val="0"/>
      <w:sz w:val="24"/>
      <w:szCs w:val="20"/>
    </w:rPr>
  </w:style>
  <w:style w:type="paragraph" w:customStyle="1" w:styleId="212">
    <w:name w:val="xl12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13">
    <w:name w:val="xl62"/>
    <w:basedOn w:val="1"/>
    <w:qFormat/>
    <w:uiPriority w:val="0"/>
    <w:pPr>
      <w:widowControl/>
      <w:pBdr>
        <w:bottom w:val="single" w:color="auto" w:sz="4" w:space="0"/>
      </w:pBdr>
      <w:spacing w:before="100" w:beforeAutospacing="1" w:after="100" w:afterAutospacing="1"/>
      <w:jc w:val="center"/>
    </w:pPr>
    <w:rPr>
      <w:rFonts w:ascii="宋体" w:hAnsi="宋体"/>
      <w:kern w:val="0"/>
      <w:sz w:val="22"/>
      <w:szCs w:val="20"/>
    </w:rPr>
  </w:style>
  <w:style w:type="paragraph" w:customStyle="1" w:styleId="214">
    <w:name w:val="xl52"/>
    <w:basedOn w:val="1"/>
    <w:qFormat/>
    <w:uiPriority w:val="0"/>
    <w:pPr>
      <w:widowControl/>
      <w:pBdr>
        <w:top w:val="single" w:color="auto" w:sz="4" w:space="0"/>
        <w:bottom w:val="single" w:color="auto" w:sz="4" w:space="0"/>
      </w:pBdr>
      <w:spacing w:before="100" w:beforeAutospacing="1" w:after="100" w:afterAutospacing="1"/>
      <w:jc w:val="right"/>
      <w:textAlignment w:val="center"/>
    </w:pPr>
    <w:rPr>
      <w:rFonts w:ascii="宋体" w:hAnsi="宋体"/>
      <w:kern w:val="0"/>
      <w:sz w:val="20"/>
      <w:szCs w:val="20"/>
    </w:rPr>
  </w:style>
  <w:style w:type="paragraph" w:customStyle="1" w:styleId="215">
    <w:name w:val="xl6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hint="eastAsia" w:ascii="黑体" w:hAnsi="宋体" w:eastAsia="黑体"/>
      <w:kern w:val="0"/>
      <w:sz w:val="20"/>
      <w:szCs w:val="20"/>
    </w:rPr>
  </w:style>
  <w:style w:type="paragraph" w:customStyle="1" w:styleId="216">
    <w:name w:val="xl96"/>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17">
    <w:name w:val="文2"/>
    <w:basedOn w:val="1"/>
    <w:qFormat/>
    <w:uiPriority w:val="0"/>
    <w:pPr>
      <w:numPr>
        <w:ilvl w:val="1"/>
        <w:numId w:val="6"/>
      </w:numPr>
      <w:adjustRightInd w:val="0"/>
      <w:spacing w:before="60" w:after="60" w:line="400" w:lineRule="atLeast"/>
      <w:textAlignment w:val="baseline"/>
    </w:pPr>
    <w:rPr>
      <w:b/>
      <w:kern w:val="0"/>
      <w:sz w:val="24"/>
      <w:szCs w:val="20"/>
    </w:rPr>
  </w:style>
  <w:style w:type="paragraph" w:customStyle="1" w:styleId="218">
    <w:name w:val="xl87"/>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19">
    <w:name w:val="技标2"/>
    <w:basedOn w:val="5"/>
    <w:qFormat/>
    <w:uiPriority w:val="0"/>
    <w:pPr>
      <w:keepNext w:val="0"/>
      <w:keepLines w:val="0"/>
      <w:adjustRightInd w:val="0"/>
      <w:snapToGrid w:val="0"/>
      <w:spacing w:before="600" w:after="240" w:line="420" w:lineRule="atLeast"/>
      <w:jc w:val="center"/>
      <w:textAlignment w:val="baseline"/>
    </w:pPr>
    <w:rPr>
      <w:bCs w:val="0"/>
      <w:kern w:val="0"/>
      <w:sz w:val="28"/>
      <w:szCs w:val="20"/>
    </w:rPr>
  </w:style>
  <w:style w:type="paragraph" w:customStyle="1" w:styleId="220">
    <w:name w:val="样式 标题 3 + 宋体 小四 段前: 0 磅 段后: 0 磅 行距: 1.5 倍行距"/>
    <w:basedOn w:val="5"/>
    <w:qFormat/>
    <w:uiPriority w:val="0"/>
    <w:pPr>
      <w:numPr>
        <w:ilvl w:val="0"/>
        <w:numId w:val="7"/>
      </w:numPr>
      <w:spacing w:before="0" w:after="0" w:line="360" w:lineRule="auto"/>
    </w:pPr>
    <w:rPr>
      <w:rFonts w:ascii="宋体" w:hAnsi="宋体" w:cs="宋体"/>
      <w:kern w:val="0"/>
      <w:sz w:val="24"/>
      <w:szCs w:val="20"/>
    </w:rPr>
  </w:style>
  <w:style w:type="paragraph" w:customStyle="1" w:styleId="221">
    <w:name w:val="xl98"/>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22">
    <w:name w:val="xl61"/>
    <w:basedOn w:val="1"/>
    <w:qFormat/>
    <w:uiPriority w:val="0"/>
    <w:pPr>
      <w:widowControl/>
      <w:pBdr>
        <w:bottom w:val="single" w:color="auto" w:sz="4" w:space="0"/>
      </w:pBdr>
      <w:spacing w:before="100" w:beforeAutospacing="1" w:after="100" w:afterAutospacing="1"/>
      <w:jc w:val="center"/>
    </w:pPr>
    <w:rPr>
      <w:kern w:val="0"/>
      <w:sz w:val="22"/>
      <w:szCs w:val="20"/>
    </w:rPr>
  </w:style>
  <w:style w:type="paragraph" w:customStyle="1" w:styleId="223">
    <w:name w:val="xl1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4">
    <w:name w:val="无间隔11"/>
    <w:qFormat/>
    <w:uiPriority w:val="0"/>
    <w:rPr>
      <w:rFonts w:ascii="Calibri" w:hAnsi="Calibri" w:eastAsia="宋体" w:cs="Times New Roman"/>
      <w:sz w:val="22"/>
      <w:szCs w:val="22"/>
      <w:lang w:val="en-US" w:eastAsia="en-US" w:bidi="ar-SA"/>
    </w:rPr>
  </w:style>
  <w:style w:type="paragraph" w:customStyle="1" w:styleId="225">
    <w:name w:val="Char1 Char Char Char Char"/>
    <w:basedOn w:val="16"/>
    <w:qFormat/>
    <w:uiPriority w:val="0"/>
    <w:pPr>
      <w:widowControl/>
      <w:spacing w:beforeLines="50" w:afterLines="50"/>
      <w:jc w:val="left"/>
    </w:pPr>
    <w:rPr>
      <w:szCs w:val="20"/>
    </w:rPr>
  </w:style>
  <w:style w:type="paragraph" w:customStyle="1" w:styleId="226">
    <w:name w:val="xl131"/>
    <w:basedOn w:val="1"/>
    <w:qFormat/>
    <w:uiPriority w:val="0"/>
    <w:pPr>
      <w:widowControl/>
      <w:pBdr>
        <w:top w:val="single" w:color="auto" w:sz="4" w:space="0"/>
        <w:left w:val="single" w:color="auto" w:sz="4" w:space="0"/>
        <w:bottom w:val="single" w:color="auto" w:sz="4" w:space="0"/>
      </w:pBdr>
      <w:shd w:val="clear" w:color="auto" w:fill="FFFFFF"/>
      <w:spacing w:before="100" w:beforeAutospacing="1" w:after="100" w:afterAutospacing="1"/>
      <w:jc w:val="left"/>
      <w:textAlignment w:val="center"/>
    </w:pPr>
    <w:rPr>
      <w:rFonts w:ascii="宋体" w:hAnsi="宋体" w:cs="宋体"/>
      <w:kern w:val="0"/>
      <w:sz w:val="20"/>
      <w:szCs w:val="20"/>
    </w:rPr>
  </w:style>
  <w:style w:type="paragraph" w:customStyle="1" w:styleId="227">
    <w:name w:val="xl100"/>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8">
    <w:name w:val="xl13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29">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30">
    <w:name w:val="xl153"/>
    <w:basedOn w:val="1"/>
    <w:qFormat/>
    <w:uiPriority w:val="0"/>
    <w:pPr>
      <w:widowControl/>
      <w:pBdr>
        <w:top w:val="single" w:color="auto" w:sz="4" w:space="0"/>
        <w:bottom w:val="single" w:color="auto" w:sz="4" w:space="0"/>
        <w:right w:val="single" w:color="auto" w:sz="4" w:space="0"/>
      </w:pBdr>
      <w:shd w:val="clear" w:color="000000" w:fill="E7E6E6"/>
      <w:spacing w:before="100" w:beforeAutospacing="1" w:after="100" w:afterAutospacing="1"/>
      <w:jc w:val="center"/>
    </w:pPr>
    <w:rPr>
      <w:rFonts w:ascii="宋体" w:hAnsi="宋体" w:cs="宋体"/>
      <w:b/>
      <w:bCs/>
      <w:color w:val="000000"/>
      <w:kern w:val="0"/>
      <w:sz w:val="20"/>
      <w:szCs w:val="20"/>
    </w:rPr>
  </w:style>
  <w:style w:type="paragraph" w:customStyle="1" w:styleId="231">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32">
    <w:name w:val="xl114"/>
    <w:basedOn w:val="1"/>
    <w:qFormat/>
    <w:uiPriority w:val="0"/>
    <w:pPr>
      <w:widowControl/>
      <w:pBdr>
        <w:left w:val="single" w:color="auto" w:sz="4" w:space="0"/>
        <w:bottom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3">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4">
    <w:name w:val="xl51"/>
    <w:basedOn w:val="1"/>
    <w:qFormat/>
    <w:uiPriority w:val="0"/>
    <w:pPr>
      <w:widowControl/>
      <w:pBdr>
        <w:top w:val="single" w:color="auto" w:sz="4" w:space="0"/>
        <w:bottom w:val="single" w:color="auto" w:sz="4" w:space="0"/>
      </w:pBdr>
      <w:spacing w:before="100" w:beforeAutospacing="1" w:after="100" w:afterAutospacing="1"/>
      <w:jc w:val="right"/>
      <w:textAlignment w:val="center"/>
    </w:pPr>
    <w:rPr>
      <w:kern w:val="0"/>
      <w:sz w:val="20"/>
      <w:szCs w:val="20"/>
    </w:rPr>
  </w:style>
  <w:style w:type="paragraph" w:customStyle="1" w:styleId="235">
    <w:name w:val="CM58"/>
    <w:basedOn w:val="1"/>
    <w:next w:val="1"/>
    <w:qFormat/>
    <w:uiPriority w:val="0"/>
    <w:pPr>
      <w:autoSpaceDE w:val="0"/>
      <w:autoSpaceDN w:val="0"/>
      <w:adjustRightInd w:val="0"/>
      <w:spacing w:after="298"/>
      <w:jc w:val="left"/>
    </w:pPr>
    <w:rPr>
      <w:rFonts w:ascii="宋体" w:hAnsi="宋体" w:cs="Arial Unicode MS"/>
      <w:kern w:val="0"/>
      <w:sz w:val="24"/>
    </w:rPr>
  </w:style>
  <w:style w:type="paragraph" w:customStyle="1" w:styleId="236">
    <w:name w:val="xl6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hint="eastAsia" w:ascii="黑体" w:hAnsi="宋体" w:eastAsia="黑体"/>
      <w:kern w:val="0"/>
      <w:sz w:val="20"/>
      <w:szCs w:val="20"/>
    </w:rPr>
  </w:style>
  <w:style w:type="paragraph" w:customStyle="1" w:styleId="237">
    <w:name w:val="xl106"/>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color w:val="FF0000"/>
      <w:kern w:val="0"/>
      <w:sz w:val="20"/>
      <w:szCs w:val="20"/>
    </w:rPr>
  </w:style>
  <w:style w:type="paragraph" w:customStyle="1" w:styleId="238">
    <w:name w:val="xl6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hint="eastAsia" w:ascii="黑体" w:hAnsi="宋体" w:eastAsia="黑体"/>
      <w:kern w:val="0"/>
      <w:sz w:val="20"/>
      <w:szCs w:val="20"/>
    </w:rPr>
  </w:style>
  <w:style w:type="paragraph" w:customStyle="1" w:styleId="239">
    <w:name w:val="xl12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40">
    <w:name w:val="Char19"/>
    <w:basedOn w:val="1"/>
    <w:qFormat/>
    <w:uiPriority w:val="0"/>
    <w:rPr>
      <w:szCs w:val="20"/>
    </w:rPr>
  </w:style>
  <w:style w:type="paragraph" w:customStyle="1" w:styleId="241">
    <w:name w:val="IBM 正文"/>
    <w:basedOn w:val="1"/>
    <w:qFormat/>
    <w:uiPriority w:val="0"/>
    <w:pPr>
      <w:spacing w:line="360" w:lineRule="atLeast"/>
    </w:pPr>
    <w:rPr>
      <w:sz w:val="24"/>
      <w:szCs w:val="20"/>
    </w:rPr>
  </w:style>
  <w:style w:type="paragraph" w:customStyle="1" w:styleId="242">
    <w:name w:val="xl123"/>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3">
    <w:name w:val="xl7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hint="eastAsia" w:ascii="黑体" w:hAnsi="宋体" w:eastAsia="黑体"/>
      <w:kern w:val="0"/>
      <w:sz w:val="20"/>
      <w:szCs w:val="20"/>
    </w:rPr>
  </w:style>
  <w:style w:type="paragraph" w:customStyle="1" w:styleId="244">
    <w:name w:val="2"/>
    <w:basedOn w:val="1"/>
    <w:qFormat/>
    <w:uiPriority w:val="0"/>
    <w:pPr>
      <w:adjustRightInd w:val="0"/>
      <w:spacing w:before="60" w:after="60" w:line="420" w:lineRule="atLeast"/>
      <w:ind w:left="454" w:firstLine="454"/>
      <w:textAlignment w:val="baseline"/>
    </w:pPr>
    <w:rPr>
      <w:kern w:val="0"/>
      <w:position w:val="5"/>
      <w:szCs w:val="20"/>
    </w:rPr>
  </w:style>
  <w:style w:type="paragraph" w:customStyle="1" w:styleId="245">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46">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7">
    <w:name w:val="f1"/>
    <w:basedOn w:val="1"/>
    <w:qFormat/>
    <w:uiPriority w:val="0"/>
    <w:pPr>
      <w:widowControl/>
      <w:spacing w:before="100" w:beforeAutospacing="1" w:after="100" w:afterAutospacing="1"/>
      <w:jc w:val="center"/>
    </w:pPr>
    <w:rPr>
      <w:rFonts w:ascii="Helvetica" w:hAnsi="Helvetica" w:cs="Helvetica"/>
      <w:b/>
      <w:bCs/>
      <w:color w:val="FF8080"/>
      <w:spacing w:val="160"/>
      <w:kern w:val="0"/>
      <w:sz w:val="80"/>
      <w:szCs w:val="80"/>
    </w:rPr>
  </w:style>
  <w:style w:type="paragraph" w:customStyle="1" w:styleId="248">
    <w:name w:val="xl24"/>
    <w:basedOn w:val="1"/>
    <w:qFormat/>
    <w:uiPriority w:val="0"/>
    <w:pPr>
      <w:widowControl/>
      <w:spacing w:before="100" w:beforeAutospacing="1" w:after="100" w:afterAutospacing="1"/>
      <w:jc w:val="left"/>
    </w:pPr>
    <w:rPr>
      <w:rFonts w:ascii="宋体" w:hAnsi="宋体"/>
      <w:kern w:val="0"/>
      <w:sz w:val="22"/>
      <w:szCs w:val="20"/>
    </w:rPr>
  </w:style>
  <w:style w:type="paragraph" w:customStyle="1" w:styleId="249">
    <w:name w:val="xl10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50">
    <w:name w:val="xl50"/>
    <w:basedOn w:val="1"/>
    <w:qFormat/>
    <w:uiPriority w:val="0"/>
    <w:pPr>
      <w:widowControl/>
      <w:pBdr>
        <w:top w:val="single" w:color="auto" w:sz="4" w:space="0"/>
        <w:bottom w:val="single" w:color="auto" w:sz="4" w:space="0"/>
      </w:pBdr>
      <w:spacing w:before="100" w:beforeAutospacing="1" w:after="100" w:afterAutospacing="1"/>
      <w:jc w:val="left"/>
      <w:textAlignment w:val="center"/>
    </w:pPr>
    <w:rPr>
      <w:kern w:val="0"/>
      <w:sz w:val="20"/>
      <w:szCs w:val="20"/>
    </w:rPr>
  </w:style>
  <w:style w:type="paragraph" w:customStyle="1" w:styleId="251">
    <w:name w:val="xl13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宋体" w:hAnsi="宋体" w:cs="宋体"/>
      <w:kern w:val="0"/>
      <w:sz w:val="20"/>
      <w:szCs w:val="20"/>
    </w:rPr>
  </w:style>
  <w:style w:type="paragraph" w:customStyle="1" w:styleId="252">
    <w:name w:val="默认段落字体 Para Char Char Char Char Char Char Char"/>
    <w:basedOn w:val="1"/>
    <w:qFormat/>
    <w:uiPriority w:val="0"/>
    <w:pPr>
      <w:spacing w:line="360" w:lineRule="auto"/>
      <w:ind w:firstLine="200" w:firstLineChars="200"/>
    </w:pPr>
    <w:rPr>
      <w:rFonts w:ascii="Tahoma" w:hAnsi="Tahoma"/>
      <w:sz w:val="24"/>
      <w:szCs w:val="20"/>
    </w:rPr>
  </w:style>
  <w:style w:type="paragraph" w:customStyle="1" w:styleId="253">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0"/>
      <w:szCs w:val="20"/>
    </w:rPr>
  </w:style>
  <w:style w:type="paragraph" w:customStyle="1" w:styleId="254">
    <w:name w:val="xl49"/>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255">
    <w:name w:val="xl157"/>
    <w:basedOn w:val="1"/>
    <w:qFormat/>
    <w:uiPriority w:val="0"/>
    <w:pPr>
      <w:widowControl/>
      <w:pBdr>
        <w:bottom w:val="single" w:color="auto" w:sz="4" w:space="0"/>
      </w:pBdr>
      <w:spacing w:before="100" w:beforeAutospacing="1" w:after="100" w:afterAutospacing="1"/>
      <w:jc w:val="right"/>
    </w:pPr>
    <w:rPr>
      <w:rFonts w:ascii="宋体" w:hAnsi="宋体" w:cs="宋体"/>
      <w:b/>
      <w:bCs/>
      <w:kern w:val="0"/>
      <w:sz w:val="24"/>
    </w:rPr>
  </w:style>
  <w:style w:type="paragraph" w:customStyle="1" w:styleId="256">
    <w:name w:val="标准"/>
    <w:basedOn w:val="1"/>
    <w:qFormat/>
    <w:uiPriority w:val="0"/>
    <w:pPr>
      <w:autoSpaceDE w:val="0"/>
      <w:autoSpaceDN w:val="0"/>
      <w:adjustRightInd w:val="0"/>
      <w:spacing w:line="312" w:lineRule="auto"/>
      <w:jc w:val="center"/>
      <w:textAlignment w:val="baseline"/>
    </w:pPr>
    <w:rPr>
      <w:rFonts w:ascii="宋体" w:hAnsi="宋体" w:cs="Arial Unicode MS"/>
      <w:color w:val="000000"/>
      <w:kern w:val="0"/>
      <w:sz w:val="24"/>
      <w:szCs w:val="20"/>
    </w:rPr>
  </w:style>
  <w:style w:type="paragraph" w:customStyle="1" w:styleId="257">
    <w:name w:val="样式 首行缩进:  0 字符"/>
    <w:basedOn w:val="1"/>
    <w:qFormat/>
    <w:uiPriority w:val="0"/>
    <w:pPr>
      <w:spacing w:line="360" w:lineRule="auto"/>
      <w:ind w:firstLine="200" w:firstLineChars="200"/>
    </w:pPr>
    <w:rPr>
      <w:rFonts w:cs="宋体"/>
      <w:sz w:val="24"/>
      <w:szCs w:val="20"/>
    </w:rPr>
  </w:style>
  <w:style w:type="paragraph" w:customStyle="1" w:styleId="258">
    <w:name w:val="xl25"/>
    <w:basedOn w:val="1"/>
    <w:qFormat/>
    <w:uiPriority w:val="0"/>
    <w:pPr>
      <w:widowControl/>
      <w:spacing w:before="100" w:beforeAutospacing="1" w:after="100" w:afterAutospacing="1"/>
      <w:jc w:val="center"/>
    </w:pPr>
    <w:rPr>
      <w:rFonts w:ascii="宋体" w:hAnsi="宋体" w:cs="Arial Unicode MS"/>
      <w:kern w:val="0"/>
      <w:sz w:val="24"/>
    </w:rPr>
  </w:style>
  <w:style w:type="paragraph" w:customStyle="1" w:styleId="259">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FF0000"/>
      <w:kern w:val="0"/>
      <w:sz w:val="20"/>
      <w:szCs w:val="20"/>
    </w:rPr>
  </w:style>
  <w:style w:type="paragraph" w:customStyle="1" w:styleId="260">
    <w:name w:val="样式"/>
    <w:qFormat/>
    <w:uiPriority w:val="0"/>
    <w:pPr>
      <w:widowControl w:val="0"/>
      <w:adjustRightInd w:val="0"/>
      <w:spacing w:line="360" w:lineRule="auto"/>
      <w:ind w:firstLine="482"/>
      <w:jc w:val="both"/>
      <w:textAlignment w:val="baseline"/>
    </w:pPr>
    <w:rPr>
      <w:rFonts w:ascii="Times New Roman" w:hAnsi="Times New Roman" w:eastAsia="宋体" w:cs="Times New Roman"/>
      <w:sz w:val="24"/>
      <w:lang w:val="en-US" w:eastAsia="zh-CN" w:bidi="ar-SA"/>
    </w:rPr>
  </w:style>
  <w:style w:type="paragraph" w:customStyle="1" w:styleId="261">
    <w:name w:val="修订1"/>
    <w:qFormat/>
    <w:uiPriority w:val="0"/>
    <w:rPr>
      <w:rFonts w:ascii="Times New Roman" w:hAnsi="Times New Roman" w:eastAsia="宋体" w:cs="Times New Roman"/>
      <w:kern w:val="2"/>
      <w:sz w:val="21"/>
      <w:szCs w:val="24"/>
      <w:lang w:val="en-US" w:eastAsia="zh-CN" w:bidi="ar-SA"/>
    </w:rPr>
  </w:style>
  <w:style w:type="paragraph" w:customStyle="1" w:styleId="262">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63">
    <w:name w:val="正文文本样式 加粗"/>
    <w:basedOn w:val="76"/>
    <w:qFormat/>
    <w:uiPriority w:val="0"/>
    <w:rPr>
      <w:b/>
    </w:rPr>
  </w:style>
  <w:style w:type="paragraph" w:customStyle="1" w:styleId="264">
    <w:name w:val="封面标准文稿类别"/>
    <w:qFormat/>
    <w:uiPriority w:val="0"/>
    <w:pPr>
      <w:spacing w:before="440" w:line="400" w:lineRule="exact"/>
      <w:jc w:val="center"/>
    </w:pPr>
    <w:rPr>
      <w:rFonts w:ascii="宋体" w:hAnsi="宋体" w:eastAsia="宋体" w:cs="Times New Roman"/>
      <w:sz w:val="24"/>
      <w:lang w:val="en-US" w:eastAsia="zh-CN" w:bidi="ar-SA"/>
    </w:rPr>
  </w:style>
  <w:style w:type="paragraph" w:customStyle="1" w:styleId="265">
    <w:name w:val="xl8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66">
    <w:name w:val="1"/>
    <w:basedOn w:val="1"/>
    <w:next w:val="29"/>
    <w:qFormat/>
    <w:uiPriority w:val="0"/>
    <w:rPr>
      <w:rFonts w:ascii="宋体" w:hAnsi="宋体" w:cs="Arial Unicode MS"/>
      <w:szCs w:val="20"/>
    </w:rPr>
  </w:style>
  <w:style w:type="paragraph" w:customStyle="1" w:styleId="267">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68">
    <w:name w:val="xl27"/>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269">
    <w:name w:val="样式 小四 行距: 1.5 倍行距 首行缩进:  2 字符"/>
    <w:basedOn w:val="1"/>
    <w:qFormat/>
    <w:uiPriority w:val="0"/>
    <w:pPr>
      <w:spacing w:line="360" w:lineRule="auto"/>
      <w:ind w:firstLine="480" w:firstLineChars="200"/>
    </w:pPr>
    <w:rPr>
      <w:rFonts w:cs="宋体"/>
      <w:sz w:val="24"/>
      <w:szCs w:val="20"/>
    </w:rPr>
  </w:style>
  <w:style w:type="paragraph" w:customStyle="1" w:styleId="270">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71">
    <w:name w:val="xl59"/>
    <w:basedOn w:val="1"/>
    <w:qFormat/>
    <w:uiPriority w:val="0"/>
    <w:pPr>
      <w:widowControl/>
      <w:spacing w:before="100" w:beforeAutospacing="1" w:after="100" w:afterAutospacing="1"/>
      <w:jc w:val="center"/>
    </w:pPr>
    <w:rPr>
      <w:rFonts w:hint="eastAsia" w:ascii="黑体" w:hAnsi="宋体" w:eastAsia="黑体"/>
      <w:kern w:val="0"/>
      <w:sz w:val="36"/>
      <w:szCs w:val="20"/>
    </w:rPr>
  </w:style>
  <w:style w:type="paragraph" w:customStyle="1" w:styleId="272">
    <w:name w:val="表1"/>
    <w:basedOn w:val="1"/>
    <w:qFormat/>
    <w:uiPriority w:val="0"/>
    <w:pPr>
      <w:tabs>
        <w:tab w:val="left" w:pos="780"/>
      </w:tabs>
      <w:overflowPunct w:val="0"/>
      <w:autoSpaceDE w:val="0"/>
      <w:autoSpaceDN w:val="0"/>
      <w:adjustRightInd w:val="0"/>
      <w:spacing w:before="200" w:line="320" w:lineRule="atLeast"/>
      <w:textAlignment w:val="baseline"/>
    </w:pPr>
    <w:rPr>
      <w:kern w:val="0"/>
      <w:sz w:val="24"/>
      <w:szCs w:val="20"/>
    </w:rPr>
  </w:style>
  <w:style w:type="paragraph" w:customStyle="1" w:styleId="273">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74">
    <w:name w:val="_Style 103"/>
    <w:basedOn w:val="1"/>
    <w:next w:val="14"/>
    <w:qFormat/>
    <w:uiPriority w:val="0"/>
    <w:pPr>
      <w:ind w:firstLine="420"/>
    </w:pPr>
    <w:rPr>
      <w:rFonts w:eastAsia="仿宋_GB2312"/>
      <w:sz w:val="32"/>
      <w:szCs w:val="20"/>
    </w:rPr>
  </w:style>
  <w:style w:type="paragraph" w:customStyle="1" w:styleId="275">
    <w:name w:val="font9"/>
    <w:basedOn w:val="1"/>
    <w:qFormat/>
    <w:uiPriority w:val="0"/>
    <w:pPr>
      <w:widowControl/>
      <w:spacing w:before="100" w:beforeAutospacing="1" w:after="100" w:afterAutospacing="1"/>
      <w:jc w:val="left"/>
    </w:pPr>
    <w:rPr>
      <w:kern w:val="0"/>
      <w:sz w:val="20"/>
      <w:szCs w:val="20"/>
    </w:rPr>
  </w:style>
  <w:style w:type="paragraph" w:customStyle="1" w:styleId="276">
    <w:name w:val="xl142"/>
    <w:basedOn w:val="1"/>
    <w:qFormat/>
    <w:uiPriority w:val="0"/>
    <w:pPr>
      <w:widowControl/>
      <w:pBdr>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277">
    <w:name w:val="CCTV文档正文"/>
    <w:basedOn w:val="1"/>
    <w:qFormat/>
    <w:uiPriority w:val="0"/>
    <w:pPr>
      <w:spacing w:line="360" w:lineRule="auto"/>
      <w:jc w:val="left"/>
    </w:pPr>
    <w:rPr>
      <w:sz w:val="24"/>
      <w:szCs w:val="21"/>
    </w:rPr>
  </w:style>
  <w:style w:type="paragraph" w:customStyle="1" w:styleId="278">
    <w:name w:val="列出段落2"/>
    <w:basedOn w:val="1"/>
    <w:qFormat/>
    <w:uiPriority w:val="0"/>
    <w:pPr>
      <w:ind w:firstLine="420" w:firstLineChars="200"/>
    </w:pPr>
    <w:rPr>
      <w:rFonts w:ascii="Calibri" w:hAnsi="Calibri"/>
      <w:szCs w:val="22"/>
    </w:rPr>
  </w:style>
  <w:style w:type="paragraph" w:customStyle="1" w:styleId="279">
    <w:name w:val="标准正文"/>
    <w:basedOn w:val="21"/>
    <w:qFormat/>
    <w:uiPriority w:val="0"/>
    <w:pPr>
      <w:widowControl/>
      <w:autoSpaceDE/>
      <w:autoSpaceDN/>
      <w:adjustRightInd/>
      <w:spacing w:beforeLines="50" w:afterLines="50"/>
      <w:ind w:firstLine="482"/>
      <w:jc w:val="both"/>
    </w:pPr>
    <w:rPr>
      <w:rFonts w:ascii="Arial" w:hAnsi="Arial" w:eastAsia="宋体"/>
      <w:b w:val="0"/>
      <w:bCs w:val="0"/>
      <w:color w:val="auto"/>
      <w:kern w:val="2"/>
      <w:sz w:val="24"/>
      <w:szCs w:val="20"/>
    </w:rPr>
  </w:style>
  <w:style w:type="paragraph" w:customStyle="1" w:styleId="280">
    <w:name w:val="xl46"/>
    <w:basedOn w:val="1"/>
    <w:qFormat/>
    <w:uiPriority w:val="0"/>
    <w:pPr>
      <w:widowControl/>
      <w:spacing w:before="100" w:beforeAutospacing="1" w:after="100" w:afterAutospacing="1"/>
      <w:jc w:val="center"/>
      <w:textAlignment w:val="center"/>
    </w:pPr>
    <w:rPr>
      <w:kern w:val="0"/>
      <w:sz w:val="20"/>
      <w:szCs w:val="20"/>
    </w:rPr>
  </w:style>
  <w:style w:type="paragraph" w:customStyle="1" w:styleId="281">
    <w:name w:val="Char Char Char Char Char Char Char Char"/>
    <w:basedOn w:val="1"/>
    <w:qFormat/>
    <w:uiPriority w:val="0"/>
    <w:rPr>
      <w:rFonts w:eastAsia="仿宋_GB2312"/>
      <w:sz w:val="28"/>
    </w:rPr>
  </w:style>
  <w:style w:type="paragraph" w:customStyle="1" w:styleId="282">
    <w:name w:val="font10"/>
    <w:basedOn w:val="1"/>
    <w:qFormat/>
    <w:uiPriority w:val="0"/>
    <w:pPr>
      <w:widowControl/>
      <w:spacing w:before="100" w:beforeAutospacing="1" w:after="100" w:afterAutospacing="1"/>
      <w:jc w:val="left"/>
    </w:pPr>
    <w:rPr>
      <w:kern w:val="0"/>
      <w:sz w:val="22"/>
      <w:szCs w:val="20"/>
    </w:rPr>
  </w:style>
  <w:style w:type="paragraph" w:customStyle="1" w:styleId="283">
    <w:name w:val="xl55"/>
    <w:basedOn w:val="1"/>
    <w:qFormat/>
    <w:uiPriority w:val="0"/>
    <w:pPr>
      <w:widowControl/>
      <w:pBdr>
        <w:top w:val="single" w:color="auto" w:sz="4" w:space="0"/>
        <w:bottom w:val="single" w:color="auto" w:sz="4" w:space="0"/>
      </w:pBdr>
      <w:spacing w:before="100" w:beforeAutospacing="1" w:after="100" w:afterAutospacing="1"/>
      <w:jc w:val="left"/>
      <w:textAlignment w:val="center"/>
    </w:pPr>
    <w:rPr>
      <w:kern w:val="0"/>
      <w:sz w:val="18"/>
      <w:szCs w:val="20"/>
    </w:rPr>
  </w:style>
  <w:style w:type="paragraph" w:customStyle="1" w:styleId="284">
    <w:name w:val="标题6"/>
    <w:basedOn w:val="1"/>
    <w:next w:val="3"/>
    <w:qFormat/>
    <w:uiPriority w:val="0"/>
    <w:pPr>
      <w:widowControl/>
      <w:snapToGrid w:val="0"/>
      <w:spacing w:beforeLines="50" w:afterLines="50" w:line="520" w:lineRule="atLeast"/>
      <w:ind w:firstLine="200" w:firstLineChars="200"/>
    </w:pPr>
  </w:style>
  <w:style w:type="paragraph" w:customStyle="1" w:styleId="285">
    <w:name w:val="正文文本缩进 31"/>
    <w:basedOn w:val="1"/>
    <w:qFormat/>
    <w:uiPriority w:val="0"/>
    <w:pPr>
      <w:adjustRightInd w:val="0"/>
      <w:spacing w:line="360" w:lineRule="auto"/>
      <w:ind w:firstLine="420"/>
      <w:textAlignment w:val="baseline"/>
    </w:pPr>
    <w:rPr>
      <w:sz w:val="24"/>
      <w:szCs w:val="20"/>
    </w:rPr>
  </w:style>
  <w:style w:type="paragraph" w:customStyle="1" w:styleId="286">
    <w:name w:val="xl154"/>
    <w:basedOn w:val="1"/>
    <w:qFormat/>
    <w:uiPriority w:val="0"/>
    <w:pPr>
      <w:widowControl/>
      <w:pBdr>
        <w:right w:val="single" w:color="auto" w:sz="4" w:space="0"/>
      </w:pBdr>
      <w:spacing w:before="100" w:beforeAutospacing="1" w:after="100" w:afterAutospacing="1"/>
      <w:jc w:val="center"/>
    </w:pPr>
    <w:rPr>
      <w:rFonts w:ascii="宋体" w:hAnsi="宋体" w:cs="宋体"/>
      <w:b/>
      <w:bCs/>
      <w:color w:val="000000"/>
      <w:kern w:val="0"/>
      <w:sz w:val="20"/>
      <w:szCs w:val="20"/>
    </w:rPr>
  </w:style>
  <w:style w:type="paragraph" w:customStyle="1" w:styleId="287">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88">
    <w:name w:val="xl108"/>
    <w:basedOn w:val="1"/>
    <w:qFormat/>
    <w:uiPriority w:val="0"/>
    <w:pPr>
      <w:widowControl/>
      <w:pBdr>
        <w:top w:val="single" w:color="auto" w:sz="4" w:space="0"/>
        <w:lef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89">
    <w:name w:val="font11"/>
    <w:basedOn w:val="1"/>
    <w:qFormat/>
    <w:uiPriority w:val="0"/>
    <w:pPr>
      <w:widowControl/>
      <w:spacing w:before="100" w:beforeAutospacing="1" w:after="100" w:afterAutospacing="1"/>
      <w:jc w:val="left"/>
    </w:pPr>
    <w:rPr>
      <w:kern w:val="0"/>
      <w:sz w:val="36"/>
      <w:szCs w:val="20"/>
    </w:rPr>
  </w:style>
  <w:style w:type="paragraph" w:customStyle="1" w:styleId="290">
    <w:name w:val="xl13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b/>
      <w:bCs/>
      <w:color w:val="000000"/>
      <w:kern w:val="0"/>
      <w:sz w:val="20"/>
      <w:szCs w:val="20"/>
    </w:rPr>
  </w:style>
  <w:style w:type="paragraph" w:customStyle="1" w:styleId="291">
    <w:name w:val="说明书2级标题"/>
    <w:basedOn w:val="1"/>
    <w:next w:val="207"/>
    <w:qFormat/>
    <w:uiPriority w:val="0"/>
    <w:pPr>
      <w:numPr>
        <w:ilvl w:val="2"/>
        <w:numId w:val="8"/>
      </w:numPr>
      <w:spacing w:beforeLines="100"/>
    </w:pPr>
    <w:rPr>
      <w:rFonts w:eastAsia="黑体"/>
      <w:sz w:val="28"/>
      <w:szCs w:val="28"/>
    </w:rPr>
  </w:style>
  <w:style w:type="paragraph" w:customStyle="1" w:styleId="292">
    <w:name w:val="xl152"/>
    <w:basedOn w:val="1"/>
    <w:qFormat/>
    <w:uiPriority w:val="0"/>
    <w:pPr>
      <w:widowControl/>
      <w:pBdr>
        <w:top w:val="single" w:color="auto" w:sz="4" w:space="0"/>
        <w:left w:val="single" w:color="auto" w:sz="4" w:space="0"/>
        <w:bottom w:val="single" w:color="auto" w:sz="4" w:space="0"/>
      </w:pBdr>
      <w:shd w:val="clear" w:color="000000" w:fill="E7E6E6"/>
      <w:spacing w:before="100" w:beforeAutospacing="1" w:after="100" w:afterAutospacing="1"/>
      <w:jc w:val="center"/>
    </w:pPr>
    <w:rPr>
      <w:rFonts w:ascii="宋体" w:hAnsi="宋体" w:cs="宋体"/>
      <w:b/>
      <w:bCs/>
      <w:color w:val="000000"/>
      <w:kern w:val="0"/>
      <w:sz w:val="20"/>
      <w:szCs w:val="20"/>
    </w:rPr>
  </w:style>
  <w:style w:type="paragraph" w:customStyle="1" w:styleId="293">
    <w:name w:val="p"/>
    <w:basedOn w:val="1"/>
    <w:qFormat/>
    <w:uiPriority w:val="0"/>
    <w:pPr>
      <w:widowControl/>
      <w:spacing w:after="167"/>
      <w:jc w:val="left"/>
    </w:pPr>
    <w:rPr>
      <w:rFonts w:ascii="宋体" w:hAnsi="宋体" w:cs="宋体"/>
      <w:kern w:val="0"/>
      <w:sz w:val="24"/>
    </w:rPr>
  </w:style>
  <w:style w:type="paragraph" w:customStyle="1" w:styleId="294">
    <w:name w:val="font0"/>
    <w:basedOn w:val="1"/>
    <w:qFormat/>
    <w:uiPriority w:val="0"/>
    <w:pPr>
      <w:widowControl/>
      <w:spacing w:before="100" w:beforeAutospacing="1" w:after="100" w:afterAutospacing="1"/>
      <w:jc w:val="left"/>
    </w:pPr>
    <w:rPr>
      <w:rFonts w:hint="eastAsia" w:ascii="宋体" w:hAnsi="宋体"/>
      <w:kern w:val="0"/>
      <w:sz w:val="24"/>
      <w:szCs w:val="20"/>
    </w:rPr>
  </w:style>
  <w:style w:type="paragraph" w:customStyle="1" w:styleId="295">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96">
    <w:name w:val="Char Char Char Char Char Char1 Char Char Char Char Char Char Char Char Char Char Char Char"/>
    <w:basedOn w:val="1"/>
    <w:qFormat/>
    <w:uiPriority w:val="0"/>
    <w:pPr>
      <w:adjustRightInd w:val="0"/>
      <w:spacing w:line="360" w:lineRule="auto"/>
    </w:pPr>
    <w:rPr>
      <w:rFonts w:eastAsia="Times New Roman"/>
      <w:kern w:val="0"/>
      <w:sz w:val="20"/>
      <w:szCs w:val="20"/>
    </w:rPr>
  </w:style>
  <w:style w:type="paragraph" w:customStyle="1" w:styleId="297">
    <w:name w:val="xl14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color w:val="000000"/>
      <w:kern w:val="0"/>
      <w:sz w:val="20"/>
      <w:szCs w:val="20"/>
    </w:rPr>
  </w:style>
  <w:style w:type="paragraph" w:customStyle="1" w:styleId="298">
    <w:name w:val="xl9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99">
    <w:name w:val="font12"/>
    <w:basedOn w:val="1"/>
    <w:qFormat/>
    <w:uiPriority w:val="0"/>
    <w:pPr>
      <w:widowControl/>
      <w:spacing w:before="100" w:beforeAutospacing="1" w:after="100" w:afterAutospacing="1"/>
      <w:jc w:val="left"/>
    </w:pPr>
    <w:rPr>
      <w:kern w:val="0"/>
      <w:sz w:val="18"/>
      <w:szCs w:val="20"/>
    </w:rPr>
  </w:style>
  <w:style w:type="paragraph" w:customStyle="1" w:styleId="300">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01">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黑体" w:hAnsi="宋体" w:eastAsia="黑体"/>
      <w:kern w:val="0"/>
      <w:sz w:val="20"/>
      <w:szCs w:val="20"/>
    </w:rPr>
  </w:style>
  <w:style w:type="paragraph" w:customStyle="1" w:styleId="302">
    <w:name w:val="xl134"/>
    <w:basedOn w:val="1"/>
    <w:qFormat/>
    <w:uiPriority w:val="0"/>
    <w:pPr>
      <w:widowControl/>
      <w:pBdr>
        <w:top w:val="single" w:color="auto" w:sz="4" w:space="0"/>
        <w:left w:val="single" w:color="auto" w:sz="4" w:space="0"/>
        <w:bottom w:val="single" w:color="auto" w:sz="4" w:space="0"/>
      </w:pBdr>
      <w:shd w:val="clear" w:color="auto" w:fill="C0C0C0"/>
      <w:spacing w:before="100" w:beforeAutospacing="1" w:after="100" w:afterAutospacing="1"/>
      <w:jc w:val="center"/>
      <w:textAlignment w:val="center"/>
    </w:pPr>
    <w:rPr>
      <w:b/>
      <w:bCs/>
      <w:kern w:val="0"/>
      <w:sz w:val="20"/>
      <w:szCs w:val="20"/>
    </w:rPr>
  </w:style>
  <w:style w:type="paragraph" w:customStyle="1" w:styleId="303">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304">
    <w:name w:val="Body Text(ch)"/>
    <w:basedOn w:val="1"/>
    <w:next w:val="2"/>
    <w:qFormat/>
    <w:uiPriority w:val="0"/>
    <w:pPr>
      <w:spacing w:line="500" w:lineRule="exact"/>
      <w:jc w:val="center"/>
    </w:pPr>
    <w:rPr>
      <w:szCs w:val="20"/>
    </w:rPr>
  </w:style>
  <w:style w:type="paragraph" w:customStyle="1" w:styleId="305">
    <w:name w:val="p0"/>
    <w:basedOn w:val="1"/>
    <w:qFormat/>
    <w:uiPriority w:val="0"/>
    <w:pPr>
      <w:widowControl/>
      <w:spacing w:line="520" w:lineRule="atLeast"/>
    </w:pPr>
    <w:rPr>
      <w:kern w:val="0"/>
      <w:sz w:val="28"/>
      <w:szCs w:val="28"/>
    </w:rPr>
  </w:style>
  <w:style w:type="paragraph" w:customStyle="1" w:styleId="306">
    <w:name w:val="xl118"/>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307">
    <w:name w:val="font8"/>
    <w:basedOn w:val="1"/>
    <w:qFormat/>
    <w:uiPriority w:val="0"/>
    <w:pPr>
      <w:widowControl/>
      <w:spacing w:before="100" w:beforeAutospacing="1" w:after="100" w:afterAutospacing="1"/>
      <w:jc w:val="left"/>
    </w:pPr>
    <w:rPr>
      <w:rFonts w:hint="eastAsia" w:ascii="宋体" w:hAnsi="宋体"/>
      <w:kern w:val="0"/>
      <w:sz w:val="20"/>
      <w:szCs w:val="20"/>
    </w:rPr>
  </w:style>
  <w:style w:type="paragraph" w:customStyle="1" w:styleId="308">
    <w:name w:val="Char1 Char Char Char"/>
    <w:basedOn w:val="1"/>
    <w:qFormat/>
    <w:uiPriority w:val="0"/>
    <w:rPr>
      <w:rFonts w:eastAsia="仿宋_GB2312"/>
      <w:sz w:val="28"/>
      <w:szCs w:val="20"/>
    </w:rPr>
  </w:style>
  <w:style w:type="paragraph" w:customStyle="1" w:styleId="309">
    <w:name w:val="Char"/>
    <w:basedOn w:val="1"/>
    <w:qFormat/>
    <w:uiPriority w:val="0"/>
    <w:pPr>
      <w:widowControl/>
      <w:spacing w:after="160" w:line="240" w:lineRule="exact"/>
      <w:jc w:val="left"/>
    </w:pPr>
    <w:rPr>
      <w:rFonts w:ascii="Verdana" w:hAnsi="Verdana" w:eastAsia="仿宋_GB2312" w:cs="Arial Unicode MS"/>
      <w:kern w:val="0"/>
      <w:sz w:val="24"/>
      <w:szCs w:val="20"/>
      <w:lang w:eastAsia="en-US"/>
    </w:rPr>
  </w:style>
  <w:style w:type="paragraph" w:customStyle="1" w:styleId="310">
    <w:name w:val="xl88"/>
    <w:basedOn w:val="1"/>
    <w:qFormat/>
    <w:uiPriority w:val="0"/>
    <w:pPr>
      <w:widowControl/>
      <w:pBdr>
        <w:top w:val="single" w:color="auto" w:sz="4" w:space="0"/>
        <w:left w:val="single" w:color="auto" w:sz="4" w:space="0"/>
        <w:bottom w:val="single" w:color="auto" w:sz="4" w:space="0"/>
      </w:pBdr>
      <w:shd w:val="clear" w:color="auto" w:fill="FFFFFF"/>
      <w:spacing w:before="100" w:beforeAutospacing="1" w:after="100" w:afterAutospacing="1"/>
      <w:jc w:val="left"/>
      <w:textAlignment w:val="center"/>
    </w:pPr>
    <w:rPr>
      <w:rFonts w:ascii="宋体" w:hAnsi="宋体" w:cs="宋体"/>
      <w:kern w:val="0"/>
      <w:sz w:val="20"/>
      <w:szCs w:val="20"/>
    </w:rPr>
  </w:style>
  <w:style w:type="paragraph" w:customStyle="1" w:styleId="311">
    <w:name w:val="xl11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12">
    <w:name w:val="xl75"/>
    <w:basedOn w:val="1"/>
    <w:qFormat/>
    <w:uiPriority w:val="0"/>
    <w:pPr>
      <w:widowControl/>
      <w:spacing w:before="100" w:beforeAutospacing="1" w:after="100" w:afterAutospacing="1"/>
      <w:jc w:val="center"/>
    </w:pPr>
    <w:rPr>
      <w:rFonts w:hint="eastAsia" w:ascii="黑体" w:hAnsi="宋体" w:eastAsia="黑体"/>
      <w:kern w:val="0"/>
      <w:sz w:val="36"/>
      <w:szCs w:val="20"/>
    </w:rPr>
  </w:style>
  <w:style w:type="paragraph" w:customStyle="1" w:styleId="313">
    <w:name w:val="xl140"/>
    <w:basedOn w:val="1"/>
    <w:qFormat/>
    <w:uiPriority w:val="0"/>
    <w:pPr>
      <w:widowControl/>
      <w:pBdr>
        <w:top w:val="single" w:color="auto" w:sz="4" w:space="0"/>
        <w:left w:val="single" w:color="auto" w:sz="4" w:space="0"/>
        <w:right w:val="single" w:color="auto" w:sz="4" w:space="0"/>
      </w:pBdr>
      <w:shd w:val="clear" w:color="000000" w:fill="E7E6E6"/>
      <w:spacing w:before="100" w:beforeAutospacing="1" w:after="100" w:afterAutospacing="1"/>
      <w:jc w:val="center"/>
    </w:pPr>
    <w:rPr>
      <w:rFonts w:ascii="宋体" w:hAnsi="宋体" w:cs="宋体"/>
      <w:b/>
      <w:bCs/>
      <w:color w:val="000000"/>
      <w:kern w:val="0"/>
      <w:sz w:val="20"/>
      <w:szCs w:val="20"/>
    </w:rPr>
  </w:style>
  <w:style w:type="paragraph" w:customStyle="1" w:styleId="314">
    <w:name w:val="xl156"/>
    <w:basedOn w:val="1"/>
    <w:qFormat/>
    <w:uiPriority w:val="0"/>
    <w:pPr>
      <w:widowControl/>
      <w:spacing w:before="100" w:beforeAutospacing="1" w:after="100" w:afterAutospacing="1"/>
      <w:jc w:val="center"/>
    </w:pPr>
    <w:rPr>
      <w:rFonts w:ascii="宋体" w:hAnsi="宋体" w:cs="宋体"/>
      <w:b/>
      <w:bCs/>
      <w:kern w:val="0"/>
      <w:sz w:val="36"/>
      <w:szCs w:val="36"/>
    </w:rPr>
  </w:style>
  <w:style w:type="paragraph" w:customStyle="1" w:styleId="315">
    <w:name w:val="xl11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316">
    <w:name w:val="xl68"/>
    <w:basedOn w:val="1"/>
    <w:qFormat/>
    <w:uiPriority w:val="0"/>
    <w:pPr>
      <w:widowControl/>
      <w:pBdr>
        <w:top w:val="single" w:color="auto" w:sz="4" w:space="0"/>
      </w:pBdr>
      <w:spacing w:before="100" w:beforeAutospacing="1" w:after="100" w:afterAutospacing="1"/>
      <w:jc w:val="left"/>
      <w:textAlignment w:val="top"/>
    </w:pPr>
    <w:rPr>
      <w:rFonts w:ascii="宋体" w:hAnsi="宋体"/>
      <w:kern w:val="0"/>
      <w:sz w:val="20"/>
      <w:szCs w:val="20"/>
    </w:rPr>
  </w:style>
  <w:style w:type="paragraph" w:customStyle="1" w:styleId="317">
    <w:name w:val="目录3"/>
    <w:basedOn w:val="1"/>
    <w:qFormat/>
    <w:uiPriority w:val="0"/>
    <w:pPr>
      <w:adjustRightInd w:val="0"/>
      <w:spacing w:line="420" w:lineRule="atLeast"/>
      <w:ind w:left="454" w:firstLine="425"/>
      <w:jc w:val="left"/>
      <w:textAlignment w:val="baseline"/>
    </w:pPr>
    <w:rPr>
      <w:kern w:val="0"/>
      <w:szCs w:val="20"/>
    </w:rPr>
  </w:style>
  <w:style w:type="paragraph" w:customStyle="1" w:styleId="318">
    <w:name w:val="列出段落3"/>
    <w:basedOn w:val="1"/>
    <w:qFormat/>
    <w:uiPriority w:val="0"/>
    <w:pPr>
      <w:ind w:firstLine="420" w:firstLineChars="200"/>
    </w:pPr>
    <w:rPr>
      <w:rFonts w:ascii="Calibri" w:hAnsi="Calibri"/>
      <w:szCs w:val="22"/>
    </w:rPr>
  </w:style>
  <w:style w:type="paragraph" w:customStyle="1" w:styleId="319">
    <w:name w:val="a-标题2"/>
    <w:basedOn w:val="1"/>
    <w:qFormat/>
    <w:uiPriority w:val="0"/>
    <w:pPr>
      <w:spacing w:line="440" w:lineRule="exact"/>
      <w:jc w:val="left"/>
    </w:pPr>
    <w:rPr>
      <w:rFonts w:ascii="楷体_GB2312" w:hAnsi="Arial Unicode MS" w:eastAsia="楷体_GB2312" w:cs="Arial Unicode MS"/>
      <w:b/>
      <w:sz w:val="30"/>
      <w:szCs w:val="20"/>
    </w:rPr>
  </w:style>
  <w:style w:type="paragraph" w:customStyle="1" w:styleId="320">
    <w:name w:val="xl110"/>
    <w:basedOn w:val="1"/>
    <w:qFormat/>
    <w:uiPriority w:val="0"/>
    <w:pPr>
      <w:widowControl/>
      <w:pBdr>
        <w:top w:val="single" w:color="auto" w:sz="4" w:space="0"/>
        <w:lef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21">
    <w:name w:val="xl42"/>
    <w:basedOn w:val="1"/>
    <w:qFormat/>
    <w:uiPriority w:val="0"/>
    <w:pPr>
      <w:widowControl/>
      <w:spacing w:before="100" w:beforeAutospacing="1" w:after="100" w:afterAutospacing="1"/>
      <w:jc w:val="center"/>
      <w:textAlignment w:val="center"/>
    </w:pPr>
    <w:rPr>
      <w:rFonts w:ascii="宋体" w:hAnsi="宋体"/>
      <w:kern w:val="0"/>
      <w:sz w:val="20"/>
      <w:szCs w:val="20"/>
    </w:rPr>
  </w:style>
  <w:style w:type="paragraph" w:customStyle="1" w:styleId="322">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323">
    <w:name w:val="二级-章"/>
    <w:qFormat/>
    <w:uiPriority w:val="0"/>
    <w:pPr>
      <w:tabs>
        <w:tab w:val="left" w:pos="1000"/>
      </w:tabs>
      <w:ind w:left="1000" w:hanging="360"/>
      <w:jc w:val="center"/>
      <w:outlineLvl w:val="1"/>
    </w:pPr>
    <w:rPr>
      <w:rFonts w:ascii="黑体" w:hAnsi="Times New Roman" w:eastAsia="黑体" w:cs="Times New Roman"/>
      <w:sz w:val="36"/>
      <w:szCs w:val="36"/>
      <w:lang w:val="en-US" w:eastAsia="zh-CN" w:bidi="ar-SA"/>
    </w:rPr>
  </w:style>
  <w:style w:type="paragraph" w:customStyle="1" w:styleId="324">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黑体" w:hAnsi="宋体" w:eastAsia="黑体"/>
      <w:kern w:val="0"/>
      <w:sz w:val="20"/>
      <w:szCs w:val="20"/>
    </w:rPr>
  </w:style>
  <w:style w:type="paragraph" w:customStyle="1" w:styleId="325">
    <w:name w:val="正文文本 21"/>
    <w:basedOn w:val="1"/>
    <w:qFormat/>
    <w:uiPriority w:val="0"/>
    <w:pPr>
      <w:adjustRightInd w:val="0"/>
      <w:spacing w:line="300" w:lineRule="auto"/>
      <w:jc w:val="center"/>
    </w:pPr>
    <w:rPr>
      <w:rFonts w:hint="eastAsia" w:ascii="宋体" w:hAnsi="宋体"/>
      <w:sz w:val="24"/>
      <w:szCs w:val="20"/>
    </w:rPr>
  </w:style>
  <w:style w:type="paragraph" w:customStyle="1" w:styleId="326">
    <w:name w:val="xl74"/>
    <w:basedOn w:val="1"/>
    <w:qFormat/>
    <w:uiPriority w:val="0"/>
    <w:pPr>
      <w:widowControl/>
      <w:spacing w:before="100" w:beforeAutospacing="1" w:after="100" w:afterAutospacing="1"/>
      <w:jc w:val="left"/>
    </w:pPr>
    <w:rPr>
      <w:kern w:val="0"/>
      <w:sz w:val="24"/>
      <w:szCs w:val="20"/>
    </w:rPr>
  </w:style>
  <w:style w:type="paragraph" w:customStyle="1" w:styleId="327">
    <w:name w:val="页眉1"/>
    <w:basedOn w:val="1"/>
    <w:qFormat/>
    <w:uiPriority w:val="0"/>
    <w:pPr>
      <w:widowControl/>
      <w:pBdr>
        <w:bottom w:val="single" w:color="auto" w:sz="6" w:space="1"/>
      </w:pBdr>
      <w:tabs>
        <w:tab w:val="center" w:pos="4153"/>
        <w:tab w:val="right" w:pos="8306"/>
      </w:tabs>
      <w:snapToGrid w:val="0"/>
      <w:spacing w:beforeLines="50" w:afterLines="50"/>
      <w:jc w:val="center"/>
    </w:pPr>
    <w:rPr>
      <w:sz w:val="18"/>
      <w:szCs w:val="18"/>
    </w:rPr>
  </w:style>
  <w:style w:type="paragraph" w:customStyle="1" w:styleId="328">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329">
    <w:name w:val="项目编号1"/>
    <w:basedOn w:val="1"/>
    <w:qFormat/>
    <w:uiPriority w:val="0"/>
    <w:pPr>
      <w:numPr>
        <w:ilvl w:val="0"/>
        <w:numId w:val="5"/>
      </w:numPr>
      <w:spacing w:before="100" w:beforeAutospacing="1" w:after="100" w:afterAutospacing="1" w:line="360" w:lineRule="auto"/>
    </w:pPr>
    <w:rPr>
      <w:sz w:val="24"/>
    </w:rPr>
  </w:style>
  <w:style w:type="paragraph" w:customStyle="1" w:styleId="330">
    <w:name w:val="TOC 标题1"/>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331">
    <w:name w:val="font15"/>
    <w:basedOn w:val="1"/>
    <w:qFormat/>
    <w:uiPriority w:val="0"/>
    <w:pPr>
      <w:widowControl/>
      <w:spacing w:before="100" w:beforeAutospacing="1" w:after="100" w:afterAutospacing="1"/>
      <w:jc w:val="left"/>
    </w:pPr>
    <w:rPr>
      <w:rFonts w:ascii="宋体" w:hAnsi="宋体" w:cs="宋体"/>
      <w:color w:val="DD0806"/>
      <w:kern w:val="0"/>
      <w:sz w:val="20"/>
      <w:szCs w:val="20"/>
    </w:rPr>
  </w:style>
  <w:style w:type="paragraph" w:customStyle="1" w:styleId="332">
    <w:name w:val="Char Char Char Char Char Char Char"/>
    <w:basedOn w:val="1"/>
    <w:qFormat/>
    <w:uiPriority w:val="0"/>
    <w:rPr>
      <w:szCs w:val="20"/>
    </w:rPr>
  </w:style>
  <w:style w:type="paragraph" w:customStyle="1" w:styleId="333">
    <w:name w:val="font20"/>
    <w:basedOn w:val="1"/>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334">
    <w:name w:val="xl155"/>
    <w:basedOn w:val="1"/>
    <w:qFormat/>
    <w:uiPriority w:val="0"/>
    <w:pPr>
      <w:widowControl/>
      <w:pBdr>
        <w:top w:val="single" w:color="auto" w:sz="4" w:space="0"/>
        <w:right w:val="single" w:color="auto" w:sz="4" w:space="0"/>
      </w:pBdr>
      <w:spacing w:before="100" w:beforeAutospacing="1" w:after="100" w:afterAutospacing="1"/>
      <w:jc w:val="center"/>
    </w:pPr>
    <w:rPr>
      <w:rFonts w:ascii="宋体" w:hAnsi="宋体" w:cs="宋体"/>
      <w:b/>
      <w:bCs/>
      <w:color w:val="000000"/>
      <w:kern w:val="0"/>
      <w:sz w:val="20"/>
      <w:szCs w:val="20"/>
    </w:rPr>
  </w:style>
  <w:style w:type="paragraph" w:customStyle="1" w:styleId="335">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kern w:val="0"/>
      <w:sz w:val="20"/>
      <w:szCs w:val="20"/>
    </w:rPr>
  </w:style>
  <w:style w:type="paragraph" w:customStyle="1" w:styleId="336">
    <w:name w:val="xl147"/>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b/>
      <w:bCs/>
      <w:color w:val="000000"/>
      <w:kern w:val="0"/>
      <w:sz w:val="20"/>
      <w:szCs w:val="20"/>
    </w:rPr>
  </w:style>
  <w:style w:type="paragraph" w:customStyle="1" w:styleId="337">
    <w:name w:val="表文字左边"/>
    <w:basedOn w:val="1"/>
    <w:qFormat/>
    <w:uiPriority w:val="0"/>
    <w:pPr>
      <w:autoSpaceDE w:val="0"/>
      <w:autoSpaceDN w:val="0"/>
      <w:spacing w:line="320" w:lineRule="exact"/>
      <w:jc w:val="left"/>
      <w:textAlignment w:val="bottom"/>
    </w:pPr>
    <w:rPr>
      <w:rFonts w:ascii="宋体" w:hAnsi="宋体" w:cs="Arial Unicode MS"/>
      <w:sz w:val="28"/>
      <w:szCs w:val="20"/>
    </w:rPr>
  </w:style>
  <w:style w:type="paragraph" w:customStyle="1" w:styleId="338">
    <w:name w:val="No Spacing1"/>
    <w:qFormat/>
    <w:uiPriority w:val="0"/>
    <w:rPr>
      <w:rFonts w:ascii="Calibri" w:hAnsi="Calibri" w:eastAsia="宋体" w:cs="Times New Roman"/>
      <w:sz w:val="22"/>
      <w:szCs w:val="22"/>
      <w:lang w:val="en-US" w:eastAsia="en-US" w:bidi="ar-SA"/>
    </w:rPr>
  </w:style>
  <w:style w:type="paragraph" w:customStyle="1" w:styleId="339">
    <w:name w:val="xl54"/>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340">
    <w:name w:val="font17"/>
    <w:basedOn w:val="1"/>
    <w:qFormat/>
    <w:uiPriority w:val="0"/>
    <w:pPr>
      <w:widowControl/>
      <w:spacing w:before="100" w:beforeAutospacing="1" w:after="100" w:afterAutospacing="1"/>
      <w:jc w:val="left"/>
    </w:pPr>
    <w:rPr>
      <w:rFonts w:ascii="宋体" w:hAnsi="宋体" w:cs="宋体"/>
      <w:color w:val="DD0806"/>
      <w:kern w:val="0"/>
      <w:sz w:val="20"/>
      <w:szCs w:val="20"/>
    </w:rPr>
  </w:style>
  <w:style w:type="paragraph" w:customStyle="1" w:styleId="341">
    <w:name w:val="标准标题2"/>
    <w:basedOn w:val="4"/>
    <w:qFormat/>
    <w:uiPriority w:val="0"/>
    <w:pPr>
      <w:adjustRightInd/>
      <w:spacing w:beforeLines="0" w:afterLines="0" w:line="360" w:lineRule="auto"/>
      <w:ind w:firstLine="0" w:firstLineChars="0"/>
      <w:jc w:val="both"/>
      <w:textAlignment w:val="auto"/>
    </w:pPr>
    <w:rPr>
      <w:rFonts w:eastAsia="仿宋_GB2312"/>
      <w:kern w:val="2"/>
      <w:sz w:val="28"/>
      <w:szCs w:val="32"/>
    </w:rPr>
  </w:style>
  <w:style w:type="paragraph" w:customStyle="1" w:styleId="342">
    <w:name w:val="xl47"/>
    <w:basedOn w:val="1"/>
    <w:qFormat/>
    <w:uiPriority w:val="0"/>
    <w:pPr>
      <w:widowControl/>
      <w:spacing w:before="100" w:beforeAutospacing="1" w:after="100" w:afterAutospacing="1"/>
      <w:jc w:val="left"/>
      <w:textAlignment w:val="center"/>
    </w:pPr>
    <w:rPr>
      <w:rFonts w:ascii="宋体" w:hAnsi="宋体"/>
      <w:kern w:val="0"/>
      <w:sz w:val="18"/>
      <w:szCs w:val="20"/>
    </w:rPr>
  </w:style>
  <w:style w:type="paragraph" w:customStyle="1" w:styleId="343">
    <w:name w:val="表中"/>
    <w:basedOn w:val="1"/>
    <w:qFormat/>
    <w:uiPriority w:val="0"/>
    <w:pPr>
      <w:adjustRightInd w:val="0"/>
      <w:spacing w:line="360" w:lineRule="atLeast"/>
      <w:jc w:val="center"/>
      <w:textAlignment w:val="baseline"/>
    </w:pPr>
    <w:rPr>
      <w:kern w:val="0"/>
      <w:szCs w:val="20"/>
    </w:rPr>
  </w:style>
  <w:style w:type="paragraph" w:customStyle="1" w:styleId="344">
    <w:name w:val="xl28"/>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345">
    <w:name w:val="xl77"/>
    <w:basedOn w:val="1"/>
    <w:qFormat/>
    <w:uiPriority w:val="0"/>
    <w:pPr>
      <w:widowControl/>
      <w:pBdr>
        <w:bottom w:val="single" w:color="auto" w:sz="4" w:space="0"/>
      </w:pBdr>
      <w:spacing w:before="100" w:beforeAutospacing="1" w:after="100" w:afterAutospacing="1"/>
      <w:jc w:val="right"/>
    </w:pPr>
    <w:rPr>
      <w:kern w:val="0"/>
      <w:sz w:val="22"/>
      <w:szCs w:val="20"/>
    </w:rPr>
  </w:style>
  <w:style w:type="paragraph" w:customStyle="1" w:styleId="346">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347">
    <w:name w:val="xl58"/>
    <w:basedOn w:val="1"/>
    <w:qFormat/>
    <w:uiPriority w:val="0"/>
    <w:pPr>
      <w:widowControl/>
      <w:spacing w:before="100" w:beforeAutospacing="1" w:after="100" w:afterAutospacing="1"/>
      <w:jc w:val="left"/>
      <w:textAlignment w:val="top"/>
    </w:pPr>
    <w:rPr>
      <w:rFonts w:ascii="宋体" w:hAnsi="宋体"/>
      <w:kern w:val="0"/>
      <w:sz w:val="20"/>
      <w:szCs w:val="20"/>
    </w:rPr>
  </w:style>
  <w:style w:type="paragraph" w:customStyle="1" w:styleId="348">
    <w:name w:val="xl70"/>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hint="eastAsia" w:ascii="黑体" w:hAnsi="宋体" w:eastAsia="黑体"/>
      <w:kern w:val="0"/>
      <w:sz w:val="20"/>
      <w:szCs w:val="20"/>
    </w:rPr>
  </w:style>
  <w:style w:type="paragraph" w:customStyle="1" w:styleId="349">
    <w:name w:val="正文段"/>
    <w:basedOn w:val="1"/>
    <w:qFormat/>
    <w:uiPriority w:val="0"/>
    <w:pPr>
      <w:widowControl/>
      <w:snapToGrid w:val="0"/>
      <w:spacing w:afterLines="50"/>
      <w:ind w:firstLine="200" w:firstLineChars="200"/>
    </w:pPr>
    <w:rPr>
      <w:kern w:val="0"/>
      <w:sz w:val="24"/>
      <w:szCs w:val="20"/>
    </w:rPr>
  </w:style>
  <w:style w:type="paragraph" w:customStyle="1" w:styleId="350">
    <w:name w:val="xl9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351">
    <w:name w:val="Char1"/>
    <w:basedOn w:val="1"/>
    <w:qFormat/>
    <w:uiPriority w:val="0"/>
    <w:rPr>
      <w:rFonts w:ascii="Tahoma" w:hAnsi="Tahoma"/>
      <w:sz w:val="24"/>
      <w:szCs w:val="20"/>
    </w:rPr>
  </w:style>
  <w:style w:type="paragraph" w:customStyle="1" w:styleId="352">
    <w:name w:val="xl7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hint="eastAsia" w:ascii="黑体" w:hAnsi="宋体" w:eastAsia="黑体"/>
      <w:kern w:val="0"/>
      <w:sz w:val="20"/>
      <w:szCs w:val="20"/>
    </w:rPr>
  </w:style>
  <w:style w:type="paragraph" w:customStyle="1" w:styleId="353">
    <w:name w:val="xl53"/>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textAlignment w:val="center"/>
    </w:pPr>
    <w:rPr>
      <w:kern w:val="0"/>
      <w:sz w:val="20"/>
      <w:szCs w:val="20"/>
    </w:rPr>
  </w:style>
  <w:style w:type="paragraph" w:customStyle="1" w:styleId="354">
    <w:name w:val="样式 宋体 小五 左 段前: 5 磅 段后: 5 磅 行距: 1.5 倍行距"/>
    <w:basedOn w:val="1"/>
    <w:qFormat/>
    <w:uiPriority w:val="0"/>
    <w:pPr>
      <w:widowControl/>
      <w:tabs>
        <w:tab w:val="left" w:pos="5100"/>
      </w:tabs>
      <w:spacing w:line="0" w:lineRule="atLeast"/>
      <w:jc w:val="left"/>
    </w:pPr>
    <w:rPr>
      <w:rFonts w:ascii="宋体" w:hAnsi="宋体"/>
      <w:kern w:val="0"/>
      <w:szCs w:val="20"/>
    </w:rPr>
  </w:style>
  <w:style w:type="paragraph" w:customStyle="1" w:styleId="355">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356">
    <w:name w:val="正文1"/>
    <w:qFormat/>
    <w:uiPriority w:val="0"/>
    <w:pPr>
      <w:widowControl w:val="0"/>
      <w:adjustRightInd w:val="0"/>
      <w:spacing w:line="312" w:lineRule="atLeast"/>
      <w:jc w:val="both"/>
      <w:textAlignment w:val="baseline"/>
    </w:pPr>
    <w:rPr>
      <w:rFonts w:ascii="宋体" w:hAnsi="宋体" w:eastAsia="宋体" w:cs="Times New Roman"/>
      <w:sz w:val="24"/>
      <w:lang w:val="en-US" w:eastAsia="zh-CN" w:bidi="ar-SA"/>
    </w:rPr>
  </w:style>
  <w:style w:type="paragraph" w:customStyle="1" w:styleId="357">
    <w:name w:val="xl101"/>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358">
    <w:name w:val="xl6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黑体" w:hAnsi="宋体" w:eastAsia="黑体"/>
      <w:kern w:val="0"/>
      <w:sz w:val="20"/>
      <w:szCs w:val="20"/>
    </w:rPr>
  </w:style>
  <w:style w:type="paragraph" w:customStyle="1" w:styleId="359">
    <w:name w:val="xl43"/>
    <w:basedOn w:val="1"/>
    <w:qFormat/>
    <w:uiPriority w:val="0"/>
    <w:pPr>
      <w:widowControl/>
      <w:spacing w:before="100" w:beforeAutospacing="1" w:after="100" w:afterAutospacing="1"/>
      <w:jc w:val="right"/>
      <w:textAlignment w:val="center"/>
    </w:pPr>
    <w:rPr>
      <w:kern w:val="0"/>
      <w:sz w:val="20"/>
      <w:szCs w:val="20"/>
    </w:rPr>
  </w:style>
  <w:style w:type="paragraph" w:customStyle="1" w:styleId="360">
    <w:name w:val="默认段落字体 Para Char Char Char Char Char Char Char Char Char1 Char Char Char Char"/>
    <w:basedOn w:val="1"/>
    <w:qFormat/>
    <w:uiPriority w:val="0"/>
    <w:rPr>
      <w:rFonts w:ascii="Tahoma" w:hAnsi="Tahoma"/>
      <w:sz w:val="24"/>
      <w:szCs w:val="20"/>
    </w:rPr>
  </w:style>
  <w:style w:type="paragraph" w:customStyle="1" w:styleId="361">
    <w:name w:val="xl15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b/>
      <w:bCs/>
      <w:color w:val="000000"/>
      <w:kern w:val="0"/>
      <w:sz w:val="20"/>
      <w:szCs w:val="20"/>
    </w:rPr>
  </w:style>
  <w:style w:type="paragraph" w:customStyle="1" w:styleId="362">
    <w:name w:val="font6"/>
    <w:basedOn w:val="1"/>
    <w:qFormat/>
    <w:uiPriority w:val="0"/>
    <w:pPr>
      <w:widowControl/>
      <w:spacing w:before="100" w:beforeAutospacing="1" w:after="100" w:afterAutospacing="1"/>
      <w:jc w:val="left"/>
    </w:pPr>
    <w:rPr>
      <w:rFonts w:hint="eastAsia" w:ascii="黑体" w:hAnsi="宋体" w:eastAsia="黑体"/>
      <w:kern w:val="0"/>
      <w:sz w:val="36"/>
      <w:szCs w:val="20"/>
    </w:rPr>
  </w:style>
  <w:style w:type="paragraph" w:customStyle="1" w:styleId="363">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64">
    <w:name w:val="标准标题3"/>
    <w:basedOn w:val="5"/>
    <w:qFormat/>
    <w:uiPriority w:val="0"/>
    <w:pPr>
      <w:numPr>
        <w:ilvl w:val="0"/>
        <w:numId w:val="9"/>
      </w:numPr>
      <w:spacing w:line="240" w:lineRule="auto"/>
      <w:ind w:left="0" w:leftChars="-258" w:firstLine="0"/>
    </w:pPr>
    <w:rPr>
      <w:rFonts w:eastAsia="仿宋_GB2312"/>
      <w:sz w:val="28"/>
    </w:rPr>
  </w:style>
  <w:style w:type="paragraph" w:customStyle="1" w:styleId="365">
    <w:name w:val="xl8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66">
    <w:name w:val="文档正文"/>
    <w:basedOn w:val="1"/>
    <w:qFormat/>
    <w:uiPriority w:val="0"/>
    <w:pPr>
      <w:adjustRightInd w:val="0"/>
      <w:spacing w:line="312" w:lineRule="atLeast"/>
      <w:ind w:firstLine="567"/>
    </w:pPr>
    <w:rPr>
      <w:rFonts w:ascii="Arial" w:eastAsia="长城仿宋"/>
      <w:kern w:val="0"/>
      <w:sz w:val="28"/>
      <w:szCs w:val="20"/>
    </w:rPr>
  </w:style>
  <w:style w:type="paragraph" w:customStyle="1" w:styleId="367">
    <w:name w:val="Char3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368">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369">
    <w:name w:val="xl138"/>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370">
    <w:name w:val="font13"/>
    <w:basedOn w:val="1"/>
    <w:qFormat/>
    <w:uiPriority w:val="0"/>
    <w:pPr>
      <w:widowControl/>
      <w:spacing w:before="100" w:beforeAutospacing="1" w:after="100" w:afterAutospacing="1"/>
      <w:jc w:val="left"/>
    </w:pPr>
    <w:rPr>
      <w:kern w:val="0"/>
      <w:sz w:val="18"/>
      <w:szCs w:val="20"/>
    </w:rPr>
  </w:style>
  <w:style w:type="paragraph" w:customStyle="1" w:styleId="371">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72">
    <w:name w:val="xl14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73">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374">
    <w:name w:val="列出段落11"/>
    <w:basedOn w:val="1"/>
    <w:qFormat/>
    <w:uiPriority w:val="0"/>
    <w:pPr>
      <w:widowControl/>
      <w:spacing w:beforeLines="50" w:afterLines="50"/>
      <w:ind w:firstLine="420" w:firstLineChars="200"/>
      <w:jc w:val="left"/>
    </w:pPr>
  </w:style>
  <w:style w:type="table" w:customStyle="1" w:styleId="375">
    <w:name w:val="中等深浅列表 1 - 强调文字颜色 51"/>
    <w:basedOn w:val="51"/>
    <w:qFormat/>
    <w:uiPriority w:val="0"/>
    <w:rPr>
      <w:color w:val="000000"/>
    </w:rPr>
    <w:tblPr>
      <w:tblBorders>
        <w:top w:val="single" w:color="4BACC6" w:sz="8" w:space="0"/>
        <w:bottom w:val="single" w:color="4BACC6" w:sz="8" w:space="0"/>
      </w:tblBorders>
    </w:tblPr>
    <w:tblStylePr w:type="firstRow">
      <w:rPr>
        <w:rFonts w:eastAsia="Wingdings" w:cs="Times New Roman"/>
      </w:rPr>
      <w:tcPr>
        <w:tcBorders>
          <w:top w:val="nil"/>
          <w:left w:val="nil"/>
          <w:bottom w:val="single" w:color="4BACC6" w:sz="8" w:space="0"/>
          <w:right w:val="nil"/>
          <w:insideH w:val="nil"/>
          <w:insideV w:val="nil"/>
          <w:tl2br w:val="nil"/>
          <w:tr2bl w:val="nil"/>
        </w:tcBorders>
      </w:tcPr>
    </w:tblStylePr>
    <w:tblStylePr w:type="lastRow">
      <w:rPr>
        <w:b/>
        <w:bCs/>
        <w:color w:val="1F497D"/>
      </w:rPr>
      <w:tcPr>
        <w:tcBorders>
          <w:top w:val="single" w:color="4BACC6" w:sz="8" w:space="0"/>
          <w:left w:val="nil"/>
          <w:bottom w:val="single" w:color="4BACC6" w:sz="8" w:space="0"/>
          <w:right w:val="nil"/>
          <w:insideH w:val="nil"/>
          <w:insideV w:val="nil"/>
          <w:tl2br w:val="nil"/>
          <w:tr2bl w:val="nil"/>
        </w:tcBorders>
      </w:tcPr>
    </w:tblStylePr>
    <w:tblStylePr w:type="firstCol">
      <w:rPr>
        <w:b/>
        <w:bCs/>
      </w:rPr>
    </w:tblStylePr>
    <w:tblStylePr w:type="lastCol">
      <w:rPr>
        <w:b/>
        <w:bCs/>
      </w:rPr>
      <w:tcPr>
        <w:tcBorders>
          <w:top w:val="single" w:color="4BACC6" w:sz="8" w:space="0"/>
          <w:left w:val="nil"/>
          <w:bottom w:val="single" w:color="4BACC6" w:sz="8" w:space="0"/>
          <w:right w:val="nil"/>
          <w:insideH w:val="nil"/>
          <w:insideV w:val="nil"/>
          <w:tl2br w:val="nil"/>
          <w:tr2bl w:val="nil"/>
        </w:tcBorders>
      </w:tcPr>
    </w:tblStylePr>
    <w:tblStylePr w:type="band1Vert">
      <w:tcPr>
        <w:shd w:val="clear" w:color="auto" w:fill="D2EAF1"/>
      </w:tcPr>
    </w:tblStylePr>
    <w:tblStylePr w:type="band1Horz">
      <w:tcPr>
        <w:shd w:val="clear" w:color="auto" w:fill="D2EAF1"/>
      </w:tcPr>
    </w:tblStylePr>
  </w:style>
  <w:style w:type="table" w:customStyle="1" w:styleId="376">
    <w:name w:val="彩色底纹 - 强调文字颜色 51"/>
    <w:basedOn w:val="51"/>
    <w:qFormat/>
    <w:uiPriority w:val="0"/>
    <w:rPr>
      <w:color w:val="000000"/>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cPr>
        <w:tcBorders>
          <w:top w:val="nil"/>
          <w:left w:val="nil"/>
          <w:bottom w:val="single" w:color="F79646" w:sz="24" w:space="0"/>
          <w:right w:val="nil"/>
          <w:insideH w:val="nil"/>
          <w:insideV w:val="nil"/>
          <w:tl2br w:val="nil"/>
          <w:tr2bl w:val="nil"/>
        </w:tcBorders>
        <w:shd w:val="clear" w:color="auto" w:fill="FFFFFF"/>
      </w:tcPr>
    </w:tblStylePr>
    <w:tblStylePr w:type="lastRow">
      <w:rPr>
        <w:b/>
        <w:bCs/>
        <w:color w:val="FFFFFF"/>
      </w:rPr>
      <w:tcPr>
        <w:tcBorders>
          <w:top w:val="single" w:color="FFFFFF" w:sz="6" w:space="0"/>
          <w:left w:val="nil"/>
          <w:bottom w:val="nil"/>
          <w:right w:val="nil"/>
          <w:insideH w:val="nil"/>
          <w:insideV w:val="nil"/>
          <w:tl2br w:val="nil"/>
          <w:tr2bl w:val="nil"/>
        </w:tcBorders>
        <w:shd w:val="clear" w:color="auto" w:fill="276A7C"/>
      </w:tcPr>
    </w:tblStylePr>
    <w:tblStylePr w:type="firstCol">
      <w:rPr>
        <w:color w:val="FFFFFF"/>
      </w:rPr>
      <w:tcPr>
        <w:tcBorders>
          <w:top w:val="nil"/>
          <w:left w:val="nil"/>
          <w:bottom w:val="nil"/>
          <w:right w:val="nil"/>
          <w:insideH w:val="single" w:sz="4" w:space="0"/>
          <w:insideV w:val="nil"/>
          <w:tl2br w:val="nil"/>
          <w:tr2bl w:val="nil"/>
        </w:tcBorders>
        <w:shd w:val="clear" w:color="auto" w:fill="276A7C"/>
      </w:tcPr>
    </w:tblStylePr>
    <w:tblStylePr w:type="lastCol">
      <w:rPr>
        <w:color w:val="FFFFFF"/>
      </w:rPr>
      <w:tcPr>
        <w:tcBorders>
          <w:top w:val="nil"/>
          <w:left w:val="nil"/>
          <w:bottom w:val="nil"/>
          <w:right w:val="nil"/>
          <w:insideH w:val="nil"/>
          <w:insideV w:val="nil"/>
          <w:tl2br w:val="nil"/>
          <w:tr2bl w:val="nil"/>
        </w:tcBorders>
        <w:shd w:val="clear" w:color="auto" w:fill="276A7C"/>
      </w:tcPr>
    </w:tblStylePr>
    <w:tblStylePr w:type="band1Vert">
      <w:tcPr>
        <w:shd w:val="clear" w:color="auto" w:fill="B6DDE8"/>
      </w:tcPr>
    </w:tblStylePr>
    <w:tblStylePr w:type="band1Horz">
      <w:tcPr>
        <w:shd w:val="clear" w:color="auto" w:fill="A5D5E2"/>
      </w:tcPr>
    </w:tblStylePr>
    <w:tblStylePr w:type="neCell">
      <w:rPr>
        <w:color w:val="000000"/>
      </w:rPr>
    </w:tblStylePr>
    <w:tblStylePr w:type="nwCell">
      <w:rPr>
        <w:color w:val="000000"/>
      </w:rPr>
    </w:tblStylePr>
  </w:style>
  <w:style w:type="table" w:customStyle="1" w:styleId="377">
    <w:name w:val="彩色网格 - 强调文字颜色 51"/>
    <w:basedOn w:val="51"/>
    <w:qFormat/>
    <w:uiPriority w:val="0"/>
    <w:rPr>
      <w:color w:val="000000"/>
    </w:rPr>
    <w:tblPr>
      <w:tblBorders>
        <w:insideH w:val="single" w:color="FFFFFF" w:sz="4" w:space="0"/>
      </w:tblBorders>
    </w:tblPr>
    <w:tcPr>
      <w:shd w:val="clear" w:color="auto" w:fill="DAEEF3"/>
    </w:tcPr>
    <w:tblStylePr w:type="firstRow">
      <w:rPr>
        <w:b/>
        <w:bCs/>
      </w:rPr>
      <w:tcPr>
        <w:shd w:val="clear" w:color="auto" w:fill="B6DDE8"/>
      </w:tcPr>
    </w:tblStylePr>
    <w:tblStylePr w:type="lastRow">
      <w:rPr>
        <w:b/>
        <w:bCs/>
        <w:color w:val="000000"/>
      </w:rPr>
      <w:tcPr>
        <w:shd w:val="clear" w:color="auto" w:fill="B6DDE8"/>
      </w:tcPr>
    </w:tblStylePr>
    <w:tblStylePr w:type="firstCol">
      <w:rPr>
        <w:color w:val="FFFFFF"/>
      </w:rPr>
      <w:tcPr>
        <w:shd w:val="clear" w:color="auto" w:fill="31849B"/>
      </w:tcPr>
    </w:tblStylePr>
    <w:tblStylePr w:type="lastCol">
      <w:rPr>
        <w:color w:val="FFFFFF"/>
      </w:rPr>
      <w:tcPr>
        <w:shd w:val="clear" w:color="auto" w:fill="31849B"/>
      </w:tcPr>
    </w:tblStylePr>
    <w:tblStylePr w:type="band1Vert">
      <w:tcPr>
        <w:shd w:val="clear" w:color="auto" w:fill="A5D5E2"/>
      </w:tcPr>
    </w:tblStylePr>
    <w:tblStylePr w:type="band1Horz">
      <w:tcPr>
        <w:shd w:val="clear" w:color="auto" w:fill="A5D5E2"/>
      </w:tcPr>
    </w:tblStylePr>
  </w:style>
  <w:style w:type="table" w:customStyle="1" w:styleId="378">
    <w:name w:val="中等深浅网格 1 - 强调文字颜色 51"/>
    <w:basedOn w:val="51"/>
    <w:qFormat/>
    <w:uiPriority w:val="0"/>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cPr>
        <w:tcBorders>
          <w:top w:val="single" w:color="78C0D4"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cPr>
        <w:shd w:val="clear" w:color="auto" w:fill="A5D5E2"/>
      </w:tcPr>
    </w:tblStylePr>
    <w:tblStylePr w:type="band1Horz">
      <w:tcPr>
        <w:shd w:val="clear" w:color="auto" w:fill="A5D5E2"/>
      </w:tcPr>
    </w:tblStylePr>
  </w:style>
  <w:style w:type="table" w:customStyle="1" w:styleId="379">
    <w:name w:val="彩色列表 - 着色 1"/>
    <w:basedOn w:val="51"/>
    <w:qFormat/>
    <w:uiPriority w:val="0"/>
    <w:rPr>
      <w:rFonts w:ascii="Calibri" w:hAnsi="Calibri"/>
      <w:kern w:val="2"/>
      <w:sz w:val="21"/>
      <w:szCs w:val="22"/>
    </w:rPr>
    <w:tcPr>
      <w:shd w:val="clear" w:color="auto" w:fill="EEF5FB"/>
    </w:tcPr>
    <w:tblStylePr w:type="firstRow">
      <w:tcPr>
        <w:tcBorders>
          <w:top w:val="nil"/>
          <w:left w:val="nil"/>
          <w:bottom w:val="single" w:color="FFFFFF" w:sz="12" w:space="0"/>
          <w:right w:val="nil"/>
          <w:insideH w:val="nil"/>
          <w:insideV w:val="nil"/>
          <w:tl2br w:val="nil"/>
          <w:tr2bl w:val="nil"/>
        </w:tcBorders>
        <w:shd w:val="clear" w:color="auto" w:fill="D25F12"/>
      </w:tcPr>
    </w:tblStylePr>
    <w:tblStylePr w:type="lastRow">
      <w:tcPr>
        <w:tcBorders>
          <w:top w:val="single" w:color="000000" w:sz="12" w:space="0"/>
          <w:left w:val="nil"/>
          <w:bottom w:val="nil"/>
          <w:right w:val="nil"/>
          <w:insideH w:val="nil"/>
          <w:insideV w:val="nil"/>
          <w:tl2br w:val="nil"/>
          <w:tr2bl w:val="nil"/>
        </w:tcBorders>
        <w:shd w:val="clear" w:color="auto" w:fill="FFFFFF"/>
      </w:tcPr>
    </w:tblStylePr>
    <w:tblStylePr w:type="band1Vert">
      <w:tcPr>
        <w:tcBorders>
          <w:top w:val="nil"/>
          <w:left w:val="nil"/>
          <w:bottom w:val="nil"/>
          <w:right w:val="nil"/>
          <w:insideH w:val="nil"/>
          <w:insideV w:val="nil"/>
          <w:tl2br w:val="nil"/>
          <w:tr2bl w:val="nil"/>
        </w:tcBorders>
        <w:shd w:val="clear" w:color="auto" w:fill="D6E6F4"/>
      </w:tcPr>
    </w:tblStylePr>
    <w:tblStylePr w:type="band1Horz">
      <w:tcPr>
        <w:shd w:val="clear" w:color="auto" w:fill="DEEAF6"/>
      </w:tcPr>
    </w:tblStylePr>
  </w:style>
  <w:style w:type="table" w:customStyle="1" w:styleId="380">
    <w:name w:val="Table Normal1"/>
    <w:semiHidden/>
    <w:qFormat/>
    <w:uiPriority w:val="0"/>
    <w:rPr>
      <w:rFonts w:eastAsia="Times New Roman"/>
    </w:rPr>
    <w:tblPr>
      <w:tblCellMar>
        <w:top w:w="0" w:type="dxa"/>
        <w:left w:w="108" w:type="dxa"/>
        <w:bottom w:w="0" w:type="dxa"/>
        <w:right w:w="108" w:type="dxa"/>
      </w:tblCellMar>
    </w:tblPr>
  </w:style>
  <w:style w:type="table" w:customStyle="1" w:styleId="381">
    <w:name w:val="Table Normal"/>
    <w:semiHidden/>
    <w:qFormat/>
    <w:uiPriority w:val="0"/>
    <w:rPr>
      <w:rFonts w:eastAsia="Times New Roman"/>
    </w:rPr>
    <w:tblPr>
      <w:tblCellMar>
        <w:top w:w="0" w:type="dxa"/>
        <w:left w:w="108" w:type="dxa"/>
        <w:bottom w:w="0" w:type="dxa"/>
        <w:right w:w="108" w:type="dxa"/>
      </w:tblCellMar>
    </w:tblPr>
  </w:style>
  <w:style w:type="paragraph" w:customStyle="1" w:styleId="382">
    <w:name w:val="flNote"/>
    <w:basedOn w:val="1"/>
    <w:qFormat/>
    <w:uiPriority w:val="0"/>
    <w:pPr>
      <w:spacing w:before="320" w:after="160" w:line="360" w:lineRule="auto"/>
      <w:jc w:val="center"/>
    </w:pPr>
    <w:rPr>
      <w:rFonts w:ascii="Arial" w:eastAsia="黑体"/>
      <w:sz w:val="30"/>
    </w:rPr>
  </w:style>
  <w:style w:type="character" w:customStyle="1" w:styleId="383">
    <w:name w:val="正文首行缩进 2 Char"/>
    <w:basedOn w:val="123"/>
    <w:link w:val="50"/>
    <w:qFormat/>
    <w:uiPriority w:val="0"/>
    <w:rPr>
      <w:rFonts w:eastAsia="仿宋_GB2312"/>
      <w:color w:val="000000"/>
      <w:kern w:val="2"/>
      <w:sz w:val="21"/>
      <w:szCs w:val="24"/>
      <w:lang w:bidi="ar-SA"/>
    </w:rPr>
  </w:style>
  <w:style w:type="paragraph" w:customStyle="1" w:styleId="384">
    <w:name w:val="standdate"/>
    <w:basedOn w:val="34"/>
    <w:semiHidden/>
    <w:qFormat/>
    <w:uiPriority w:val="0"/>
    <w:pPr>
      <w:tabs>
        <w:tab w:val="clear" w:pos="4153"/>
        <w:tab w:val="clear" w:pos="8306"/>
      </w:tabs>
      <w:snapToGrid/>
      <w:spacing w:line="340" w:lineRule="atLeast"/>
      <w:ind w:left="255" w:right="255"/>
      <w:jc w:val="center"/>
      <w:textAlignment w:val="center"/>
    </w:pPr>
    <w:rPr>
      <w:rFonts w:eastAsia="华文中宋"/>
      <w:b/>
      <w:spacing w:val="-4"/>
      <w:sz w:val="32"/>
      <w:szCs w:val="24"/>
    </w:rPr>
  </w:style>
  <w:style w:type="paragraph" w:customStyle="1" w:styleId="385">
    <w:name w:val="flName"/>
    <w:basedOn w:val="382"/>
    <w:qFormat/>
    <w:uiPriority w:val="0"/>
    <w:rPr>
      <w:sz w:val="32"/>
    </w:rPr>
  </w:style>
  <w:style w:type="paragraph" w:customStyle="1" w:styleId="386">
    <w:name w:val="flType"/>
    <w:basedOn w:val="385"/>
    <w:qFormat/>
    <w:uiPriority w:val="0"/>
    <w:pPr>
      <w:spacing w:before="560" w:after="120"/>
    </w:pPr>
    <w:rPr>
      <w:sz w:val="28"/>
    </w:rPr>
  </w:style>
  <w:style w:type="character" w:customStyle="1" w:styleId="387">
    <w:name w:val="副标题 Char"/>
    <w:basedOn w:val="55"/>
    <w:link w:val="38"/>
    <w:qFormat/>
    <w:uiPriority w:val="0"/>
    <w:rPr>
      <w:rFonts w:ascii="Arial" w:hAnsi="Arial" w:eastAsia="黑体"/>
      <w:i/>
      <w:kern w:val="2"/>
      <w:sz w:val="21"/>
      <w:szCs w:val="24"/>
    </w:rPr>
  </w:style>
  <w:style w:type="paragraph" w:customStyle="1" w:styleId="388">
    <w:name w:val="正文文字1"/>
    <w:basedOn w:val="2"/>
    <w:semiHidden/>
    <w:qFormat/>
    <w:uiPriority w:val="0"/>
    <w:pPr>
      <w:spacing w:line="240" w:lineRule="auto"/>
      <w:ind w:left="72" w:leftChars="30" w:right="72" w:rightChars="30"/>
    </w:pPr>
    <w:rPr>
      <w:sz w:val="21"/>
      <w:szCs w:val="24"/>
    </w:rPr>
  </w:style>
  <w:style w:type="paragraph" w:customStyle="1" w:styleId="389">
    <w:name w:val="注"/>
    <w:basedOn w:val="1"/>
    <w:semiHidden/>
    <w:qFormat/>
    <w:uiPriority w:val="0"/>
    <w:pPr>
      <w:ind w:left="840" w:hanging="420"/>
    </w:pPr>
  </w:style>
  <w:style w:type="paragraph" w:customStyle="1" w:styleId="390">
    <w:name w:val="正文文字2"/>
    <w:basedOn w:val="2"/>
    <w:semiHidden/>
    <w:qFormat/>
    <w:uiPriority w:val="0"/>
    <w:pPr>
      <w:spacing w:after="60" w:line="240" w:lineRule="auto"/>
      <w:ind w:left="72" w:leftChars="30" w:right="72" w:rightChars="30"/>
      <w:jc w:val="center"/>
    </w:pPr>
    <w:rPr>
      <w:rFonts w:ascii="Arial" w:eastAsia="黑体"/>
      <w:sz w:val="21"/>
      <w:szCs w:val="24"/>
    </w:rPr>
  </w:style>
  <w:style w:type="paragraph" w:customStyle="1" w:styleId="391">
    <w:name w:val="空半行"/>
    <w:basedOn w:val="1"/>
    <w:semiHidden/>
    <w:qFormat/>
    <w:uiPriority w:val="0"/>
    <w:pPr>
      <w:spacing w:line="120" w:lineRule="exact"/>
    </w:pPr>
    <w:rPr>
      <w:rFonts w:eastAsia="仿宋_GB2312"/>
      <w:color w:val="FFFFFF"/>
      <w:sz w:val="30"/>
    </w:rPr>
  </w:style>
  <w:style w:type="paragraph" w:customStyle="1" w:styleId="392">
    <w:name w:val="2 Char Char Char Char Char Char Char"/>
    <w:basedOn w:val="1"/>
    <w:semiHidden/>
    <w:qFormat/>
    <w:uiPriority w:val="0"/>
    <w:rPr>
      <w:rFonts w:ascii="Tahoma" w:hAnsi="Tahoma"/>
    </w:rPr>
  </w:style>
  <w:style w:type="paragraph" w:customStyle="1" w:styleId="393">
    <w:name w:val="Char1 Char Char Char Char1"/>
    <w:basedOn w:val="1"/>
    <w:semiHidden/>
    <w:qFormat/>
    <w:uiPriority w:val="0"/>
    <w:rPr>
      <w:rFonts w:ascii="Tahoma" w:hAnsi="Tahoma"/>
    </w:rPr>
  </w:style>
  <w:style w:type="paragraph" w:customStyle="1" w:styleId="394">
    <w:name w:val="CM103"/>
    <w:basedOn w:val="1"/>
    <w:next w:val="1"/>
    <w:semiHidden/>
    <w:qFormat/>
    <w:uiPriority w:val="0"/>
    <w:pPr>
      <w:autoSpaceDE w:val="0"/>
      <w:autoSpaceDN w:val="0"/>
      <w:spacing w:after="180"/>
      <w:jc w:val="left"/>
    </w:pPr>
    <w:rPr>
      <w:rFonts w:ascii="PMingLiU" w:eastAsia="PMingLiU"/>
    </w:rPr>
  </w:style>
  <w:style w:type="paragraph" w:customStyle="1" w:styleId="395">
    <w:name w:val="Char Char"/>
    <w:basedOn w:val="1"/>
    <w:semiHidden/>
    <w:qFormat/>
    <w:uiPriority w:val="0"/>
    <w:pPr>
      <w:widowControl/>
      <w:spacing w:line="400" w:lineRule="exact"/>
      <w:jc w:val="center"/>
    </w:pPr>
    <w:rPr>
      <w:rFonts w:ascii="Verdana" w:hAnsi="Verdana"/>
      <w:lang w:eastAsia="en-US"/>
    </w:rPr>
  </w:style>
  <w:style w:type="paragraph" w:customStyle="1" w:styleId="396">
    <w:name w:val="Char Char1"/>
    <w:basedOn w:val="1"/>
    <w:semiHidden/>
    <w:qFormat/>
    <w:uiPriority w:val="0"/>
    <w:pPr>
      <w:spacing w:line="400" w:lineRule="exact"/>
      <w:jc w:val="center"/>
    </w:pPr>
    <w:rPr>
      <w:rFonts w:ascii="Verdana" w:hAnsi="Verdana"/>
      <w:lang w:eastAsia="en-US"/>
    </w:rPr>
  </w:style>
  <w:style w:type="paragraph" w:customStyle="1" w:styleId="397">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98">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399">
    <w:name w:val="List Paragraph"/>
    <w:basedOn w:val="1"/>
    <w:unhideWhenUsed/>
    <w:qFormat/>
    <w:uiPriority w:val="34"/>
    <w:pPr>
      <w:ind w:firstLine="420" w:firstLineChars="200"/>
    </w:pPr>
  </w:style>
  <w:style w:type="character" w:customStyle="1" w:styleId="400">
    <w:name w:val="NormalCharacter"/>
    <w:semiHidden/>
    <w:qFormat/>
    <w:uiPriority w:val="0"/>
    <w:rPr>
      <w:rFonts w:ascii="Times New Roman" w:hAnsi="Times New Roman" w:eastAsia="宋体" w:cs="Times New Roman"/>
      <w:kern w:val="2"/>
      <w:sz w:val="21"/>
      <w:szCs w:val="24"/>
      <w:lang w:val="en-US" w:eastAsia="zh-CN" w:bidi="ar-SA"/>
    </w:rPr>
  </w:style>
  <w:style w:type="character" w:customStyle="1" w:styleId="401">
    <w:name w:val="CharAttribute0"/>
    <w:qFormat/>
    <w:uiPriority w:val="0"/>
    <w:rPr>
      <w:rFonts w:ascii="Times New Roman" w:eastAsia="宋体"/>
      <w:sz w:val="21"/>
    </w:rPr>
  </w:style>
  <w:style w:type="character" w:customStyle="1" w:styleId="402">
    <w:name w:val="font21"/>
    <w:basedOn w:val="55"/>
    <w:qFormat/>
    <w:uiPriority w:val="0"/>
    <w:rPr>
      <w:rFonts w:hint="eastAsia" w:ascii="宋体" w:hAnsi="宋体" w:eastAsia="宋体" w:cs="宋体"/>
      <w:color w:val="000000"/>
      <w:sz w:val="22"/>
      <w:szCs w:val="22"/>
      <w:u w:val="none"/>
    </w:rPr>
  </w:style>
  <w:style w:type="character" w:customStyle="1" w:styleId="403">
    <w:name w:val="font01"/>
    <w:basedOn w:val="55"/>
    <w:qFormat/>
    <w:uiPriority w:val="0"/>
    <w:rPr>
      <w:rFonts w:ascii="Tahoma" w:hAnsi="Tahoma" w:eastAsia="Tahoma" w:cs="Tahoma"/>
      <w:color w:val="000000"/>
      <w:sz w:val="22"/>
      <w:szCs w:val="22"/>
      <w:u w:val="none"/>
    </w:rPr>
  </w:style>
  <w:style w:type="paragraph" w:customStyle="1" w:styleId="404">
    <w:name w:val="WPSOffice手动目录 1"/>
    <w:qFormat/>
    <w:uiPriority w:val="0"/>
    <w:rPr>
      <w:rFonts w:asciiTheme="minorHAnsi" w:hAnsiTheme="minorHAnsi" w:eastAsiaTheme="minorEastAsia" w:cstheme="minorBidi"/>
      <w:lang w:val="en-US" w:eastAsia="zh-CN" w:bidi="ar-SA"/>
    </w:rPr>
  </w:style>
  <w:style w:type="character" w:customStyle="1" w:styleId="405">
    <w:name w:val="font51"/>
    <w:basedOn w:val="55"/>
    <w:qFormat/>
    <w:uiPriority w:val="0"/>
    <w:rPr>
      <w:rFonts w:hint="default" w:ascii="Tahoma" w:hAnsi="Tahoma" w:eastAsia="Tahoma" w:cs="Tahoma"/>
      <w:color w:val="000000"/>
      <w:sz w:val="22"/>
      <w:szCs w:val="22"/>
      <w:u w:val="none"/>
    </w:rPr>
  </w:style>
  <w:style w:type="character" w:customStyle="1" w:styleId="406">
    <w:name w:val="font61"/>
    <w:basedOn w:val="55"/>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5BFD246-3394-4C88-9C96-2ACE57C86BFC}">
  <ds:schemaRefs/>
</ds:datastoreItem>
</file>

<file path=docProps/app.xml><?xml version="1.0" encoding="utf-8"?>
<Properties xmlns="http://schemas.openxmlformats.org/officeDocument/2006/extended-properties" xmlns:vt="http://schemas.openxmlformats.org/officeDocument/2006/docPropsVTypes">
  <Template>Normal.dotm</Template>
  <Company>信念技术论坛</Company>
  <Pages>53</Pages>
  <Words>33254</Words>
  <Characters>6662</Characters>
  <Lines>55</Lines>
  <Paragraphs>79</Paragraphs>
  <TotalTime>1</TotalTime>
  <ScaleCrop>false</ScaleCrop>
  <LinksUpToDate>false</LinksUpToDate>
  <CharactersWithSpaces>39837</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2018-12-03T07:15:00Z</dcterms:created>
  <dc:creator>Van Helsing</dc:creator>
  <cp:lastModifiedBy>Administrator</cp:lastModifiedBy>
  <cp:lastPrinted>2021-11-04T10:13:00Z</cp:lastPrinted>
  <dcterms:modified xsi:type="dcterms:W3CDTF">2021-11-09T09:12:06Z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642EF84434024BB397696DFBBFB808AA</vt:lpwstr>
  </property>
</Properties>
</file>