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wordWrap/>
        <w:overflowPunct/>
        <w:bidi w:val="0"/>
        <w:spacing w:beforeAutospacing="0" w:line="440" w:lineRule="exact"/>
        <w:ind w:left="0" w:leftChars="0" w:right="0" w:rightChars="0"/>
        <w:jc w:val="center"/>
        <w:textAlignment w:val="auto"/>
        <w:rPr>
          <w:rFonts w:hint="eastAsia" w:ascii="仿宋" w:hAnsi="仿宋" w:eastAsia="仿宋" w:cs="仿宋"/>
          <w:b/>
          <w:color w:val="auto"/>
          <w:sz w:val="24"/>
          <w:szCs w:val="24"/>
          <w:highlight w:val="none"/>
        </w:rPr>
      </w:pPr>
    </w:p>
    <w:p>
      <w:pPr>
        <w:pStyle w:val="2"/>
        <w:kinsoku/>
        <w:wordWrap/>
        <w:overflowPunct/>
        <w:bidi w:val="0"/>
        <w:spacing w:beforeAutospacing="0" w:line="440" w:lineRule="exact"/>
        <w:ind w:left="0" w:leftChars="0" w:right="0"/>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eepNext w:val="0"/>
        <w:keepLines w:val="0"/>
        <w:widowControl/>
        <w:suppressLineNumbers w:val="0"/>
        <w:jc w:val="center"/>
        <w:textAlignment w:val="center"/>
        <w:rPr>
          <w:rFonts w:hint="eastAsia" w:ascii="方正粗黑宋简体" w:hAnsi="方正粗黑宋简体" w:eastAsia="方正粗黑宋简体" w:cs="方正粗黑宋简体"/>
          <w:color w:val="333333"/>
          <w:kern w:val="2"/>
          <w:sz w:val="44"/>
          <w:szCs w:val="44"/>
          <w:lang w:val="en-US" w:eastAsia="zh-CN" w:bidi="ar-SA"/>
        </w:rPr>
      </w:pPr>
      <w:r>
        <w:rPr>
          <w:rFonts w:hint="eastAsia" w:ascii="方正粗黑宋简体" w:hAnsi="方正粗黑宋简体" w:eastAsia="方正粗黑宋简体" w:cs="方正粗黑宋简体"/>
          <w:color w:val="333333"/>
          <w:kern w:val="2"/>
          <w:sz w:val="44"/>
          <w:szCs w:val="44"/>
          <w:lang w:val="en-US" w:eastAsia="zh-CN" w:bidi="ar-SA"/>
        </w:rPr>
        <w:t>乌鲁木齐市友谊医院康复、理疗设备采购项目</w:t>
      </w:r>
    </w:p>
    <w:p>
      <w:pPr>
        <w:keepNext w:val="0"/>
        <w:keepLines w:val="0"/>
        <w:widowControl/>
        <w:suppressLineNumbers w:val="0"/>
        <w:jc w:val="center"/>
        <w:textAlignment w:val="center"/>
        <w:rPr>
          <w:rFonts w:hint="eastAsia" w:ascii="方正粗黑宋简体" w:hAnsi="方正粗黑宋简体" w:eastAsia="方正粗黑宋简体" w:cs="方正粗黑宋简体"/>
          <w:color w:val="333333"/>
          <w:kern w:val="2"/>
          <w:sz w:val="44"/>
          <w:szCs w:val="44"/>
          <w:lang w:val="en-US" w:eastAsia="zh-CN" w:bidi="ar-SA"/>
        </w:rPr>
      </w:pPr>
    </w:p>
    <w:p>
      <w:pPr>
        <w:keepNext w:val="0"/>
        <w:keepLines w:val="0"/>
        <w:widowControl/>
        <w:suppressLineNumbers w:val="0"/>
        <w:jc w:val="center"/>
        <w:textAlignment w:val="center"/>
        <w:rPr>
          <w:rFonts w:hint="eastAsia" w:ascii="方正粗黑宋简体" w:hAnsi="方正粗黑宋简体" w:eastAsia="方正粗黑宋简体" w:cs="方正粗黑宋简体"/>
          <w:color w:val="333333"/>
          <w:kern w:val="2"/>
          <w:sz w:val="44"/>
          <w:szCs w:val="44"/>
          <w:lang w:val="en-US" w:eastAsia="zh-CN" w:bidi="ar-SA"/>
        </w:rPr>
      </w:pPr>
      <w:r>
        <w:rPr>
          <w:rFonts w:hint="eastAsia" w:ascii="方正粗黑宋简体" w:hAnsi="方正粗黑宋简体" w:eastAsia="方正粗黑宋简体" w:cs="方正粗黑宋简体"/>
          <w:color w:val="333333"/>
          <w:kern w:val="2"/>
          <w:sz w:val="44"/>
          <w:szCs w:val="44"/>
          <w:lang w:val="en-US" w:eastAsia="zh-CN" w:bidi="ar-SA"/>
        </w:rPr>
        <w:t>公开招标采购文件</w:t>
      </w:r>
    </w:p>
    <w:p>
      <w:pPr>
        <w:keepNext w:val="0"/>
        <w:keepLines w:val="0"/>
        <w:widowControl/>
        <w:suppressLineNumbers w:val="0"/>
        <w:kinsoku/>
        <w:wordWrap/>
        <w:overflowPunct/>
        <w:bidi w:val="0"/>
        <w:spacing w:beforeAutospacing="0" w:line="440" w:lineRule="exact"/>
        <w:ind w:left="0" w:leftChars="0" w:right="0"/>
        <w:jc w:val="center"/>
        <w:textAlignment w:val="center"/>
        <w:rPr>
          <w:rFonts w:hint="eastAsia" w:ascii="仿宋" w:hAnsi="仿宋" w:eastAsia="仿宋" w:cs="仿宋"/>
          <w:color w:val="333333"/>
          <w:kern w:val="2"/>
          <w:sz w:val="24"/>
          <w:szCs w:val="24"/>
          <w:lang w:val="en-US" w:eastAsia="zh-CN" w:bidi="ar-SA"/>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napToGrid w:val="0"/>
        <w:spacing w:beforeAutospacing="0" w:line="440" w:lineRule="exact"/>
        <w:ind w:left="0" w:leftChars="0" w:right="0" w:rightChars="0"/>
        <w:textAlignment w:val="auto"/>
        <w:rPr>
          <w:rFonts w:hint="eastAsia" w:ascii="仿宋" w:hAnsi="仿宋" w:eastAsia="仿宋" w:cs="仿宋"/>
          <w:color w:val="auto"/>
          <w:sz w:val="24"/>
          <w:szCs w:val="24"/>
          <w:highlight w:val="none"/>
        </w:rPr>
      </w:pPr>
    </w:p>
    <w:p>
      <w:pPr>
        <w:kinsoku/>
        <w:wordWrap/>
        <w:overflowPunct/>
        <w:bidi w:val="0"/>
        <w:snapToGrid w:val="0"/>
        <w:spacing w:beforeAutospacing="0" w:line="440" w:lineRule="exact"/>
        <w:ind w:left="0" w:leftChars="0" w:right="0" w:rightChars="0"/>
        <w:textAlignment w:val="auto"/>
        <w:rPr>
          <w:rFonts w:hint="eastAsia" w:ascii="仿宋" w:hAnsi="仿宋" w:eastAsia="仿宋" w:cs="仿宋"/>
          <w:color w:val="auto"/>
          <w:sz w:val="24"/>
          <w:szCs w:val="24"/>
          <w:highlight w:val="none"/>
        </w:rPr>
      </w:pPr>
    </w:p>
    <w:p>
      <w:pPr>
        <w:kinsoku/>
        <w:wordWrap/>
        <w:overflowPunct/>
        <w:bidi w:val="0"/>
        <w:snapToGrid w:val="0"/>
        <w:spacing w:beforeAutospacing="0" w:line="440" w:lineRule="exact"/>
        <w:ind w:left="0" w:leftChars="0" w:right="0" w:rightChars="0"/>
        <w:textAlignment w:val="auto"/>
        <w:rPr>
          <w:rFonts w:hint="eastAsia" w:ascii="仿宋" w:hAnsi="仿宋" w:eastAsia="仿宋" w:cs="仿宋"/>
          <w:color w:val="auto"/>
          <w:sz w:val="24"/>
          <w:szCs w:val="24"/>
          <w:highlight w:val="none"/>
        </w:rPr>
      </w:pPr>
    </w:p>
    <w:p>
      <w:pPr>
        <w:kinsoku/>
        <w:wordWrap/>
        <w:overflowPunct/>
        <w:bidi w:val="0"/>
        <w:snapToGrid w:val="0"/>
        <w:spacing w:beforeAutospacing="0" w:line="440" w:lineRule="exact"/>
        <w:ind w:left="0" w:leftChars="0" w:right="0" w:rightChars="0"/>
        <w:textAlignment w:val="auto"/>
        <w:rPr>
          <w:rFonts w:hint="eastAsia" w:ascii="仿宋" w:hAnsi="仿宋" w:eastAsia="仿宋" w:cs="仿宋"/>
          <w:color w:val="auto"/>
          <w:sz w:val="24"/>
          <w:szCs w:val="24"/>
          <w:highlight w:val="none"/>
        </w:rPr>
      </w:pPr>
    </w:p>
    <w:p>
      <w:pPr>
        <w:pStyle w:val="2"/>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rPr>
          <w:rFonts w:hint="eastAsia"/>
        </w:rPr>
      </w:pPr>
    </w:p>
    <w:p>
      <w:pPr>
        <w:kinsoku/>
        <w:wordWrap/>
        <w:overflowPunct/>
        <w:bidi w:val="0"/>
        <w:snapToGrid w:val="0"/>
        <w:spacing w:beforeAutospacing="0" w:line="440" w:lineRule="exact"/>
        <w:ind w:left="0" w:leftChars="0" w:right="0" w:rightChars="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val="0"/>
          <w:bCs w:val="0"/>
          <w:color w:val="auto"/>
          <w:sz w:val="28"/>
          <w:szCs w:val="28"/>
          <w:highlight w:val="none"/>
        </w:rPr>
        <w:t>项目编号</w:t>
      </w:r>
      <w:r>
        <w:rPr>
          <w:rFonts w:hint="eastAsia" w:ascii="仿宋" w:hAnsi="仿宋" w:eastAsia="仿宋" w:cs="仿宋"/>
          <w:b/>
          <w:bCs/>
          <w:color w:val="auto"/>
          <w:sz w:val="28"/>
          <w:szCs w:val="28"/>
          <w:highlight w:val="none"/>
        </w:rPr>
        <w:t>：</w:t>
      </w:r>
      <w:r>
        <w:rPr>
          <w:rFonts w:hint="eastAsia" w:ascii="仿宋" w:hAnsi="仿宋" w:eastAsia="仿宋" w:cs="仿宋"/>
          <w:i w:val="0"/>
          <w:caps w:val="0"/>
          <w:color w:val="auto"/>
          <w:spacing w:val="0"/>
          <w:sz w:val="28"/>
          <w:szCs w:val="28"/>
          <w:highlight w:val="none"/>
        </w:rPr>
        <w:t>XJPC</w:t>
      </w:r>
      <w:r>
        <w:rPr>
          <w:rFonts w:hint="eastAsia" w:ascii="仿宋" w:hAnsi="仿宋" w:eastAsia="仿宋" w:cs="仿宋"/>
          <w:i w:val="0"/>
          <w:caps w:val="0"/>
          <w:color w:val="auto"/>
          <w:spacing w:val="0"/>
          <w:sz w:val="28"/>
          <w:szCs w:val="28"/>
          <w:highlight w:val="none"/>
          <w:lang w:val="en-US" w:eastAsia="zh-CN"/>
        </w:rPr>
        <w:t>-</w:t>
      </w:r>
      <w:r>
        <w:rPr>
          <w:rFonts w:hint="eastAsia" w:ascii="仿宋" w:hAnsi="仿宋" w:eastAsia="仿宋" w:cs="仿宋"/>
          <w:i w:val="0"/>
          <w:caps w:val="0"/>
          <w:color w:val="auto"/>
          <w:spacing w:val="0"/>
          <w:sz w:val="28"/>
          <w:szCs w:val="28"/>
          <w:highlight w:val="none"/>
        </w:rPr>
        <w:t>2021-</w:t>
      </w:r>
      <w:r>
        <w:rPr>
          <w:rFonts w:hint="eastAsia" w:ascii="仿宋" w:hAnsi="仿宋" w:eastAsia="仿宋" w:cs="仿宋"/>
          <w:i w:val="0"/>
          <w:caps w:val="0"/>
          <w:color w:val="auto"/>
          <w:spacing w:val="0"/>
          <w:sz w:val="28"/>
          <w:szCs w:val="28"/>
          <w:highlight w:val="none"/>
          <w:lang w:val="en-US" w:eastAsia="zh-CN"/>
        </w:rPr>
        <w:t>024</w:t>
      </w:r>
    </w:p>
    <w:p>
      <w:pPr>
        <w:keepNext w:val="0"/>
        <w:keepLines w:val="0"/>
        <w:pageBreakBefore w:val="0"/>
        <w:widowControl w:val="0"/>
        <w:kinsoku/>
        <w:wordWrap/>
        <w:overflowPunct/>
        <w:topLinePunct w:val="0"/>
        <w:autoSpaceDE/>
        <w:autoSpaceDN/>
        <w:bidi w:val="0"/>
        <w:snapToGrid w:val="0"/>
        <w:spacing w:beforeAutospacing="0" w:line="440" w:lineRule="exact"/>
        <w:ind w:left="0" w:leftChars="0" w:right="0" w:rightChars="0"/>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项目名称：</w:t>
      </w:r>
      <w:r>
        <w:rPr>
          <w:rFonts w:hint="eastAsia" w:ascii="仿宋" w:hAnsi="仿宋" w:eastAsia="仿宋" w:cs="仿宋"/>
          <w:b w:val="0"/>
          <w:bCs w:val="0"/>
          <w:color w:val="auto"/>
          <w:sz w:val="28"/>
          <w:szCs w:val="28"/>
          <w:highlight w:val="none"/>
          <w:lang w:eastAsia="zh-CN"/>
        </w:rPr>
        <w:t>乌鲁木齐市友谊医院康复、理疗设备采购项目</w:t>
      </w:r>
    </w:p>
    <w:p>
      <w:pPr>
        <w:pStyle w:val="2"/>
        <w:rPr>
          <w:rFonts w:hint="eastAsia"/>
          <w:lang w:eastAsia="zh-CN"/>
        </w:rPr>
      </w:pPr>
    </w:p>
    <w:p>
      <w:pPr>
        <w:pStyle w:val="2"/>
        <w:rPr>
          <w:rFonts w:hint="eastAsia"/>
          <w:lang w:eastAsia="zh-CN"/>
        </w:rPr>
      </w:pPr>
    </w:p>
    <w:p>
      <w:pPr>
        <w:rPr>
          <w:rFonts w:hint="eastAsia"/>
          <w:lang w:eastAsia="zh-CN"/>
        </w:rPr>
      </w:pP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采购人名称：乌鲁木齐市友谊医院</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采购人地址：乌鲁木齐市胜利路</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项目联系人：杨再江 </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项目联系方式：0991-2854144 </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8"/>
          <w:szCs w:val="28"/>
          <w:highlight w:val="none"/>
          <w:lang w:val="en-US" w:eastAsia="zh-CN" w:bidi="ar-SA"/>
        </w:rPr>
      </w:pP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采购代理机构名称：新疆谱诚项目管理咨询有限公司</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地址：乌鲁木齐市水磨沟区龙腾路1118号中央公园二期9栋503室</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项目联系人：刘婧、齐欢</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项目联系方式：15899126306</w:t>
      </w:r>
    </w:p>
    <w:p>
      <w:pPr>
        <w:pStyle w:val="31"/>
        <w:keepNext w:val="0"/>
        <w:keepLines w:val="0"/>
        <w:pageBreakBefore w:val="0"/>
        <w:widowControl w:val="0"/>
        <w:kinsoku/>
        <w:wordWrap/>
        <w:overflowPunct/>
        <w:topLinePunct w:val="0"/>
        <w:autoSpaceDE/>
        <w:autoSpaceDN/>
        <w:bidi w:val="0"/>
        <w:spacing w:beforeAutospacing="0" w:line="440" w:lineRule="exact"/>
        <w:ind w:left="0" w:leftChars="0" w:right="0" w:rightChars="0" w:firstLine="0" w:firstLineChars="0"/>
        <w:jc w:val="center"/>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二○二一年九月</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Style w:val="2"/>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sdt>
      <w:sdtPr>
        <w:rPr>
          <w:rFonts w:hint="eastAsia" w:ascii="仿宋" w:hAnsi="仿宋" w:eastAsia="仿宋" w:cs="仿宋"/>
          <w:color w:val="auto"/>
          <w:kern w:val="2"/>
          <w:sz w:val="24"/>
          <w:szCs w:val="24"/>
          <w:highlight w:val="none"/>
          <w:lang w:val="en-US" w:eastAsia="zh-CN" w:bidi="ar-SA"/>
        </w:rPr>
        <w:id w:val="147455494"/>
        <w15:color w:val="DBDBDB"/>
        <w:docPartObj>
          <w:docPartGallery w:val="Table of Contents"/>
          <w:docPartUnique/>
        </w:docPartObj>
      </w:sdtPr>
      <w:sdtEndPr>
        <w:rPr>
          <w:rFonts w:hint="eastAsia" w:ascii="仿宋" w:hAnsi="仿宋" w:eastAsia="仿宋" w:cs="仿宋"/>
          <w:color w:val="auto"/>
          <w:kern w:val="2"/>
          <w:sz w:val="24"/>
          <w:szCs w:val="24"/>
          <w:highlight w:val="none"/>
          <w:lang w:val="en-US" w:eastAsia="zh-CN" w:bidi="ar-SA"/>
        </w:rPr>
      </w:sdtEndPr>
      <w:sdtContent>
        <w:p>
          <w:pPr>
            <w:keepNext w:val="0"/>
            <w:keepLines w:val="0"/>
            <w:pageBreakBefore w:val="0"/>
            <w:kinsoku/>
            <w:wordWrap/>
            <w:overflowPunct/>
            <w:topLinePunct w:val="0"/>
            <w:autoSpaceDE/>
            <w:autoSpaceDN/>
            <w:bidi w:val="0"/>
            <w:adjustRightInd/>
            <w:snapToGrid/>
            <w:spacing w:beforeAutospacing="0" w:line="440" w:lineRule="exact"/>
            <w:ind w:left="0" w:leftChars="0" w:right="0" w:rightChars="0" w:firstLine="0" w:firstLineChars="0"/>
            <w:jc w:val="center"/>
            <w:textAlignment w:val="auto"/>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目录</w:t>
          </w:r>
        </w:p>
        <w:p>
          <w:pPr>
            <w:pStyle w:val="404"/>
            <w:keepNext w:val="0"/>
            <w:keepLines w:val="0"/>
            <w:pageBreakBefore w:val="0"/>
            <w:tabs>
              <w:tab w:val="right" w:leader="dot" w:pos="8312"/>
            </w:tabs>
            <w:kinsoku/>
            <w:wordWrap/>
            <w:overflowPunct/>
            <w:topLinePunct w:val="0"/>
            <w:autoSpaceDE/>
            <w:autoSpaceDN/>
            <w:bidi w:val="0"/>
            <w:adjustRightInd/>
            <w:snapToGrid/>
            <w:spacing w:beforeAutospacing="0" w:line="440" w:lineRule="exact"/>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TOC \o "1-1" \h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_Toc17860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第一章    投标邀请函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_Toc17860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404"/>
            <w:keepNext w:val="0"/>
            <w:keepLines w:val="0"/>
            <w:pageBreakBefore w:val="0"/>
            <w:tabs>
              <w:tab w:val="right" w:leader="dot" w:pos="8312"/>
            </w:tabs>
            <w:kinsoku/>
            <w:wordWrap/>
            <w:overflowPunct/>
            <w:topLinePunct w:val="0"/>
            <w:autoSpaceDE/>
            <w:autoSpaceDN/>
            <w:bidi w:val="0"/>
            <w:adjustRightInd/>
            <w:snapToGrid/>
            <w:spacing w:beforeAutospacing="0" w:line="440" w:lineRule="exact"/>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_Toc8919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第二章    投标人须知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_Toc8919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404"/>
            <w:keepNext w:val="0"/>
            <w:keepLines w:val="0"/>
            <w:pageBreakBefore w:val="0"/>
            <w:tabs>
              <w:tab w:val="right" w:leader="dot" w:pos="8312"/>
            </w:tabs>
            <w:kinsoku/>
            <w:wordWrap/>
            <w:overflowPunct/>
            <w:topLinePunct w:val="0"/>
            <w:autoSpaceDE/>
            <w:autoSpaceDN/>
            <w:bidi w:val="0"/>
            <w:adjustRightInd/>
            <w:snapToGrid/>
            <w:spacing w:beforeAutospacing="0" w:line="440" w:lineRule="exact"/>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_Toc10316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第三章 采购需求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_Toc10316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404"/>
            <w:keepNext w:val="0"/>
            <w:keepLines w:val="0"/>
            <w:pageBreakBefore w:val="0"/>
            <w:tabs>
              <w:tab w:val="right" w:leader="dot" w:pos="8312"/>
            </w:tabs>
            <w:kinsoku/>
            <w:wordWrap/>
            <w:overflowPunct/>
            <w:topLinePunct w:val="0"/>
            <w:autoSpaceDE/>
            <w:autoSpaceDN/>
            <w:bidi w:val="0"/>
            <w:adjustRightInd/>
            <w:snapToGrid/>
            <w:spacing w:beforeAutospacing="0" w:line="440" w:lineRule="exact"/>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_Toc11193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第四章 合同格式（参考）</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_Toc11193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93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404"/>
            <w:keepNext w:val="0"/>
            <w:keepLines w:val="0"/>
            <w:pageBreakBefore w:val="0"/>
            <w:tabs>
              <w:tab w:val="right" w:leader="dot" w:pos="8312"/>
            </w:tabs>
            <w:kinsoku/>
            <w:wordWrap/>
            <w:overflowPunct/>
            <w:topLinePunct w:val="0"/>
            <w:autoSpaceDE/>
            <w:autoSpaceDN/>
            <w:bidi w:val="0"/>
            <w:adjustRightInd/>
            <w:snapToGrid/>
            <w:spacing w:beforeAutospacing="0" w:line="440" w:lineRule="exact"/>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_Toc16604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kern w:val="2"/>
              <w:sz w:val="24"/>
              <w:szCs w:val="24"/>
              <w:highlight w:val="none"/>
              <w:lang w:val="en-US" w:eastAsia="zh-CN" w:bidi="ar-SA"/>
            </w:rPr>
            <w:t>第五部分  投标文件格式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_Toc16604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97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404"/>
            <w:keepNext w:val="0"/>
            <w:keepLines w:val="0"/>
            <w:pageBreakBefore w:val="0"/>
            <w:tabs>
              <w:tab w:val="right" w:leader="dot" w:pos="8312"/>
            </w:tabs>
            <w:kinsoku/>
            <w:wordWrap/>
            <w:overflowPunct/>
            <w:topLinePunct w:val="0"/>
            <w:autoSpaceDE/>
            <w:autoSpaceDN/>
            <w:bidi w:val="0"/>
            <w:adjustRightInd/>
            <w:snapToGrid/>
            <w:spacing w:beforeAutospacing="0" w:line="440" w:lineRule="exact"/>
            <w:ind w:left="0" w:leftChars="0" w:right="0"/>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autoSpaceDE/>
            <w:autoSpaceDN/>
            <w:bidi w:val="0"/>
            <w:adjustRightInd/>
            <w:snapToGrid/>
            <w:spacing w:beforeAutospacing="0" w:line="440" w:lineRule="exact"/>
            <w:ind w:left="0" w:leftChars="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end"/>
          </w:r>
        </w:p>
      </w:sdtContent>
    </w:sdt>
    <w:p>
      <w:pPr>
        <w:kinsoku/>
        <w:wordWrap/>
        <w:overflowPunct/>
        <w:bidi w:val="0"/>
        <w:spacing w:beforeAutospacing="0" w:line="440" w:lineRule="exact"/>
        <w:ind w:left="0" w:leftChars="0" w:right="0"/>
        <w:rPr>
          <w:rFonts w:hint="eastAsia" w:ascii="仿宋" w:hAnsi="仿宋" w:eastAsia="仿宋" w:cs="仿宋"/>
          <w:b/>
          <w:color w:val="auto"/>
          <w:sz w:val="24"/>
          <w:szCs w:val="24"/>
          <w:highlight w:val="none"/>
        </w:rPr>
      </w:pPr>
      <w:bookmarkStart w:id="0" w:name="_Toc17860"/>
      <w:r>
        <w:rPr>
          <w:rFonts w:hint="eastAsia" w:ascii="仿宋" w:hAnsi="仿宋" w:eastAsia="仿宋" w:cs="仿宋"/>
          <w:b/>
          <w:color w:val="auto"/>
          <w:sz w:val="24"/>
          <w:szCs w:val="24"/>
          <w:highlight w:val="none"/>
        </w:rPr>
        <w:br w:type="page"/>
      </w:r>
    </w:p>
    <w:p>
      <w:pPr>
        <w:widowControl/>
        <w:kinsoku/>
        <w:wordWrap/>
        <w:overflowPunct/>
        <w:bidi w:val="0"/>
        <w:spacing w:beforeAutospacing="0" w:line="440" w:lineRule="exact"/>
        <w:ind w:left="0" w:leftChars="0" w:right="0" w:rightChars="0"/>
        <w:jc w:val="center"/>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第一章    投标邀请函</w:t>
      </w:r>
      <w:bookmarkEnd w:id="0"/>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lang w:eastAsia="zh-CN"/>
        </w:rPr>
        <w:t>乌鲁木齐市友谊医院康复、理疗设备采购项目</w:t>
      </w:r>
      <w:r>
        <w:rPr>
          <w:rFonts w:hint="eastAsia" w:ascii="仿宋" w:hAnsi="仿宋" w:eastAsia="仿宋" w:cs="仿宋"/>
          <w:color w:val="auto"/>
          <w:sz w:val="24"/>
          <w:szCs w:val="24"/>
          <w:highlight w:val="none"/>
        </w:rPr>
        <w:t>的潜在投标人应在</w:t>
      </w:r>
      <w:r>
        <w:rPr>
          <w:rFonts w:hint="eastAsia" w:ascii="仿宋" w:hAnsi="仿宋" w:eastAsia="仿宋" w:cs="仿宋"/>
          <w:color w:val="auto"/>
          <w:sz w:val="24"/>
          <w:szCs w:val="24"/>
          <w:highlight w:val="none"/>
          <w:u w:val="none"/>
        </w:rPr>
        <w:t>乌鲁木齐市水磨沟区龙腾路1118号中央公园二期9栋商务办公楼</w:t>
      </w:r>
      <w:r>
        <w:rPr>
          <w:rFonts w:hint="eastAsia" w:ascii="仿宋" w:hAnsi="仿宋" w:eastAsia="仿宋" w:cs="仿宋"/>
          <w:color w:val="auto"/>
          <w:sz w:val="24"/>
          <w:szCs w:val="24"/>
          <w:highlight w:val="none"/>
          <w:u w:val="none"/>
          <w:lang w:eastAsia="zh-CN"/>
        </w:rPr>
        <w:t>办公用房503室</w:t>
      </w:r>
      <w:r>
        <w:rPr>
          <w:rFonts w:hint="eastAsia" w:ascii="仿宋" w:hAnsi="仿宋" w:eastAsia="仿宋" w:cs="仿宋"/>
          <w:color w:val="auto"/>
          <w:sz w:val="24"/>
          <w:szCs w:val="24"/>
          <w:highlight w:val="none"/>
        </w:rPr>
        <w:t>获取招标文件，并于</w:t>
      </w:r>
      <w:r>
        <w:rPr>
          <w:rFonts w:hint="eastAsia" w:ascii="仿宋" w:hAnsi="仿宋" w:eastAsia="仿宋" w:cs="仿宋"/>
          <w:color w:val="auto"/>
          <w:sz w:val="24"/>
          <w:szCs w:val="24"/>
          <w:highlight w:val="none"/>
          <w:u w:val="none"/>
          <w:lang w:eastAsia="zh-CN"/>
        </w:rPr>
        <w:t>2021年10月2</w:t>
      </w:r>
      <w:r>
        <w:rPr>
          <w:rFonts w:hint="eastAsia" w:ascii="仿宋" w:hAnsi="仿宋" w:eastAsia="仿宋" w:cs="仿宋"/>
          <w:color w:val="auto"/>
          <w:sz w:val="24"/>
          <w:szCs w:val="24"/>
          <w:highlight w:val="none"/>
          <w:u w:val="none"/>
          <w:lang w:val="en-US" w:eastAsia="zh-CN"/>
        </w:rPr>
        <w:t>2</w:t>
      </w:r>
      <w:r>
        <w:rPr>
          <w:rFonts w:hint="eastAsia" w:ascii="仿宋" w:hAnsi="仿宋" w:eastAsia="仿宋" w:cs="仿宋"/>
          <w:color w:val="auto"/>
          <w:sz w:val="24"/>
          <w:szCs w:val="24"/>
          <w:highlight w:val="none"/>
          <w:u w:val="none"/>
          <w:lang w:eastAsia="zh-CN"/>
        </w:rPr>
        <w:t>日 11:00</w:t>
      </w:r>
      <w:r>
        <w:rPr>
          <w:rFonts w:hint="eastAsia" w:ascii="仿宋" w:hAnsi="仿宋" w:eastAsia="仿宋" w:cs="仿宋"/>
          <w:color w:val="auto"/>
          <w:sz w:val="24"/>
          <w:szCs w:val="24"/>
          <w:highlight w:val="none"/>
          <w:u w:val="none"/>
        </w:rPr>
        <w:t>（北京时间）前递交投标文件。</w:t>
      </w:r>
    </w:p>
    <w:p>
      <w:pPr>
        <w:pStyle w:val="45"/>
        <w:kinsoku/>
        <w:wordWrap/>
        <w:overflowPunct/>
        <w:bidi w:val="0"/>
        <w:spacing w:before="0" w:beforeAutospacing="0" w:after="0" w:afterAutospacing="0" w:line="440" w:lineRule="exact"/>
        <w:ind w:left="0" w:leftChars="0" w:right="0" w:rightChars="0"/>
        <w:jc w:val="both"/>
        <w:textAlignment w:val="auto"/>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一、项目基本情况</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color w:val="auto"/>
          <w:sz w:val="24"/>
          <w:szCs w:val="24"/>
          <w:highlight w:val="none"/>
        </w:rPr>
        <w:t>项目编号：XJPC</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2021-</w:t>
      </w:r>
      <w:r>
        <w:rPr>
          <w:rFonts w:hint="eastAsia" w:ascii="仿宋" w:hAnsi="仿宋" w:eastAsia="仿宋" w:cs="仿宋"/>
          <w:color w:val="auto"/>
          <w:sz w:val="24"/>
          <w:szCs w:val="24"/>
          <w:highlight w:val="none"/>
          <w:lang w:val="en-US" w:eastAsia="zh-CN"/>
        </w:rPr>
        <w:t>024</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乌鲁木齐市友谊医院康复、理疗设备采购项目</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项目标段：/</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预算金额（万元）</w:t>
      </w:r>
      <w:r>
        <w:rPr>
          <w:rFonts w:hint="eastAsia" w:ascii="仿宋" w:hAnsi="仿宋" w:eastAsia="仿宋" w:cs="仿宋"/>
          <w:color w:val="auto"/>
          <w:sz w:val="24"/>
          <w:szCs w:val="24"/>
          <w:highlight w:val="none"/>
          <w:lang w:val="en-US" w:eastAsia="zh-CN"/>
        </w:rPr>
        <w:t>795.00</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采购内容：</w:t>
      </w:r>
      <w:r>
        <w:rPr>
          <w:rFonts w:hint="eastAsia" w:ascii="仿宋" w:hAnsi="仿宋" w:eastAsia="仿宋" w:cs="仿宋"/>
          <w:color w:val="auto"/>
          <w:sz w:val="24"/>
          <w:szCs w:val="24"/>
          <w:highlight w:val="none"/>
          <w:lang w:eastAsia="zh-CN"/>
        </w:rPr>
        <w:t>康复诊疗设备采购</w:t>
      </w:r>
      <w:r>
        <w:rPr>
          <w:rFonts w:hint="eastAsia" w:ascii="仿宋" w:hAnsi="仿宋" w:eastAsia="仿宋" w:cs="仿宋"/>
          <w:color w:val="auto"/>
          <w:sz w:val="24"/>
          <w:szCs w:val="24"/>
          <w:highlight w:val="none"/>
          <w:lang w:val="en-US" w:eastAsia="zh-CN"/>
        </w:rPr>
        <w:t>（详见采购文件）</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合同履行期限：详见招标文件</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二、申请人的资格要求：</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45"/>
        <w:numPr>
          <w:ilvl w:val="0"/>
          <w:numId w:val="0"/>
        </w:numPr>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具有有效营业执照的国内独立法人资格，具有独立承担民事责任的能力；</w:t>
      </w:r>
    </w:p>
    <w:p>
      <w:pPr>
        <w:pStyle w:val="45"/>
        <w:numPr>
          <w:ilvl w:val="0"/>
          <w:numId w:val="0"/>
        </w:numPr>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p>
      <w:pPr>
        <w:pStyle w:val="45"/>
        <w:numPr>
          <w:ilvl w:val="0"/>
          <w:numId w:val="0"/>
        </w:numPr>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经信用中国（www.creditchina.gov.cn）、中国政府采购网（www.ccgp.gov.cn）、 国家企业信用信息公示（http://www.gsxt.gov.cn/）等渠道查询后，列入失信被执行人、重大税收违法案件当事人名单、政府采购严重违法失信行为记录名单的，取消投标资格。（提供“信用中国”《中国政府采购网》网站无任何不良记录的查询截图，时间为投标截止时间前20天内）；</w:t>
      </w:r>
    </w:p>
    <w:p>
      <w:pPr>
        <w:pStyle w:val="45"/>
        <w:numPr>
          <w:ilvl w:val="0"/>
          <w:numId w:val="10"/>
        </w:numPr>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w:t>
      </w:r>
    </w:p>
    <w:p>
      <w:pPr>
        <w:pStyle w:val="45"/>
        <w:numPr>
          <w:ilvl w:val="0"/>
          <w:numId w:val="0"/>
        </w:numPr>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三、获取招标文件</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时间：2021</w:t>
      </w:r>
      <w:r>
        <w:rPr>
          <w:rFonts w:hint="eastAsia" w:ascii="仿宋" w:hAnsi="仿宋" w:eastAsia="仿宋" w:cs="仿宋"/>
          <w:color w:val="auto"/>
          <w:sz w:val="24"/>
          <w:szCs w:val="24"/>
          <w:highlight w:val="none"/>
          <w:u w:val="none"/>
          <w:lang w:val="en-US" w:eastAsia="zh-CN"/>
        </w:rPr>
        <w:t>9</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30</w:t>
      </w:r>
      <w:r>
        <w:rPr>
          <w:rFonts w:hint="eastAsia" w:ascii="仿宋" w:hAnsi="仿宋" w:eastAsia="仿宋" w:cs="仿宋"/>
          <w:color w:val="auto"/>
          <w:sz w:val="24"/>
          <w:szCs w:val="24"/>
          <w:highlight w:val="none"/>
          <w:u w:val="none"/>
        </w:rPr>
        <w:t>日至2020年</w:t>
      </w:r>
      <w:r>
        <w:rPr>
          <w:rFonts w:hint="eastAsia" w:ascii="仿宋" w:hAnsi="仿宋" w:eastAsia="仿宋" w:cs="仿宋"/>
          <w:color w:val="auto"/>
          <w:sz w:val="24"/>
          <w:szCs w:val="24"/>
          <w:highlight w:val="none"/>
          <w:u w:val="none"/>
          <w:lang w:val="en-US" w:eastAsia="zh-CN"/>
        </w:rPr>
        <w:t>10</w:t>
      </w:r>
      <w:r>
        <w:rPr>
          <w:rFonts w:hint="eastAsia" w:ascii="仿宋" w:hAnsi="仿宋" w:eastAsia="仿宋" w:cs="仿宋"/>
          <w:color w:val="auto"/>
          <w:sz w:val="24"/>
          <w:szCs w:val="24"/>
          <w:highlight w:val="none"/>
          <w:u w:val="none"/>
        </w:rPr>
        <w:t>月1</w:t>
      </w: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rPr>
        <w:t>日</w:t>
      </w:r>
      <w:r>
        <w:rPr>
          <w:rFonts w:hint="eastAsia" w:ascii="仿宋" w:hAnsi="仿宋" w:eastAsia="仿宋" w:cs="仿宋"/>
          <w:color w:val="auto"/>
          <w:sz w:val="24"/>
          <w:szCs w:val="24"/>
          <w:highlight w:val="none"/>
          <w:u w:val="none"/>
          <w:lang w:val="en-US" w:eastAsia="zh-CN"/>
        </w:rPr>
        <w:t>0</w:t>
      </w:r>
      <w:r>
        <w:rPr>
          <w:rFonts w:hint="eastAsia" w:ascii="仿宋" w:hAnsi="仿宋" w:eastAsia="仿宋" w:cs="仿宋"/>
          <w:color w:val="auto"/>
          <w:sz w:val="24"/>
          <w:szCs w:val="24"/>
          <w:highlight w:val="none"/>
          <w:u w:val="none"/>
        </w:rPr>
        <w:t>0:00</w:t>
      </w:r>
      <w:r>
        <w:rPr>
          <w:rFonts w:hint="eastAsia" w:ascii="仿宋" w:hAnsi="仿宋" w:eastAsia="仿宋" w:cs="仿宋"/>
          <w:color w:val="auto"/>
          <w:sz w:val="24"/>
          <w:szCs w:val="24"/>
          <w:highlight w:val="none"/>
          <w:u w:val="none"/>
          <w:lang w:val="en-US" w:eastAsia="zh-CN"/>
        </w:rPr>
        <w:t>（北京时间）</w:t>
      </w:r>
      <w:r>
        <w:rPr>
          <w:rFonts w:hint="eastAsia" w:ascii="仿宋" w:hAnsi="仿宋" w:eastAsia="仿宋" w:cs="仿宋"/>
          <w:color w:val="auto"/>
          <w:sz w:val="24"/>
          <w:szCs w:val="24"/>
          <w:highlight w:val="none"/>
          <w:u w:val="none"/>
        </w:rPr>
        <w:t>，10:00至13:30，下午15:30至18:00（北京时间，法定节假日除外）</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rPr>
        <w:t>地点：乌鲁木齐市水磨沟区龙腾路1118号中央公园二期9栋商务办公楼</w:t>
      </w:r>
      <w:r>
        <w:rPr>
          <w:rFonts w:hint="eastAsia" w:ascii="仿宋" w:hAnsi="仿宋" w:eastAsia="仿宋" w:cs="仿宋"/>
          <w:color w:val="auto"/>
          <w:sz w:val="24"/>
          <w:szCs w:val="24"/>
          <w:highlight w:val="none"/>
          <w:u w:val="none"/>
          <w:lang w:eastAsia="zh-CN"/>
        </w:rPr>
        <w:t>办公用房503室</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方式：现场购买</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00元/份</w:t>
      </w:r>
    </w:p>
    <w:p>
      <w:pPr>
        <w:pStyle w:val="45"/>
        <w:kinsoku/>
        <w:wordWrap/>
        <w:overflowPunct/>
        <w:bidi w:val="0"/>
        <w:spacing w:before="0" w:beforeAutospacing="0" w:after="0" w:afterAutospacing="0" w:line="440" w:lineRule="exact"/>
        <w:ind w:left="0" w:leftChars="0" w:right="0" w:rightChars="0"/>
        <w:jc w:val="both"/>
        <w:textAlignment w:val="auto"/>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四、提交投标文件截止时间、开标时间和地点</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提交投标文件截止时间</w:t>
      </w:r>
      <w:r>
        <w:rPr>
          <w:rFonts w:hint="eastAsia" w:ascii="仿宋" w:hAnsi="仿宋" w:eastAsia="仿宋" w:cs="仿宋"/>
          <w:color w:val="auto"/>
          <w:sz w:val="24"/>
          <w:szCs w:val="24"/>
          <w:highlight w:val="none"/>
          <w:u w:val="none"/>
        </w:rPr>
        <w:t>：2021年</w:t>
      </w:r>
      <w:r>
        <w:rPr>
          <w:rFonts w:hint="eastAsia" w:ascii="仿宋" w:hAnsi="仿宋" w:eastAsia="仿宋" w:cs="仿宋"/>
          <w:color w:val="auto"/>
          <w:sz w:val="24"/>
          <w:szCs w:val="24"/>
          <w:highlight w:val="none"/>
          <w:u w:val="none"/>
          <w:lang w:val="en-US" w:eastAsia="zh-CN"/>
        </w:rPr>
        <w:t>10</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22</w:t>
      </w:r>
      <w:r>
        <w:rPr>
          <w:rFonts w:hint="eastAsia" w:ascii="仿宋" w:hAnsi="仿宋" w:eastAsia="仿宋" w:cs="仿宋"/>
          <w:color w:val="auto"/>
          <w:sz w:val="24"/>
          <w:szCs w:val="24"/>
          <w:highlight w:val="none"/>
          <w:u w:val="none"/>
        </w:rPr>
        <w:t>日 11:00（北京时间）</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投标地点：乌鲁木齐市水磨沟区龙腾路1118号中央公园二期9栋商务办公楼办公用房401室</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开标时间：2021年</w:t>
      </w:r>
      <w:r>
        <w:rPr>
          <w:rFonts w:hint="eastAsia" w:ascii="仿宋" w:hAnsi="仿宋" w:eastAsia="仿宋" w:cs="仿宋"/>
          <w:color w:val="auto"/>
          <w:sz w:val="24"/>
          <w:szCs w:val="24"/>
          <w:highlight w:val="none"/>
          <w:u w:val="none"/>
          <w:lang w:val="en-US" w:eastAsia="zh-CN"/>
        </w:rPr>
        <w:t>10</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22</w:t>
      </w:r>
      <w:r>
        <w:rPr>
          <w:rFonts w:hint="eastAsia" w:ascii="仿宋" w:hAnsi="仿宋" w:eastAsia="仿宋" w:cs="仿宋"/>
          <w:color w:val="auto"/>
          <w:sz w:val="24"/>
          <w:szCs w:val="24"/>
          <w:highlight w:val="none"/>
          <w:u w:val="none"/>
        </w:rPr>
        <w:t>日 11:00（北京时间）</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开标地点：乌鲁木齐市水磨沟区龙腾路1118号中央公园二期9栋商务办公楼办公用房401室</w:t>
      </w:r>
    </w:p>
    <w:p>
      <w:pPr>
        <w:pStyle w:val="45"/>
        <w:kinsoku/>
        <w:wordWrap/>
        <w:overflowPunct/>
        <w:bidi w:val="0"/>
        <w:spacing w:before="0" w:beforeAutospacing="0" w:after="0" w:afterAutospacing="0" w:line="440" w:lineRule="exact"/>
        <w:ind w:left="0" w:leftChars="0" w:right="0" w:rightChars="0"/>
        <w:jc w:val="both"/>
        <w:textAlignment w:val="auto"/>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五、公告期限</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pPr>
        <w:pStyle w:val="45"/>
        <w:kinsoku/>
        <w:wordWrap/>
        <w:overflowPunct/>
        <w:bidi w:val="0"/>
        <w:spacing w:before="0" w:beforeAutospacing="0" w:after="0" w:afterAutospacing="0" w:line="440" w:lineRule="exact"/>
        <w:ind w:left="0" w:leftChars="0" w:right="0" w:rightChars="0"/>
        <w:jc w:val="both"/>
        <w:textAlignment w:val="auto"/>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六、其他补充事宜</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报名时请随身携带法定代表人授权委托书及被授权人的身份证原件或相关资格证明文件、三证合一的《营业执照》原件、</w:t>
      </w:r>
      <w:r>
        <w:rPr>
          <w:rFonts w:hint="eastAsia" w:ascii="仿宋" w:hAnsi="仿宋" w:eastAsia="仿宋" w:cs="仿宋"/>
          <w:color w:val="auto"/>
          <w:sz w:val="24"/>
          <w:szCs w:val="24"/>
          <w:highlight w:val="none"/>
          <w:shd w:val="clear" w:color="auto" w:fill="FFFFFF"/>
        </w:rPr>
        <w:t>以及申请人的资格要求：第三条规定的相应产品许可证书，</w:t>
      </w:r>
      <w:r>
        <w:rPr>
          <w:rFonts w:hint="eastAsia" w:ascii="仿宋" w:hAnsi="仿宋" w:eastAsia="仿宋" w:cs="仿宋"/>
          <w:color w:val="auto"/>
          <w:sz w:val="24"/>
          <w:szCs w:val="24"/>
          <w:highlight w:val="none"/>
        </w:rPr>
        <w:t>通过</w:t>
      </w:r>
      <w:r>
        <w:rPr>
          <w:rFonts w:hint="eastAsia" w:ascii="仿宋" w:hAnsi="仿宋" w:eastAsia="仿宋" w:cs="仿宋"/>
          <w:color w:val="auto"/>
          <w:sz w:val="24"/>
          <w:szCs w:val="24"/>
          <w:highlight w:val="none"/>
          <w:shd w:val="clear" w:color="auto" w:fill="FFFFFF"/>
        </w:rPr>
        <w:t>“信用中国”网站（www.creditchina.gov.cn）和中国政府采购网（www.ccgp.gov.cn）渠道查询的本单位信用记录的网页，以上所有资料提供原件及复印件加盖投标单位公章的复印件贰套，资料不齐不予受理。</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七、对本次招标提出询问，请按以下方式联系。</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1.采购人信息</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乌鲁木齐市友谊医院</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址：乌鲁木齐市</w:t>
      </w:r>
      <w:r>
        <w:rPr>
          <w:rFonts w:hint="eastAsia" w:ascii="仿宋" w:hAnsi="仿宋" w:eastAsia="仿宋" w:cs="仿宋"/>
          <w:color w:val="auto"/>
          <w:sz w:val="24"/>
          <w:szCs w:val="24"/>
          <w:highlight w:val="none"/>
          <w:lang w:eastAsia="zh-CN"/>
        </w:rPr>
        <w:t>胜利路</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 xml:space="preserve">杨再江 </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项目联系方式：</w:t>
      </w:r>
      <w:r>
        <w:rPr>
          <w:rFonts w:hint="eastAsia" w:ascii="仿宋" w:hAnsi="仿宋" w:eastAsia="仿宋" w:cs="仿宋"/>
          <w:color w:val="auto"/>
          <w:sz w:val="24"/>
          <w:szCs w:val="24"/>
          <w:highlight w:val="none"/>
          <w:lang w:val="en-US" w:eastAsia="zh-CN"/>
        </w:rPr>
        <w:t xml:space="preserve">0991-2854144 </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称：新疆谱诚项目管理咨询有限公司</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none"/>
        </w:rPr>
        <w:t>乌鲁木齐市水磨沟区龙腾路1118号中央公园二期9栋商务办公楼</w:t>
      </w:r>
      <w:r>
        <w:rPr>
          <w:rFonts w:hint="eastAsia" w:ascii="仿宋" w:hAnsi="仿宋" w:eastAsia="仿宋" w:cs="仿宋"/>
          <w:color w:val="auto"/>
          <w:sz w:val="24"/>
          <w:szCs w:val="24"/>
          <w:highlight w:val="none"/>
          <w:u w:val="none"/>
          <w:lang w:eastAsia="zh-CN"/>
        </w:rPr>
        <w:t>办公用房503室</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刘婧、</w:t>
      </w:r>
      <w:r>
        <w:rPr>
          <w:rFonts w:hint="eastAsia" w:ascii="仿宋" w:hAnsi="仿宋" w:eastAsia="仿宋" w:cs="仿宋"/>
          <w:color w:val="auto"/>
          <w:sz w:val="24"/>
          <w:szCs w:val="24"/>
          <w:highlight w:val="none"/>
          <w:lang w:eastAsia="zh-CN"/>
        </w:rPr>
        <w:t>齐欢</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项目联系方式：</w:t>
      </w:r>
      <w:r>
        <w:rPr>
          <w:rFonts w:hint="eastAsia" w:ascii="仿宋" w:hAnsi="仿宋" w:eastAsia="仿宋" w:cs="仿宋"/>
          <w:color w:val="auto"/>
          <w:sz w:val="24"/>
          <w:szCs w:val="24"/>
          <w:highlight w:val="none"/>
          <w:lang w:val="en-US" w:eastAsia="zh-CN"/>
        </w:rPr>
        <w:t>15899126306</w:t>
      </w:r>
    </w:p>
    <w:p>
      <w:pPr>
        <w:kinsoku/>
        <w:wordWrap/>
        <w:overflowPunct/>
        <w:bidi w:val="0"/>
        <w:spacing w:beforeAutospacing="0" w:line="440" w:lineRule="exact"/>
        <w:ind w:left="0" w:leftChars="0" w:right="0" w:rightChars="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2021年0</w:t>
      </w:r>
      <w:r>
        <w:rPr>
          <w:rFonts w:hint="eastAsia" w:ascii="仿宋" w:hAnsi="仿宋" w:eastAsia="仿宋" w:cs="仿宋"/>
          <w:color w:val="auto"/>
          <w:sz w:val="24"/>
          <w:szCs w:val="24"/>
          <w:highlight w:val="none"/>
          <w:u w:val="none"/>
          <w:lang w:val="en-US" w:eastAsia="zh-CN"/>
        </w:rPr>
        <w:t>9</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30</w:t>
      </w:r>
      <w:r>
        <w:rPr>
          <w:rFonts w:hint="eastAsia" w:ascii="仿宋" w:hAnsi="仿宋" w:eastAsia="仿宋" w:cs="仿宋"/>
          <w:color w:val="auto"/>
          <w:sz w:val="24"/>
          <w:szCs w:val="24"/>
          <w:highlight w:val="none"/>
          <w:u w:val="none"/>
        </w:rPr>
        <w:t>日</w:t>
      </w:r>
    </w:p>
    <w:p>
      <w:pPr>
        <w:kinsoku/>
        <w:wordWrap/>
        <w:overflowPunct/>
        <w:bidi w:val="0"/>
        <w:spacing w:beforeAutospacing="0" w:line="440" w:lineRule="exact"/>
        <w:ind w:left="0" w:leftChars="0" w:right="0" w:rightChars="0"/>
        <w:textAlignment w:val="auto"/>
        <w:rPr>
          <w:rFonts w:hint="eastAsia" w:ascii="仿宋" w:hAnsi="仿宋" w:eastAsia="仿宋" w:cs="仿宋"/>
          <w:color w:val="auto"/>
          <w:sz w:val="24"/>
          <w:szCs w:val="24"/>
          <w:highlight w:val="none"/>
        </w:rPr>
      </w:pPr>
    </w:p>
    <w:p>
      <w:pPr>
        <w:kinsoku/>
        <w:wordWrap/>
        <w:overflowPunct/>
        <w:bidi w:val="0"/>
        <w:snapToGrid w:val="0"/>
        <w:spacing w:beforeAutospacing="0" w:line="440" w:lineRule="exact"/>
        <w:ind w:left="0" w:leftChars="0" w:right="0" w:rightChars="0"/>
        <w:textAlignment w:val="auto"/>
        <w:rPr>
          <w:rFonts w:hint="eastAsia" w:ascii="仿宋" w:hAnsi="仿宋" w:eastAsia="仿宋" w:cs="仿宋"/>
          <w:color w:val="auto"/>
          <w:sz w:val="24"/>
          <w:szCs w:val="24"/>
          <w:highlight w:val="none"/>
        </w:rPr>
      </w:pPr>
    </w:p>
    <w:p>
      <w:pPr>
        <w:kinsoku/>
        <w:wordWrap/>
        <w:overflowPunct/>
        <w:bidi w:val="0"/>
        <w:snapToGrid w:val="0"/>
        <w:spacing w:beforeAutospacing="0" w:line="440" w:lineRule="exact"/>
        <w:ind w:left="0" w:leftChars="0" w:right="0" w:rightChars="0" w:firstLine="2530" w:firstLineChars="1050"/>
        <w:textAlignment w:val="auto"/>
        <w:rPr>
          <w:rFonts w:hint="eastAsia" w:ascii="仿宋" w:hAnsi="仿宋" w:eastAsia="仿宋" w:cs="仿宋"/>
          <w:b/>
          <w:bCs/>
          <w:color w:val="auto"/>
          <w:sz w:val="24"/>
          <w:szCs w:val="24"/>
          <w:highlight w:val="none"/>
        </w:rPr>
      </w:pPr>
    </w:p>
    <w:p>
      <w:pPr>
        <w:kinsoku/>
        <w:wordWrap/>
        <w:overflowPunct/>
        <w:bidi w:val="0"/>
        <w:snapToGrid w:val="0"/>
        <w:spacing w:beforeAutospacing="0" w:line="440" w:lineRule="exact"/>
        <w:ind w:left="0" w:leftChars="0" w:right="0" w:rightChars="0" w:firstLine="2530" w:firstLineChars="1050"/>
        <w:textAlignment w:val="auto"/>
        <w:rPr>
          <w:rFonts w:hint="eastAsia" w:ascii="仿宋" w:hAnsi="仿宋" w:eastAsia="仿宋" w:cs="仿宋"/>
          <w:b/>
          <w:bCs/>
          <w:color w:val="auto"/>
          <w:sz w:val="24"/>
          <w:szCs w:val="24"/>
          <w:highlight w:val="none"/>
        </w:rPr>
      </w:pPr>
    </w:p>
    <w:p>
      <w:pPr>
        <w:kinsoku/>
        <w:wordWrap/>
        <w:overflowPunct/>
        <w:bidi w:val="0"/>
        <w:snapToGrid w:val="0"/>
        <w:spacing w:beforeAutospacing="0" w:line="440" w:lineRule="exact"/>
        <w:ind w:left="0" w:leftChars="0" w:right="0" w:rightChars="0" w:firstLine="2530" w:firstLineChars="1050"/>
        <w:textAlignment w:val="auto"/>
        <w:rPr>
          <w:rFonts w:hint="eastAsia" w:ascii="仿宋" w:hAnsi="仿宋" w:eastAsia="仿宋" w:cs="仿宋"/>
          <w:b/>
          <w:bCs/>
          <w:color w:val="auto"/>
          <w:sz w:val="24"/>
          <w:szCs w:val="24"/>
          <w:highlight w:val="none"/>
        </w:rPr>
      </w:pPr>
    </w:p>
    <w:p>
      <w:pPr>
        <w:kinsoku/>
        <w:wordWrap/>
        <w:overflowPunct/>
        <w:bidi w:val="0"/>
        <w:snapToGrid w:val="0"/>
        <w:spacing w:beforeAutospacing="0" w:line="440" w:lineRule="exact"/>
        <w:ind w:left="0" w:leftChars="0" w:right="0" w:rightChars="0" w:firstLine="2530" w:firstLineChars="1050"/>
        <w:textAlignment w:val="auto"/>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kinsoku/>
        <w:wordWrap/>
        <w:overflowPunct/>
        <w:bidi w:val="0"/>
        <w:snapToGrid w:val="0"/>
        <w:spacing w:line="440" w:lineRule="exact"/>
        <w:ind w:left="0" w:leftChars="0" w:right="0" w:rightChars="0"/>
        <w:jc w:val="center"/>
        <w:textAlignment w:val="auto"/>
        <w:rPr>
          <w:rFonts w:hint="eastAsia" w:ascii="宋体" w:hAnsi="宋体" w:eastAsia="宋体" w:cs="宋体"/>
          <w:i w:val="0"/>
          <w:caps w:val="0"/>
          <w:color w:val="auto"/>
          <w:spacing w:val="0"/>
          <w:sz w:val="28"/>
          <w:szCs w:val="28"/>
          <w:highlight w:val="none"/>
          <w:lang w:eastAsia="zh-CN"/>
        </w:rPr>
      </w:pPr>
      <w:r>
        <w:rPr>
          <w:rFonts w:hint="eastAsia" w:ascii="宋体" w:hAnsi="宋体" w:eastAsia="宋体" w:cs="宋体"/>
          <w:i w:val="0"/>
          <w:caps w:val="0"/>
          <w:color w:val="auto"/>
          <w:spacing w:val="0"/>
          <w:sz w:val="28"/>
          <w:szCs w:val="28"/>
          <w:highlight w:val="none"/>
          <w:lang w:eastAsia="zh-CN"/>
        </w:rPr>
        <w:t>乌鲁木齐市友谊医院康复、理疗设备采购项目</w:t>
      </w:r>
    </w:p>
    <w:p>
      <w:pPr>
        <w:kinsoku/>
        <w:wordWrap/>
        <w:overflowPunct/>
        <w:bidi w:val="0"/>
        <w:snapToGrid w:val="0"/>
        <w:spacing w:line="440" w:lineRule="exact"/>
        <w:ind w:left="0" w:leftChars="0" w:right="0" w:rightChars="0"/>
        <w:jc w:val="center"/>
        <w:textAlignment w:val="auto"/>
        <w:rPr>
          <w:rFonts w:hint="eastAsia" w:ascii="宋体" w:hAnsi="宋体" w:eastAsia="宋体" w:cs="宋体"/>
          <w:i w:val="0"/>
          <w:caps w:val="0"/>
          <w:color w:val="auto"/>
          <w:spacing w:val="0"/>
          <w:sz w:val="28"/>
          <w:szCs w:val="28"/>
          <w:highlight w:val="none"/>
        </w:rPr>
      </w:pPr>
      <w:r>
        <w:rPr>
          <w:rFonts w:hint="eastAsia" w:ascii="宋体" w:hAnsi="宋体" w:eastAsia="宋体" w:cs="宋体"/>
          <w:i w:val="0"/>
          <w:caps w:val="0"/>
          <w:color w:val="auto"/>
          <w:spacing w:val="0"/>
          <w:sz w:val="28"/>
          <w:szCs w:val="28"/>
          <w:highlight w:val="none"/>
          <w:lang w:eastAsia="zh-CN"/>
        </w:rPr>
        <w:t>补充</w:t>
      </w:r>
      <w:r>
        <w:rPr>
          <w:rFonts w:hint="eastAsia" w:ascii="宋体" w:hAnsi="宋体" w:eastAsia="宋体" w:cs="宋体"/>
          <w:i w:val="0"/>
          <w:caps w:val="0"/>
          <w:color w:val="auto"/>
          <w:spacing w:val="0"/>
          <w:sz w:val="28"/>
          <w:szCs w:val="28"/>
          <w:highlight w:val="none"/>
        </w:rPr>
        <w:t>文件</w:t>
      </w:r>
    </w:p>
    <w:p>
      <w:pPr>
        <w:kinsoku/>
        <w:wordWrap/>
        <w:overflowPunct/>
        <w:bidi w:val="0"/>
        <w:snapToGrid w:val="0"/>
        <w:spacing w:line="440" w:lineRule="exact"/>
        <w:ind w:left="0" w:leftChars="0" w:right="0" w:rightChars="0"/>
        <w:jc w:val="center"/>
        <w:textAlignment w:val="auto"/>
        <w:rPr>
          <w:rFonts w:hint="eastAsia" w:ascii="宋体" w:hAnsi="宋体" w:eastAsia="宋体" w:cs="宋体"/>
          <w:i w:val="0"/>
          <w:caps w:val="0"/>
          <w:color w:val="auto"/>
          <w:spacing w:val="0"/>
          <w:sz w:val="28"/>
          <w:szCs w:val="28"/>
          <w:highlight w:val="none"/>
        </w:rPr>
      </w:pP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eastAsia="zh-CN"/>
        </w:rPr>
      </w:pPr>
      <w:r>
        <w:rPr>
          <w:rFonts w:hint="eastAsia" w:ascii="仿宋" w:hAnsi="仿宋" w:eastAsia="仿宋" w:cs="仿宋"/>
          <w:i w:val="0"/>
          <w:caps w:val="0"/>
          <w:color w:val="auto"/>
          <w:spacing w:val="0"/>
          <w:sz w:val="24"/>
          <w:szCs w:val="24"/>
          <w:highlight w:val="none"/>
        </w:rPr>
        <w:t>项目</w:t>
      </w:r>
      <w:r>
        <w:rPr>
          <w:rFonts w:hint="eastAsia" w:ascii="仿宋" w:hAnsi="仿宋" w:eastAsia="仿宋" w:cs="仿宋"/>
          <w:i w:val="0"/>
          <w:caps w:val="0"/>
          <w:color w:val="auto"/>
          <w:spacing w:val="0"/>
          <w:sz w:val="24"/>
          <w:szCs w:val="24"/>
          <w:highlight w:val="none"/>
          <w:lang w:eastAsia="zh-CN"/>
        </w:rPr>
        <w:t>名称</w:t>
      </w:r>
      <w:r>
        <w:rPr>
          <w:rFonts w:hint="eastAsia" w:ascii="仿宋" w:hAnsi="仿宋" w:eastAsia="仿宋" w:cs="仿宋"/>
          <w:i w:val="0"/>
          <w:caps w:val="0"/>
          <w:color w:val="auto"/>
          <w:spacing w:val="0"/>
          <w:sz w:val="24"/>
          <w:szCs w:val="24"/>
          <w:highlight w:val="none"/>
        </w:rPr>
        <w:t>：</w:t>
      </w:r>
      <w:r>
        <w:rPr>
          <w:rFonts w:hint="eastAsia" w:ascii="仿宋" w:hAnsi="仿宋" w:eastAsia="仿宋" w:cs="仿宋"/>
          <w:i w:val="0"/>
          <w:caps w:val="0"/>
          <w:color w:val="auto"/>
          <w:spacing w:val="0"/>
          <w:sz w:val="24"/>
          <w:szCs w:val="24"/>
          <w:highlight w:val="none"/>
          <w:lang w:eastAsia="zh-CN"/>
        </w:rPr>
        <w:t>乌鲁木齐市友谊医院康复、理疗设备采购项目</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val="en-US" w:eastAsia="zh-CN"/>
        </w:rPr>
      </w:pPr>
      <w:r>
        <w:rPr>
          <w:rFonts w:hint="eastAsia" w:ascii="仿宋" w:hAnsi="仿宋" w:eastAsia="仿宋" w:cs="仿宋"/>
          <w:i w:val="0"/>
          <w:caps w:val="0"/>
          <w:color w:val="auto"/>
          <w:spacing w:val="0"/>
          <w:sz w:val="24"/>
          <w:szCs w:val="24"/>
          <w:highlight w:val="none"/>
        </w:rPr>
        <w:t>项目编号：XJPC</w:t>
      </w:r>
      <w:r>
        <w:rPr>
          <w:rFonts w:hint="eastAsia" w:ascii="仿宋" w:hAnsi="仿宋" w:eastAsia="仿宋" w:cs="仿宋"/>
          <w:i w:val="0"/>
          <w:caps w:val="0"/>
          <w:color w:val="auto"/>
          <w:spacing w:val="0"/>
          <w:sz w:val="24"/>
          <w:szCs w:val="24"/>
          <w:highlight w:val="none"/>
          <w:lang w:val="en-US" w:eastAsia="zh-CN"/>
        </w:rPr>
        <w:t>-</w:t>
      </w:r>
      <w:r>
        <w:rPr>
          <w:rFonts w:hint="eastAsia" w:ascii="仿宋" w:hAnsi="仿宋" w:eastAsia="仿宋" w:cs="仿宋"/>
          <w:i w:val="0"/>
          <w:caps w:val="0"/>
          <w:color w:val="auto"/>
          <w:spacing w:val="0"/>
          <w:sz w:val="24"/>
          <w:szCs w:val="24"/>
          <w:highlight w:val="none"/>
        </w:rPr>
        <w:t>2021-</w:t>
      </w:r>
      <w:r>
        <w:rPr>
          <w:rFonts w:hint="eastAsia" w:ascii="仿宋" w:hAnsi="仿宋" w:eastAsia="仿宋" w:cs="仿宋"/>
          <w:i w:val="0"/>
          <w:caps w:val="0"/>
          <w:color w:val="auto"/>
          <w:spacing w:val="0"/>
          <w:sz w:val="24"/>
          <w:szCs w:val="24"/>
          <w:highlight w:val="none"/>
          <w:lang w:val="en-US" w:eastAsia="zh-CN"/>
        </w:rPr>
        <w:t>024</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eastAsia="zh-CN"/>
        </w:rPr>
      </w:pPr>
      <w:r>
        <w:rPr>
          <w:rFonts w:hint="eastAsia" w:ascii="仿宋" w:hAnsi="仿宋" w:eastAsia="仿宋" w:cs="仿宋"/>
          <w:i w:val="0"/>
          <w:caps w:val="0"/>
          <w:color w:val="auto"/>
          <w:spacing w:val="0"/>
          <w:sz w:val="24"/>
          <w:szCs w:val="24"/>
          <w:highlight w:val="none"/>
          <w:lang w:eastAsia="zh-CN"/>
        </w:rPr>
        <w:t>做出如下补充：</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val="en-US" w:eastAsia="zh-CN"/>
        </w:rPr>
      </w:pPr>
      <w:r>
        <w:rPr>
          <w:rFonts w:hint="eastAsia" w:ascii="仿宋" w:hAnsi="仿宋" w:eastAsia="仿宋" w:cs="仿宋"/>
          <w:i w:val="0"/>
          <w:caps w:val="0"/>
          <w:color w:val="auto"/>
          <w:spacing w:val="0"/>
          <w:sz w:val="24"/>
          <w:szCs w:val="24"/>
          <w:highlight w:val="none"/>
          <w:lang w:val="en-US" w:eastAsia="zh-CN"/>
        </w:rPr>
        <w:t>一、</w:t>
      </w:r>
      <w:r>
        <w:rPr>
          <w:rFonts w:hint="eastAsia" w:ascii="仿宋" w:hAnsi="仿宋" w:eastAsia="仿宋" w:cs="仿宋"/>
          <w:b/>
          <w:bCs/>
          <w:i w:val="0"/>
          <w:caps w:val="0"/>
          <w:color w:val="auto"/>
          <w:spacing w:val="0"/>
          <w:sz w:val="24"/>
          <w:szCs w:val="24"/>
          <w:highlight w:val="none"/>
          <w:lang w:val="en-US" w:eastAsia="zh-CN"/>
        </w:rPr>
        <w:t>提交投标文件截止时间及开标时间变更至</w:t>
      </w:r>
      <w:r>
        <w:rPr>
          <w:rFonts w:hint="eastAsia" w:ascii="仿宋" w:hAnsi="仿宋" w:eastAsia="仿宋" w:cs="仿宋"/>
          <w:i w:val="0"/>
          <w:caps w:val="0"/>
          <w:color w:val="auto"/>
          <w:spacing w:val="0"/>
          <w:sz w:val="24"/>
          <w:szCs w:val="24"/>
          <w:highlight w:val="none"/>
          <w:lang w:val="en-US" w:eastAsia="zh-CN"/>
        </w:rPr>
        <w:t>：2021年11月5日 11:00（北京时间）</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val="en-US" w:eastAsia="zh-CN"/>
        </w:rPr>
      </w:pPr>
      <w:r>
        <w:rPr>
          <w:rFonts w:hint="eastAsia" w:ascii="仿宋" w:hAnsi="仿宋" w:eastAsia="仿宋" w:cs="仿宋"/>
          <w:i w:val="0"/>
          <w:caps w:val="0"/>
          <w:color w:val="auto"/>
          <w:spacing w:val="0"/>
          <w:sz w:val="24"/>
          <w:szCs w:val="24"/>
          <w:highlight w:val="none"/>
          <w:lang w:val="en-US" w:eastAsia="zh-CN"/>
        </w:rPr>
        <w:t>二、</w:t>
      </w:r>
      <w:r>
        <w:rPr>
          <w:rFonts w:hint="eastAsia" w:ascii="仿宋" w:hAnsi="仿宋" w:eastAsia="仿宋" w:cs="仿宋"/>
          <w:b/>
          <w:bCs/>
          <w:i w:val="0"/>
          <w:caps w:val="0"/>
          <w:color w:val="auto"/>
          <w:spacing w:val="0"/>
          <w:sz w:val="24"/>
          <w:szCs w:val="24"/>
          <w:highlight w:val="none"/>
          <w:lang w:val="en-US" w:eastAsia="zh-CN"/>
        </w:rPr>
        <w:t>保证金缴纳时间截止至</w:t>
      </w:r>
      <w:r>
        <w:rPr>
          <w:rFonts w:hint="eastAsia" w:ascii="仿宋" w:hAnsi="仿宋" w:eastAsia="仿宋" w:cs="仿宋"/>
          <w:i w:val="0"/>
          <w:caps w:val="0"/>
          <w:color w:val="auto"/>
          <w:spacing w:val="0"/>
          <w:sz w:val="24"/>
          <w:szCs w:val="24"/>
          <w:highlight w:val="none"/>
          <w:lang w:val="en-US" w:eastAsia="zh-CN"/>
        </w:rPr>
        <w:t>：2021年11月5日 11:00（北京时间）</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val="en-US" w:eastAsia="zh-CN"/>
        </w:rPr>
      </w:pPr>
      <w:r>
        <w:rPr>
          <w:rFonts w:hint="eastAsia" w:ascii="仿宋" w:hAnsi="仿宋" w:eastAsia="仿宋" w:cs="仿宋"/>
          <w:i w:val="0"/>
          <w:caps w:val="0"/>
          <w:color w:val="auto"/>
          <w:spacing w:val="0"/>
          <w:sz w:val="24"/>
          <w:szCs w:val="24"/>
          <w:highlight w:val="none"/>
          <w:lang w:val="en-US" w:eastAsia="zh-CN"/>
        </w:rPr>
        <w:t>三、</w:t>
      </w:r>
      <w:r>
        <w:rPr>
          <w:rFonts w:hint="eastAsia" w:ascii="仿宋" w:hAnsi="仿宋" w:eastAsia="仿宋" w:cs="仿宋"/>
          <w:b/>
          <w:bCs/>
          <w:i w:val="0"/>
          <w:caps w:val="0"/>
          <w:color w:val="auto"/>
          <w:spacing w:val="0"/>
          <w:sz w:val="24"/>
          <w:szCs w:val="24"/>
          <w:highlight w:val="none"/>
          <w:lang w:val="en-US" w:eastAsia="zh-CN"/>
        </w:rPr>
        <w:t>取消第三部分采购需求中</w:t>
      </w:r>
      <w:r>
        <w:rPr>
          <w:rFonts w:hint="eastAsia" w:ascii="仿宋" w:hAnsi="仿宋" w:eastAsia="仿宋" w:cs="仿宋"/>
          <w:i w:val="0"/>
          <w:caps w:val="0"/>
          <w:color w:val="auto"/>
          <w:spacing w:val="0"/>
          <w:sz w:val="24"/>
          <w:szCs w:val="24"/>
          <w:highlight w:val="none"/>
          <w:lang w:val="en-US" w:eastAsia="zh-CN"/>
        </w:rPr>
        <w:t>：</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eastAsia="zh-CN"/>
        </w:rPr>
      </w:pPr>
      <w:r>
        <w:rPr>
          <w:rFonts w:hint="eastAsia" w:ascii="仿宋" w:hAnsi="仿宋" w:eastAsia="仿宋" w:cs="仿宋"/>
          <w:i w:val="0"/>
          <w:caps w:val="0"/>
          <w:color w:val="auto"/>
          <w:spacing w:val="0"/>
          <w:sz w:val="24"/>
          <w:szCs w:val="24"/>
          <w:highlight w:val="none"/>
          <w:lang w:eastAsia="zh-CN"/>
        </w:rPr>
        <w:t>第1到23个设备提供以下服务内容：</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eastAsia="zh-CN"/>
        </w:rPr>
      </w:pPr>
      <w:r>
        <w:rPr>
          <w:rFonts w:hint="eastAsia" w:ascii="仿宋" w:hAnsi="仿宋" w:eastAsia="仿宋" w:cs="仿宋"/>
          <w:i w:val="0"/>
          <w:caps w:val="0"/>
          <w:color w:val="auto"/>
          <w:spacing w:val="0"/>
          <w:sz w:val="24"/>
          <w:szCs w:val="24"/>
          <w:highlight w:val="none"/>
          <w:lang w:eastAsia="zh-CN"/>
        </w:rPr>
        <w:t>（</w:t>
      </w:r>
      <w:r>
        <w:rPr>
          <w:rFonts w:hint="eastAsia" w:ascii="仿宋" w:hAnsi="仿宋" w:eastAsia="仿宋" w:cs="仿宋"/>
          <w:i w:val="0"/>
          <w:caps w:val="0"/>
          <w:color w:val="auto"/>
          <w:spacing w:val="0"/>
          <w:sz w:val="24"/>
          <w:szCs w:val="24"/>
          <w:highlight w:val="none"/>
          <w:lang w:val="en-US" w:eastAsia="zh-CN"/>
        </w:rPr>
        <w:t>1</w:t>
      </w:r>
      <w:r>
        <w:rPr>
          <w:rFonts w:hint="eastAsia" w:ascii="仿宋" w:hAnsi="仿宋" w:eastAsia="仿宋" w:cs="仿宋"/>
          <w:i w:val="0"/>
          <w:caps w:val="0"/>
          <w:color w:val="auto"/>
          <w:spacing w:val="0"/>
          <w:sz w:val="24"/>
          <w:szCs w:val="24"/>
          <w:highlight w:val="none"/>
          <w:lang w:eastAsia="zh-CN"/>
        </w:rPr>
        <w:t>）将现有的康复医师、治疗师分批次培养，增强康复医学中心整体的科研实力。</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eastAsia="zh-CN"/>
        </w:rPr>
      </w:pPr>
      <w:r>
        <w:rPr>
          <w:rFonts w:hint="eastAsia" w:ascii="仿宋" w:hAnsi="仿宋" w:eastAsia="仿宋" w:cs="仿宋"/>
          <w:i w:val="0"/>
          <w:caps w:val="0"/>
          <w:color w:val="auto"/>
          <w:spacing w:val="0"/>
          <w:sz w:val="24"/>
          <w:szCs w:val="24"/>
          <w:highlight w:val="none"/>
          <w:lang w:eastAsia="zh-CN"/>
        </w:rPr>
        <w:t>（</w:t>
      </w:r>
      <w:r>
        <w:rPr>
          <w:rFonts w:hint="eastAsia" w:ascii="仿宋" w:hAnsi="仿宋" w:eastAsia="仿宋" w:cs="仿宋"/>
          <w:i w:val="0"/>
          <w:caps w:val="0"/>
          <w:color w:val="auto"/>
          <w:spacing w:val="0"/>
          <w:sz w:val="24"/>
          <w:szCs w:val="24"/>
          <w:highlight w:val="none"/>
          <w:lang w:val="en-US" w:eastAsia="zh-CN"/>
        </w:rPr>
        <w:t>2</w:t>
      </w:r>
      <w:r>
        <w:rPr>
          <w:rFonts w:hint="eastAsia" w:ascii="仿宋" w:hAnsi="仿宋" w:eastAsia="仿宋" w:cs="仿宋"/>
          <w:i w:val="0"/>
          <w:caps w:val="0"/>
          <w:color w:val="auto"/>
          <w:spacing w:val="0"/>
          <w:sz w:val="24"/>
          <w:szCs w:val="24"/>
          <w:highlight w:val="none"/>
          <w:lang w:eastAsia="zh-CN"/>
        </w:rPr>
        <w:t xml:space="preserve">）每年安排4人次进修学习，为期4年，将开展多学科合作及门诊诊疗。（不限治疗师或者康复医生） </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eastAsia="zh-CN"/>
        </w:rPr>
      </w:pPr>
      <w:r>
        <w:rPr>
          <w:rFonts w:hint="eastAsia" w:ascii="仿宋" w:hAnsi="仿宋" w:eastAsia="仿宋" w:cs="仿宋"/>
          <w:i w:val="0"/>
          <w:caps w:val="0"/>
          <w:color w:val="auto"/>
          <w:spacing w:val="0"/>
          <w:sz w:val="24"/>
          <w:szCs w:val="24"/>
          <w:highlight w:val="none"/>
          <w:lang w:eastAsia="zh-CN"/>
        </w:rPr>
        <w:t>（</w:t>
      </w:r>
      <w:r>
        <w:rPr>
          <w:rFonts w:hint="eastAsia" w:ascii="仿宋" w:hAnsi="仿宋" w:eastAsia="仿宋" w:cs="仿宋"/>
          <w:i w:val="0"/>
          <w:caps w:val="0"/>
          <w:color w:val="auto"/>
          <w:spacing w:val="0"/>
          <w:sz w:val="24"/>
          <w:szCs w:val="24"/>
          <w:highlight w:val="none"/>
          <w:lang w:val="en-US" w:eastAsia="zh-CN"/>
        </w:rPr>
        <w:t>3</w:t>
      </w:r>
      <w:r>
        <w:rPr>
          <w:rFonts w:hint="eastAsia" w:ascii="仿宋" w:hAnsi="仿宋" w:eastAsia="仿宋" w:cs="仿宋"/>
          <w:i w:val="0"/>
          <w:caps w:val="0"/>
          <w:color w:val="auto"/>
          <w:spacing w:val="0"/>
          <w:sz w:val="24"/>
          <w:szCs w:val="24"/>
          <w:highlight w:val="none"/>
          <w:lang w:eastAsia="zh-CN"/>
        </w:rPr>
        <w:t>）康复医师：能独立从事科研、临床及教学工作，对于外出进修的骨干，提供与一流专家交流的平台（包括康复科的运营管理方面和技能学习方面）。</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eastAsia="zh-CN"/>
        </w:rPr>
      </w:pPr>
      <w:r>
        <w:rPr>
          <w:rFonts w:hint="eastAsia" w:ascii="仿宋" w:hAnsi="仿宋" w:eastAsia="仿宋" w:cs="仿宋"/>
          <w:i w:val="0"/>
          <w:caps w:val="0"/>
          <w:color w:val="auto"/>
          <w:spacing w:val="0"/>
          <w:sz w:val="24"/>
          <w:szCs w:val="24"/>
          <w:highlight w:val="none"/>
          <w:lang w:eastAsia="zh-CN"/>
        </w:rPr>
        <w:t>（</w:t>
      </w:r>
      <w:r>
        <w:rPr>
          <w:rFonts w:hint="eastAsia" w:ascii="仿宋" w:hAnsi="仿宋" w:eastAsia="仿宋" w:cs="仿宋"/>
          <w:i w:val="0"/>
          <w:caps w:val="0"/>
          <w:color w:val="auto"/>
          <w:spacing w:val="0"/>
          <w:sz w:val="24"/>
          <w:szCs w:val="24"/>
          <w:highlight w:val="none"/>
          <w:lang w:val="en-US" w:eastAsia="zh-CN"/>
        </w:rPr>
        <w:t>4</w:t>
      </w:r>
      <w:r>
        <w:rPr>
          <w:rFonts w:hint="eastAsia" w:ascii="仿宋" w:hAnsi="仿宋" w:eastAsia="仿宋" w:cs="仿宋"/>
          <w:i w:val="0"/>
          <w:caps w:val="0"/>
          <w:color w:val="auto"/>
          <w:spacing w:val="0"/>
          <w:sz w:val="24"/>
          <w:szCs w:val="24"/>
          <w:highlight w:val="none"/>
          <w:lang w:eastAsia="zh-CN"/>
        </w:rPr>
        <w:t>）借助目前设备厂家的科研项目，与主课题医院建立子课题合作单位，形成良好的合作，开展数据收集工作，丰富科研内涵，开展科研交流。同时也帮助科室申请本地科研项目，如卫健委科研项目等，帮助后期科室发表论文2篇。</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eastAsia="zh-CN"/>
        </w:rPr>
      </w:pPr>
      <w:r>
        <w:rPr>
          <w:rFonts w:hint="eastAsia" w:ascii="仿宋" w:hAnsi="仿宋" w:eastAsia="仿宋" w:cs="仿宋"/>
          <w:i w:val="0"/>
          <w:caps w:val="0"/>
          <w:color w:val="auto"/>
          <w:spacing w:val="0"/>
          <w:sz w:val="24"/>
          <w:szCs w:val="24"/>
          <w:highlight w:val="none"/>
          <w:lang w:eastAsia="zh-CN"/>
        </w:rPr>
        <w:t>（</w:t>
      </w:r>
      <w:r>
        <w:rPr>
          <w:rFonts w:hint="eastAsia" w:ascii="仿宋" w:hAnsi="仿宋" w:eastAsia="仿宋" w:cs="仿宋"/>
          <w:i w:val="0"/>
          <w:caps w:val="0"/>
          <w:color w:val="auto"/>
          <w:spacing w:val="0"/>
          <w:sz w:val="24"/>
          <w:szCs w:val="24"/>
          <w:highlight w:val="none"/>
          <w:lang w:val="en-US" w:eastAsia="zh-CN"/>
        </w:rPr>
        <w:t>5</w:t>
      </w:r>
      <w:r>
        <w:rPr>
          <w:rFonts w:hint="eastAsia" w:ascii="仿宋" w:hAnsi="仿宋" w:eastAsia="仿宋" w:cs="仿宋"/>
          <w:i w:val="0"/>
          <w:caps w:val="0"/>
          <w:color w:val="auto"/>
          <w:spacing w:val="0"/>
          <w:sz w:val="24"/>
          <w:szCs w:val="24"/>
          <w:highlight w:val="none"/>
          <w:lang w:eastAsia="zh-CN"/>
        </w:rPr>
        <w:t>）康复治疗师：能配合康复医师从事康复治疗工作，并配合完成康复治疗技术研究科研工作。</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eastAsia="zh-CN"/>
        </w:rPr>
      </w:pPr>
      <w:r>
        <w:rPr>
          <w:rFonts w:hint="eastAsia" w:ascii="仿宋" w:hAnsi="仿宋" w:eastAsia="仿宋" w:cs="仿宋"/>
          <w:i w:val="0"/>
          <w:caps w:val="0"/>
          <w:color w:val="auto"/>
          <w:spacing w:val="0"/>
          <w:sz w:val="24"/>
          <w:szCs w:val="24"/>
          <w:highlight w:val="none"/>
          <w:lang w:eastAsia="zh-CN"/>
        </w:rPr>
        <w:t>（</w:t>
      </w:r>
      <w:r>
        <w:rPr>
          <w:rFonts w:hint="eastAsia" w:ascii="仿宋" w:hAnsi="仿宋" w:eastAsia="仿宋" w:cs="仿宋"/>
          <w:i w:val="0"/>
          <w:caps w:val="0"/>
          <w:color w:val="auto"/>
          <w:spacing w:val="0"/>
          <w:sz w:val="24"/>
          <w:szCs w:val="24"/>
          <w:highlight w:val="none"/>
          <w:lang w:val="en-US" w:eastAsia="zh-CN"/>
        </w:rPr>
        <w:t>6</w:t>
      </w:r>
      <w:r>
        <w:rPr>
          <w:rFonts w:hint="eastAsia" w:ascii="仿宋" w:hAnsi="仿宋" w:eastAsia="仿宋" w:cs="仿宋"/>
          <w:i w:val="0"/>
          <w:caps w:val="0"/>
          <w:color w:val="auto"/>
          <w:spacing w:val="0"/>
          <w:sz w:val="24"/>
          <w:szCs w:val="24"/>
          <w:highlight w:val="none"/>
          <w:lang w:eastAsia="zh-CN"/>
        </w:rPr>
        <w:t>）指导与设备相关的临床知识和操作技能培训。</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eastAsia="zh-CN"/>
        </w:rPr>
      </w:pPr>
      <w:r>
        <w:rPr>
          <w:rFonts w:hint="eastAsia" w:ascii="仿宋" w:hAnsi="仿宋" w:eastAsia="仿宋" w:cs="仿宋"/>
          <w:i w:val="0"/>
          <w:caps w:val="0"/>
          <w:color w:val="auto"/>
          <w:spacing w:val="0"/>
          <w:sz w:val="24"/>
          <w:szCs w:val="24"/>
          <w:highlight w:val="none"/>
          <w:lang w:eastAsia="zh-CN"/>
        </w:rPr>
        <w:t>（</w:t>
      </w:r>
      <w:r>
        <w:rPr>
          <w:rFonts w:hint="eastAsia" w:ascii="仿宋" w:hAnsi="仿宋" w:eastAsia="仿宋" w:cs="仿宋"/>
          <w:i w:val="0"/>
          <w:caps w:val="0"/>
          <w:color w:val="auto"/>
          <w:spacing w:val="0"/>
          <w:sz w:val="24"/>
          <w:szCs w:val="24"/>
          <w:highlight w:val="none"/>
          <w:lang w:val="en-US" w:eastAsia="zh-CN"/>
        </w:rPr>
        <w:t>7</w:t>
      </w:r>
      <w:r>
        <w:rPr>
          <w:rFonts w:hint="eastAsia" w:ascii="仿宋" w:hAnsi="仿宋" w:eastAsia="仿宋" w:cs="仿宋"/>
          <w:i w:val="0"/>
          <w:caps w:val="0"/>
          <w:color w:val="auto"/>
          <w:spacing w:val="0"/>
          <w:sz w:val="24"/>
          <w:szCs w:val="24"/>
          <w:highlight w:val="none"/>
          <w:lang w:eastAsia="zh-CN"/>
        </w:rPr>
        <w:t>）科室规范化操作体系的指导，定期及不定期举办科内人才培训班，分期分批培训科室人员，提高医疗水平。同时注重业务学习，通过定期开展专题讲座、知识考试、定期开展技术操作考核、比赛、科室晨会、科室内集中学习、岗位练兵、以考代评等多种方式逐步提高科室医务人员的理论与实际水平。</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eastAsia="zh-CN"/>
        </w:rPr>
      </w:pPr>
      <w:r>
        <w:rPr>
          <w:rFonts w:hint="eastAsia" w:ascii="仿宋" w:hAnsi="仿宋" w:eastAsia="仿宋" w:cs="仿宋"/>
          <w:i w:val="0"/>
          <w:caps w:val="0"/>
          <w:color w:val="auto"/>
          <w:spacing w:val="0"/>
          <w:sz w:val="24"/>
          <w:szCs w:val="24"/>
          <w:highlight w:val="none"/>
          <w:lang w:eastAsia="zh-CN"/>
        </w:rPr>
        <w:t>（</w:t>
      </w:r>
      <w:r>
        <w:rPr>
          <w:rFonts w:hint="eastAsia" w:ascii="仿宋" w:hAnsi="仿宋" w:eastAsia="仿宋" w:cs="仿宋"/>
          <w:i w:val="0"/>
          <w:caps w:val="0"/>
          <w:color w:val="auto"/>
          <w:spacing w:val="0"/>
          <w:sz w:val="24"/>
          <w:szCs w:val="24"/>
          <w:highlight w:val="none"/>
          <w:lang w:val="en-US" w:eastAsia="zh-CN"/>
        </w:rPr>
        <w:t>8</w:t>
      </w:r>
      <w:r>
        <w:rPr>
          <w:rFonts w:hint="eastAsia" w:ascii="仿宋" w:hAnsi="仿宋" w:eastAsia="仿宋" w:cs="仿宋"/>
          <w:i w:val="0"/>
          <w:caps w:val="0"/>
          <w:color w:val="auto"/>
          <w:spacing w:val="0"/>
          <w:sz w:val="24"/>
          <w:szCs w:val="24"/>
          <w:highlight w:val="none"/>
          <w:lang w:eastAsia="zh-CN"/>
        </w:rPr>
        <w:t>）科室人才储备的规划建议，积极参加省内外的康复治疗新技术、新发展学术研讨会，加强与国内先进康复机构的交流学习。</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eastAsia="zh-CN"/>
        </w:rPr>
      </w:pPr>
      <w:r>
        <w:rPr>
          <w:rFonts w:hint="eastAsia" w:ascii="仿宋" w:hAnsi="仿宋" w:eastAsia="仿宋" w:cs="仿宋"/>
          <w:i w:val="0"/>
          <w:caps w:val="0"/>
          <w:color w:val="auto"/>
          <w:spacing w:val="0"/>
          <w:sz w:val="24"/>
          <w:szCs w:val="24"/>
          <w:highlight w:val="none"/>
          <w:lang w:eastAsia="zh-CN"/>
        </w:rPr>
        <w:t>（</w:t>
      </w:r>
      <w:r>
        <w:rPr>
          <w:rFonts w:hint="eastAsia" w:ascii="仿宋" w:hAnsi="仿宋" w:eastAsia="仿宋" w:cs="仿宋"/>
          <w:i w:val="0"/>
          <w:caps w:val="0"/>
          <w:color w:val="auto"/>
          <w:spacing w:val="0"/>
          <w:sz w:val="24"/>
          <w:szCs w:val="24"/>
          <w:highlight w:val="none"/>
          <w:lang w:val="en-US" w:eastAsia="zh-CN"/>
        </w:rPr>
        <w:t>9</w:t>
      </w:r>
      <w:r>
        <w:rPr>
          <w:rFonts w:hint="eastAsia" w:ascii="仿宋" w:hAnsi="仿宋" w:eastAsia="仿宋" w:cs="仿宋"/>
          <w:i w:val="0"/>
          <w:caps w:val="0"/>
          <w:color w:val="auto"/>
          <w:spacing w:val="0"/>
          <w:sz w:val="24"/>
          <w:szCs w:val="24"/>
          <w:highlight w:val="none"/>
          <w:lang w:eastAsia="zh-CN"/>
        </w:rPr>
        <w:t>）邀请康复培训师定期到科室开展技术复习、指导。</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eastAsia="zh-CN"/>
        </w:rPr>
      </w:pPr>
      <w:r>
        <w:rPr>
          <w:rFonts w:hint="eastAsia" w:ascii="仿宋" w:hAnsi="仿宋" w:eastAsia="仿宋" w:cs="仿宋"/>
          <w:i w:val="0"/>
          <w:caps w:val="0"/>
          <w:color w:val="auto"/>
          <w:spacing w:val="0"/>
          <w:sz w:val="24"/>
          <w:szCs w:val="24"/>
          <w:highlight w:val="none"/>
          <w:lang w:eastAsia="zh-CN"/>
        </w:rPr>
        <w:t>（</w:t>
      </w:r>
      <w:r>
        <w:rPr>
          <w:rFonts w:hint="eastAsia" w:ascii="仿宋" w:hAnsi="仿宋" w:eastAsia="仿宋" w:cs="仿宋"/>
          <w:i w:val="0"/>
          <w:caps w:val="0"/>
          <w:color w:val="auto"/>
          <w:spacing w:val="0"/>
          <w:sz w:val="24"/>
          <w:szCs w:val="24"/>
          <w:highlight w:val="none"/>
          <w:lang w:val="en-US" w:eastAsia="zh-CN"/>
        </w:rPr>
        <w:t>10</w:t>
      </w:r>
      <w:r>
        <w:rPr>
          <w:rFonts w:hint="eastAsia" w:ascii="仿宋" w:hAnsi="仿宋" w:eastAsia="仿宋" w:cs="仿宋"/>
          <w:i w:val="0"/>
          <w:caps w:val="0"/>
          <w:color w:val="auto"/>
          <w:spacing w:val="0"/>
          <w:sz w:val="24"/>
          <w:szCs w:val="24"/>
          <w:highlight w:val="none"/>
          <w:lang w:eastAsia="zh-CN"/>
        </w:rPr>
        <w:t>）治疗师和医生到国内知名医院进修学习 3-6 个月.相关医院：中国康复研究所、北大康复医院、中山大学附属第一医院、上海交通大学附属第九医院、南方医科大学附属南方医院、上海阳光康复中心、广东省工伤康复医院、四川八一康复中心、江苏省人民医院、中南大学附属湘雅第二医院、中山大学附属第六医院，或者由医院指定学习地点。</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eastAsia="zh-CN"/>
        </w:rPr>
      </w:pPr>
      <w:r>
        <w:rPr>
          <w:rFonts w:hint="eastAsia" w:ascii="仿宋" w:hAnsi="仿宋" w:eastAsia="仿宋" w:cs="仿宋"/>
          <w:i w:val="0"/>
          <w:caps w:val="0"/>
          <w:color w:val="auto"/>
          <w:spacing w:val="0"/>
          <w:sz w:val="24"/>
          <w:szCs w:val="24"/>
          <w:highlight w:val="none"/>
          <w:lang w:eastAsia="zh-CN"/>
        </w:rPr>
        <w:t>（</w:t>
      </w:r>
      <w:r>
        <w:rPr>
          <w:rFonts w:hint="eastAsia" w:ascii="仿宋" w:hAnsi="仿宋" w:eastAsia="仿宋" w:cs="仿宋"/>
          <w:i w:val="0"/>
          <w:caps w:val="0"/>
          <w:color w:val="auto"/>
          <w:spacing w:val="0"/>
          <w:sz w:val="24"/>
          <w:szCs w:val="24"/>
          <w:highlight w:val="none"/>
          <w:lang w:val="en-US" w:eastAsia="zh-CN"/>
        </w:rPr>
        <w:t>11</w:t>
      </w:r>
      <w:r>
        <w:rPr>
          <w:rFonts w:hint="eastAsia" w:ascii="仿宋" w:hAnsi="仿宋" w:eastAsia="仿宋" w:cs="仿宋"/>
          <w:i w:val="0"/>
          <w:caps w:val="0"/>
          <w:color w:val="auto"/>
          <w:spacing w:val="0"/>
          <w:sz w:val="24"/>
          <w:szCs w:val="24"/>
          <w:highlight w:val="none"/>
          <w:lang w:eastAsia="zh-CN"/>
        </w:rPr>
        <w:t>）每季度请省内外知名专家坐诊、带教一次。（具体人员根据科室的需求及专家时间确定），为期4年。</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eastAsia="zh-CN"/>
        </w:rPr>
      </w:pPr>
      <w:r>
        <w:rPr>
          <w:rFonts w:hint="eastAsia" w:ascii="仿宋" w:hAnsi="仿宋" w:eastAsia="仿宋" w:cs="仿宋"/>
          <w:i w:val="0"/>
          <w:caps w:val="0"/>
          <w:color w:val="auto"/>
          <w:spacing w:val="0"/>
          <w:sz w:val="24"/>
          <w:szCs w:val="24"/>
          <w:highlight w:val="none"/>
          <w:lang w:eastAsia="zh-CN"/>
        </w:rPr>
        <w:t>（</w:t>
      </w:r>
      <w:r>
        <w:rPr>
          <w:rFonts w:hint="eastAsia" w:ascii="仿宋" w:hAnsi="仿宋" w:eastAsia="仿宋" w:cs="仿宋"/>
          <w:i w:val="0"/>
          <w:caps w:val="0"/>
          <w:color w:val="auto"/>
          <w:spacing w:val="0"/>
          <w:sz w:val="24"/>
          <w:szCs w:val="24"/>
          <w:highlight w:val="none"/>
          <w:lang w:val="en-US" w:eastAsia="zh-CN"/>
        </w:rPr>
        <w:t>12</w:t>
      </w:r>
      <w:r>
        <w:rPr>
          <w:rFonts w:hint="eastAsia" w:ascii="仿宋" w:hAnsi="仿宋" w:eastAsia="仿宋" w:cs="仿宋"/>
          <w:i w:val="0"/>
          <w:caps w:val="0"/>
          <w:color w:val="auto"/>
          <w:spacing w:val="0"/>
          <w:sz w:val="24"/>
          <w:szCs w:val="24"/>
          <w:highlight w:val="none"/>
          <w:lang w:eastAsia="zh-CN"/>
        </w:rPr>
        <w:t>）每年举办不少于2场学术会议，为期3年</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eastAsia="zh-CN"/>
        </w:rPr>
      </w:pPr>
      <w:r>
        <w:rPr>
          <w:rFonts w:hint="eastAsia" w:ascii="仿宋" w:hAnsi="仿宋" w:eastAsia="仿宋" w:cs="仿宋"/>
          <w:i w:val="0"/>
          <w:caps w:val="0"/>
          <w:color w:val="auto"/>
          <w:spacing w:val="0"/>
          <w:sz w:val="24"/>
          <w:szCs w:val="24"/>
          <w:highlight w:val="none"/>
          <w:lang w:eastAsia="zh-CN"/>
        </w:rPr>
        <w:t>（</w:t>
      </w:r>
      <w:r>
        <w:rPr>
          <w:rFonts w:hint="eastAsia" w:ascii="仿宋" w:hAnsi="仿宋" w:eastAsia="仿宋" w:cs="仿宋"/>
          <w:i w:val="0"/>
          <w:caps w:val="0"/>
          <w:color w:val="auto"/>
          <w:spacing w:val="0"/>
          <w:sz w:val="24"/>
          <w:szCs w:val="24"/>
          <w:highlight w:val="none"/>
          <w:lang w:val="en-US" w:eastAsia="zh-CN"/>
        </w:rPr>
        <w:t>13</w:t>
      </w:r>
      <w:r>
        <w:rPr>
          <w:rFonts w:hint="eastAsia" w:ascii="仿宋" w:hAnsi="仿宋" w:eastAsia="仿宋" w:cs="仿宋"/>
          <w:i w:val="0"/>
          <w:caps w:val="0"/>
          <w:color w:val="auto"/>
          <w:spacing w:val="0"/>
          <w:sz w:val="24"/>
          <w:szCs w:val="24"/>
          <w:highlight w:val="none"/>
          <w:lang w:eastAsia="zh-CN"/>
        </w:rPr>
        <w:t>）打造康复医学中心文化建设及宣传，包括康复理念、服务宗旨、名医介绍、新技术及设备介绍等，</w:t>
      </w:r>
    </w:p>
    <w:p>
      <w:pPr>
        <w:kinsoku/>
        <w:wordWrap/>
        <w:overflowPunct/>
        <w:bidi w:val="0"/>
        <w:snapToGrid w:val="0"/>
        <w:spacing w:line="440" w:lineRule="exact"/>
        <w:ind w:left="0" w:leftChars="0" w:right="0" w:rightChars="0"/>
        <w:jc w:val="both"/>
        <w:textAlignment w:val="auto"/>
        <w:rPr>
          <w:rFonts w:hint="eastAsia" w:ascii="仿宋" w:hAnsi="仿宋" w:eastAsia="仿宋" w:cs="仿宋"/>
          <w:i w:val="0"/>
          <w:caps w:val="0"/>
          <w:color w:val="auto"/>
          <w:spacing w:val="0"/>
          <w:sz w:val="24"/>
          <w:szCs w:val="24"/>
          <w:highlight w:val="none"/>
          <w:lang w:val="en-US" w:eastAsia="zh-CN"/>
        </w:rPr>
      </w:pPr>
      <w:r>
        <w:rPr>
          <w:rFonts w:hint="eastAsia" w:ascii="仿宋" w:hAnsi="仿宋" w:eastAsia="仿宋" w:cs="仿宋"/>
          <w:i w:val="0"/>
          <w:caps w:val="0"/>
          <w:color w:val="auto"/>
          <w:spacing w:val="0"/>
          <w:sz w:val="24"/>
          <w:szCs w:val="24"/>
          <w:highlight w:val="none"/>
          <w:lang w:eastAsia="zh-CN"/>
        </w:rPr>
        <w:t>（</w:t>
      </w:r>
      <w:r>
        <w:rPr>
          <w:rFonts w:hint="eastAsia" w:ascii="仿宋" w:hAnsi="仿宋" w:eastAsia="仿宋" w:cs="仿宋"/>
          <w:i w:val="0"/>
          <w:caps w:val="0"/>
          <w:color w:val="auto"/>
          <w:spacing w:val="0"/>
          <w:sz w:val="24"/>
          <w:szCs w:val="24"/>
          <w:highlight w:val="none"/>
          <w:lang w:val="en-US" w:eastAsia="zh-CN"/>
        </w:rPr>
        <w:t>14</w:t>
      </w:r>
      <w:r>
        <w:rPr>
          <w:rFonts w:hint="eastAsia" w:ascii="仿宋" w:hAnsi="仿宋" w:eastAsia="仿宋" w:cs="仿宋"/>
          <w:i w:val="0"/>
          <w:caps w:val="0"/>
          <w:color w:val="auto"/>
          <w:spacing w:val="0"/>
          <w:sz w:val="24"/>
          <w:szCs w:val="24"/>
          <w:highlight w:val="none"/>
          <w:lang w:eastAsia="zh-CN"/>
        </w:rPr>
        <w:t>）帮助康复医学中心建立新疆运动康复培训基地。利用区域医疗政策，提升乌鲁木齐市友谊医院康复医学中心的知名度和实力，围绕综合康复、医养结合、区域医疗等方向开展业务的同时，也为医学康复中心承接科研实验、实习培训、成果转化等软实力产品带来较大机</w:t>
      </w:r>
      <w:r>
        <w:rPr>
          <w:rFonts w:hint="eastAsia" w:ascii="仿宋" w:hAnsi="仿宋" w:eastAsia="仿宋" w:cs="仿宋"/>
          <w:i w:val="0"/>
          <w:caps w:val="0"/>
          <w:color w:val="auto"/>
          <w:spacing w:val="0"/>
          <w:sz w:val="24"/>
          <w:szCs w:val="24"/>
          <w:highlight w:val="none"/>
          <w:lang w:val="en-US" w:eastAsia="zh-CN"/>
        </w:rPr>
        <w:t>遇。</w:t>
      </w:r>
    </w:p>
    <w:p>
      <w:pPr>
        <w:pStyle w:val="2"/>
        <w:rPr>
          <w:rFonts w:hint="eastAsia" w:ascii="仿宋" w:hAnsi="仿宋" w:eastAsia="仿宋" w:cs="仿宋"/>
          <w:i w:val="0"/>
          <w:caps w:val="0"/>
          <w:color w:val="auto"/>
          <w:spacing w:val="0"/>
          <w:sz w:val="24"/>
          <w:szCs w:val="24"/>
          <w:highlight w:val="none"/>
          <w:lang w:val="en-US" w:eastAsia="zh-CN"/>
        </w:rPr>
      </w:pPr>
    </w:p>
    <w:p>
      <w:pPr>
        <w:pStyle w:val="2"/>
        <w:rPr>
          <w:rFonts w:hint="eastAsia" w:ascii="仿宋" w:hAnsi="仿宋" w:eastAsia="仿宋" w:cs="仿宋"/>
          <w:i w:val="0"/>
          <w:caps w:val="0"/>
          <w:color w:val="auto"/>
          <w:spacing w:val="0"/>
          <w:sz w:val="24"/>
          <w:szCs w:val="24"/>
          <w:highlight w:val="none"/>
          <w:lang w:val="en-US" w:eastAsia="zh-CN"/>
        </w:rPr>
      </w:pPr>
      <w:r>
        <w:rPr>
          <w:rFonts w:hint="eastAsia" w:ascii="仿宋" w:hAnsi="仿宋" w:eastAsia="仿宋" w:cs="仿宋"/>
          <w:i w:val="0"/>
          <w:caps w:val="0"/>
          <w:color w:val="auto"/>
          <w:spacing w:val="0"/>
          <w:sz w:val="24"/>
          <w:szCs w:val="24"/>
          <w:highlight w:val="none"/>
          <w:lang w:val="en-US" w:eastAsia="zh-CN"/>
        </w:rPr>
        <w:t>联系方式：</w:t>
      </w:r>
    </w:p>
    <w:p>
      <w:pPr>
        <w:pStyle w:val="45"/>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1.采购人信息</w:t>
      </w:r>
    </w:p>
    <w:p>
      <w:pPr>
        <w:pStyle w:val="45"/>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名 称：乌鲁木齐市友谊医院</w:t>
      </w:r>
    </w:p>
    <w:p>
      <w:pPr>
        <w:pStyle w:val="45"/>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地 址：胜利路558号</w:t>
      </w:r>
    </w:p>
    <w:p>
      <w:pPr>
        <w:pStyle w:val="45"/>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联系方式：0991-2854144</w:t>
      </w:r>
    </w:p>
    <w:p>
      <w:pPr>
        <w:pStyle w:val="45"/>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2.采购代理机构信息</w:t>
      </w:r>
    </w:p>
    <w:p>
      <w:pPr>
        <w:pStyle w:val="45"/>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名 称：新疆谱诚项目管理咨询有限公司</w:t>
      </w:r>
    </w:p>
    <w:p>
      <w:pPr>
        <w:pStyle w:val="45"/>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地 址：乌鲁木齐市水磨沟区龙腾路1118号中央公园二期9栋商务办公楼办公用房501室</w:t>
      </w:r>
    </w:p>
    <w:p>
      <w:pPr>
        <w:pStyle w:val="45"/>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联系方式：0991-8828891/15899126306</w:t>
      </w:r>
    </w:p>
    <w:p>
      <w:pPr>
        <w:pStyle w:val="45"/>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3.项目联系方式</w:t>
      </w:r>
    </w:p>
    <w:p>
      <w:pPr>
        <w:pStyle w:val="45"/>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auto"/>
          <w:spacing w:val="0"/>
          <w:kern w:val="2"/>
          <w:sz w:val="24"/>
          <w:szCs w:val="24"/>
          <w:highlight w:val="none"/>
          <w:lang w:val="en-US" w:eastAsia="zh-CN" w:bidi="ar-SA"/>
        </w:rPr>
      </w:pPr>
      <w:r>
        <w:rPr>
          <w:rFonts w:hint="eastAsia" w:ascii="仿宋" w:hAnsi="仿宋" w:eastAsia="仿宋" w:cs="仿宋"/>
          <w:i w:val="0"/>
          <w:caps w:val="0"/>
          <w:color w:val="auto"/>
          <w:spacing w:val="0"/>
          <w:kern w:val="2"/>
          <w:sz w:val="24"/>
          <w:szCs w:val="24"/>
          <w:highlight w:val="none"/>
          <w:lang w:val="en-US" w:eastAsia="zh-CN" w:bidi="ar-SA"/>
        </w:rPr>
        <w:t>项目联系人：刘婧、齐欢</w:t>
      </w:r>
    </w:p>
    <w:p>
      <w:pPr>
        <w:pStyle w:val="45"/>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caps w:val="0"/>
          <w:color w:val="auto"/>
          <w:spacing w:val="0"/>
          <w:kern w:val="2"/>
          <w:sz w:val="24"/>
          <w:szCs w:val="24"/>
          <w:highlight w:val="none"/>
          <w:lang w:val="en-US" w:eastAsia="zh-CN" w:bidi="ar-SA"/>
        </w:rPr>
        <w:t>电 话：0991-8828891/15899126306</w:t>
      </w:r>
    </w:p>
    <w:p>
      <w:pPr>
        <w:pStyle w:val="2"/>
        <w:rPr>
          <w:rFonts w:hint="eastAsia"/>
        </w:rPr>
      </w:pPr>
    </w:p>
    <w:p>
      <w:pPr>
        <w:kinsoku/>
        <w:wordWrap/>
        <w:overflowPunct/>
        <w:bidi w:val="0"/>
        <w:spacing w:beforeAutospacing="0" w:line="440" w:lineRule="exact"/>
        <w:ind w:left="0" w:leftChars="0" w:right="0" w:right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idowControl/>
        <w:kinsoku/>
        <w:wordWrap/>
        <w:overflowPunct/>
        <w:bidi w:val="0"/>
        <w:spacing w:beforeAutospacing="0" w:line="440" w:lineRule="exact"/>
        <w:ind w:left="0" w:leftChars="0" w:right="0" w:rightChars="0"/>
        <w:jc w:val="center"/>
        <w:textAlignment w:val="auto"/>
        <w:outlineLvl w:val="0"/>
        <w:rPr>
          <w:rFonts w:hint="eastAsia" w:ascii="仿宋" w:hAnsi="仿宋" w:eastAsia="仿宋" w:cs="仿宋"/>
          <w:b/>
          <w:color w:val="auto"/>
          <w:sz w:val="24"/>
          <w:szCs w:val="24"/>
          <w:highlight w:val="none"/>
        </w:rPr>
      </w:pPr>
      <w:bookmarkStart w:id="1" w:name="_Toc8919"/>
      <w:r>
        <w:rPr>
          <w:rFonts w:hint="eastAsia" w:ascii="仿宋" w:hAnsi="仿宋" w:eastAsia="仿宋" w:cs="仿宋"/>
          <w:b/>
          <w:color w:val="auto"/>
          <w:sz w:val="24"/>
          <w:szCs w:val="24"/>
          <w:highlight w:val="none"/>
        </w:rPr>
        <w:t>第二章    投标人须知</w:t>
      </w:r>
      <w:bookmarkEnd w:id="1"/>
    </w:p>
    <w:p>
      <w:pPr>
        <w:kinsoku/>
        <w:wordWrap/>
        <w:overflowPunct/>
        <w:bidi w:val="0"/>
        <w:snapToGrid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投标人须知前附表</w:t>
      </w:r>
    </w:p>
    <w:tbl>
      <w:tblPr>
        <w:tblStyle w:val="51"/>
        <w:tblW w:w="950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71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项号</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restart"/>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１</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131" w:type="dxa"/>
            <w:vAlign w:val="center"/>
          </w:tcPr>
          <w:p>
            <w:pPr>
              <w:pStyle w:val="45"/>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乌鲁木齐市友谊医院康复、理疗设备采购项目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XJPC-2021-024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675" w:type="dxa"/>
            <w:vMerge w:val="continue"/>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实施地点</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财政</w:t>
            </w:r>
            <w:r>
              <w:rPr>
                <w:rFonts w:hint="eastAsia" w:ascii="仿宋" w:hAnsi="仿宋" w:eastAsia="仿宋" w:cs="仿宋"/>
                <w:color w:val="auto"/>
                <w:sz w:val="24"/>
                <w:szCs w:val="24"/>
                <w:highlight w:val="none"/>
              </w:rPr>
              <w:t>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Merge w:val="continue"/>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资格审查方式</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7131" w:type="dxa"/>
            <w:vAlign w:val="center"/>
          </w:tcPr>
          <w:p>
            <w:pPr>
              <w:pStyle w:val="45"/>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pStyle w:val="45"/>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乌鲁木齐市友谊医院</w:t>
            </w:r>
          </w:p>
          <w:p>
            <w:pPr>
              <w:pStyle w:val="45"/>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址：乌鲁木齐市</w:t>
            </w:r>
            <w:r>
              <w:rPr>
                <w:rFonts w:hint="eastAsia" w:ascii="仿宋" w:hAnsi="仿宋" w:eastAsia="仿宋" w:cs="仿宋"/>
                <w:color w:val="auto"/>
                <w:sz w:val="24"/>
                <w:szCs w:val="24"/>
                <w:highlight w:val="none"/>
                <w:lang w:eastAsia="zh-CN"/>
              </w:rPr>
              <w:t>胜利路</w:t>
            </w:r>
          </w:p>
          <w:p>
            <w:pPr>
              <w:pStyle w:val="45"/>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 xml:space="preserve">杨再江 </w:t>
            </w:r>
          </w:p>
          <w:p>
            <w:pPr>
              <w:pStyle w:val="45"/>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项目联系方式</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 xml:space="preserve">0991-2854144 </w:t>
            </w:r>
          </w:p>
          <w:p>
            <w:pPr>
              <w:pStyle w:val="45"/>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pPr>
              <w:pStyle w:val="45"/>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称：新疆谱诚项目管理咨询有限公司</w:t>
            </w:r>
          </w:p>
          <w:p>
            <w:pPr>
              <w:pStyle w:val="45"/>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址：乌鲁木齐市水磨沟区龙腾路1118号中央公园二期9栋商务办公楼</w:t>
            </w:r>
            <w:r>
              <w:rPr>
                <w:rFonts w:hint="eastAsia" w:ascii="仿宋" w:hAnsi="仿宋" w:eastAsia="仿宋" w:cs="仿宋"/>
                <w:color w:val="auto"/>
                <w:sz w:val="24"/>
                <w:szCs w:val="24"/>
                <w:highlight w:val="none"/>
                <w:lang w:eastAsia="zh-CN"/>
              </w:rPr>
              <w:t>办公用房503室</w:t>
            </w:r>
          </w:p>
          <w:p>
            <w:pPr>
              <w:pStyle w:val="45"/>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刘婧、</w:t>
            </w:r>
            <w:r>
              <w:rPr>
                <w:rFonts w:hint="eastAsia" w:ascii="仿宋" w:hAnsi="仿宋" w:eastAsia="仿宋" w:cs="仿宋"/>
                <w:color w:val="auto"/>
                <w:sz w:val="24"/>
                <w:szCs w:val="24"/>
                <w:highlight w:val="none"/>
                <w:lang w:eastAsia="zh-CN"/>
              </w:rPr>
              <w:t>齐欢</w:t>
            </w:r>
          </w:p>
          <w:p>
            <w:pPr>
              <w:pStyle w:val="45"/>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项目联系方式：</w:t>
            </w:r>
            <w:r>
              <w:rPr>
                <w:rFonts w:hint="eastAsia" w:ascii="仿宋" w:hAnsi="仿宋" w:eastAsia="仿宋" w:cs="仿宋"/>
                <w:color w:val="auto"/>
                <w:sz w:val="24"/>
                <w:szCs w:val="24"/>
                <w:highlight w:val="none"/>
                <w:lang w:val="en-US" w:eastAsia="zh-CN"/>
              </w:rPr>
              <w:t>15899126306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77"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预算（最高限价）</w:t>
            </w:r>
          </w:p>
          <w:p>
            <w:pPr>
              <w:pStyle w:val="5"/>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标项</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Cs/>
                <w:color w:val="auto"/>
                <w:sz w:val="24"/>
                <w:szCs w:val="24"/>
                <w:highlight w:val="none"/>
                <w:lang w:val="en-US"/>
              </w:rPr>
            </w:pPr>
            <w:r>
              <w:rPr>
                <w:rFonts w:hint="eastAsia" w:ascii="仿宋" w:hAnsi="仿宋" w:eastAsia="仿宋" w:cs="仿宋"/>
                <w:color w:val="auto"/>
                <w:sz w:val="24"/>
                <w:szCs w:val="24"/>
                <w:highlight w:val="none"/>
              </w:rPr>
              <w:t>预算（最高限价）</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万元</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w:t>
            </w:r>
            <w:r>
              <w:rPr>
                <w:rFonts w:hint="eastAsia" w:ascii="仿宋" w:hAnsi="仿宋" w:eastAsia="仿宋" w:cs="仿宋"/>
                <w:color w:val="auto"/>
                <w:sz w:val="24"/>
                <w:szCs w:val="24"/>
                <w:highlight w:val="none"/>
                <w:lang w:val="en-US" w:eastAsia="zh-CN"/>
              </w:rPr>
              <w:t>795.00</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标项：本项目分1个标项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不分包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需求</w:t>
            </w:r>
          </w:p>
        </w:tc>
        <w:tc>
          <w:tcPr>
            <w:tcW w:w="71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康复诊疗设备</w:t>
            </w:r>
            <w:r>
              <w:rPr>
                <w:rFonts w:hint="eastAsia" w:ascii="仿宋" w:hAnsi="仿宋" w:eastAsia="仿宋" w:cs="仿宋"/>
                <w:color w:val="auto"/>
                <w:sz w:val="24"/>
                <w:szCs w:val="24"/>
                <w:highlight w:val="none"/>
                <w:lang w:val="en-US" w:eastAsia="zh-CN"/>
              </w:rPr>
              <w:t>（详见采购文件）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产品（或成果）提交要求</w:t>
            </w:r>
          </w:p>
        </w:tc>
        <w:tc>
          <w:tcPr>
            <w:tcW w:w="71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详见采购需求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合格（通过采购人组织的项目验收）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rPr>
              <w:t>期</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合同签订后60日内完成供货及配套服务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投标人条件</w:t>
            </w:r>
          </w:p>
        </w:tc>
        <w:tc>
          <w:tcPr>
            <w:tcW w:w="7131" w:type="dxa"/>
            <w:vAlign w:val="center"/>
          </w:tcPr>
          <w:p>
            <w:pPr>
              <w:pStyle w:val="45"/>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45"/>
              <w:keepNext w:val="0"/>
              <w:keepLines w:val="0"/>
              <w:numPr>
                <w:ilvl w:val="0"/>
                <w:numId w:val="10"/>
              </w:numPr>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具有有效营业执照的国内独立法人资格，具有独立承担民事责任的能力；</w:t>
            </w:r>
          </w:p>
          <w:p>
            <w:pPr>
              <w:pStyle w:val="45"/>
              <w:keepNext w:val="0"/>
              <w:keepLines w:val="0"/>
              <w:numPr>
                <w:ilvl w:val="0"/>
                <w:numId w:val="10"/>
              </w:numPr>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投货物若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p>
            <w:pPr>
              <w:pStyle w:val="45"/>
              <w:keepNext w:val="0"/>
              <w:keepLines w:val="0"/>
              <w:numPr>
                <w:ilvl w:val="0"/>
                <w:numId w:val="0"/>
              </w:numPr>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经信用中国（www.creditchina.gov.cn）、中国政府采购网（www.ccgp.gov.cn）、 国家企业信用信息公示（http://www.gsxt.gov.cn/）等渠道查询后，列入失信被执行人、重大税收违法案件当事人名单、政府采购严重违法失信行为记录名单的，取消投标资格。（提供“信用中国”《中国政府采购网》网站无任何不良记录的查询截图，时间为投标截止时间前20天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本次开标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线</w:t>
            </w:r>
            <w:r>
              <w:rPr>
                <w:rFonts w:hint="eastAsia" w:ascii="仿宋" w:hAnsi="仿宋" w:eastAsia="仿宋" w:cs="仿宋"/>
                <w:color w:val="auto"/>
                <w:sz w:val="24"/>
                <w:szCs w:val="24"/>
                <w:highlight w:val="none"/>
                <w:lang w:val="en-US" w:eastAsia="zh-CN"/>
              </w:rPr>
              <w:t>下</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纸质版投标文件评审。</w:t>
            </w:r>
            <w:r>
              <w:rPr>
                <w:rFonts w:hint="eastAsia" w:ascii="仿宋" w:hAnsi="仿宋" w:eastAsia="仿宋" w:cs="仿宋"/>
                <w:color w:val="auto"/>
                <w:sz w:val="24"/>
                <w:szCs w:val="24"/>
                <w:highlight w:val="none"/>
              </w:rPr>
              <w:t>投标人编制、提交的投标文件，须符合</w:t>
            </w: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rPr>
              <w:t>采购文件要求的投标文件编制和提交要求。</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投标文件正本一份,副本三份。</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电子文件一份(U盘,并标注投标人名称)</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开标一览表1份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响应文件提交</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u w:val="single"/>
              </w:rPr>
              <w:t>2021年</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日 11:00</w:t>
            </w:r>
            <w:r>
              <w:rPr>
                <w:rFonts w:hint="eastAsia" w:ascii="仿宋" w:hAnsi="仿宋" w:eastAsia="仿宋" w:cs="仿宋"/>
                <w:color w:val="auto"/>
                <w:sz w:val="24"/>
                <w:szCs w:val="24"/>
                <w:highlight w:val="none"/>
              </w:rPr>
              <w:t>（北京时间）</w:t>
            </w:r>
          </w:p>
          <w:p>
            <w:pPr>
              <w:pStyle w:val="45"/>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u w:val="single"/>
              </w:rPr>
              <w:t>乌鲁木齐市水磨沟区龙腾路1118号中央公园二期9栋商务办公楼办公用房401室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投标有效期限</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投标截止后90天（日历日）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96"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开标</w:t>
            </w:r>
            <w:r>
              <w:rPr>
                <w:rFonts w:hint="eastAsia" w:ascii="仿宋" w:hAnsi="仿宋" w:eastAsia="仿宋" w:cs="仿宋"/>
                <w:color w:val="auto"/>
                <w:sz w:val="24"/>
                <w:szCs w:val="24"/>
                <w:highlight w:val="none"/>
              </w:rPr>
              <w:t>会议</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开启时间：</w:t>
            </w:r>
            <w:r>
              <w:rPr>
                <w:rFonts w:hint="eastAsia" w:ascii="仿宋" w:hAnsi="仿宋" w:eastAsia="仿宋" w:cs="仿宋"/>
                <w:color w:val="auto"/>
                <w:sz w:val="24"/>
                <w:szCs w:val="24"/>
                <w:highlight w:val="none"/>
                <w:u w:val="single"/>
              </w:rPr>
              <w:t>2021年</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日 11:00</w:t>
            </w:r>
            <w:r>
              <w:rPr>
                <w:rFonts w:hint="eastAsia" w:ascii="仿宋" w:hAnsi="仿宋" w:eastAsia="仿宋" w:cs="仿宋"/>
                <w:color w:val="auto"/>
                <w:sz w:val="24"/>
                <w:szCs w:val="24"/>
                <w:highlight w:val="none"/>
              </w:rPr>
              <w:t>（北京时间）</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u w:val="single"/>
              </w:rPr>
              <w:t>乌鲁木齐市水磨沟区龙腾路1118号中央公园二期9栋商务办公楼办公用房401室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评标标准</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94"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投标保证金（人民币）</w:t>
            </w:r>
          </w:p>
        </w:tc>
        <w:tc>
          <w:tcPr>
            <w:tcW w:w="7131" w:type="dxa"/>
            <w:vAlign w:val="center"/>
          </w:tcPr>
          <w:p>
            <w:pPr>
              <w:keepNext w:val="0"/>
              <w:keepLines w:val="0"/>
              <w:suppressLineNumbers w:val="0"/>
              <w:kinsoku/>
              <w:wordWrap/>
              <w:overflowPunct/>
              <w:bidi w:val="0"/>
              <w:snapToGrid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p>
            <w:pPr>
              <w:keepNext w:val="0"/>
              <w:keepLines w:val="0"/>
              <w:suppressLineNumbers w:val="0"/>
              <w:kinsoku/>
              <w:wordWrap/>
              <w:overflowPunct/>
              <w:bidi w:val="0"/>
              <w:snapToGrid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小写：</w:t>
            </w:r>
            <w:r>
              <w:rPr>
                <w:rFonts w:hint="eastAsia" w:ascii="仿宋" w:hAnsi="仿宋" w:eastAsia="仿宋" w:cs="仿宋"/>
                <w:color w:val="auto"/>
                <w:sz w:val="24"/>
                <w:szCs w:val="24"/>
                <w:highlight w:val="none"/>
                <w:lang w:val="en-US" w:eastAsia="zh-CN"/>
              </w:rPr>
              <w:t>￥150</w:t>
            </w:r>
            <w:r>
              <w:rPr>
                <w:rFonts w:hint="eastAsia" w:ascii="仿宋" w:hAnsi="仿宋" w:eastAsia="仿宋" w:cs="仿宋"/>
                <w:color w:val="auto"/>
                <w:sz w:val="24"/>
                <w:szCs w:val="24"/>
                <w:highlight w:val="none"/>
              </w:rPr>
              <w:t>000.00元；     大写：</w:t>
            </w:r>
            <w:r>
              <w:rPr>
                <w:rFonts w:hint="eastAsia" w:ascii="仿宋" w:hAnsi="仿宋" w:eastAsia="仿宋" w:cs="仿宋"/>
                <w:color w:val="auto"/>
                <w:sz w:val="24"/>
                <w:szCs w:val="24"/>
                <w:highlight w:val="none"/>
                <w:lang w:val="en-US" w:eastAsia="zh-CN"/>
              </w:rPr>
              <w:t>壹拾伍万</w:t>
            </w:r>
            <w:r>
              <w:rPr>
                <w:rFonts w:hint="eastAsia" w:ascii="仿宋" w:hAnsi="仿宋" w:eastAsia="仿宋" w:cs="仿宋"/>
                <w:color w:val="auto"/>
                <w:sz w:val="24"/>
                <w:szCs w:val="24"/>
                <w:highlight w:val="none"/>
              </w:rPr>
              <w:t>元整</w:t>
            </w:r>
          </w:p>
          <w:p>
            <w:pPr>
              <w:keepNext w:val="0"/>
              <w:keepLines w:val="0"/>
              <w:suppressLineNumbers w:val="0"/>
              <w:kinsoku/>
              <w:wordWrap/>
              <w:overflowPunct/>
              <w:bidi w:val="0"/>
              <w:snapToGrid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户单位名称：新疆谱诚项目管理咨询有限公司</w:t>
            </w:r>
          </w:p>
          <w:p>
            <w:pPr>
              <w:keepNext w:val="0"/>
              <w:keepLines w:val="0"/>
              <w:suppressLineNumbers w:val="0"/>
              <w:kinsoku/>
              <w:wordWrap/>
              <w:overflowPunct/>
              <w:bidi w:val="0"/>
              <w:snapToGrid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开户行：中国农业银行股份有限公司乌鲁木齐南门国际城支行</w:t>
            </w:r>
          </w:p>
          <w:p>
            <w:pPr>
              <w:keepNext w:val="0"/>
              <w:keepLines w:val="0"/>
              <w:suppressLineNumbers w:val="0"/>
              <w:kinsoku/>
              <w:wordWrap/>
              <w:overflowPunct/>
              <w:bidi w:val="0"/>
              <w:snapToGrid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银行账号：30003101040002928</w:t>
            </w:r>
          </w:p>
          <w:p>
            <w:pPr>
              <w:keepNext w:val="0"/>
              <w:keepLines w:val="0"/>
              <w:suppressLineNumbers w:val="0"/>
              <w:kinsoku/>
              <w:wordWrap/>
              <w:overflowPunct/>
              <w:bidi w:val="0"/>
              <w:snapToGrid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    号：103881000316</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投标保证金的缴纳形式：投标保证金于</w:t>
            </w:r>
            <w:r>
              <w:rPr>
                <w:rFonts w:hint="eastAsia" w:ascii="仿宋" w:hAnsi="仿宋" w:eastAsia="仿宋" w:cs="仿宋"/>
                <w:color w:val="auto"/>
                <w:sz w:val="24"/>
                <w:szCs w:val="24"/>
                <w:highlight w:val="none"/>
                <w:lang w:val="en-US" w:eastAsia="zh-CN"/>
              </w:rPr>
              <w:t>投标截止时间前</w:t>
            </w:r>
            <w:r>
              <w:rPr>
                <w:rFonts w:hint="eastAsia" w:ascii="仿宋" w:hAnsi="仿宋" w:eastAsia="仿宋" w:cs="仿宋"/>
                <w:color w:val="auto"/>
                <w:sz w:val="24"/>
                <w:szCs w:val="24"/>
                <w:highlight w:val="none"/>
              </w:rPr>
              <w:t>（北京时间，以到账时间为准)之前从投标人基本账户以银行电汇或网银形式汇至新疆谱诚项目管理咨询有限公司账户，投标人提交投标保证金应充分考虑资金在途时间。若投标人未按照上述规定缴纳投标保证金,投标文件将被拒绝评审。</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注：投标人缴纳投标保证金时，须备注注明所投“项目名称、项目编号、投标人简称”</w:t>
            </w:r>
            <w:r>
              <w:rPr>
                <w:rFonts w:hint="eastAsia" w:ascii="仿宋" w:hAnsi="仿宋" w:eastAsia="仿宋" w:cs="仿宋"/>
                <w:b w:val="0"/>
                <w:bCs/>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文件售价</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val="en-US" w:eastAsia="zh-CN"/>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履约担保</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履约保证金金额：合同金额的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履约保证金递交：中标单位收到《</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通知书》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签订合同</w:t>
            </w:r>
            <w:r>
              <w:rPr>
                <w:rFonts w:hint="eastAsia" w:ascii="仿宋" w:hAnsi="仿宋" w:eastAsia="仿宋" w:cs="仿宋"/>
                <w:color w:val="auto"/>
                <w:sz w:val="24"/>
                <w:szCs w:val="24"/>
                <w:highlight w:val="none"/>
                <w:lang w:val="en-US" w:eastAsia="zh-CN"/>
              </w:rPr>
              <w:t>前</w:t>
            </w:r>
            <w:r>
              <w:rPr>
                <w:rFonts w:hint="eastAsia" w:ascii="仿宋" w:hAnsi="仿宋" w:eastAsia="仿宋" w:cs="仿宋"/>
                <w:color w:val="auto"/>
                <w:sz w:val="24"/>
                <w:szCs w:val="24"/>
                <w:highlight w:val="none"/>
              </w:rPr>
              <w:t>缴纳</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履约保证金形式：银行转账形式（中标单位未按</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文件规定缴纳履约保证金的，其投标保证金将不予退还）</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履约保证金（质保金）退还：（1）履约保证金的有效期为该项目</w:t>
            </w:r>
            <w:r>
              <w:rPr>
                <w:rFonts w:hint="eastAsia" w:ascii="仿宋" w:hAnsi="仿宋" w:eastAsia="仿宋" w:cs="仿宋"/>
                <w:color w:val="auto"/>
                <w:sz w:val="24"/>
                <w:szCs w:val="24"/>
                <w:highlight w:val="none"/>
                <w:lang w:val="en-US" w:eastAsia="zh-CN"/>
              </w:rPr>
              <w:t>完成供货且通过采购人组织的项目验收</w:t>
            </w:r>
            <w:r>
              <w:rPr>
                <w:rFonts w:hint="eastAsia" w:ascii="仿宋" w:hAnsi="仿宋" w:eastAsia="仿宋" w:cs="仿宋"/>
                <w:color w:val="auto"/>
                <w:sz w:val="24"/>
                <w:szCs w:val="24"/>
                <w:highlight w:val="none"/>
                <w:lang w:val="zh-CN"/>
              </w:rPr>
              <w:t>止。（2）供应商在</w:t>
            </w:r>
            <w:r>
              <w:rPr>
                <w:rFonts w:hint="eastAsia" w:ascii="仿宋" w:hAnsi="仿宋" w:eastAsia="仿宋" w:cs="仿宋"/>
                <w:color w:val="auto"/>
                <w:sz w:val="24"/>
                <w:szCs w:val="24"/>
                <w:highlight w:val="none"/>
                <w:lang w:val="en-US" w:eastAsia="zh-CN"/>
              </w:rPr>
              <w:t>产品</w:t>
            </w:r>
            <w:r>
              <w:rPr>
                <w:rFonts w:hint="eastAsia" w:ascii="仿宋" w:hAnsi="仿宋" w:eastAsia="仿宋" w:cs="仿宋"/>
                <w:color w:val="auto"/>
                <w:sz w:val="24"/>
                <w:szCs w:val="24"/>
                <w:highlight w:val="none"/>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付款方式及币种</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1、付款币种：</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本次</w:t>
            </w:r>
            <w:r>
              <w:rPr>
                <w:rFonts w:hint="eastAsia" w:ascii="仿宋" w:hAnsi="仿宋" w:eastAsia="仿宋" w:cs="仿宋"/>
                <w:color w:val="auto"/>
                <w:sz w:val="24"/>
                <w:szCs w:val="24"/>
                <w:highlight w:val="none"/>
                <w:lang w:val="zh-CN" w:eastAsia="zh-CN"/>
              </w:rPr>
              <w:t>采购</w:t>
            </w:r>
            <w:r>
              <w:rPr>
                <w:rFonts w:hint="eastAsia" w:ascii="仿宋" w:hAnsi="仿宋" w:eastAsia="仿宋" w:cs="仿宋"/>
                <w:color w:val="auto"/>
                <w:sz w:val="24"/>
                <w:szCs w:val="24"/>
                <w:highlight w:val="none"/>
                <w:lang w:val="zh-CN"/>
              </w:rPr>
              <w:t>所述的项目资金均以人民币支付</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zh-CN"/>
              </w:rPr>
              <w:t>2、付款方式：</w:t>
            </w:r>
            <w:r>
              <w:rPr>
                <w:rFonts w:hint="eastAsia" w:ascii="仿宋" w:hAnsi="仿宋" w:eastAsia="仿宋" w:cs="仿宋"/>
                <w:color w:val="auto"/>
                <w:sz w:val="24"/>
                <w:szCs w:val="24"/>
                <w:highlight w:val="none"/>
                <w:lang w:val="en-US" w:eastAsia="zh-CN"/>
              </w:rPr>
              <w:t>按照医院规定执行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质保</w:t>
            </w:r>
            <w:r>
              <w:rPr>
                <w:rFonts w:hint="eastAsia" w:ascii="仿宋" w:hAnsi="仿宋" w:eastAsia="仿宋" w:cs="仿宋"/>
                <w:color w:val="auto"/>
                <w:sz w:val="24"/>
                <w:szCs w:val="24"/>
                <w:highlight w:val="none"/>
              </w:rPr>
              <w:t>期</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中标人应提交针对本项目的</w:t>
            </w:r>
            <w:r>
              <w:rPr>
                <w:rFonts w:hint="eastAsia" w:ascii="仿宋" w:hAnsi="仿宋" w:eastAsia="仿宋" w:cs="仿宋"/>
                <w:color w:val="auto"/>
                <w:sz w:val="24"/>
                <w:szCs w:val="24"/>
                <w:highlight w:val="none"/>
                <w:lang w:val="en-US" w:eastAsia="zh-CN"/>
              </w:rPr>
              <w:t>2年</w:t>
            </w:r>
            <w:r>
              <w:rPr>
                <w:rFonts w:hint="eastAsia" w:ascii="仿宋" w:hAnsi="仿宋" w:eastAsia="仿宋" w:cs="仿宋"/>
                <w:color w:val="auto"/>
                <w:sz w:val="24"/>
                <w:szCs w:val="24"/>
                <w:highlight w:val="none"/>
                <w:lang w:val="zh-CN"/>
              </w:rPr>
              <w:t>质保承诺书。</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质保期内，在接到</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val="zh-CN"/>
              </w:rPr>
              <w:t>的退、换、</w:t>
            </w:r>
            <w:r>
              <w:rPr>
                <w:rFonts w:hint="eastAsia" w:ascii="仿宋" w:hAnsi="仿宋" w:eastAsia="仿宋" w:cs="仿宋"/>
                <w:color w:val="auto"/>
                <w:sz w:val="24"/>
                <w:szCs w:val="24"/>
                <w:highlight w:val="none"/>
                <w:lang w:val="en-US" w:eastAsia="zh-CN"/>
              </w:rPr>
              <w:t>维修</w:t>
            </w:r>
            <w:r>
              <w:rPr>
                <w:rFonts w:hint="eastAsia" w:ascii="仿宋" w:hAnsi="仿宋" w:eastAsia="仿宋" w:cs="仿宋"/>
                <w:color w:val="auto"/>
                <w:sz w:val="24"/>
                <w:szCs w:val="24"/>
                <w:highlight w:val="none"/>
                <w:lang w:val="zh-CN"/>
              </w:rPr>
              <w:t>通知后，要求</w:t>
            </w:r>
            <w:r>
              <w:rPr>
                <w:rFonts w:hint="eastAsia" w:ascii="仿宋" w:hAnsi="仿宋" w:eastAsia="仿宋" w:cs="仿宋"/>
                <w:color w:val="auto"/>
                <w:sz w:val="24"/>
                <w:szCs w:val="24"/>
                <w:highlight w:val="none"/>
                <w:lang w:val="en-US" w:eastAsia="zh-CN"/>
              </w:rPr>
              <w:t>48</w:t>
            </w:r>
            <w:r>
              <w:rPr>
                <w:rFonts w:hint="eastAsia" w:ascii="仿宋" w:hAnsi="仿宋" w:eastAsia="仿宋" w:cs="仿宋"/>
                <w:color w:val="auto"/>
                <w:sz w:val="24"/>
                <w:szCs w:val="24"/>
                <w:highlight w:val="none"/>
                <w:lang w:val="zh-CN"/>
              </w:rPr>
              <w:t>个小时内到达现场给予办理，不能在指定时间内完成任务的，必须与采购人进行沟通，说明情况。</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质保期从验收合格后开始计算。质保期内所有上门服务要求免费。</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详见采购需求）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9</w:t>
            </w: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落实政府采购政策</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（1）《政府采购促进中小企业发展暂行办法》（财库〔2020〕47号）； （2）《财政部、司法部关于政府采购支持监狱企业发展有关问题的通知》（财库〔2014〕68号）； （3）《财政部民政部 中国残疾人联合会关于促进残疾人就业政府采购政策的通知》财库〔2017〕141号等政策，详见招标文件.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675"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p>
        </w:tc>
        <w:tc>
          <w:tcPr>
            <w:tcW w:w="17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低于成本价不正当竞争</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预防措施</w:t>
            </w:r>
          </w:p>
        </w:tc>
        <w:tc>
          <w:tcPr>
            <w:tcW w:w="713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①在评标过程中，</w:t>
            </w:r>
            <w:r>
              <w:rPr>
                <w:rFonts w:hint="eastAsia" w:ascii="仿宋" w:hAnsi="仿宋" w:eastAsia="仿宋" w:cs="仿宋"/>
                <w:b/>
                <w:bCs/>
                <w:color w:val="auto"/>
                <w:sz w:val="24"/>
                <w:szCs w:val="24"/>
                <w:highlight w:val="none"/>
                <w:lang w:eastAsia="zh-CN"/>
              </w:rPr>
              <w:t>采购</w:t>
            </w:r>
            <w:r>
              <w:rPr>
                <w:rFonts w:hint="eastAsia" w:ascii="仿宋" w:hAnsi="仿宋" w:eastAsia="仿宋" w:cs="仿宋"/>
                <w:b/>
                <w:bCs/>
                <w:color w:val="auto"/>
                <w:sz w:val="24"/>
                <w:szCs w:val="24"/>
                <w:highlight w:val="none"/>
              </w:rPr>
              <w:t>小组认为投标人的报价明显低于其他通过符合性审查投标人的报价，有可能影响产品</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成果</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和服务</w:t>
            </w:r>
            <w:r>
              <w:rPr>
                <w:rFonts w:hint="eastAsia" w:ascii="仿宋" w:hAnsi="仿宋" w:eastAsia="仿宋" w:cs="仿宋"/>
                <w:b/>
                <w:bCs/>
                <w:color w:val="auto"/>
                <w:sz w:val="24"/>
                <w:szCs w:val="24"/>
                <w:highlight w:val="none"/>
              </w:rPr>
              <w:t>质量或者不能诚信履约的，</w:t>
            </w:r>
            <w:r>
              <w:rPr>
                <w:rFonts w:hint="eastAsia" w:ascii="仿宋" w:hAnsi="仿宋" w:eastAsia="仿宋" w:cs="仿宋"/>
                <w:b/>
                <w:bCs/>
                <w:color w:val="auto"/>
                <w:sz w:val="24"/>
                <w:szCs w:val="24"/>
                <w:highlight w:val="none"/>
                <w:lang w:eastAsia="zh-CN"/>
              </w:rPr>
              <w:t>采购</w:t>
            </w:r>
            <w:r>
              <w:rPr>
                <w:rFonts w:hint="eastAsia" w:ascii="仿宋" w:hAnsi="仿宋" w:eastAsia="仿宋" w:cs="仿宋"/>
                <w:b/>
                <w:bCs/>
                <w:color w:val="auto"/>
                <w:sz w:val="24"/>
                <w:szCs w:val="24"/>
                <w:highlight w:val="none"/>
              </w:rPr>
              <w:t>小组应当要求其在评标现场合理的时间内提供成本构成书面说明，并提交相关证明材料。供应商书面说明应当按照国家财务会计制度的规定要求，逐项就供应商提供的产品</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成果</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和服务</w:t>
            </w:r>
            <w:r>
              <w:rPr>
                <w:rFonts w:hint="eastAsia" w:ascii="仿宋" w:hAnsi="仿宋" w:eastAsia="仿宋" w:cs="仿宋"/>
                <w:b/>
                <w:bCs/>
                <w:color w:val="auto"/>
                <w:sz w:val="24"/>
                <w:szCs w:val="24"/>
                <w:highlight w:val="none"/>
              </w:rPr>
              <w:t>质量的主营业务成本（应根据供应商企业类型予以区别）、税金及附加、销售费用、管理费用、财务费用等成本构成事项详细陈述。</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②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③供应商提供书面说明后，</w:t>
            </w:r>
            <w:r>
              <w:rPr>
                <w:rFonts w:hint="eastAsia" w:ascii="仿宋" w:hAnsi="仿宋" w:eastAsia="仿宋" w:cs="仿宋"/>
                <w:b/>
                <w:bCs/>
                <w:color w:val="auto"/>
                <w:sz w:val="24"/>
                <w:szCs w:val="24"/>
                <w:highlight w:val="none"/>
                <w:lang w:eastAsia="zh-CN"/>
              </w:rPr>
              <w:t>采购</w:t>
            </w:r>
            <w:r>
              <w:rPr>
                <w:rFonts w:hint="eastAsia" w:ascii="仿宋" w:hAnsi="仿宋" w:eastAsia="仿宋" w:cs="仿宋"/>
                <w:b/>
                <w:bCs/>
                <w:color w:val="auto"/>
                <w:sz w:val="24"/>
                <w:szCs w:val="24"/>
                <w:highlight w:val="none"/>
              </w:rPr>
              <w:t>小组应当结合采购项目采购需求、专业实际情况、供应商财务状况报告、与其他供应商比较情况等就供应商书面说明进行审查评价。供应商拒绝或者变相拒绝提供有效书面说明或者书面说明不能证明其报价合理性的，</w:t>
            </w:r>
            <w:r>
              <w:rPr>
                <w:rFonts w:hint="eastAsia" w:ascii="仿宋" w:hAnsi="仿宋" w:eastAsia="仿宋" w:cs="仿宋"/>
                <w:b/>
                <w:bCs/>
                <w:color w:val="auto"/>
                <w:sz w:val="24"/>
                <w:szCs w:val="24"/>
                <w:highlight w:val="none"/>
                <w:lang w:eastAsia="zh-CN"/>
              </w:rPr>
              <w:t>采购</w:t>
            </w:r>
            <w:r>
              <w:rPr>
                <w:rFonts w:hint="eastAsia" w:ascii="仿宋" w:hAnsi="仿宋" w:eastAsia="仿宋" w:cs="仿宋"/>
                <w:b/>
                <w:bCs/>
                <w:color w:val="auto"/>
                <w:sz w:val="24"/>
                <w:szCs w:val="24"/>
                <w:highlight w:val="none"/>
              </w:rPr>
              <w:t>小组应当将其响应文件作为无效处理。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507" w:type="dxa"/>
            <w:gridSpan w:val="3"/>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投标人所投产品等同或不得低于采购文件要求的技术要求。任何对采购文件的忽略或误解不能作为响应文件存在缺陷或瑕疵的理由，其风险由投标人承担。投标人应保证所投产品及提供服务完全符合采购文件规定的采购需求。</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注2）本项目设有最高限价，所有投标单位报价均不得高于最高限价，否则做无效标处理。</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注3）投标人应保证，在中华人民共和国境内使用投标成果、服务或其任何一部分时，不会产生因第三方提出侵犯其专利权或其它知识产权而引起的法律和经济纠纷。</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注4）投标总报价须以元为单位，小数点后保留2位。</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5）除非另有特殊说明，若本采购文件中引用了某一品牌、型号或生产投标人名称，均是指参照该品牌、型号或生产投标人的产品或服务，所引用的品牌、型号或生产投标人不构成对投标响应的限制。若采用的外文术语与某一投标人或某一产品使用的术语相同，并非表示指定了该投标人或该产品。</w:t>
            </w:r>
          </w:p>
        </w:tc>
      </w:tr>
    </w:tbl>
    <w:p>
      <w:pPr>
        <w:kinsoku/>
        <w:wordWrap/>
        <w:overflowPunct/>
        <w:bidi w:val="0"/>
        <w:snapToGrid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insoku/>
        <w:wordWrap/>
        <w:overflowPunct/>
        <w:bidi w:val="0"/>
        <w:snapToGrid w:val="0"/>
        <w:spacing w:beforeAutospacing="0" w:line="440" w:lineRule="exact"/>
        <w:ind w:left="0" w:leftChars="0" w:right="0" w:rightChars="0"/>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一、总则</w:t>
      </w:r>
    </w:p>
    <w:p>
      <w:pPr>
        <w:kinsoku/>
        <w:wordWrap/>
        <w:overflowPunct/>
        <w:bidi w:val="0"/>
        <w:snapToGrid w:val="0"/>
        <w:spacing w:beforeAutospacing="0" w:line="440" w:lineRule="exact"/>
        <w:ind w:left="0" w:leftChars="0" w:right="0" w:rightChars="0" w:firstLine="472" w:firstLineChars="196"/>
        <w:jc w:val="lef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（一）适用范围</w:t>
      </w:r>
    </w:p>
    <w:p>
      <w:pPr>
        <w:kinsoku/>
        <w:wordWrap/>
        <w:overflowPunct/>
        <w:bidi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本招标文件适用于</w:t>
      </w:r>
      <w:r>
        <w:rPr>
          <w:rFonts w:hint="eastAsia" w:ascii="仿宋" w:hAnsi="仿宋" w:eastAsia="仿宋" w:cs="仿宋"/>
          <w:color w:val="auto"/>
          <w:sz w:val="24"/>
          <w:szCs w:val="24"/>
          <w:highlight w:val="none"/>
          <w:lang w:eastAsia="zh-CN"/>
        </w:rPr>
        <w:t>乌鲁木齐市友谊医院</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乌鲁木齐市友谊医院康复、理疗设备采购项目</w:t>
      </w:r>
      <w:r>
        <w:rPr>
          <w:rFonts w:hint="eastAsia" w:ascii="仿宋" w:hAnsi="仿宋" w:eastAsia="仿宋" w:cs="仿宋"/>
          <w:color w:val="auto"/>
          <w:sz w:val="24"/>
          <w:szCs w:val="24"/>
          <w:highlight w:val="none"/>
        </w:rPr>
        <w:t>的招标、投标、评标、定标、验收、合同履约、付款等行为（法律、法规另有规定的，从其规定）。</w:t>
      </w:r>
    </w:p>
    <w:p>
      <w:pPr>
        <w:kinsoku/>
        <w:wordWrap/>
        <w:overflowPunct/>
        <w:bidi w:val="0"/>
        <w:snapToGrid w:val="0"/>
        <w:spacing w:beforeAutospacing="0" w:line="440" w:lineRule="exact"/>
        <w:ind w:left="0" w:leftChars="0" w:right="0" w:rightChars="0" w:firstLine="354" w:firstLineChars="147"/>
        <w:jc w:val="lef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（二）定义</w:t>
      </w:r>
    </w:p>
    <w:p>
      <w:pPr>
        <w:kinsoku/>
        <w:wordWrap/>
        <w:overflowPunct/>
        <w:bidi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1.招标采购单位（“招标人”）系指组织本次招标的代理机构和采购单位。</w:t>
      </w:r>
    </w:p>
    <w:p>
      <w:pPr>
        <w:kinsoku/>
        <w:wordWrap/>
        <w:overflowPunct/>
        <w:bidi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2.“投标人”系指向招标方提交投标文件的单位或个人。</w:t>
      </w:r>
    </w:p>
    <w:p>
      <w:pPr>
        <w:kinsoku/>
        <w:wordWrap/>
        <w:overflowPunct/>
        <w:bidi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3.“产品”系指供方按招标文件规定，须向采购人提供的一切设备、保险、税金、备品备件、工具、手册及其它有关技术资料和材料。</w:t>
      </w:r>
    </w:p>
    <w:p>
      <w:pPr>
        <w:kinsoku/>
        <w:wordWrap/>
        <w:overflowPunct/>
        <w:bidi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4.“服务”系指招标文件规定投标人须承担的安装、调试、技术协助、校准、培训、技术指导以及其他类似的义务。</w:t>
      </w:r>
    </w:p>
    <w:p>
      <w:pPr>
        <w:kinsoku/>
        <w:wordWrap/>
        <w:overflowPunct/>
        <w:bidi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5.“项目”系指投标人按招标文件规定向采购人提供的产品和服务。</w:t>
      </w:r>
    </w:p>
    <w:p>
      <w:pPr>
        <w:kinsoku/>
        <w:wordWrap/>
        <w:overflowPunct/>
        <w:bidi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6.“书面形式”包括信函、传真、电报、电子邮件等。</w:t>
      </w:r>
    </w:p>
    <w:p>
      <w:pPr>
        <w:kinsoku/>
        <w:wordWrap/>
        <w:overflowPunct/>
        <w:bidi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7.带“</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sz w:val="24"/>
          <w:szCs w:val="24"/>
          <w:highlight w:val="none"/>
        </w:rPr>
        <w:t>”条款为实质性响应条款，必须响应。</w:t>
      </w:r>
    </w:p>
    <w:p>
      <w:pPr>
        <w:kinsoku/>
        <w:wordWrap/>
        <w:overflowPunct/>
        <w:bidi w:val="0"/>
        <w:snapToGrid w:val="0"/>
        <w:spacing w:beforeAutospacing="0" w:line="440" w:lineRule="exact"/>
        <w:ind w:left="0" w:leftChars="0" w:right="0" w:rightChars="0" w:firstLine="472" w:firstLineChars="196"/>
        <w:jc w:val="lef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（三）招标方式</w:t>
      </w:r>
    </w:p>
    <w:p>
      <w:pPr>
        <w:kinsoku/>
        <w:wordWrap/>
        <w:overflowPunct/>
        <w:bidi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本次招标采用公开招标方式进行。</w:t>
      </w:r>
    </w:p>
    <w:p>
      <w:pPr>
        <w:kinsoku/>
        <w:wordWrap/>
        <w:overflowPunct/>
        <w:bidi w:val="0"/>
        <w:snapToGrid w:val="0"/>
        <w:spacing w:beforeAutospacing="0" w:line="440" w:lineRule="exact"/>
        <w:ind w:left="0" w:leftChars="0" w:right="0" w:rightChars="0" w:firstLine="472" w:firstLineChars="196"/>
        <w:jc w:val="lef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（四）投标委托</w:t>
      </w:r>
    </w:p>
    <w:p>
      <w:pPr>
        <w:kinsoku/>
        <w:wordWrap/>
        <w:overflowPunct/>
        <w:bidi w:val="0"/>
        <w:snapToGrid w:val="0"/>
        <w:spacing w:beforeAutospacing="0" w:line="440" w:lineRule="exact"/>
        <w:ind w:left="0" w:leftChars="0" w:right="0" w:rightChars="0" w:firstLine="464" w:firstLineChars="200"/>
        <w:jc w:val="left"/>
        <w:textAlignment w:val="auto"/>
        <w:rPr>
          <w:rFonts w:hint="eastAsia" w:ascii="仿宋" w:hAnsi="仿宋" w:eastAsia="仿宋" w:cs="仿宋"/>
          <w:color w:val="auto"/>
          <w:spacing w:val="-4"/>
          <w:sz w:val="24"/>
          <w:szCs w:val="24"/>
          <w:highlight w:val="none"/>
        </w:rPr>
      </w:pPr>
      <w:r>
        <w:rPr>
          <w:rFonts w:hint="eastAsia" w:ascii="仿宋" w:hAnsi="仿宋" w:eastAsia="仿宋" w:cs="仿宋"/>
          <w:color w:val="auto"/>
          <w:spacing w:val="-4"/>
          <w:sz w:val="24"/>
          <w:szCs w:val="24"/>
          <w:highlight w:val="none"/>
        </w:rPr>
        <w:t>投标人代表须携带身份证。如投标人代表不是法定代表人，须有法定代表人出具的授权委托书（正本用原件，副本用复印件，格式见第四部分）。</w:t>
      </w:r>
    </w:p>
    <w:p>
      <w:pPr>
        <w:kinsoku/>
        <w:wordWrap/>
        <w:overflowPunct/>
        <w:bidi w:val="0"/>
        <w:snapToGrid w:val="0"/>
        <w:spacing w:beforeAutospacing="0" w:line="440" w:lineRule="exact"/>
        <w:ind w:left="0" w:leftChars="0" w:right="0" w:rightChars="0" w:firstLine="472" w:firstLineChars="196"/>
        <w:jc w:val="lef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（五）投标费用</w:t>
      </w:r>
    </w:p>
    <w:p>
      <w:pPr>
        <w:kinsoku/>
        <w:wordWrap/>
        <w:overflowPunct/>
        <w:bidi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不论投标结果如何，投标人均应自行承担所有与投标有关的全部费用（招标文件有相反规定除外）。</w:t>
      </w:r>
    </w:p>
    <w:p>
      <w:pPr>
        <w:kinsoku/>
        <w:wordWrap/>
        <w:overflowPunct/>
        <w:bidi w:val="0"/>
        <w:snapToGrid w:val="0"/>
        <w:spacing w:beforeAutospacing="0" w:line="440" w:lineRule="exact"/>
        <w:ind w:left="0" w:leftChars="0" w:right="0" w:rightChars="0" w:firstLine="472" w:firstLineChars="196"/>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（六）联合体投标</w:t>
      </w:r>
    </w:p>
    <w:p>
      <w:pPr>
        <w:kinsoku/>
        <w:wordWrap/>
        <w:overflowPunct/>
        <w:bidi w:val="0"/>
        <w:snapToGrid w:val="0"/>
        <w:spacing w:beforeAutospacing="0" w:line="440" w:lineRule="exact"/>
        <w:ind w:left="0" w:leftChars="0" w:right="0" w:rightChars="0" w:firstLine="720"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本项目不接受联合体投标。</w:t>
      </w:r>
    </w:p>
    <w:p>
      <w:pPr>
        <w:kinsoku/>
        <w:wordWrap/>
        <w:overflowPunct/>
        <w:bidi w:val="0"/>
        <w:snapToGrid w:val="0"/>
        <w:spacing w:beforeAutospacing="0" w:line="440" w:lineRule="exact"/>
        <w:ind w:left="0" w:leftChars="0" w:right="0" w:rightChars="0" w:firstLine="472" w:firstLineChars="196"/>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sz w:val="24"/>
          <w:szCs w:val="24"/>
          <w:highlight w:val="none"/>
        </w:rPr>
        <w:t>（七）</w:t>
      </w:r>
      <w:r>
        <w:rPr>
          <w:rFonts w:hint="eastAsia" w:ascii="仿宋" w:hAnsi="仿宋" w:eastAsia="仿宋" w:cs="仿宋"/>
          <w:b/>
          <w:color w:val="auto"/>
          <w:kern w:val="0"/>
          <w:sz w:val="24"/>
          <w:szCs w:val="24"/>
          <w:highlight w:val="none"/>
        </w:rPr>
        <w:t>转包与分包</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1.本项目不允许转包。</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2.本项目不可以分包。</w:t>
      </w:r>
    </w:p>
    <w:p>
      <w:pPr>
        <w:kinsoku/>
        <w:wordWrap/>
        <w:overflowPunct/>
        <w:bidi w:val="0"/>
        <w:snapToGrid w:val="0"/>
        <w:spacing w:beforeAutospacing="0" w:line="440" w:lineRule="exact"/>
        <w:ind w:left="0" w:leftChars="0" w:right="0" w:rightChars="0" w:firstLine="472" w:firstLineChars="196"/>
        <w:jc w:val="lef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（八）特别说明</w:t>
      </w:r>
    </w:p>
    <w:p>
      <w:pPr>
        <w:kinsoku/>
        <w:wordWrap/>
        <w:overflowPunct/>
        <w:bidi w:val="0"/>
        <w:snapToGrid w:val="0"/>
        <w:spacing w:beforeAutospacing="0" w:line="440" w:lineRule="exact"/>
        <w:ind w:left="0" w:leftChars="0" w:right="0" w:righ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color w:val="auto"/>
          <w:sz w:val="24"/>
          <w:szCs w:val="24"/>
          <w:highlight w:val="none"/>
        </w:rPr>
        <w:t>投标人投标所使用的资格、信誉、荣誉、业绩与企业认证必须为本企业所拥有。在组织商务技术评审或资格性审查时，不得将属于供应商母公司（总机构）或者同一母公司下属的其他子公司（同一总机构下属的其他分支机构）的人员、业绩、荣誉、知识产权、项目案例等，作为该供应商的资信文件予以确认或审查通过。</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2.投标人应仔细阅读招标文件的所有内容，按照招标文件的要求提交投标文件，并对所提供的全部资料的真实性承担法律责任。</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3.投标人在投标活动中提供任何虚假材料,其投标无效，并报监管部门查处。中标后发现的,将没收中标人保证金，造成其他损失的须赔偿相应损失，且民事赔偿并不免除违法投标人的行政与刑事责任。</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b w:val="0"/>
          <w:bCs w:val="0"/>
          <w:color w:val="auto"/>
          <w:sz w:val="24"/>
          <w:szCs w:val="24"/>
          <w:highlight w:val="none"/>
        </w:rPr>
        <w:t>.根据财政部、国家发展改革委《关于调整公布第二十三期节能产品政府采购清单的通知》的规定，节能清单中的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便器、水嘴等为政府强制采购节能产品（以“★”标注）。采购人需购买的产品属于政府强制采购节能产品范围，但在节能清单中无对应细化分类且节能清单中的产品确实无法满足工作需要的，允许在节能清单之外采购。</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若投标人所投产品在《第二十三期节能产品政府采购清单》内，则投标人须在投标文件中提供所投产品在《第二十三期节能产品政府采购清单》中所处的页码、截图等证明材料。</w:t>
      </w:r>
    </w:p>
    <w:p>
      <w:pPr>
        <w:kinsoku/>
        <w:wordWrap/>
        <w:overflowPunct/>
        <w:bidi w:val="0"/>
        <w:snapToGrid w:val="0"/>
        <w:spacing w:beforeAutospacing="0" w:line="440" w:lineRule="exact"/>
        <w:ind w:left="0" w:leftChars="0" w:right="0" w:rightChars="0" w:firstLine="470" w:firstLineChars="196"/>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 根据《政府采购货物和服务招标投标管理办法》（财政部令第87号）的规定。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kinsoku/>
        <w:wordWrap/>
        <w:overflowPunct/>
        <w:bidi w:val="0"/>
        <w:snapToGrid w:val="0"/>
        <w:spacing w:beforeAutospacing="0" w:line="440" w:lineRule="exact"/>
        <w:ind w:left="0" w:leftChars="0" w:right="0" w:rightChars="0" w:firstLine="470" w:firstLineChars="196"/>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非单一产品采购项目，采购人应当根据采购项目技术构成、产品价格比重等合理确定核心产品，并在招标文件中载明。多家投标人提供的核心产品品牌相同的，按前两款规定处理。</w:t>
      </w:r>
    </w:p>
    <w:p>
      <w:pPr>
        <w:kinsoku/>
        <w:wordWrap/>
        <w:overflowPunct/>
        <w:bidi w:val="0"/>
        <w:snapToGrid w:val="0"/>
        <w:spacing w:beforeAutospacing="0" w:line="440" w:lineRule="exact"/>
        <w:ind w:left="0" w:leftChars="0" w:right="0" w:rightChars="0"/>
        <w:jc w:val="lef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（九）知识产权</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lang w:val="en-GB"/>
        </w:rPr>
      </w:pPr>
      <w:r>
        <w:rPr>
          <w:rFonts w:hint="eastAsia" w:ascii="仿宋" w:hAnsi="仿宋" w:eastAsia="仿宋" w:cs="仿宋"/>
          <w:bCs/>
          <w:color w:val="auto"/>
          <w:sz w:val="24"/>
          <w:szCs w:val="24"/>
          <w:highlight w:val="none"/>
        </w:rPr>
        <w:t>1.投标人必须保证，采购人在中华人民共和国境内使用投标货物、资料、技术、服务或其任何一部分时，享有不受限制的无偿使用权，如有第三方向采购人提出侵犯其专利权、商标权或其它知识产权的主张，该责任应由投标人承担。</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2.投标报价应包含所有应向所有权人支付的专利权、商标权或其它知识产权的一切相关费用。</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3.系统软件、通用软件必须是具有在中国境内的合法使用权或版权的正版软件，涉及到第三方提出侵权或知识产权的起诉及支付版税等费用由投标人承担所有责任及费用。</w:t>
      </w:r>
    </w:p>
    <w:p>
      <w:pPr>
        <w:kinsoku/>
        <w:wordWrap/>
        <w:overflowPunct/>
        <w:bidi w:val="0"/>
        <w:snapToGrid w:val="0"/>
        <w:spacing w:beforeAutospacing="0" w:line="440" w:lineRule="exact"/>
        <w:ind w:left="0" w:leftChars="0" w:right="0" w:rightChars="0"/>
        <w:jc w:val="lef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（十）质疑</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质疑与投诉</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1、投标人认为</w:t>
      </w:r>
      <w:r>
        <w:rPr>
          <w:rFonts w:hint="eastAsia" w:ascii="仿宋" w:hAnsi="仿宋" w:eastAsia="仿宋" w:cs="仿宋"/>
          <w:bCs/>
          <w:color w:val="auto"/>
          <w:sz w:val="24"/>
          <w:szCs w:val="24"/>
          <w:highlight w:val="none"/>
          <w:lang w:val="en-US" w:eastAsia="zh-CN"/>
        </w:rPr>
        <w:t>采购</w:t>
      </w:r>
      <w:r>
        <w:rPr>
          <w:rFonts w:hint="eastAsia" w:ascii="仿宋" w:hAnsi="仿宋" w:eastAsia="仿宋" w:cs="仿宋"/>
          <w:bCs/>
          <w:color w:val="auto"/>
          <w:sz w:val="24"/>
          <w:szCs w:val="24"/>
          <w:highlight w:val="none"/>
        </w:rPr>
        <w:t>文件、采购过程、中标或者成交结果使自己的权益受到损害的，可以在知道或者应知其权益受到损害之日起7个工作日内，向采购人、采购代理机构提出质疑。投标人须在法定质疑期内一次性提出针对同一采购程序环节的质疑。采购人在收到投标人的书面质疑后七个工作日内作出答复，并以书面形式通知质疑投标人和其他有关投标人；作出答复前，将暂停招标投标活动。</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2、质疑函的必备内容</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（1）投标人提交的质疑函必须注明单位名称、地址、邮编、可供查询的单位和法定代表人的电话号码、联系人电话；</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（2）质疑项目的名称、编号；</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（3）具体质疑事项和与质疑事项相关的请求；</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（4）事实依据；</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（5）提起质疑的日期；</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（6）质疑函须加盖单位公章，由法定代表人签章。</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（7）授权代理人递交质疑函的，还须提交委托质疑事项的授权委托书（附法定代表人和被授权人的身份证正反面），加盖单位公章和法定代表人签章和被授权人签字，同时出示被授权人身份证。</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3、质疑应符合下列条件：</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⑴质疑人是参与所质疑项目的采购活动的投标人；</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⑵质疑函内容符合相关的规定；</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⑶在规定的有效期限内提起质疑；</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⑷招投标监管部门规定的其他条件。</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4、采购人在收到投标人的书面质疑后七个工作日内作出答复，并以书面形式通知质疑投标人和其他有关投标人，但答复的内容不涉及商业秘密。</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提出质疑的投标人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kinsoku/>
        <w:wordWrap/>
        <w:overflowPunct/>
        <w:bidi w:val="0"/>
        <w:snapToGrid w:val="0"/>
        <w:spacing w:beforeAutospacing="0" w:line="440" w:lineRule="exact"/>
        <w:ind w:left="0" w:leftChars="0" w:right="0" w:rightChars="0" w:firstLine="482" w:firstLineChars="200"/>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（十一）投标人的资格要求</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2、具有有效营业执照的国内独立法人资格，具有独立承担民事责任的能力，；</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所投货物若属于医疗器械管理范畴，按照国家《医疗器械监督管理条例》，应符合以下标准：①投标人为制造商的，须提供《医疗器械生产企业许可证》（进口产品除外）；投标人为经销商的，投标货物若属于三类医疗器械，须提供 《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4、经信用中国（www.creditchina.gov.cn）、中国政府采购网（www.ccgp.gov.cn）、 国家企业信用信息公示（http://www.gsxt.gov.cn/）等渠道查询后，列入失信被执行人、重大税收违法案件当事人名单、政府采购严重违法失信行为记录名单的，取消投标资格。（提供“信用中国”《中国政府采购网》网站无任何不良记录的查询截图，时间为投标截止时间前20天内）；</w:t>
      </w:r>
    </w:p>
    <w:p>
      <w:pPr>
        <w:pStyle w:val="45"/>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5、本项目不接受联合体</w:t>
      </w:r>
    </w:p>
    <w:p>
      <w:pPr>
        <w:kinsoku/>
        <w:wordWrap/>
        <w:overflowPunct/>
        <w:bidi w:val="0"/>
        <w:snapToGrid w:val="0"/>
        <w:spacing w:beforeAutospacing="0" w:line="440" w:lineRule="exact"/>
        <w:ind w:left="0" w:leftChars="0" w:right="0" w:rightChars="0"/>
        <w:jc w:val="center"/>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二、招标文件</w:t>
      </w:r>
    </w:p>
    <w:p>
      <w:pPr>
        <w:kinsoku/>
        <w:wordWrap/>
        <w:overflowPunct/>
        <w:bidi w:val="0"/>
        <w:snapToGrid w:val="0"/>
        <w:spacing w:beforeAutospacing="0" w:line="440" w:lineRule="exact"/>
        <w:ind w:left="0" w:leftChars="0" w:right="0" w:rightChars="0" w:firstLine="472" w:firstLineChars="196"/>
        <w:jc w:val="lef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（一）招标文件的构成。本招标文件由以下</w:t>
      </w:r>
      <w:r>
        <w:rPr>
          <w:rFonts w:hint="eastAsia" w:ascii="仿宋" w:hAnsi="仿宋" w:eastAsia="仿宋" w:cs="仿宋"/>
          <w:b/>
          <w:color w:val="auto"/>
          <w:sz w:val="24"/>
          <w:szCs w:val="24"/>
          <w:highlight w:val="none"/>
          <w:lang w:eastAsia="zh-CN"/>
        </w:rPr>
        <w:t>部分</w:t>
      </w:r>
      <w:r>
        <w:rPr>
          <w:rFonts w:hint="eastAsia" w:ascii="仿宋" w:hAnsi="仿宋" w:eastAsia="仿宋" w:cs="仿宋"/>
          <w:b/>
          <w:color w:val="auto"/>
          <w:sz w:val="24"/>
          <w:szCs w:val="24"/>
          <w:highlight w:val="none"/>
        </w:rPr>
        <w:t>组成：</w:t>
      </w:r>
    </w:p>
    <w:p>
      <w:pPr>
        <w:kinsoku/>
        <w:wordWrap/>
        <w:overflowPunct/>
        <w:bidi w:val="0"/>
        <w:snapToGrid w:val="0"/>
        <w:spacing w:beforeAutospacing="0" w:line="440" w:lineRule="exact"/>
        <w:ind w:left="0" w:leftChars="0" w:right="0" w:rightChars="0" w:firstLine="470" w:firstLineChars="196"/>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第一部分  投标邀请函</w:t>
      </w:r>
    </w:p>
    <w:p>
      <w:pPr>
        <w:kinsoku/>
        <w:wordWrap/>
        <w:overflowPunct/>
        <w:bidi w:val="0"/>
        <w:snapToGrid w:val="0"/>
        <w:spacing w:beforeAutospacing="0" w:line="440" w:lineRule="exact"/>
        <w:ind w:left="0" w:leftChars="0" w:right="0" w:rightChars="0" w:firstLine="470" w:firstLineChars="196"/>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第二部分  投标人须知</w:t>
      </w:r>
    </w:p>
    <w:p>
      <w:pPr>
        <w:kinsoku/>
        <w:wordWrap/>
        <w:overflowPunct/>
        <w:bidi w:val="0"/>
        <w:snapToGrid w:val="0"/>
        <w:spacing w:beforeAutospacing="0" w:line="440" w:lineRule="exact"/>
        <w:ind w:left="0" w:leftChars="0" w:right="0" w:rightChars="0" w:firstLine="470" w:firstLineChars="196"/>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第三部分  采购需求</w:t>
      </w:r>
    </w:p>
    <w:p>
      <w:pPr>
        <w:kinsoku/>
        <w:wordWrap/>
        <w:overflowPunct/>
        <w:bidi w:val="0"/>
        <w:snapToGrid w:val="0"/>
        <w:spacing w:beforeAutospacing="0" w:line="440" w:lineRule="exact"/>
        <w:ind w:left="0" w:leftChars="0" w:right="0" w:rightChars="0" w:firstLine="470" w:firstLineChars="196"/>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第四部分  合同格式（参考）</w:t>
      </w:r>
    </w:p>
    <w:p>
      <w:pPr>
        <w:kinsoku/>
        <w:wordWrap/>
        <w:overflowPunct/>
        <w:bidi w:val="0"/>
        <w:snapToGrid w:val="0"/>
        <w:spacing w:beforeAutospacing="0" w:line="440" w:lineRule="exact"/>
        <w:ind w:left="0" w:leftChars="0" w:right="0" w:rightChars="0" w:firstLine="470" w:firstLineChars="196"/>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第五部分  与投标文件格式</w:t>
      </w:r>
    </w:p>
    <w:p>
      <w:pPr>
        <w:kinsoku/>
        <w:wordWrap/>
        <w:overflowPunct/>
        <w:bidi w:val="0"/>
        <w:snapToGrid w:val="0"/>
        <w:spacing w:beforeAutospacing="0" w:line="440" w:lineRule="exact"/>
        <w:ind w:left="0" w:leftChars="0" w:right="0" w:rightChars="0" w:firstLine="472" w:firstLineChars="196"/>
        <w:jc w:val="lef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（二）投标人的风险</w:t>
      </w:r>
    </w:p>
    <w:p>
      <w:pPr>
        <w:kinsoku/>
        <w:wordWrap/>
        <w:overflowPunct/>
        <w:bidi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投标人没有按照招标文件要求提供全部资料，或者投标人没有对招标文件在各方面作出实质性响应是投标人的风险，并可能导致其投标被拒绝。</w:t>
      </w:r>
    </w:p>
    <w:p>
      <w:pPr>
        <w:kinsoku/>
        <w:wordWrap/>
        <w:overflowPunct/>
        <w:bidi w:val="0"/>
        <w:snapToGrid w:val="0"/>
        <w:spacing w:beforeAutospacing="0" w:line="440" w:lineRule="exact"/>
        <w:ind w:left="0" w:leftChars="0" w:right="0" w:rightChars="0" w:firstLine="472" w:firstLineChars="196"/>
        <w:jc w:val="lef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（三）招标文件的澄清与修改</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投标截止时间前，采购代理机构对已发出的招标文件进行必要澄清或者修改时，将依法在财政部门指定的政府采购信息发布媒体上发布更正公告，并以书面形式通知所有招标文件收受人，除书面答复以外的其他澄清方式及澄清内容均无效。该澄清或者修改的内容为招标文件的组成部分，对所有投标人有约束力。投标人在收到招标文件的澄清修改函后，应以书面形式予以确认。</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采购代理机构可以视采购具体情况，延长投标截止时间和开标时间，并依法在招标文件要求提交投标文件的截至时间三日前，将变更时间书面通知所有招标文件收受人，并在财政部门指定的政府采购信息发布媒体上发布变更公告。</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3.招标文件澄清、答复、修改、补充的内容为招标文件的组成部分。当招标文件与招标文件的答复、澄清、修改、补充通知就同一内容的表述不一致时，以最后发出的书面文件为准。</w:t>
      </w:r>
    </w:p>
    <w:p>
      <w:pPr>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4.招标文件的澄清、答复、修改或补充都应该通过本代理机构以法定形式发布，采购人非通过本机构，不得擅自澄清、答复、修改或补充招标文件。</w:t>
      </w:r>
    </w:p>
    <w:p>
      <w:pPr>
        <w:kinsoku/>
        <w:wordWrap/>
        <w:overflowPunct/>
        <w:bidi w:val="0"/>
        <w:snapToGrid w:val="0"/>
        <w:spacing w:beforeAutospacing="0" w:line="440" w:lineRule="exact"/>
        <w:ind w:left="0" w:leftChars="0" w:right="0" w:rightChars="0" w:firstLine="472" w:firstLineChars="196"/>
        <w:jc w:val="lef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四</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投标文件的编制</w:t>
      </w:r>
    </w:p>
    <w:p>
      <w:pPr>
        <w:kinsoku/>
        <w:wordWrap/>
        <w:overflowPunct/>
        <w:bidi w:val="0"/>
        <w:adjustRightInd w:val="0"/>
        <w:snapToGrid w:val="0"/>
        <w:spacing w:beforeAutospacing="0" w:line="440" w:lineRule="exact"/>
        <w:ind w:left="0" w:leftChars="0"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1、投标语言</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投标人提交的投标文件及投标人与采购代理机构就有关投标的所有来往函电均使用中文。投标人可以提交其他它语言的资料，但应附有中文注释，有差异时以中文为准。</w:t>
      </w:r>
    </w:p>
    <w:p>
      <w:pPr>
        <w:kinsoku/>
        <w:wordWrap/>
        <w:overflowPunct/>
        <w:bidi w:val="0"/>
        <w:adjustRightInd w:val="0"/>
        <w:snapToGrid w:val="0"/>
        <w:spacing w:beforeAutospacing="0" w:line="440" w:lineRule="exact"/>
        <w:ind w:left="0" w:leftChars="0" w:right="0" w:rightChars="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2、计量单位</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所有计量均采用中华人民共和国法定计量单位。</w:t>
      </w:r>
    </w:p>
    <w:p>
      <w:pPr>
        <w:kinsoku/>
        <w:wordWrap/>
        <w:overflowPunct/>
        <w:bidi w:val="0"/>
        <w:adjustRightInd w:val="0"/>
        <w:snapToGrid w:val="0"/>
        <w:spacing w:beforeAutospacing="0" w:line="440" w:lineRule="exact"/>
        <w:ind w:left="0"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3、投标文件的组成</w:t>
      </w:r>
    </w:p>
    <w:p>
      <w:pPr>
        <w:kinsoku/>
        <w:wordWrap/>
        <w:overflowPunct/>
        <w:bidi w:val="0"/>
        <w:snapToGrid w:val="0"/>
        <w:spacing w:beforeAutospacing="0" w:line="440" w:lineRule="exact"/>
        <w:ind w:left="0" w:leftChars="0" w:right="0" w:rightChars="0"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注：投标人应保证所提供文件资料的真实性，所有文件资料必须是针对本次投标的。如发现投标人提供了虚假文件资料，其投标将被拒绝，并自行承担相应的法律责任。</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3.1投标文件由商务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 xml:space="preserve">技术、经济 </w:t>
      </w:r>
      <w:r>
        <w:rPr>
          <w:rFonts w:hint="eastAsia" w:ascii="仿宋" w:hAnsi="仿宋" w:eastAsia="仿宋" w:cs="仿宋"/>
          <w:color w:val="auto"/>
          <w:sz w:val="24"/>
          <w:szCs w:val="24"/>
          <w:highlight w:val="none"/>
        </w:rPr>
        <w:t>两部分组成。内容如下：</w:t>
      </w:r>
    </w:p>
    <w:p>
      <w:pPr>
        <w:kinsoku/>
        <w:wordWrap/>
        <w:overflowPunct/>
        <w:bidi w:val="0"/>
        <w:spacing w:beforeAutospacing="0" w:line="440" w:lineRule="exact"/>
        <w:ind w:left="0" w:leftChars="0" w:right="0"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商务技术部分主要包括</w:t>
      </w:r>
      <w:r>
        <w:rPr>
          <w:rFonts w:hint="eastAsia" w:ascii="仿宋" w:hAnsi="仿宋" w:eastAsia="仿宋" w:cs="仿宋"/>
          <w:b/>
          <w:color w:val="auto"/>
          <w:sz w:val="24"/>
          <w:szCs w:val="24"/>
          <w:highlight w:val="none"/>
        </w:rPr>
        <w:t>但不限于以下内容：</w:t>
      </w:r>
    </w:p>
    <w:p>
      <w:pPr>
        <w:kinsoku/>
        <w:wordWrap/>
        <w:overflowPunct/>
        <w:bidi w:val="0"/>
        <w:spacing w:beforeAutospacing="0" w:line="440" w:lineRule="exact"/>
        <w:ind w:left="240" w:leftChars="0" w:right="0"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（1）</w:t>
      </w:r>
      <w:r>
        <w:rPr>
          <w:rFonts w:hint="eastAsia" w:ascii="仿宋" w:hAnsi="仿宋" w:eastAsia="仿宋" w:cs="仿宋"/>
          <w:color w:val="auto"/>
          <w:sz w:val="24"/>
          <w:szCs w:val="24"/>
          <w:highlight w:val="none"/>
        </w:rPr>
        <w:t>投</w:t>
      </w:r>
      <w:r>
        <w:rPr>
          <w:rFonts w:hint="eastAsia" w:ascii="仿宋" w:hAnsi="仿宋" w:eastAsia="仿宋" w:cs="仿宋"/>
          <w:color w:val="auto"/>
          <w:kern w:val="0"/>
          <w:sz w:val="24"/>
          <w:szCs w:val="24"/>
          <w:highlight w:val="none"/>
        </w:rPr>
        <w:t>标</w:t>
      </w:r>
      <w:r>
        <w:rPr>
          <w:rFonts w:hint="eastAsia" w:ascii="仿宋" w:hAnsi="仿宋" w:eastAsia="仿宋" w:cs="仿宋"/>
          <w:color w:val="auto"/>
          <w:sz w:val="24"/>
          <w:szCs w:val="24"/>
          <w:highlight w:val="none"/>
        </w:rPr>
        <w:t>人概况及企业综合实力[包括不限于：投标人概况表；依法纳税承诺；投标资格声明；参加政府采购活动前3年内在经营活动中没有重大违法记录的书面声明；信用中国网站（www.creditchina.gov.cn）、中国</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"http://www.caigou2003.com/" \t "_blank"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政府采购网</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（www.ccgp.gov.cn）、中国裁判文书网】网站的信用查询截图；</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文件要求的《中华人民共和国政府采购法》规定的资格条件证明文件复印件；</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文件采</w:t>
      </w:r>
      <w:r>
        <w:rPr>
          <w:rFonts w:hint="eastAsia" w:ascii="仿宋" w:hAnsi="仿宋" w:eastAsia="仿宋" w:cs="仿宋"/>
          <w:color w:val="auto"/>
          <w:kern w:val="0"/>
          <w:sz w:val="24"/>
          <w:szCs w:val="24"/>
          <w:highlight w:val="none"/>
        </w:rPr>
        <w:t>购人根据采购项目的特殊要求规定的特定条件证明文件复印件]；</w:t>
      </w:r>
    </w:p>
    <w:p>
      <w:pPr>
        <w:kinsoku/>
        <w:wordWrap/>
        <w:overflowPunct/>
        <w:bidi w:val="0"/>
        <w:spacing w:beforeAutospacing="0" w:line="440" w:lineRule="exact"/>
        <w:ind w:left="240" w:leftChars="0" w:right="0" w:hanging="240" w:hangingChars="100"/>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（2）投标</w:t>
      </w:r>
      <w:r>
        <w:rPr>
          <w:rFonts w:hint="eastAsia" w:ascii="仿宋" w:hAnsi="仿宋" w:eastAsia="仿宋" w:cs="仿宋"/>
          <w:color w:val="auto"/>
          <w:kern w:val="0"/>
          <w:sz w:val="24"/>
          <w:szCs w:val="24"/>
          <w:highlight w:val="none"/>
          <w:lang w:val="en-US" w:eastAsia="zh-CN"/>
        </w:rPr>
        <w:t>函；</w:t>
      </w:r>
    </w:p>
    <w:p>
      <w:pPr>
        <w:kinsoku/>
        <w:wordWrap/>
        <w:overflowPunct/>
        <w:bidi w:val="0"/>
        <w:spacing w:beforeAutospacing="0" w:line="440" w:lineRule="exact"/>
        <w:ind w:left="240" w:leftChars="0" w:right="0"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（3）投标承诺书；</w:t>
      </w:r>
    </w:p>
    <w:p>
      <w:pPr>
        <w:kinsoku/>
        <w:wordWrap/>
        <w:overflowPunct/>
        <w:bidi w:val="0"/>
        <w:spacing w:beforeAutospacing="0" w:line="440" w:lineRule="exact"/>
        <w:ind w:left="240" w:leftChars="0" w:right="0"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（4）法定代表人身份证明书和法定代表人身份证（复印件）或者法定代表人授权委托书及被授权人身份证（复印件）；</w:t>
      </w:r>
    </w:p>
    <w:p>
      <w:pPr>
        <w:kinsoku/>
        <w:wordWrap/>
        <w:overflowPunct/>
        <w:bidi w:val="0"/>
        <w:spacing w:beforeAutospacing="0" w:line="440" w:lineRule="exact"/>
        <w:ind w:left="240" w:leftChars="0" w:right="0"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（5）投标保证金缴纳凭证（复印件加盖单位公章）；近三年财务状况表；</w:t>
      </w:r>
    </w:p>
    <w:p>
      <w:pPr>
        <w:kinsoku/>
        <w:wordWrap/>
        <w:overflowPunct/>
        <w:autoSpaceDE w:val="0"/>
        <w:autoSpaceDN w:val="0"/>
        <w:bidi w:val="0"/>
        <w:adjustRightInd w:val="0"/>
        <w:spacing w:beforeAutospacing="0" w:line="440" w:lineRule="exact"/>
        <w:ind w:left="631" w:leftChars="0" w:right="0" w:rightChars="0" w:hanging="631" w:hangingChars="263"/>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（6</w:t>
      </w:r>
      <w:r>
        <w:rPr>
          <w:rFonts w:hint="eastAsia" w:ascii="仿宋" w:hAnsi="仿宋" w:eastAsia="仿宋" w:cs="仿宋"/>
          <w:color w:val="auto"/>
          <w:sz w:val="24"/>
          <w:szCs w:val="24"/>
          <w:highlight w:val="none"/>
          <w:lang w:val="zh-CN"/>
        </w:rPr>
        <w:t>）关于资格声明函</w:t>
      </w:r>
      <w:r>
        <w:rPr>
          <w:rFonts w:hint="eastAsia" w:ascii="仿宋" w:hAnsi="仿宋" w:eastAsia="仿宋" w:cs="仿宋"/>
          <w:color w:val="auto"/>
          <w:sz w:val="24"/>
          <w:szCs w:val="24"/>
          <w:highlight w:val="none"/>
        </w:rPr>
        <w:t>属于中小企业的相关证明资料： 1)《中小企业声明函》；2) 供应商工商行政注册地管理部门出具的小微企业证明文件；</w:t>
      </w:r>
    </w:p>
    <w:p>
      <w:pPr>
        <w:kinsoku/>
        <w:wordWrap/>
        <w:overflowPunct/>
        <w:autoSpaceDE w:val="0"/>
        <w:autoSpaceDN w:val="0"/>
        <w:bidi w:val="0"/>
        <w:adjustRightInd w:val="0"/>
        <w:spacing w:beforeAutospacing="0" w:line="440" w:lineRule="exact"/>
        <w:ind w:left="0" w:leftChars="0" w:right="0" w:firstLine="480" w:firstLineChars="200"/>
        <w:jc w:val="left"/>
        <w:outlineLvl w:val="9"/>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sz w:val="24"/>
          <w:szCs w:val="24"/>
          <w:highlight w:val="none"/>
          <w:lang w:val="zh-CN"/>
        </w:rPr>
        <w:t>投标人投标的优惠条件、</w:t>
      </w:r>
      <w:r>
        <w:rPr>
          <w:rFonts w:hint="eastAsia" w:ascii="仿宋" w:hAnsi="仿宋" w:eastAsia="仿宋" w:cs="仿宋"/>
          <w:color w:val="auto"/>
          <w:kern w:val="0"/>
          <w:sz w:val="24"/>
          <w:szCs w:val="24"/>
          <w:highlight w:val="none"/>
        </w:rPr>
        <w:t>质量承诺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进度承诺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服务承诺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维保承诺</w:t>
      </w:r>
      <w:r>
        <w:rPr>
          <w:rFonts w:hint="eastAsia" w:ascii="仿宋" w:hAnsi="仿宋" w:eastAsia="仿宋" w:cs="仿宋"/>
          <w:color w:val="auto"/>
          <w:kern w:val="0"/>
          <w:sz w:val="24"/>
          <w:szCs w:val="24"/>
          <w:highlight w:val="none"/>
          <w:lang w:eastAsia="zh-CN"/>
        </w:rPr>
        <w:t>、</w:t>
      </w:r>
    </w:p>
    <w:p>
      <w:pPr>
        <w:kinsoku/>
        <w:wordWrap/>
        <w:overflowPunct/>
        <w:autoSpaceDE w:val="0"/>
        <w:autoSpaceDN w:val="0"/>
        <w:bidi w:val="0"/>
        <w:adjustRightInd w:val="0"/>
        <w:spacing w:beforeAutospacing="0" w:line="440" w:lineRule="exact"/>
        <w:ind w:left="0" w:leftChars="0" w:right="0" w:rightChars="0" w:firstLine="482"/>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供货期间所提供的服务范围。</w:t>
      </w:r>
    </w:p>
    <w:p>
      <w:pPr>
        <w:kinsoku/>
        <w:wordWrap/>
        <w:overflowPunct/>
        <w:autoSpaceDE w:val="0"/>
        <w:autoSpaceDN w:val="0"/>
        <w:bidi w:val="0"/>
        <w:adjustRightInd w:val="0"/>
        <w:spacing w:beforeAutospacing="0" w:line="440" w:lineRule="exact"/>
        <w:ind w:left="0" w:leftChars="0" w:right="0" w:rightChars="0" w:firstLine="482"/>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zh-CN"/>
        </w:rPr>
        <w:t>）近三年的业绩（提供相关证明文件复印件）</w:t>
      </w:r>
    </w:p>
    <w:p>
      <w:pPr>
        <w:kinsoku/>
        <w:wordWrap/>
        <w:overflowPunct/>
        <w:autoSpaceDE w:val="0"/>
        <w:autoSpaceDN w:val="0"/>
        <w:bidi w:val="0"/>
        <w:adjustRightInd w:val="0"/>
        <w:spacing w:beforeAutospacing="0" w:line="440" w:lineRule="exact"/>
        <w:ind w:left="0" w:leftChars="0" w:right="0" w:rightChars="0" w:firstLine="482"/>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zh-CN"/>
        </w:rPr>
        <w:t>）投标单位（供应商）反商业贿赂承诺书</w:t>
      </w:r>
    </w:p>
    <w:p>
      <w:pPr>
        <w:kinsoku/>
        <w:wordWrap/>
        <w:overflowPunct/>
        <w:autoSpaceDE w:val="0"/>
        <w:autoSpaceDN w:val="0"/>
        <w:bidi w:val="0"/>
        <w:adjustRightInd w:val="0"/>
        <w:spacing w:beforeAutospacing="0" w:line="440" w:lineRule="exact"/>
        <w:ind w:left="0" w:leftChars="0" w:right="0"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投标产品执行的制造、合格标准；</w:t>
      </w:r>
      <w:r>
        <w:rPr>
          <w:rFonts w:hint="eastAsia" w:ascii="仿宋" w:hAnsi="仿宋" w:eastAsia="仿宋" w:cs="仿宋"/>
          <w:color w:val="auto"/>
          <w:kern w:val="0"/>
          <w:sz w:val="24"/>
          <w:szCs w:val="24"/>
          <w:highlight w:val="none"/>
        </w:rPr>
        <w:t>投入产品情况及相关材料；</w:t>
      </w:r>
      <w:r>
        <w:rPr>
          <w:rFonts w:hint="eastAsia" w:ascii="仿宋" w:hAnsi="仿宋" w:eastAsia="仿宋" w:cs="仿宋"/>
          <w:color w:val="auto"/>
          <w:sz w:val="24"/>
          <w:szCs w:val="24"/>
          <w:highlight w:val="none"/>
        </w:rPr>
        <w:t>投标产品的检测报告或合格证明材料（复印件）；投标产品性能、技术参数详述；</w:t>
      </w:r>
    </w:p>
    <w:p>
      <w:pPr>
        <w:kinsoku/>
        <w:wordWrap/>
        <w:overflowPunct/>
        <w:autoSpaceDE w:val="0"/>
        <w:autoSpaceDN w:val="0"/>
        <w:bidi w:val="0"/>
        <w:adjustRightInd w:val="0"/>
        <w:spacing w:beforeAutospacing="0" w:line="440" w:lineRule="exact"/>
        <w:ind w:left="0" w:leftChars="0" w:right="0"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）商务条款偏离表；技术条款偏离表；</w:t>
      </w:r>
    </w:p>
    <w:p>
      <w:pPr>
        <w:kinsoku/>
        <w:wordWrap/>
        <w:overflowPunct/>
        <w:autoSpaceDE w:val="0"/>
        <w:autoSpaceDN w:val="0"/>
        <w:bidi w:val="0"/>
        <w:adjustRightInd w:val="0"/>
        <w:spacing w:beforeAutospacing="0" w:line="440" w:lineRule="exact"/>
        <w:ind w:left="0" w:leftChars="0" w:right="0"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sz w:val="24"/>
          <w:szCs w:val="24"/>
          <w:highlight w:val="none"/>
        </w:rPr>
        <w:t>投标人认为有必要提供的其他资格证明文件和商务相关资料以及技术部分资料。</w:t>
      </w:r>
    </w:p>
    <w:p>
      <w:pPr>
        <w:kinsoku/>
        <w:wordWrap/>
        <w:overflowPunct/>
        <w:autoSpaceDE w:val="0"/>
        <w:autoSpaceDN w:val="0"/>
        <w:bidi w:val="0"/>
        <w:adjustRightInd w:val="0"/>
        <w:spacing w:beforeAutospacing="0" w:line="440" w:lineRule="exact"/>
        <w:ind w:left="0" w:leftChars="0" w:right="0" w:firstLine="482" w:firstLineChars="200"/>
        <w:jc w:val="left"/>
        <w:outlineLvl w:val="9"/>
        <w:rPr>
          <w:rFonts w:hint="eastAsia" w:ascii="仿宋" w:hAnsi="仿宋" w:eastAsia="仿宋" w:cs="仿宋"/>
          <w:bCs/>
          <w:color w:val="auto"/>
          <w:kern w:val="0"/>
          <w:sz w:val="24"/>
          <w:szCs w:val="24"/>
          <w:highlight w:val="none"/>
        </w:rPr>
      </w:pPr>
      <w:r>
        <w:rPr>
          <w:rFonts w:hint="eastAsia" w:ascii="仿宋" w:hAnsi="仿宋" w:eastAsia="仿宋" w:cs="仿宋"/>
          <w:b/>
          <w:bCs/>
          <w:color w:val="auto"/>
          <w:kern w:val="0"/>
          <w:sz w:val="24"/>
          <w:szCs w:val="24"/>
          <w:highlight w:val="none"/>
        </w:rPr>
        <w:t>经济部分主要包括</w:t>
      </w:r>
      <w:r>
        <w:rPr>
          <w:rFonts w:hint="eastAsia" w:ascii="仿宋" w:hAnsi="仿宋" w:eastAsia="仿宋" w:cs="仿宋"/>
          <w:b/>
          <w:color w:val="auto"/>
          <w:sz w:val="24"/>
          <w:szCs w:val="24"/>
          <w:highlight w:val="none"/>
        </w:rPr>
        <w:t>但不限于以下内容：</w:t>
      </w:r>
      <w:r>
        <w:rPr>
          <w:rFonts w:hint="eastAsia" w:ascii="仿宋" w:hAnsi="仿宋" w:eastAsia="仿宋" w:cs="仿宋"/>
          <w:bCs/>
          <w:color w:val="auto"/>
          <w:kern w:val="0"/>
          <w:sz w:val="24"/>
          <w:szCs w:val="24"/>
          <w:highlight w:val="none"/>
        </w:rPr>
        <w:tab/>
      </w:r>
    </w:p>
    <w:p>
      <w:pPr>
        <w:kinsoku/>
        <w:wordWrap/>
        <w:overflowPunct/>
        <w:autoSpaceDE w:val="0"/>
        <w:autoSpaceDN w:val="0"/>
        <w:bidi w:val="0"/>
        <w:adjustRightInd w:val="0"/>
        <w:spacing w:beforeAutospacing="0" w:line="440" w:lineRule="exact"/>
        <w:ind w:left="0" w:leftChars="0" w:right="0"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（1）投标报价表；</w:t>
      </w:r>
    </w:p>
    <w:p>
      <w:pPr>
        <w:kinsoku/>
        <w:wordWrap/>
        <w:overflowPunct/>
        <w:autoSpaceDE w:val="0"/>
        <w:autoSpaceDN w:val="0"/>
        <w:bidi w:val="0"/>
        <w:adjustRightInd w:val="0"/>
        <w:spacing w:beforeAutospacing="0" w:line="440" w:lineRule="exact"/>
        <w:ind w:left="0" w:leftChars="0" w:right="0"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（2）明细报价；</w:t>
      </w:r>
    </w:p>
    <w:p>
      <w:pPr>
        <w:kinsoku/>
        <w:wordWrap/>
        <w:overflowPunct/>
        <w:autoSpaceDE w:val="0"/>
        <w:autoSpaceDN w:val="0"/>
        <w:bidi w:val="0"/>
        <w:adjustRightInd w:val="0"/>
        <w:spacing w:beforeAutospacing="0" w:line="440" w:lineRule="exact"/>
        <w:ind w:left="0" w:leftChars="0" w:right="0"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（3）报价说明；</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（4）报价需要的其他资料。</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投标文件内容及题目的编排顺序和编号按本章第3.1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要求的结构。</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根据《政府采购法》第四十二条的规定，投标人无论中标与否，其投标文件不予退还。</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3.4投标人如有投标优惠，涉及价格的，应当直接在开标一览表的投标报价中给出(即投标报价中己包含价格折扣)；涉及商务、技术内容的，应当在商务条款响应/偏离表或技术规格、参数响应/偏离表中填写。</w:t>
      </w:r>
    </w:p>
    <w:p>
      <w:pPr>
        <w:kinsoku/>
        <w:wordWrap/>
        <w:overflowPunct/>
        <w:bidi w:val="0"/>
        <w:snapToGrid w:val="0"/>
        <w:spacing w:beforeAutospacing="0" w:line="440" w:lineRule="exact"/>
        <w:ind w:left="0" w:leftChars="0" w:right="0" w:rightChars="0" w:firstLine="472" w:firstLineChars="196"/>
        <w:jc w:val="lef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投标报价</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本采购项目使用的货币为人民币 ，实施时亦以人民币支付。</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投标报价为本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文件所确定的采购范围内的全部工作内容的价格体现。任何有选择的报价将不予接受（除非采购人另有约定），否则，在评标时将其视为无效投标。</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投标价格应包括：</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3.1投标报价包括投标人为实施提供投标产品、服务内容所包括的全部含税价格的体现。</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文件如没有特别说明的话，对每一项货物及服务仅接受一个价格。</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3.2投标报价为含税价，报价应包含完成本采购项目发生的所有含税费用、支付给员工的工资和国家强制缴纳的各种社会保障资金、以及投标人认为需要的其他费用等。</w:t>
      </w:r>
    </w:p>
    <w:p>
      <w:pPr>
        <w:kinsoku/>
        <w:wordWrap/>
        <w:overflowPunct/>
        <w:bidi w:val="0"/>
        <w:spacing w:beforeAutospacing="0" w:line="440" w:lineRule="exact"/>
        <w:ind w:left="0" w:leftChars="0" w:right="0"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投标人应充分考虑到市场价格变动，以及项目实施过程中的不可预见因素，一旦中标，总价格不变。如果有漏项，视同让利。</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w:t>
      </w:r>
      <w:r>
        <w:rPr>
          <w:rFonts w:hint="eastAsia" w:ascii="仿宋" w:hAnsi="仿宋" w:eastAsia="仿宋" w:cs="仿宋"/>
          <w:b/>
          <w:color w:val="auto"/>
          <w:sz w:val="24"/>
          <w:szCs w:val="24"/>
          <w:highlight w:val="none"/>
        </w:rPr>
        <w:t>投标人的任何错漏、优惠、竞争性报价不得作为减轻责任、减少服务、增加收费、降低质量的理由。投标人必须自行考虑本项目在实施期间的一切可能产生的费用。在合同执行过程中，采购人将不再另行支付与本项目相关的任何费用（非本项目要求的其它内容除外）</w:t>
      </w:r>
      <w:r>
        <w:rPr>
          <w:rFonts w:hint="eastAsia" w:ascii="仿宋" w:hAnsi="仿宋" w:eastAsia="仿宋" w:cs="仿宋"/>
          <w:color w:val="auto"/>
          <w:sz w:val="24"/>
          <w:szCs w:val="24"/>
          <w:highlight w:val="none"/>
        </w:rPr>
        <w:t>。</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3.4投标人应在《开标一览表》、《投标报价一览表》等标明投标人报价；《明细报价清单》提供明细报价。</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4.4投标文件报价出现前后不一致的，除</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文件另有规定外，按照下列规定修正：</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（一）投标文件中开标一览表（报价表）内容与投标文件中相应内容不一致的，以开标一览表（报价表）为准；</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（二）大写金额和小写金额不一致的，以大写金额为准；</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（三）单价金额小数点或者百分比有明显错位的，以开标一览表的总价为准，并修改单价；</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（四）总价金额与按单价汇总金额不一致的，以单价金额计算结果为准。</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同时出现两种以上不一致的，按照前款规定的顺序修正。</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pPr>
        <w:kinsoku/>
        <w:wordWrap/>
        <w:overflowPunct/>
        <w:bidi w:val="0"/>
        <w:snapToGrid w:val="0"/>
        <w:spacing w:beforeAutospacing="0" w:line="440" w:lineRule="exact"/>
        <w:ind w:left="0" w:leftChars="0" w:right="0" w:rightChars="0" w:firstLine="472" w:firstLineChars="196"/>
        <w:jc w:val="lef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投标人的资格证明文件</w:t>
      </w:r>
    </w:p>
    <w:p>
      <w:pPr>
        <w:tabs>
          <w:tab w:val="left" w:pos="7560"/>
          <w:tab w:val="left" w:pos="7740"/>
          <w:tab w:val="left" w:pos="7920"/>
        </w:tabs>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投标人应提交满足本章第3.1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规定的资格条件要求的证明文件,该证明文件作为投标文件的一部分。</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如果投标人为联合体，则应提交联合体各方资格证明文件、联合体协议。否则，在评标时将其视为无效投标。</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除</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另有规定外，投标人提供的货物及服务不是投标人制造或拥有的,则应当提供经销、或代理投标货物、或为投标货物提供售后服务的证明文件。否则，在评标时将其视为无效投标。</w:t>
      </w:r>
    </w:p>
    <w:p>
      <w:pPr>
        <w:kinsoku/>
        <w:wordWrap/>
        <w:overflowPunct/>
        <w:bidi w:val="0"/>
        <w:adjustRightInd w:val="0"/>
        <w:snapToGrid w:val="0"/>
        <w:spacing w:beforeAutospacing="0" w:line="440" w:lineRule="exact"/>
        <w:ind w:left="0" w:leftChars="0"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lang w:eastAsia="zh-CN"/>
        </w:rPr>
        <w:t>）</w:t>
      </w:r>
      <w:r>
        <w:rPr>
          <w:rFonts w:hint="eastAsia" w:ascii="仿宋" w:hAnsi="仿宋" w:eastAsia="仿宋" w:cs="仿宋"/>
          <w:b/>
          <w:bCs/>
          <w:color w:val="auto"/>
          <w:sz w:val="24"/>
          <w:szCs w:val="24"/>
          <w:highlight w:val="none"/>
        </w:rPr>
        <w:t>投标货物符合招标文件规定的证明文件</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 投标人应当提交其拟供的合同项下货物及其服务符合招标文件规定的证明文件,该证明文件作为投标文件的一部分。</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投标人在货物说明一览表中应当说明货物的品牌型号、规格参数、制造商及原产地等，交货时应出具原产地证明及出厂合格证明。</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上述证明文件可以是文字资料、图纸和数据，并须提供：</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（1）货物主要性能和参数的详细说明； </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（2）对照招标文件技术规格，逐条说明所提供货物和服务对招标文件的技术规格条文的响应与偏离。对有具体参数要求的指标，投标人应提供具体参数值。</w:t>
      </w:r>
    </w:p>
    <w:p>
      <w:pPr>
        <w:kinsoku/>
        <w:wordWrap/>
        <w:overflowPunct/>
        <w:bidi w:val="0"/>
        <w:adjustRightInd w:val="0"/>
        <w:snapToGrid w:val="0"/>
        <w:spacing w:beforeAutospacing="0" w:line="440" w:lineRule="exact"/>
        <w:ind w:left="0" w:leftChars="0" w:right="0" w:rightChars="0"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规定投标人在投标时提供样品的，投标人有以下情形之一的，在评标时将其视为无效投标。</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（1）未在</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规定的提交时间、地点提交的；</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（2）投标人提供的样品与投标文件提供样品的规格、型号不一致的。</w:t>
      </w:r>
    </w:p>
    <w:p>
      <w:pPr>
        <w:kinsoku/>
        <w:wordWrap/>
        <w:overflowPunct/>
        <w:bidi w:val="0"/>
        <w:snapToGrid w:val="0"/>
        <w:spacing w:beforeAutospacing="0" w:line="440" w:lineRule="exact"/>
        <w:ind w:left="0" w:leftChars="0" w:right="0" w:rightChars="0" w:firstLine="472" w:firstLineChars="196"/>
        <w:jc w:val="left"/>
        <w:textAlignment w:val="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八</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投标保证金</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规定缴纳</w:t>
      </w:r>
      <w:r>
        <w:rPr>
          <w:rFonts w:hint="eastAsia" w:ascii="仿宋" w:hAnsi="仿宋" w:eastAsia="仿宋" w:cs="仿宋"/>
          <w:bCs/>
          <w:color w:val="auto"/>
          <w:sz w:val="24"/>
          <w:szCs w:val="24"/>
          <w:highlight w:val="none"/>
        </w:rPr>
        <w:t>投标保证金的</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投标人应按</w:t>
      </w:r>
      <w:r>
        <w:rPr>
          <w:rFonts w:hint="eastAsia" w:ascii="仿宋" w:hAnsi="仿宋" w:eastAsia="仿宋" w:cs="仿宋"/>
          <w:b/>
          <w:bCs/>
          <w:color w:val="auto"/>
          <w:sz w:val="24"/>
          <w:szCs w:val="24"/>
          <w:highlight w:val="none"/>
        </w:rPr>
        <w:t>投标人须知前附表</w:t>
      </w:r>
      <w:r>
        <w:rPr>
          <w:rFonts w:hint="eastAsia" w:ascii="仿宋" w:hAnsi="仿宋" w:eastAsia="仿宋" w:cs="仿宋"/>
          <w:color w:val="auto"/>
          <w:sz w:val="24"/>
          <w:szCs w:val="24"/>
          <w:highlight w:val="none"/>
        </w:rPr>
        <w:t>规定的要求</w:t>
      </w:r>
      <w:r>
        <w:rPr>
          <w:rFonts w:hint="eastAsia" w:ascii="仿宋" w:hAnsi="仿宋" w:eastAsia="仿宋" w:cs="仿宋"/>
          <w:bCs/>
          <w:color w:val="auto"/>
          <w:sz w:val="24"/>
          <w:szCs w:val="24"/>
          <w:highlight w:val="none"/>
        </w:rPr>
        <w:t>提交保证金</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投标保证金有效期应与</w:t>
      </w:r>
      <w:r>
        <w:rPr>
          <w:rFonts w:hint="eastAsia" w:ascii="仿宋" w:hAnsi="仿宋" w:eastAsia="仿宋" w:cs="仿宋"/>
          <w:color w:val="auto"/>
          <w:sz w:val="24"/>
          <w:szCs w:val="24"/>
          <w:highlight w:val="none"/>
        </w:rPr>
        <w:t>本章第6.1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w:t>
      </w:r>
      <w:r>
        <w:rPr>
          <w:rFonts w:hint="eastAsia" w:ascii="仿宋" w:hAnsi="仿宋" w:eastAsia="仿宋" w:cs="仿宋"/>
          <w:bCs/>
          <w:color w:val="auto"/>
          <w:sz w:val="24"/>
          <w:szCs w:val="24"/>
          <w:highlight w:val="none"/>
        </w:rPr>
        <w:t>的投标有效期一致。投标人</w:t>
      </w:r>
      <w:r>
        <w:rPr>
          <w:rFonts w:hint="eastAsia" w:ascii="仿宋" w:hAnsi="仿宋" w:eastAsia="仿宋" w:cs="仿宋"/>
          <w:color w:val="auto"/>
          <w:sz w:val="24"/>
          <w:szCs w:val="24"/>
          <w:highlight w:val="none"/>
        </w:rPr>
        <w:t>未按照招标文件要求提交投标保证金的，</w:t>
      </w:r>
      <w:r>
        <w:rPr>
          <w:rFonts w:hint="eastAsia" w:ascii="仿宋" w:hAnsi="仿宋" w:eastAsia="仿宋" w:cs="仿宋"/>
          <w:bCs/>
          <w:color w:val="auto"/>
          <w:sz w:val="24"/>
          <w:szCs w:val="24"/>
          <w:highlight w:val="none"/>
        </w:rPr>
        <w:t>采购代理机构</w:t>
      </w:r>
      <w:r>
        <w:rPr>
          <w:rFonts w:hint="eastAsia" w:ascii="仿宋" w:hAnsi="仿宋" w:eastAsia="仿宋" w:cs="仿宋"/>
          <w:color w:val="auto"/>
          <w:sz w:val="24"/>
          <w:szCs w:val="24"/>
          <w:highlight w:val="none"/>
        </w:rPr>
        <w:t>应当拒绝接收投标人的投标文件或评标委员会在评标时将其视为无效投标。</w:t>
      </w:r>
    </w:p>
    <w:p>
      <w:pPr>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color w:val="auto"/>
          <w:sz w:val="24"/>
          <w:szCs w:val="24"/>
          <w:highlight w:val="none"/>
        </w:rPr>
        <w:t>联合体投标的，由联合体牵头方提交投标保证金。以牵头方提交投标保证金的，对联合体各方均具有约束力。</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未中标的投标人的投标保证金，将在中标通知书发出后五个工作日内无息退还。</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中标的投标人的投标保证金，将在政府采购合同签订后五个工作日内无息退还。</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有以下情形之一的，投标保证金将不予退还：</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（1）投标人在本章第21.1</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sz w:val="24"/>
          <w:szCs w:val="24"/>
          <w:highlight w:val="none"/>
        </w:rPr>
        <w:t xml:space="preserve">投标有效期内撤回或修改投标文件； </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（2）投标提供虚假材料谋取中标的；</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（3）确定为中标供应商后，中标人无正当理由放弃中标资格的；</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（4）中标后，无正当理由不签订合同或转让、分包项目以及拒绝履行合同义务的；</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（5）法律法规或招标文件规定的其他情形。</w:t>
      </w:r>
    </w:p>
    <w:p>
      <w:pPr>
        <w:kinsoku/>
        <w:wordWrap/>
        <w:overflowPunct/>
        <w:bidi w:val="0"/>
        <w:snapToGrid w:val="0"/>
        <w:spacing w:beforeAutospacing="0" w:line="440" w:lineRule="exact"/>
        <w:ind w:left="0" w:leftChars="0" w:right="0" w:rightChars="0" w:firstLine="472" w:firstLineChars="196"/>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九</w:t>
      </w:r>
      <w:r>
        <w:rPr>
          <w:rFonts w:hint="eastAsia" w:ascii="仿宋" w:hAnsi="仿宋" w:eastAsia="仿宋" w:cs="仿宋"/>
          <w:b/>
          <w:color w:val="auto"/>
          <w:sz w:val="24"/>
          <w:szCs w:val="24"/>
          <w:highlight w:val="none"/>
          <w:lang w:eastAsia="zh-CN"/>
        </w:rPr>
        <w:t>）投标有效期</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投标有效期见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，在此期间投标文件对投标人具有法律约束力，以保证采购人有足够的时间完成评标、定标以及签订合同。投标有效期从本章规定的投标截止之日起计算。投标有效期不足的，在评标时将其视为无效投标。</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特殊情况需延长投标有效期的，采购代理机构可于投标有效期届满之前，要求投标人同意延长有效期，采购代理机构的要求与投标人的答复均应为书面形式。投标人拒绝延长的，其投标在原投标有效期期届满后将不再有效，但有权收回其投标保证金；投标人同意延长的，应相应延长其投标保证金的有效期，但不允许修改或撤回投标文件。</w:t>
      </w:r>
    </w:p>
    <w:p>
      <w:pPr>
        <w:kinsoku/>
        <w:wordWrap/>
        <w:overflowPunct/>
        <w:bidi w:val="0"/>
        <w:snapToGrid w:val="0"/>
        <w:spacing w:beforeAutospacing="0" w:line="440" w:lineRule="exact"/>
        <w:ind w:left="0" w:leftChars="0" w:right="0" w:rightChars="0" w:firstLine="472" w:firstLineChars="196"/>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十</w:t>
      </w:r>
      <w:r>
        <w:rPr>
          <w:rFonts w:hint="eastAsia" w:ascii="仿宋" w:hAnsi="仿宋" w:eastAsia="仿宋" w:cs="仿宋"/>
          <w:b/>
          <w:color w:val="auto"/>
          <w:sz w:val="24"/>
          <w:szCs w:val="24"/>
          <w:highlight w:val="none"/>
          <w:lang w:eastAsia="zh-CN"/>
        </w:rPr>
        <w:t>）投标文件的签署</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投标文件正本一份,电子文件一份(U盘,并标注投标人名称)，副本</w:t>
      </w:r>
      <w:r>
        <w:rPr>
          <w:rFonts w:hint="eastAsia" w:ascii="仿宋" w:hAnsi="仿宋" w:eastAsia="仿宋" w:cs="仿宋"/>
          <w:color w:val="auto"/>
          <w:sz w:val="24"/>
          <w:szCs w:val="24"/>
          <w:highlight w:val="none"/>
          <w:lang w:val="en-US" w:eastAsia="zh-CN"/>
        </w:rPr>
        <w:t>叁</w:t>
      </w:r>
      <w:r>
        <w:rPr>
          <w:rFonts w:hint="eastAsia" w:ascii="仿宋" w:hAnsi="仿宋" w:eastAsia="仿宋" w:cs="仿宋"/>
          <w:color w:val="auto"/>
          <w:sz w:val="24"/>
          <w:szCs w:val="24"/>
          <w:highlight w:val="none"/>
        </w:rPr>
        <w:t>份</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正本和副本的封面应注明“正本”或“副本”的字样，当正本和副本不一致时，以正本为准。</w:t>
      </w:r>
    </w:p>
    <w:p>
      <w:pPr>
        <w:tabs>
          <w:tab w:val="left" w:pos="570"/>
          <w:tab w:val="left" w:pos="8280"/>
        </w:tabs>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投标文件应用不褪色的材料打印或书写，并在</w:t>
      </w:r>
      <w:r>
        <w:rPr>
          <w:rFonts w:hint="eastAsia" w:ascii="仿宋" w:hAnsi="仿宋" w:eastAsia="仿宋" w:cs="仿宋"/>
          <w:bCs/>
          <w:color w:val="auto"/>
          <w:sz w:val="24"/>
          <w:szCs w:val="24"/>
          <w:highlight w:val="none"/>
        </w:rPr>
        <w:t>招标</w:t>
      </w:r>
      <w:r>
        <w:rPr>
          <w:rFonts w:hint="eastAsia" w:ascii="仿宋" w:hAnsi="仿宋" w:eastAsia="仿宋" w:cs="仿宋"/>
          <w:color w:val="auto"/>
          <w:sz w:val="24"/>
          <w:szCs w:val="24"/>
          <w:highlight w:val="none"/>
        </w:rPr>
        <w:t>文件要求签字、盖章处盖投标单位行政公章和由法定代表人或其委托代理人签字。投标文件中的任何行间插字、涂改和增删，改动之处应加盖单位行政公章或由投标人的法定代表人或其授权的代理人签字确认。不按上述要求盖章和签字的，在评标时将其视为无效投标。</w:t>
      </w:r>
    </w:p>
    <w:p>
      <w:pPr>
        <w:kinsoku/>
        <w:wordWrap/>
        <w:overflowPunct/>
        <w:bidi w:val="0"/>
        <w:snapToGrid w:val="0"/>
        <w:spacing w:beforeAutospacing="0" w:line="440" w:lineRule="exact"/>
        <w:ind w:left="0" w:leftChars="0" w:right="0" w:rightChars="0" w:firstLine="472" w:firstLineChars="196"/>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十一</w:t>
      </w:r>
      <w:r>
        <w:rPr>
          <w:rFonts w:hint="eastAsia" w:ascii="仿宋" w:hAnsi="仿宋" w:eastAsia="仿宋" w:cs="仿宋"/>
          <w:b/>
          <w:color w:val="auto"/>
          <w:sz w:val="24"/>
          <w:szCs w:val="24"/>
          <w:highlight w:val="none"/>
          <w:lang w:eastAsia="zh-CN"/>
        </w:rPr>
        <w:t>）投标文件的递交</w:t>
      </w:r>
    </w:p>
    <w:p>
      <w:pPr>
        <w:kinsoku/>
        <w:wordWrap/>
        <w:overflowPunct/>
        <w:bidi w:val="0"/>
        <w:snapToGrid w:val="0"/>
        <w:spacing w:beforeAutospacing="0" w:line="440" w:lineRule="exact"/>
        <w:ind w:left="0" w:leftChars="0" w:right="0" w:rightChars="0" w:firstLine="472" w:firstLineChars="196"/>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lang w:eastAsia="zh-CN"/>
        </w:rPr>
        <w:t>投标文件的密封和标记</w:t>
      </w:r>
    </w:p>
    <w:p>
      <w:pPr>
        <w:keepNext w:val="0"/>
        <w:keepLines w:val="0"/>
        <w:pageBreakBefore w:val="0"/>
        <w:kinsoku/>
        <w:wordWrap/>
        <w:overflowPunct/>
        <w:topLinePunct w:val="0"/>
        <w:bidi w:val="0"/>
        <w:snapToGrid/>
        <w:spacing w:beforeAutospacing="0" w:line="440" w:lineRule="exac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按正本和副本分别密封包装(电子文件装入投标文件正本密封袋中)，注明“正本”或“副本”，在封套两端折叠封口处加贴封条，标明“正本”或“副本”、“项目名称、项目编号、投标人、授权代理人、联系电话”、标注“    年   月   日   时   分（开标时间）开标前不得开启”，并在启封处加盖公章、法定代表人印章，并应确保密封完好。不按此规定装订、密封的按无效标处理。</w:t>
      </w:r>
    </w:p>
    <w:p>
      <w:pPr>
        <w:keepNext w:val="0"/>
        <w:keepLines w:val="0"/>
        <w:pageBreakBefore w:val="0"/>
        <w:kinsoku/>
        <w:wordWrap/>
        <w:overflowPunct/>
        <w:topLinePunct w:val="0"/>
        <w:bidi w:val="0"/>
        <w:snapToGrid/>
        <w:spacing w:beforeAutospacing="0" w:line="440" w:lineRule="exact"/>
        <w:ind w:left="0" w:leftChars="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投标文件封套或外包装上应载明的内容见</w:t>
      </w:r>
      <w:r>
        <w:rPr>
          <w:rFonts w:hint="eastAsia" w:ascii="仿宋" w:hAnsi="仿宋" w:eastAsia="仿宋" w:cs="仿宋"/>
          <w:b/>
          <w:color w:val="auto"/>
          <w:sz w:val="24"/>
          <w:szCs w:val="24"/>
          <w:highlight w:val="none"/>
        </w:rPr>
        <w:t>投标人须知前附表。</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投标文件如果未按上述规定密封和标记，采购代理机构应当拒绝接收。</w:t>
      </w:r>
    </w:p>
    <w:p>
      <w:pPr>
        <w:kinsoku/>
        <w:wordWrap/>
        <w:overflowPunct/>
        <w:bidi w:val="0"/>
        <w:snapToGrid w:val="0"/>
        <w:spacing w:beforeAutospacing="0" w:line="440" w:lineRule="exact"/>
        <w:ind w:left="0" w:leftChars="0" w:right="0" w:rightChars="0" w:firstLine="472" w:firstLineChars="196"/>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lang w:eastAsia="zh-CN"/>
        </w:rPr>
        <w:t>投标文件的递交</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投标文件应在本章第11.2</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规定的投标截止时间之前送达</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指定的地点。</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逾期送达或未送达指定地点的投标文件，采购代理机构应当拒绝接收。</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投标人应将招标文件中第五章投标文件的组成“政府采购招标文件（商务文件）二、</w:t>
      </w:r>
      <w:r>
        <w:rPr>
          <w:rFonts w:hint="eastAsia" w:ascii="仿宋" w:hAnsi="仿宋" w:eastAsia="仿宋" w:cs="仿宋"/>
          <w:b/>
          <w:color w:val="auto"/>
          <w:sz w:val="24"/>
          <w:szCs w:val="24"/>
          <w:highlight w:val="none"/>
        </w:rPr>
        <w:t>《开标一览表》</w:t>
      </w:r>
      <w:r>
        <w:rPr>
          <w:rFonts w:hint="eastAsia" w:ascii="仿宋" w:hAnsi="仿宋" w:eastAsia="仿宋" w:cs="仿宋"/>
          <w:color w:val="auto"/>
          <w:sz w:val="24"/>
          <w:szCs w:val="24"/>
          <w:highlight w:val="none"/>
        </w:rPr>
        <w:t>和三、</w:t>
      </w:r>
      <w:r>
        <w:rPr>
          <w:rFonts w:hint="eastAsia" w:ascii="仿宋" w:hAnsi="仿宋" w:eastAsia="仿宋" w:cs="仿宋"/>
          <w:b/>
          <w:color w:val="auto"/>
          <w:sz w:val="24"/>
          <w:szCs w:val="24"/>
          <w:highlight w:val="none"/>
        </w:rPr>
        <w:t>《分项价格表》”</w:t>
      </w:r>
      <w:r>
        <w:rPr>
          <w:rFonts w:hint="eastAsia" w:ascii="仿宋" w:hAnsi="仿宋" w:eastAsia="仿宋" w:cs="仿宋"/>
          <w:color w:val="auto"/>
          <w:sz w:val="24"/>
          <w:szCs w:val="24"/>
          <w:highlight w:val="none"/>
        </w:rPr>
        <w:t>另备一份单独密封，与项目投标文件同时递交，否则视为自动放弃投标；单独密封递交的</w:t>
      </w:r>
      <w:r>
        <w:rPr>
          <w:rFonts w:hint="eastAsia" w:ascii="仿宋" w:hAnsi="仿宋" w:eastAsia="仿宋" w:cs="仿宋"/>
          <w:b/>
          <w:color w:val="auto"/>
          <w:sz w:val="24"/>
          <w:szCs w:val="24"/>
          <w:highlight w:val="none"/>
        </w:rPr>
        <w:t>《开标一览表》</w:t>
      </w:r>
      <w:r>
        <w:rPr>
          <w:rFonts w:hint="eastAsia" w:ascii="仿宋" w:hAnsi="仿宋" w:eastAsia="仿宋" w:cs="仿宋"/>
          <w:color w:val="auto"/>
          <w:sz w:val="24"/>
          <w:szCs w:val="24"/>
          <w:highlight w:val="none"/>
        </w:rPr>
        <w:t>和</w:t>
      </w:r>
      <w:r>
        <w:rPr>
          <w:rFonts w:hint="eastAsia" w:ascii="仿宋" w:hAnsi="仿宋" w:eastAsia="仿宋" w:cs="仿宋"/>
          <w:b/>
          <w:color w:val="auto"/>
          <w:sz w:val="24"/>
          <w:szCs w:val="24"/>
          <w:highlight w:val="none"/>
        </w:rPr>
        <w:t>《分项价格表》与投标文件中的表格内容不一致的，视为无效投标。</w:t>
      </w:r>
    </w:p>
    <w:p>
      <w:pPr>
        <w:kinsoku/>
        <w:wordWrap/>
        <w:overflowPunct/>
        <w:bidi w:val="0"/>
        <w:snapToGrid w:val="0"/>
        <w:spacing w:beforeAutospacing="0" w:line="440" w:lineRule="exact"/>
        <w:ind w:left="0" w:leftChars="0" w:right="0" w:rightChars="0" w:firstLine="472" w:firstLineChars="196"/>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lang w:eastAsia="zh-CN"/>
        </w:rPr>
        <w:t>投标文件的修改和撤回</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在本章第11.2</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规定的投标截止时间前，投标人可以书面形式修改、补充或撤回己递交的投标文件，但应以书面形式通知采购代理机构。</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修改、补充的内容为投标文件的组成部分。修改、补充的投标文件应按本章第</w:t>
      </w:r>
      <w:r>
        <w:rPr>
          <w:rFonts w:hint="eastAsia" w:ascii="仿宋" w:hAnsi="仿宋" w:eastAsia="仿宋" w:cs="仿宋"/>
          <w:bCs/>
          <w:color w:val="auto"/>
          <w:sz w:val="24"/>
          <w:szCs w:val="24"/>
          <w:highlight w:val="none"/>
        </w:rPr>
        <w:t>22、23、24项</w:t>
      </w:r>
      <w:r>
        <w:rPr>
          <w:rFonts w:hint="eastAsia" w:ascii="仿宋" w:hAnsi="仿宋" w:eastAsia="仿宋" w:cs="仿宋"/>
          <w:color w:val="auto"/>
          <w:sz w:val="24"/>
          <w:szCs w:val="24"/>
          <w:highlight w:val="none"/>
        </w:rPr>
        <w:t>规定编制、</w:t>
      </w:r>
      <w:r>
        <w:rPr>
          <w:rFonts w:hint="eastAsia" w:ascii="仿宋" w:hAnsi="仿宋" w:eastAsia="仿宋" w:cs="仿宋"/>
          <w:bCs/>
          <w:color w:val="auto"/>
          <w:sz w:val="24"/>
          <w:szCs w:val="24"/>
          <w:highlight w:val="none"/>
        </w:rPr>
        <w:t>签署、</w:t>
      </w:r>
      <w:r>
        <w:rPr>
          <w:rFonts w:hint="eastAsia" w:ascii="仿宋" w:hAnsi="仿宋" w:eastAsia="仿宋" w:cs="仿宋"/>
          <w:color w:val="auto"/>
          <w:sz w:val="24"/>
          <w:szCs w:val="24"/>
          <w:highlight w:val="none"/>
        </w:rPr>
        <w:t>密封、标记和递交，并标明“修改、补充”字样。</w:t>
      </w:r>
    </w:p>
    <w:p>
      <w:pPr>
        <w:kinsoku/>
        <w:wordWrap/>
        <w:overflowPunct/>
        <w:bidi w:val="0"/>
        <w:snapToGrid w:val="0"/>
        <w:spacing w:beforeAutospacing="0" w:line="440" w:lineRule="exact"/>
        <w:ind w:left="0" w:leftChars="0" w:right="0" w:rightChars="0" w:firstLine="470" w:firstLineChars="196"/>
        <w:jc w:val="left"/>
        <w:textAlignment w:val="auto"/>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投标人撤回投标文件的，采购代理机构自收到投标人书面撤回通知之日起五日内退还已收取的</w:t>
      </w:r>
      <w:r>
        <w:rPr>
          <w:rFonts w:hint="eastAsia" w:ascii="仿宋" w:hAnsi="仿宋" w:eastAsia="仿宋" w:cs="仿宋"/>
          <w:b w:val="0"/>
          <w:bCs/>
          <w:color w:val="auto"/>
          <w:sz w:val="24"/>
          <w:szCs w:val="24"/>
          <w:highlight w:val="none"/>
          <w:lang w:eastAsia="zh-CN"/>
        </w:rPr>
        <w:t>投标保证金。</w:t>
      </w:r>
    </w:p>
    <w:p>
      <w:pPr>
        <w:kinsoku/>
        <w:wordWrap/>
        <w:overflowPunct/>
        <w:bidi w:val="0"/>
        <w:snapToGrid w:val="0"/>
        <w:spacing w:beforeAutospacing="0" w:line="440" w:lineRule="exact"/>
        <w:ind w:left="0" w:leftChars="0" w:right="0" w:rightChars="0" w:firstLine="472" w:firstLineChars="196"/>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十二</w:t>
      </w:r>
      <w:r>
        <w:rPr>
          <w:rFonts w:hint="eastAsia" w:ascii="仿宋" w:hAnsi="仿宋" w:eastAsia="仿宋" w:cs="仿宋"/>
          <w:b/>
          <w:color w:val="auto"/>
          <w:sz w:val="24"/>
          <w:szCs w:val="24"/>
          <w:highlight w:val="none"/>
          <w:lang w:eastAsia="zh-CN"/>
        </w:rPr>
        <w:t>）串通投标行为</w:t>
      </w:r>
    </w:p>
    <w:p>
      <w:pPr>
        <w:kinsoku/>
        <w:wordWrap/>
        <w:overflowPunct/>
        <w:bidi w:val="0"/>
        <w:snapToGrid w:val="0"/>
        <w:spacing w:beforeAutospacing="0" w:line="440" w:lineRule="exact"/>
        <w:ind w:left="0" w:leftChars="0" w:right="0" w:rightChars="0" w:firstLine="446" w:firstLineChars="196"/>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12.1</w:t>
      </w:r>
      <w:r>
        <w:rPr>
          <w:rFonts w:hint="eastAsia" w:ascii="仿宋" w:hAnsi="仿宋" w:eastAsia="仿宋" w:cs="仿宋"/>
          <w:color w:val="auto"/>
          <w:sz w:val="24"/>
          <w:szCs w:val="24"/>
          <w:highlight w:val="none"/>
        </w:rPr>
        <w:t>投标人有以下情形之一的，可认定其有串通投标行为，中标无效：</w:t>
      </w:r>
    </w:p>
    <w:p>
      <w:pPr>
        <w:pStyle w:val="45"/>
        <w:kinsoku/>
        <w:wordWrap/>
        <w:overflowPunct/>
        <w:bidi w:val="0"/>
        <w:adjustRightInd w:val="0"/>
        <w:snapToGrid w:val="0"/>
        <w:spacing w:before="0" w:beforeAutospacing="0" w:after="0" w:after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（1）投标人之间协商投标报价等投标文件的实质性内容；</w:t>
      </w:r>
    </w:p>
    <w:p>
      <w:pPr>
        <w:pStyle w:val="45"/>
        <w:kinsoku/>
        <w:wordWrap/>
        <w:overflowPunct/>
        <w:bidi w:val="0"/>
        <w:adjustRightInd w:val="0"/>
        <w:snapToGrid w:val="0"/>
        <w:spacing w:before="0" w:beforeAutospacing="0" w:after="0" w:after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（2）投标人之间约定中标人；</w:t>
      </w:r>
    </w:p>
    <w:p>
      <w:pPr>
        <w:pStyle w:val="45"/>
        <w:kinsoku/>
        <w:wordWrap/>
        <w:overflowPunct/>
        <w:bidi w:val="0"/>
        <w:adjustRightInd w:val="0"/>
        <w:snapToGrid w:val="0"/>
        <w:spacing w:before="0" w:beforeAutospacing="0" w:after="0" w:after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（3）投标人之间约定部分投标人放弃投标或者中标；</w:t>
      </w:r>
    </w:p>
    <w:p>
      <w:pPr>
        <w:pStyle w:val="45"/>
        <w:kinsoku/>
        <w:wordWrap/>
        <w:overflowPunct/>
        <w:bidi w:val="0"/>
        <w:adjustRightInd w:val="0"/>
        <w:snapToGrid w:val="0"/>
        <w:spacing w:before="0" w:beforeAutospacing="0" w:after="0" w:after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（4）属于同一集团、协会、商会等组织成员的投标人按照该组织要求协同投标；</w:t>
      </w:r>
    </w:p>
    <w:p>
      <w:pPr>
        <w:pStyle w:val="45"/>
        <w:kinsoku/>
        <w:wordWrap/>
        <w:overflowPunct/>
        <w:bidi w:val="0"/>
        <w:adjustRightInd w:val="0"/>
        <w:snapToGrid w:val="0"/>
        <w:spacing w:before="0" w:beforeAutospacing="0" w:after="0" w:after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（5）投标人之间为谋取中标或者排斥特定投标人而采取的其他联合行动；</w:t>
      </w:r>
    </w:p>
    <w:p>
      <w:pPr>
        <w:pStyle w:val="45"/>
        <w:kinsoku/>
        <w:wordWrap/>
        <w:overflowPunct/>
        <w:bidi w:val="0"/>
        <w:adjustRightInd w:val="0"/>
        <w:snapToGrid w:val="0"/>
        <w:spacing w:before="0" w:beforeAutospacing="0" w:after="0" w:after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（6）不同投标人的投标文件由同一单位或者个人编制；</w:t>
      </w:r>
    </w:p>
    <w:p>
      <w:pPr>
        <w:pStyle w:val="45"/>
        <w:kinsoku/>
        <w:wordWrap/>
        <w:overflowPunct/>
        <w:bidi w:val="0"/>
        <w:adjustRightInd w:val="0"/>
        <w:snapToGrid w:val="0"/>
        <w:spacing w:before="0" w:beforeAutospacing="0" w:after="0" w:after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（7）不同投标人委托同一单位或者个人办理投标事宜；</w:t>
      </w:r>
    </w:p>
    <w:p>
      <w:pPr>
        <w:pStyle w:val="45"/>
        <w:kinsoku/>
        <w:wordWrap/>
        <w:overflowPunct/>
        <w:bidi w:val="0"/>
        <w:adjustRightInd w:val="0"/>
        <w:snapToGrid w:val="0"/>
        <w:spacing w:before="0" w:beforeAutospacing="0" w:after="0" w:after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（8）不同投标人的投标文件载明的项目管理成员为同一人；</w:t>
      </w:r>
    </w:p>
    <w:p>
      <w:pPr>
        <w:pStyle w:val="45"/>
        <w:kinsoku/>
        <w:wordWrap/>
        <w:overflowPunct/>
        <w:bidi w:val="0"/>
        <w:adjustRightInd w:val="0"/>
        <w:snapToGrid w:val="0"/>
        <w:spacing w:before="0" w:beforeAutospacing="0" w:after="0" w:after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（9）不同投标人的投标文件异常一致或者投标报价呈规律性差异；</w:t>
      </w:r>
    </w:p>
    <w:p>
      <w:pPr>
        <w:pStyle w:val="45"/>
        <w:kinsoku/>
        <w:wordWrap/>
        <w:overflowPunct/>
        <w:bidi w:val="0"/>
        <w:adjustRightInd w:val="0"/>
        <w:snapToGrid w:val="0"/>
        <w:spacing w:before="0" w:beforeAutospacing="0" w:after="0" w:after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（10）不同投标人的投标文件相互混装；</w:t>
      </w:r>
    </w:p>
    <w:p>
      <w:pPr>
        <w:pStyle w:val="45"/>
        <w:kinsoku/>
        <w:wordWrap/>
        <w:overflowPunct/>
        <w:bidi w:val="0"/>
        <w:adjustRightInd w:val="0"/>
        <w:snapToGrid w:val="0"/>
        <w:spacing w:before="0" w:beforeAutospacing="0" w:after="0" w:after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（11）不同投标人的投标保证金从同一单位或者个人的账户转出；</w:t>
      </w:r>
    </w:p>
    <w:p>
      <w:pPr>
        <w:pStyle w:val="45"/>
        <w:kinsoku/>
        <w:wordWrap/>
        <w:overflowPunct/>
        <w:bidi w:val="0"/>
        <w:adjustRightInd w:val="0"/>
        <w:snapToGrid w:val="0"/>
        <w:spacing w:before="0" w:beforeAutospacing="0" w:after="0" w:after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（12）法律、法规或规章规定的其他串通投标行为。</w:t>
      </w:r>
    </w:p>
    <w:p>
      <w:pPr>
        <w:pStyle w:val="45"/>
        <w:kinsoku/>
        <w:wordWrap/>
        <w:overflowPunct/>
        <w:bidi w:val="0"/>
        <w:adjustRightInd w:val="0"/>
        <w:snapToGrid w:val="0"/>
        <w:spacing w:before="0" w:beforeAutospacing="0" w:after="0" w:afterAutospacing="0" w:line="440" w:lineRule="exact"/>
        <w:ind w:left="0" w:leftChars="0" w:right="0" w:rightChars="0"/>
        <w:textAlignment w:val="auto"/>
        <w:outlineLvl w:val="1"/>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（十三）开标</w:t>
      </w:r>
    </w:p>
    <w:p>
      <w:pPr>
        <w:pStyle w:val="45"/>
        <w:kinsoku/>
        <w:wordWrap/>
        <w:overflowPunct/>
        <w:bidi w:val="0"/>
        <w:adjustRightInd w:val="0"/>
        <w:snapToGrid w:val="0"/>
        <w:spacing w:before="0" w:beforeAutospacing="0" w:after="0" w:afterAutospacing="0" w:line="440" w:lineRule="exact"/>
        <w:ind w:left="0" w:leftChars="0" w:right="0" w:rightChars="0"/>
        <w:textAlignment w:val="auto"/>
        <w:rPr>
          <w:rStyle w:val="56"/>
          <w:rFonts w:hint="eastAsia" w:ascii="仿宋" w:hAnsi="仿宋" w:eastAsia="仿宋" w:cs="仿宋"/>
          <w:color w:val="auto"/>
          <w:sz w:val="24"/>
          <w:szCs w:val="24"/>
          <w:highlight w:val="none"/>
        </w:rPr>
      </w:pPr>
      <w:r>
        <w:rPr>
          <w:rStyle w:val="56"/>
          <w:rFonts w:hint="eastAsia" w:ascii="仿宋" w:hAnsi="仿宋" w:eastAsia="仿宋" w:cs="仿宋"/>
          <w:color w:val="auto"/>
          <w:sz w:val="24"/>
          <w:szCs w:val="24"/>
          <w:highlight w:val="none"/>
        </w:rPr>
        <w:t>13、开标</w:t>
      </w:r>
    </w:p>
    <w:p>
      <w:pPr>
        <w:keepNext w:val="0"/>
        <w:keepLines w:val="0"/>
        <w:pageBreakBefore w:val="0"/>
        <w:kinsoku/>
        <w:wordWrap/>
        <w:overflowPunct/>
        <w:topLinePunct w:val="0"/>
        <w:bidi w:val="0"/>
        <w:snapToGrid/>
        <w:spacing w:beforeAutospacing="0" w:line="440" w:lineRule="exact"/>
        <w:ind w:left="0" w:leftChars="0" w:right="0"/>
        <w:textAlignment w:val="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13.1</w:t>
      </w:r>
      <w:r>
        <w:rPr>
          <w:rFonts w:hint="eastAsia" w:ascii="仿宋" w:hAnsi="仿宋" w:eastAsia="仿宋" w:cs="仿宋"/>
          <w:b/>
          <w:bCs/>
          <w:color w:val="auto"/>
          <w:sz w:val="24"/>
          <w:szCs w:val="24"/>
          <w:highlight w:val="none"/>
        </w:rPr>
        <w:t>开标仪式由招标代理机构组织，采购人代表(需提供单位授权函)、监管代表、投标人代表等参加。有关行政监督部门的工作人员将对投标人进行资格审查，如缺项将导致失去投标资格或废标。开标现场提供资格查验资料齐全、满足</w:t>
      </w:r>
      <w:r>
        <w:rPr>
          <w:rFonts w:hint="eastAsia" w:ascii="仿宋" w:hAnsi="仿宋" w:eastAsia="仿宋" w:cs="仿宋"/>
          <w:b/>
          <w:bCs/>
          <w:color w:val="auto"/>
          <w:sz w:val="24"/>
          <w:szCs w:val="24"/>
          <w:highlight w:val="none"/>
          <w:lang w:val="en-US" w:eastAsia="zh-CN"/>
        </w:rPr>
        <w:t>采购</w:t>
      </w:r>
      <w:r>
        <w:rPr>
          <w:rFonts w:hint="eastAsia" w:ascii="仿宋" w:hAnsi="仿宋" w:eastAsia="仿宋" w:cs="仿宋"/>
          <w:b/>
          <w:bCs/>
          <w:color w:val="auto"/>
          <w:sz w:val="24"/>
          <w:szCs w:val="24"/>
          <w:highlight w:val="none"/>
        </w:rPr>
        <w:t>文件封装、标识、签章要求的投标人为合格有效投标人。</w:t>
      </w:r>
    </w:p>
    <w:p>
      <w:pPr>
        <w:keepNext w:val="0"/>
        <w:keepLines w:val="0"/>
        <w:pageBreakBefore w:val="0"/>
        <w:kinsoku/>
        <w:wordWrap/>
        <w:overflowPunct/>
        <w:topLinePunct w:val="0"/>
        <w:bidi w:val="0"/>
        <w:snapToGrid/>
        <w:spacing w:beforeAutospacing="0" w:line="440" w:lineRule="exact"/>
        <w:ind w:left="0" w:leftChars="0" w:right="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资格审查：</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开标时，</w:t>
      </w:r>
      <w:r>
        <w:rPr>
          <w:rFonts w:hint="eastAsia" w:ascii="仿宋" w:hAnsi="仿宋" w:eastAsia="仿宋" w:cs="仿宋"/>
          <w:color w:val="auto"/>
          <w:sz w:val="24"/>
          <w:szCs w:val="24"/>
          <w:highlight w:val="none"/>
          <w:lang w:val="en-US" w:eastAsia="zh-CN"/>
        </w:rPr>
        <w:t>投标委派的开标代表携带身份证原件并</w:t>
      </w:r>
      <w:r>
        <w:rPr>
          <w:rFonts w:hint="eastAsia" w:ascii="仿宋" w:hAnsi="仿宋" w:eastAsia="仿宋" w:cs="仿宋"/>
          <w:color w:val="auto"/>
          <w:sz w:val="24"/>
          <w:szCs w:val="24"/>
          <w:highlight w:val="none"/>
        </w:rPr>
        <w:t>按如下要求提供有效证明材料进行资格审查</w:t>
      </w:r>
      <w:r>
        <w:rPr>
          <w:rFonts w:hint="eastAsia" w:ascii="仿宋" w:hAnsi="仿宋" w:eastAsia="仿宋" w:cs="仿宋"/>
          <w:color w:val="auto"/>
          <w:sz w:val="24"/>
          <w:szCs w:val="24"/>
          <w:highlight w:val="none"/>
          <w:lang w:eastAsia="zh-CN"/>
        </w:rPr>
        <w:t>。</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资格查验资料：</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（1）营业执照</w:t>
      </w:r>
      <w:r>
        <w:rPr>
          <w:rFonts w:hint="eastAsia" w:ascii="仿宋" w:hAnsi="仿宋" w:eastAsia="仿宋" w:cs="仿宋"/>
          <w:color w:val="auto"/>
          <w:sz w:val="24"/>
          <w:szCs w:val="24"/>
          <w:highlight w:val="none"/>
          <w:lang w:val="en-US" w:eastAsia="zh-CN"/>
        </w:rPr>
        <w:t>复印件加盖公章</w:t>
      </w:r>
      <w:r>
        <w:rPr>
          <w:rFonts w:hint="eastAsia" w:ascii="仿宋" w:hAnsi="仿宋" w:eastAsia="仿宋" w:cs="仿宋"/>
          <w:color w:val="auto"/>
          <w:sz w:val="24"/>
          <w:szCs w:val="24"/>
          <w:highlight w:val="none"/>
        </w:rPr>
        <w:t>；</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（2）法定代表人身份证明书原件并附法定代表人身份证复印件（如委托授权代表的，仅需提供法定代表人授权委托书原件并附代理人身份证复印件）；</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（3）投标保证金缴款证明复印件加盖单位公章</w:t>
      </w:r>
      <w:r>
        <w:rPr>
          <w:rFonts w:hint="eastAsia" w:ascii="仿宋" w:hAnsi="仿宋" w:eastAsia="仿宋" w:cs="仿宋"/>
          <w:color w:val="auto"/>
          <w:sz w:val="24"/>
          <w:szCs w:val="24"/>
          <w:highlight w:val="none"/>
          <w:lang w:eastAsia="zh-CN"/>
        </w:rPr>
        <w:t>。</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所投货物若属于医疗器械管理范畴，按照国家《医疗器械监督管理条例》，应符合以下标准：①投标人为制造商的，须提供《医疗器械生产企业许可证》（进口产品除外）；投标人为经销商的，投标货物若属于三类医疗器械，须提供 《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所有证件必须在有效期内。</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）经信用中国（www.creditchina.gov.cn）、中国政府采购网（www.ccgp.gov.cn）、 国家企业信用信息公示（http://www.gsxt.gov.cn/）等渠道查询后，列入失信被执行人、重大税收违法案件当事人名单、政府采购严重违法失信行为记录名单的，取消投标资格。（提供“信用中国”《中国政府采购网》网站无任何不良记录的查询截图，时间为投标截止时间前20天内）</w:t>
      </w:r>
    </w:p>
    <w:p>
      <w:pPr>
        <w:kinsoku/>
        <w:wordWrap/>
        <w:overflowPunct/>
        <w:bidi w:val="0"/>
        <w:adjustRightInd w:val="0"/>
        <w:snapToGrid w:val="0"/>
        <w:spacing w:beforeAutospacing="0" w:line="440" w:lineRule="exact"/>
        <w:ind w:left="0" w:leftChars="0" w:right="0" w:rightChars="0" w:firstLine="482" w:firstLineChars="20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rPr>
        <w:t>以上内容需单独封装、标识后提交</w:t>
      </w:r>
      <w:r>
        <w:rPr>
          <w:rFonts w:hint="eastAsia" w:ascii="仿宋" w:hAnsi="仿宋" w:eastAsia="仿宋" w:cs="仿宋"/>
          <w:color w:val="auto"/>
          <w:sz w:val="24"/>
          <w:szCs w:val="24"/>
          <w:highlight w:val="none"/>
        </w:rPr>
        <w:t>。在外封套表面加贴封条：注明“资格审查”、“项目名称、项目编号、投标人、授权代理人、联系电话”、标注“    年   月   日   时   分（开标时间）开标前不得开启”，并在启封处加盖公章、法定代表人印章，并应确保密封完好。</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13.2本次招标按招标文件中投标邀请规定的时间地点进行开标，将邀请投标商的法定代表人或其授权委托人准时参加开标会。</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13.3宣布投标文件开启顺序。</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13.4开标时检查投标文件密封情况，确认无误后拆封唱标，唱正本</w:t>
      </w:r>
      <w:r>
        <w:rPr>
          <w:rFonts w:hint="eastAsia" w:ascii="仿宋" w:hAnsi="仿宋" w:eastAsia="仿宋" w:cs="仿宋"/>
          <w:color w:val="auto"/>
          <w:sz w:val="24"/>
          <w:szCs w:val="24"/>
          <w:highlight w:val="none"/>
        </w:rPr>
        <w:t>“开标一览表”内容，以及招标代理机构认为合适的其他内容并记录。</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13.5评标原则在开标会议上宣布。</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 对招标人的纪律要求</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招标人不得泄露招标投标活动中应当保密的情况和资料，不得与投标人串通损害国家利益、社会公共利益或者他人合法权益。</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13.7对投标人的纪律要求</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投标人不得互相串通投标或者与招标人串通投标，不得向招标人或者评标委员会成员行贿谋取中标，不得以他人名义投标或者以其他方式弄虚作假骗取中标；投标人不得以任何方式干扰、影响评标工作。</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13.8 对与评标活动有关的工作人员的纪律要求</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13.9对评标委员会成员要求评标纪律</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13.9.1评委会应当依照有关法律法规的规定，按照招标文件确定的评标标准和办法客观、公正的对投标文件提出评审意见。招标文件设有规定的评标标准和方法不得作为评标依据。</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13.9.2评标委员会成员不得私下接触投标人，不得收受投标人给予的财务或者其他好处，不得向招标人征询确定中标人意向。</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13.9.3不得接受任何单位或个人明示或暗示提出的倾向或排斥特定投标人的要求。</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13.9.4不得有其他不客观，不公正履行职务的行为。</w:t>
      </w:r>
    </w:p>
    <w:p>
      <w:pPr>
        <w:pStyle w:val="278"/>
        <w:kinsoku/>
        <w:wordWrap/>
        <w:overflowPunct/>
        <w:bidi w:val="0"/>
        <w:adjustRightInd w:val="0"/>
        <w:snapToGrid w:val="0"/>
        <w:spacing w:beforeAutospacing="0" w:line="440" w:lineRule="exact"/>
        <w:ind w:left="0" w:leftChars="0" w:right="0" w:rightChars="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13.10无效投标条款和废标条款</w:t>
      </w:r>
    </w:p>
    <w:p>
      <w:pPr>
        <w:pStyle w:val="278"/>
        <w:kinsoku/>
        <w:wordWrap/>
        <w:overflowPunct/>
        <w:bidi w:val="0"/>
        <w:adjustRightInd w:val="0"/>
        <w:snapToGrid w:val="0"/>
        <w:spacing w:beforeAutospacing="0" w:line="440" w:lineRule="exact"/>
        <w:ind w:left="0" w:leftChars="0" w:right="0" w:rightChars="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13.10.1无效投标条款</w:t>
      </w:r>
    </w:p>
    <w:p>
      <w:pPr>
        <w:pStyle w:val="278"/>
        <w:kinsoku/>
        <w:wordWrap/>
        <w:overflowPunct/>
        <w:bidi w:val="0"/>
        <w:adjustRightInd w:val="0"/>
        <w:snapToGrid w:val="0"/>
        <w:spacing w:beforeAutospacing="0" w:line="440" w:lineRule="exact"/>
        <w:ind w:left="0" w:leftChars="0" w:right="0" w:rightChars="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13.10.2未按要求交纳投标保证金的；</w:t>
      </w:r>
    </w:p>
    <w:p>
      <w:pPr>
        <w:pStyle w:val="278"/>
        <w:kinsoku/>
        <w:wordWrap/>
        <w:overflowPunct/>
        <w:bidi w:val="0"/>
        <w:adjustRightInd w:val="0"/>
        <w:snapToGrid w:val="0"/>
        <w:spacing w:beforeAutospacing="0" w:line="440" w:lineRule="exact"/>
        <w:ind w:left="0" w:leftChars="0" w:right="0" w:rightChars="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13.10.3未按照招标文件规定要求密封、签署、盖章的；</w:t>
      </w:r>
    </w:p>
    <w:p>
      <w:pPr>
        <w:pStyle w:val="278"/>
        <w:kinsoku/>
        <w:wordWrap/>
        <w:overflowPunct/>
        <w:bidi w:val="0"/>
        <w:adjustRightInd w:val="0"/>
        <w:snapToGrid w:val="0"/>
        <w:spacing w:beforeAutospacing="0" w:line="440" w:lineRule="exact"/>
        <w:ind w:left="0" w:leftChars="0" w:right="0" w:rightChars="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13.10.4投标人在报价时采用选择性报价；</w:t>
      </w:r>
    </w:p>
    <w:p>
      <w:pPr>
        <w:pStyle w:val="278"/>
        <w:kinsoku/>
        <w:wordWrap/>
        <w:overflowPunct/>
        <w:bidi w:val="0"/>
        <w:adjustRightInd w:val="0"/>
        <w:snapToGrid w:val="0"/>
        <w:spacing w:beforeAutospacing="0" w:line="440" w:lineRule="exact"/>
        <w:ind w:left="0" w:leftChars="0" w:right="0" w:rightChars="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13.10.5投标人不具备招标文件中规定资格要求的；</w:t>
      </w:r>
    </w:p>
    <w:p>
      <w:pPr>
        <w:pStyle w:val="278"/>
        <w:kinsoku/>
        <w:wordWrap/>
        <w:overflowPunct/>
        <w:bidi w:val="0"/>
        <w:adjustRightInd w:val="0"/>
        <w:snapToGrid w:val="0"/>
        <w:spacing w:beforeAutospacing="0" w:line="440" w:lineRule="exact"/>
        <w:ind w:left="0" w:leftChars="0" w:right="0" w:rightChars="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13.10.6投标人的报价超过了采购预算的；</w:t>
      </w:r>
    </w:p>
    <w:p>
      <w:pPr>
        <w:pStyle w:val="278"/>
        <w:kinsoku/>
        <w:wordWrap/>
        <w:overflowPunct/>
        <w:bidi w:val="0"/>
        <w:adjustRightInd w:val="0"/>
        <w:snapToGrid w:val="0"/>
        <w:spacing w:beforeAutospacing="0" w:line="440" w:lineRule="exact"/>
        <w:ind w:left="0" w:leftChars="0" w:right="0" w:rightChars="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13.10.7未通过符合性检查的；</w:t>
      </w:r>
    </w:p>
    <w:p>
      <w:pPr>
        <w:pStyle w:val="278"/>
        <w:kinsoku/>
        <w:wordWrap/>
        <w:overflowPunct/>
        <w:bidi w:val="0"/>
        <w:adjustRightInd w:val="0"/>
        <w:snapToGrid w:val="0"/>
        <w:spacing w:beforeAutospacing="0" w:line="440" w:lineRule="exact"/>
        <w:ind w:left="0" w:leftChars="0" w:right="0" w:rightChars="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13.10.8不符合招标文件中规定的其他实质性要求和条件的；</w:t>
      </w:r>
    </w:p>
    <w:p>
      <w:pPr>
        <w:pStyle w:val="278"/>
        <w:kinsoku/>
        <w:wordWrap/>
        <w:overflowPunct/>
        <w:bidi w:val="0"/>
        <w:adjustRightInd w:val="0"/>
        <w:snapToGrid w:val="0"/>
        <w:spacing w:beforeAutospacing="0" w:line="440" w:lineRule="exact"/>
        <w:ind w:left="0" w:leftChars="0" w:right="0" w:rightChars="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13.10.9投标人串通投标；</w:t>
      </w:r>
    </w:p>
    <w:p>
      <w:pPr>
        <w:pStyle w:val="278"/>
        <w:kinsoku/>
        <w:wordWrap/>
        <w:overflowPunct/>
        <w:bidi w:val="0"/>
        <w:adjustRightInd w:val="0"/>
        <w:snapToGrid w:val="0"/>
        <w:spacing w:beforeAutospacing="0" w:line="440" w:lineRule="exact"/>
        <w:ind w:left="0" w:leftChars="0" w:right="0" w:rightChars="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13.10.10其他法律、法规及本招标文件规定的属无效投标的情形。</w:t>
      </w:r>
    </w:p>
    <w:p>
      <w:pPr>
        <w:pStyle w:val="278"/>
        <w:kinsoku/>
        <w:wordWrap/>
        <w:overflowPunct/>
        <w:bidi w:val="0"/>
        <w:adjustRightInd w:val="0"/>
        <w:snapToGrid w:val="0"/>
        <w:spacing w:beforeAutospacing="0" w:line="440" w:lineRule="exact"/>
        <w:ind w:left="0" w:leftChars="0" w:right="0" w:rightChars="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13.11废标条款：                                                                                                                                                                                                                                                                                                                                                                                                                                                                                                                                                                                                                                                                                                                                                                                                                                                                                                                                                                                                                                                                                                                                                                                                                                                                                                                                                                                                                                                                         </w:t>
      </w:r>
    </w:p>
    <w:p>
      <w:pPr>
        <w:pStyle w:val="278"/>
        <w:kinsoku/>
        <w:wordWrap/>
        <w:overflowPunct/>
        <w:bidi w:val="0"/>
        <w:adjustRightInd w:val="0"/>
        <w:snapToGrid w:val="0"/>
        <w:spacing w:beforeAutospacing="0" w:line="440" w:lineRule="exact"/>
        <w:ind w:left="0" w:leftChars="0" w:right="0" w:rightChars="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13.11.1符合专业条件的供应商或者对招标文件作实质响应的供应商不足三家的；30.2.2出现影响采购公正的违法、违规行为的；</w:t>
      </w:r>
    </w:p>
    <w:p>
      <w:pPr>
        <w:pStyle w:val="278"/>
        <w:kinsoku/>
        <w:wordWrap/>
        <w:overflowPunct/>
        <w:bidi w:val="0"/>
        <w:adjustRightInd w:val="0"/>
        <w:snapToGrid w:val="0"/>
        <w:spacing w:beforeAutospacing="0" w:line="440" w:lineRule="exact"/>
        <w:ind w:left="0" w:leftChars="0" w:right="0" w:rightChars="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13.11.2因重大变故，采购任务取消的；</w:t>
      </w:r>
    </w:p>
    <w:p>
      <w:pPr>
        <w:pStyle w:val="278"/>
        <w:kinsoku/>
        <w:wordWrap/>
        <w:overflowPunct/>
        <w:bidi w:val="0"/>
        <w:adjustRightInd w:val="0"/>
        <w:snapToGrid w:val="0"/>
        <w:spacing w:beforeAutospacing="0" w:line="440" w:lineRule="exact"/>
        <w:ind w:left="0" w:leftChars="0" w:right="0" w:rightChars="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13.11.3评标委员会认定招标文件存在歧义、 重大缺陷导致评审工作无法进行。</w:t>
      </w:r>
    </w:p>
    <w:p>
      <w:pPr>
        <w:pStyle w:val="278"/>
        <w:kinsoku/>
        <w:wordWrap/>
        <w:overflowPunct/>
        <w:bidi w:val="0"/>
        <w:adjustRightInd w:val="0"/>
        <w:snapToGrid w:val="0"/>
        <w:spacing w:beforeAutospacing="0" w:line="440" w:lineRule="exact"/>
        <w:ind w:left="0" w:leftChars="0" w:right="0" w:rightChars="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13.11.4 投标截止时间结束后参加投标的供应商不足三家的处理：</w:t>
      </w:r>
    </w:p>
    <w:p>
      <w:pPr>
        <w:pStyle w:val="278"/>
        <w:kinsoku/>
        <w:wordWrap/>
        <w:overflowPunct/>
        <w:bidi w:val="0"/>
        <w:adjustRightInd w:val="0"/>
        <w:snapToGrid w:val="0"/>
        <w:spacing w:beforeAutospacing="0" w:line="440" w:lineRule="exact"/>
        <w:ind w:left="0" w:leftChars="0" w:right="0" w:rightChars="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13.11.5如出现投标截止时间结束后参加投标的供应商或者在评标期间对招标文件做出实质响应的供应商不足三家情况，按财政部第八十七号令第四十三条的规定执行。</w:t>
      </w:r>
    </w:p>
    <w:p>
      <w:pPr>
        <w:pStyle w:val="45"/>
        <w:kinsoku/>
        <w:wordWrap/>
        <w:overflowPunct/>
        <w:bidi w:val="0"/>
        <w:adjustRightInd w:val="0"/>
        <w:snapToGrid w:val="0"/>
        <w:spacing w:before="0" w:beforeAutospacing="0" w:after="0" w:afterAutospacing="0" w:line="440" w:lineRule="exact"/>
        <w:ind w:left="0" w:leftChars="0" w:right="0" w:rightChars="0"/>
        <w:textAlignment w:val="auto"/>
        <w:outlineLvl w:val="1"/>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（十四）中标信息公布与投标人质疑</w:t>
      </w:r>
    </w:p>
    <w:p>
      <w:pPr>
        <w:kinsoku/>
        <w:wordWrap/>
        <w:overflowPunct/>
        <w:bidi w:val="0"/>
        <w:adjustRightInd w:val="0"/>
        <w:snapToGrid w:val="0"/>
        <w:spacing w:beforeAutospacing="0" w:line="440" w:lineRule="exact"/>
        <w:ind w:left="0" w:leftChars="0" w:right="0" w:right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14.中标信息公布</w:t>
      </w:r>
    </w:p>
    <w:p>
      <w:pPr>
        <w:kinsoku/>
        <w:wordWrap/>
        <w:overflowPunct/>
        <w:autoSpaceDE w:val="0"/>
        <w:autoSpaceDN w:val="0"/>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14.1确定中标供应商后，中标信息将在本章指定的媒体上同步发布。</w:t>
      </w:r>
    </w:p>
    <w:p>
      <w:pPr>
        <w:kinsoku/>
        <w:wordWrap/>
        <w:overflowPunct/>
        <w:bidi w:val="0"/>
        <w:adjustRightInd w:val="0"/>
        <w:snapToGrid w:val="0"/>
        <w:spacing w:beforeAutospacing="0" w:line="440" w:lineRule="exact"/>
        <w:ind w:left="0" w:leftChars="0"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15.投标人质疑</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15.1投标人对政府采购活动事项有疑问的，可以向采购人或采购代理机构提出询问。采购人或采购代理机构将在三个工作日内做出答复。</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2投标人若认为采购过程和中标结果使自己的权益受到损害，应当在下列时间内以书面形式向采购人或采购代理机构提出：</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（1）关于采购过程的质疑，应当在采购程序环节结束之日起七个工作日内提出。</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（2）关于中标结果的质疑，应当在知道或者应知其权益受到损害之日起7个工作日内提出。</w:t>
      </w:r>
    </w:p>
    <w:p>
      <w:pPr>
        <w:pStyle w:val="29"/>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15.3投标人提出质疑的，应提供质疑书原件。采购人或采购代理机构应当向质疑供应商签收回执。</w:t>
      </w:r>
    </w:p>
    <w:p>
      <w:pPr>
        <w:pStyle w:val="29"/>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15.4质疑书应当包括下列内容：</w:t>
      </w:r>
    </w:p>
    <w:p>
      <w:pPr>
        <w:pStyle w:val="29"/>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（1）质疑供应商的名称、地址及有效联系方式；</w:t>
      </w:r>
    </w:p>
    <w:p>
      <w:pPr>
        <w:pStyle w:val="29"/>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（2）质疑事项；</w:t>
      </w:r>
    </w:p>
    <w:p>
      <w:pPr>
        <w:pStyle w:val="29"/>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（3）事实依据及相关证明材料；</w:t>
      </w:r>
    </w:p>
    <w:p>
      <w:pPr>
        <w:pStyle w:val="29"/>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（4）相关请求及主张。</w:t>
      </w:r>
    </w:p>
    <w:p>
      <w:pPr>
        <w:pStyle w:val="29"/>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15.5 质疑书应当由投标人法定代表人或其授权的代理人签字并加盖投标人单位行政公章，质疑书由授权的代理人签字的应附投标人法定代表人授权委托书。</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15.6 采购人或采购代理机构将在签收回执之日起七个工作日内做出书面答复，并以书面形式通知质疑投标人和其他有关的投标人。</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15.7 投标人对采购人或采购代理机构无正当理由拒绝受理质疑的，投标人可书面向政府采购行政监管部门反映情况；投标人对采购人或采购代理机构的答复不满意，或采购人或采购代理机构未在规定的期限做出答复的，可在答复期满后十五个工作日内，按政府采购相关法律法规规章的规定及程序，向同级财政部门提出投诉。</w:t>
      </w:r>
    </w:p>
    <w:p>
      <w:pPr>
        <w:pStyle w:val="45"/>
        <w:kinsoku/>
        <w:wordWrap/>
        <w:overflowPunct/>
        <w:bidi w:val="0"/>
        <w:adjustRightInd w:val="0"/>
        <w:snapToGrid w:val="0"/>
        <w:spacing w:before="0" w:beforeAutospacing="0" w:after="0" w:afterAutospacing="0" w:line="440" w:lineRule="exact"/>
        <w:ind w:left="0" w:leftChars="0" w:right="0" w:rightChars="0"/>
        <w:textAlignment w:val="auto"/>
        <w:outlineLvl w:val="1"/>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（十五）合同签订</w:t>
      </w:r>
    </w:p>
    <w:p>
      <w:pPr>
        <w:kinsoku/>
        <w:wordWrap/>
        <w:overflowPunct/>
        <w:bidi w:val="0"/>
        <w:adjustRightInd w:val="0"/>
        <w:snapToGrid w:val="0"/>
        <w:spacing w:beforeAutospacing="0" w:line="440" w:lineRule="exact"/>
        <w:ind w:left="0" w:leftChars="0"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16.中标结果通知</w:t>
      </w:r>
    </w:p>
    <w:p>
      <w:pPr>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16.1 在本章规定的投标有效期内，采购代理机构将以书面形式向中标供应商发出《中标通知书》。中标通知书对采购人和中标供应商具有同等法律效力。  </w:t>
      </w:r>
    </w:p>
    <w:p>
      <w:pPr>
        <w:kinsoku/>
        <w:wordWrap/>
        <w:overflowPunct/>
        <w:bidi w:val="0"/>
        <w:adjustRightInd w:val="0"/>
        <w:snapToGrid w:val="0"/>
        <w:spacing w:beforeAutospacing="0" w:line="440" w:lineRule="exact"/>
        <w:ind w:left="0" w:leftChars="0" w:right="0" w:rightChars="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17、履约担保</w:t>
      </w:r>
    </w:p>
    <w:p>
      <w:pPr>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17.1</w:t>
      </w:r>
      <w:r>
        <w:rPr>
          <w:rFonts w:hint="eastAsia" w:ascii="仿宋" w:hAnsi="仿宋" w:eastAsia="仿宋" w:cs="仿宋"/>
          <w:color w:val="auto"/>
          <w:sz w:val="24"/>
          <w:szCs w:val="24"/>
          <w:highlight w:val="none"/>
        </w:rPr>
        <w:t>中标供应商在收到采购代理机构的《中标通知书》后十日内，需向采购人提交履约担保的，应按照</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的规定提交。联合体中标的，履约担保由联合体各方或联合体中牵头人的名义提交。</w:t>
      </w:r>
    </w:p>
    <w:p>
      <w:pPr>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中标供应商</w:t>
      </w:r>
      <w:r>
        <w:rPr>
          <w:rFonts w:hint="eastAsia" w:ascii="仿宋" w:hAnsi="仿宋" w:eastAsia="仿宋" w:cs="仿宋"/>
          <w:color w:val="auto"/>
          <w:spacing w:val="4"/>
          <w:sz w:val="24"/>
          <w:szCs w:val="24"/>
          <w:highlight w:val="none"/>
        </w:rPr>
        <w:t>没有按照本章第33.1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pacing w:val="4"/>
          <w:sz w:val="24"/>
          <w:szCs w:val="24"/>
          <w:highlight w:val="none"/>
        </w:rPr>
        <w:t>规定</w:t>
      </w:r>
      <w:r>
        <w:rPr>
          <w:rFonts w:hint="eastAsia" w:ascii="仿宋" w:hAnsi="仿宋" w:eastAsia="仿宋" w:cs="仿宋"/>
          <w:color w:val="auto"/>
          <w:sz w:val="24"/>
          <w:szCs w:val="24"/>
          <w:highlight w:val="none"/>
        </w:rPr>
        <w:t>提交履约担保的</w:t>
      </w:r>
      <w:r>
        <w:rPr>
          <w:rFonts w:hint="eastAsia" w:ascii="仿宋" w:hAnsi="仿宋" w:eastAsia="仿宋" w:cs="仿宋"/>
          <w:color w:val="auto"/>
          <w:spacing w:val="4"/>
          <w:sz w:val="24"/>
          <w:szCs w:val="24"/>
          <w:highlight w:val="none"/>
        </w:rPr>
        <w:t>，视为放弃中标，</w:t>
      </w:r>
      <w:r>
        <w:rPr>
          <w:rFonts w:hint="eastAsia" w:ascii="仿宋" w:hAnsi="仿宋" w:eastAsia="仿宋" w:cs="仿宋"/>
          <w:color w:val="auto"/>
          <w:spacing w:val="2"/>
          <w:sz w:val="24"/>
          <w:szCs w:val="24"/>
          <w:highlight w:val="none"/>
        </w:rPr>
        <w:t>其投标保证金不予退还。</w:t>
      </w:r>
    </w:p>
    <w:p>
      <w:pPr>
        <w:kinsoku/>
        <w:wordWrap/>
        <w:overflowPunct/>
        <w:bidi w:val="0"/>
        <w:adjustRightInd w:val="0"/>
        <w:snapToGrid w:val="0"/>
        <w:spacing w:beforeAutospacing="0" w:line="440" w:lineRule="exact"/>
        <w:ind w:left="0" w:leftChars="0"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18、签订合同</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采购人应自中标通知书发出之日起七日内，按指定的时间、地点与中标供应商签订政府采购合同。</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招标文件、中标供应商的投标文件均为签订合同的依据。</w:t>
      </w:r>
    </w:p>
    <w:p>
      <w:pPr>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18.3 中标供应商</w:t>
      </w:r>
      <w:r>
        <w:rPr>
          <w:rFonts w:hint="eastAsia" w:ascii="仿宋" w:hAnsi="仿宋" w:eastAsia="仿宋" w:cs="仿宋"/>
          <w:bCs/>
          <w:color w:val="auto"/>
          <w:sz w:val="24"/>
          <w:szCs w:val="24"/>
          <w:highlight w:val="none"/>
        </w:rPr>
        <w:t>应当按照合同约定履行义务。</w:t>
      </w:r>
      <w:r>
        <w:rPr>
          <w:rFonts w:hint="eastAsia" w:ascii="仿宋" w:hAnsi="仿宋" w:eastAsia="仿宋" w:cs="仿宋"/>
          <w:color w:val="auto"/>
          <w:sz w:val="24"/>
          <w:szCs w:val="24"/>
          <w:highlight w:val="none"/>
        </w:rPr>
        <w:t>中标人</w:t>
      </w:r>
      <w:r>
        <w:rPr>
          <w:rFonts w:hint="eastAsia" w:ascii="仿宋" w:hAnsi="仿宋" w:eastAsia="仿宋" w:cs="仿宋"/>
          <w:bCs/>
          <w:color w:val="auto"/>
          <w:sz w:val="24"/>
          <w:szCs w:val="24"/>
          <w:highlight w:val="none"/>
        </w:rPr>
        <w:t>不得向他人分包中标项目（</w:t>
      </w:r>
      <w:r>
        <w:rPr>
          <w:rFonts w:hint="eastAsia" w:ascii="仿宋" w:hAnsi="仿宋" w:eastAsia="仿宋" w:cs="仿宋"/>
          <w:color w:val="auto"/>
          <w:sz w:val="24"/>
          <w:szCs w:val="24"/>
          <w:highlight w:val="none"/>
        </w:rPr>
        <w:t>政府采购支持中小企业发展等政策规定的除外</w:t>
      </w:r>
      <w:r>
        <w:rPr>
          <w:rFonts w:hint="eastAsia" w:ascii="仿宋" w:hAnsi="仿宋" w:eastAsia="仿宋" w:cs="仿宋"/>
          <w:bCs/>
          <w:color w:val="auto"/>
          <w:sz w:val="24"/>
          <w:szCs w:val="24"/>
          <w:highlight w:val="none"/>
        </w:rPr>
        <w:t>）。</w:t>
      </w:r>
    </w:p>
    <w:p>
      <w:pPr>
        <w:kinsoku/>
        <w:wordWrap/>
        <w:overflowPunct/>
        <w:bidi w:val="0"/>
        <w:adjustRightInd w:val="0"/>
        <w:snapToGrid w:val="0"/>
        <w:spacing w:beforeAutospacing="0" w:line="440" w:lineRule="exact"/>
        <w:ind w:left="0" w:leftChars="0" w:right="0" w:rightChars="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w:t>
      </w:r>
      <w:r>
        <w:rPr>
          <w:rFonts w:hint="eastAsia" w:ascii="仿宋" w:hAnsi="仿宋" w:eastAsia="仿宋" w:cs="仿宋"/>
          <w:b/>
          <w:color w:val="auto"/>
          <w:sz w:val="24"/>
          <w:szCs w:val="24"/>
          <w:highlight w:val="none"/>
        </w:rPr>
        <w:t xml:space="preserve"> 政府采购合同履行中</w:t>
      </w:r>
      <w:r>
        <w:rPr>
          <w:rFonts w:hint="eastAsia" w:ascii="仿宋" w:hAnsi="仿宋" w:eastAsia="仿宋" w:cs="仿宋"/>
          <w:b/>
          <w:bCs/>
          <w:color w:val="auto"/>
          <w:sz w:val="24"/>
          <w:szCs w:val="24"/>
          <w:highlight w:val="none"/>
        </w:rPr>
        <w:t>数量的变更</w:t>
      </w:r>
    </w:p>
    <w:p>
      <w:pPr>
        <w:pStyle w:val="29"/>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19.1政府采购合同履行中，采购人需追加与合同标的相同的货物服务的，在不改变合同其他条款的前提下，可以与中标供应商协商签订补充合同，但所有补充合同的采购金额不得超过原合同采购金额的百分之十。</w:t>
      </w:r>
    </w:p>
    <w:p>
      <w:pPr>
        <w:pStyle w:val="45"/>
        <w:kinsoku/>
        <w:wordWrap/>
        <w:overflowPunct/>
        <w:bidi w:val="0"/>
        <w:adjustRightInd w:val="0"/>
        <w:snapToGrid w:val="0"/>
        <w:spacing w:before="0" w:beforeAutospacing="0" w:after="0" w:afterAutospacing="0" w:line="440" w:lineRule="exact"/>
        <w:ind w:left="0" w:leftChars="0" w:right="0" w:rightChars="0"/>
        <w:textAlignment w:val="auto"/>
        <w:outlineLvl w:val="1"/>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（十六）其他规定</w:t>
      </w:r>
    </w:p>
    <w:p>
      <w:pPr>
        <w:tabs>
          <w:tab w:val="left" w:pos="690"/>
          <w:tab w:val="left" w:pos="7560"/>
          <w:tab w:val="left" w:pos="7740"/>
          <w:tab w:val="left" w:pos="7920"/>
        </w:tabs>
        <w:kinsoku/>
        <w:wordWrap/>
        <w:overflowPunct/>
        <w:bidi w:val="0"/>
        <w:adjustRightInd w:val="0"/>
        <w:snapToGrid w:val="0"/>
        <w:spacing w:beforeAutospacing="0" w:line="440" w:lineRule="exact"/>
        <w:ind w:left="0" w:leftChars="0" w:right="0" w:right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、招标代理服务费</w:t>
      </w:r>
    </w:p>
    <w:p>
      <w:pPr>
        <w:tabs>
          <w:tab w:val="left" w:pos="420"/>
          <w:tab w:val="left" w:pos="7560"/>
          <w:tab w:val="left" w:pos="7740"/>
          <w:tab w:val="left" w:pos="7920"/>
        </w:tabs>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.1参照原国家计委《招标代理服务收费管理暂行办法的通知》（计价格［2002］1980号）文件、《国家发展改革委办公厅关于招标代理服务收费有关问题的通知》（发改办价格[2003]857号 ）中规定的收费标准下浮计取。</w:t>
      </w:r>
    </w:p>
    <w:p>
      <w:pPr>
        <w:tabs>
          <w:tab w:val="left" w:pos="420"/>
          <w:tab w:val="left" w:pos="7560"/>
          <w:tab w:val="left" w:pos="7740"/>
          <w:tab w:val="left" w:pos="7920"/>
        </w:tabs>
        <w:kinsoku/>
        <w:wordWrap/>
        <w:overflowPunct/>
        <w:bidi w:val="0"/>
        <w:adjustRightInd w:val="0"/>
        <w:snapToGrid w:val="0"/>
        <w:spacing w:beforeAutospacing="0" w:line="440" w:lineRule="exact"/>
        <w:ind w:left="0" w:leftChars="0" w:right="0" w:right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 xml:space="preserve"> 其他规定</w:t>
      </w:r>
    </w:p>
    <w:p>
      <w:pPr>
        <w:pStyle w:val="29"/>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.1招标文件的其他规定见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p>
    <w:p>
      <w:pPr>
        <w:pStyle w:val="29"/>
        <w:kinsoku/>
        <w:wordWrap/>
        <w:overflowPunct/>
        <w:bidi w:val="0"/>
        <w:adjustRightInd w:val="0"/>
        <w:snapToGrid w:val="0"/>
        <w:spacing w:beforeAutospacing="0" w:line="440" w:lineRule="exact"/>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采购人或采购代理机构可在中标人签订采购合同前通过“信用中国”网站、中国政府采购网、国家企业信用信息公示等渠道查询相关中标人及其主体的信用记录，对中标人被列入失信被执行人、重大税收违法案件当事人名单、政府采购严重违法失信行为记录名单及其他不符合《中华人民共和国政府采购法》第二十二条规定条件的供应商，采购人有权随时取消其中标资格和终止其合同签订及其履行。</w:t>
      </w:r>
    </w:p>
    <w:p>
      <w:pPr>
        <w:kinsoku/>
        <w:wordWrap/>
        <w:overflowPunct/>
        <w:bidi w:val="0"/>
        <w:snapToGrid w:val="0"/>
        <w:spacing w:beforeAutospacing="0" w:line="440" w:lineRule="exact"/>
        <w:ind w:left="0" w:leftChars="0" w:right="0" w:rightChars="0" w:firstLine="482" w:firstLineChars="2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w:t>
      </w:r>
    </w:p>
    <w:p>
      <w:pPr>
        <w:kinsoku/>
        <w:wordWrap/>
        <w:overflowPunct/>
        <w:bidi w:val="0"/>
        <w:spacing w:beforeAutospacing="0" w:line="440" w:lineRule="exact"/>
        <w:ind w:left="0" w:leftChars="0" w:right="0" w:rightChars="0" w:firstLine="424" w:firstLineChars="17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政府采购货物和服务招标投标管理办法》（财政部令第18号）》及有关规定，评标坚持公正、公平、公开及科学、择优的原则。采用百分制记分方法，根据排名先后确定中标供应商。</w:t>
      </w:r>
    </w:p>
    <w:p>
      <w:pPr>
        <w:pStyle w:val="278"/>
        <w:kinsoku/>
        <w:wordWrap/>
        <w:overflowPunct/>
        <w:bidi w:val="0"/>
        <w:adjustRightInd w:val="0"/>
        <w:snapToGrid w:val="0"/>
        <w:spacing w:beforeAutospacing="0" w:line="440" w:lineRule="exact"/>
        <w:ind w:left="0" w:leftChars="0" w:right="0" w:rightChars="0" w:firstLine="426" w:firstLineChars="177"/>
        <w:textAlignment w:val="auto"/>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采用最低评标价法的采购项目</w:t>
      </w:r>
      <w:r>
        <w:rPr>
          <w:rFonts w:hint="eastAsia" w:ascii="仿宋" w:hAnsi="仿宋" w:eastAsia="仿宋" w:cs="仿宋"/>
          <w:bCs/>
          <w:color w:val="auto"/>
          <w:sz w:val="24"/>
          <w:szCs w:val="24"/>
          <w:highlight w:val="none"/>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278"/>
        <w:kinsoku/>
        <w:wordWrap/>
        <w:overflowPunct/>
        <w:bidi w:val="0"/>
        <w:adjustRightInd w:val="0"/>
        <w:snapToGrid w:val="0"/>
        <w:spacing w:beforeAutospacing="0" w:line="440" w:lineRule="exact"/>
        <w:ind w:left="0" w:leftChars="0" w:right="0" w:rightChars="0" w:firstLine="426" w:firstLineChars="177"/>
        <w:textAlignment w:val="auto"/>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使用综合评分法的采购项目</w:t>
      </w:r>
      <w:r>
        <w:rPr>
          <w:rFonts w:hint="eastAsia" w:ascii="仿宋" w:hAnsi="仿宋" w:eastAsia="仿宋" w:cs="仿宋"/>
          <w:bCs/>
          <w:color w:val="auto"/>
          <w:sz w:val="24"/>
          <w:szCs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278"/>
        <w:kinsoku/>
        <w:wordWrap/>
        <w:overflowPunct/>
        <w:bidi w:val="0"/>
        <w:adjustRightInd w:val="0"/>
        <w:snapToGrid w:val="0"/>
        <w:spacing w:beforeAutospacing="0" w:line="440" w:lineRule="exact"/>
        <w:ind w:left="0" w:leftChars="0" w:right="0" w:rightChars="0" w:firstLine="426" w:firstLineChars="177"/>
        <w:textAlignment w:val="auto"/>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非单一产品采购项目</w:t>
      </w:r>
      <w:r>
        <w:rPr>
          <w:rFonts w:hint="eastAsia" w:ascii="仿宋" w:hAnsi="仿宋" w:eastAsia="仿宋" w:cs="仿宋"/>
          <w:bCs/>
          <w:color w:val="auto"/>
          <w:sz w:val="24"/>
          <w:szCs w:val="24"/>
          <w:highlight w:val="none"/>
        </w:rPr>
        <w:t>，采购人应当根据采购项目技术构成、产品价格比重等合理确定核心产品，并在招标文件中载明。多家投标人提供的核心产品品牌相同的，按前两款规定处理。(87号令第31条)</w:t>
      </w:r>
    </w:p>
    <w:p>
      <w:pPr>
        <w:pStyle w:val="278"/>
        <w:kinsoku/>
        <w:wordWrap/>
        <w:overflowPunct/>
        <w:bidi w:val="0"/>
        <w:adjustRightInd w:val="0"/>
        <w:snapToGrid w:val="0"/>
        <w:spacing w:beforeAutospacing="0" w:line="440" w:lineRule="exact"/>
        <w:ind w:left="0" w:leftChars="0" w:right="0" w:rightChars="0" w:firstLine="424" w:firstLineChars="177"/>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(87号令第60条)</w:t>
      </w:r>
    </w:p>
    <w:p>
      <w:pPr>
        <w:pStyle w:val="45"/>
        <w:kinsoku/>
        <w:wordWrap/>
        <w:overflowPunct/>
        <w:bidi w:val="0"/>
        <w:adjustRightInd w:val="0"/>
        <w:snapToGrid w:val="0"/>
        <w:spacing w:before="0" w:beforeAutospacing="0" w:after="0" w:afterAutospacing="0" w:line="440" w:lineRule="exact"/>
        <w:ind w:left="0" w:leftChars="0" w:right="0" w:rightChars="0"/>
        <w:jc w:val="both"/>
        <w:textAlignment w:val="auto"/>
        <w:outlineLvl w:val="1"/>
        <w:rPr>
          <w:rFonts w:hint="eastAsia" w:ascii="仿宋" w:hAnsi="仿宋" w:eastAsia="仿宋" w:cs="仿宋"/>
          <w:b/>
          <w:bCs/>
          <w:color w:val="auto"/>
          <w:sz w:val="24"/>
          <w:szCs w:val="24"/>
          <w:highlight w:val="none"/>
        </w:rPr>
      </w:pPr>
      <w:bookmarkStart w:id="2" w:name="_Toc13139"/>
      <w:r>
        <w:rPr>
          <w:rFonts w:hint="eastAsia" w:ascii="仿宋" w:hAnsi="仿宋" w:eastAsia="仿宋" w:cs="仿宋"/>
          <w:b/>
          <w:color w:val="auto"/>
          <w:kern w:val="2"/>
          <w:sz w:val="24"/>
          <w:szCs w:val="24"/>
          <w:highlight w:val="none"/>
          <w:lang w:val="en-US" w:eastAsia="zh-CN" w:bidi="ar-SA"/>
        </w:rPr>
        <w:t>（十七）</w:t>
      </w:r>
      <w:r>
        <w:rPr>
          <w:rFonts w:hint="eastAsia" w:ascii="仿宋" w:hAnsi="仿宋" w:eastAsia="仿宋" w:cs="仿宋"/>
          <w:b/>
          <w:bCs/>
          <w:color w:val="auto"/>
          <w:sz w:val="24"/>
          <w:szCs w:val="24"/>
          <w:highlight w:val="none"/>
        </w:rPr>
        <w:t>评标办法及评分标准</w:t>
      </w:r>
      <w:bookmarkEnd w:id="2"/>
    </w:p>
    <w:p>
      <w:pPr>
        <w:kinsoku/>
        <w:wordWrap/>
        <w:overflowPunct/>
        <w:bidi w:val="0"/>
        <w:spacing w:beforeAutospacing="0" w:line="440" w:lineRule="exact"/>
        <w:ind w:left="600" w:leftChars="0" w:right="0" w:rightChars="0" w:hanging="600" w:hangingChars="25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color w:val="auto"/>
          <w:sz w:val="24"/>
          <w:szCs w:val="24"/>
          <w:highlight w:val="none"/>
        </w:rPr>
        <w:t>组建评审委员会</w:t>
      </w:r>
    </w:p>
    <w:p>
      <w:pPr>
        <w:pStyle w:val="29"/>
        <w:kinsoku/>
        <w:wordWrap/>
        <w:overflowPunct/>
        <w:bidi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评标由依法组成的评标委员会负责。</w:t>
      </w:r>
    </w:p>
    <w:p>
      <w:pPr>
        <w:numPr>
          <w:ilvl w:val="0"/>
          <w:numId w:val="11"/>
        </w:numPr>
        <w:kinsoku/>
        <w:wordWrap/>
        <w:overflowPunct/>
        <w:bidi w:val="0"/>
        <w:spacing w:beforeAutospacing="0" w:line="440" w:lineRule="exact"/>
        <w:ind w:left="0" w:leftChars="0" w:right="0" w:righ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评标的依据为招标文件和投标文件。</w:t>
      </w:r>
    </w:p>
    <w:p>
      <w:pPr>
        <w:numPr>
          <w:ilvl w:val="0"/>
          <w:numId w:val="11"/>
        </w:numPr>
        <w:kinsoku/>
        <w:wordWrap/>
        <w:overflowPunct/>
        <w:bidi w:val="0"/>
        <w:spacing w:beforeAutospacing="0" w:line="440" w:lineRule="exact"/>
        <w:ind w:left="0" w:leftChars="0" w:right="0" w:righ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开标后评委会将组织审查投标文件是否完整，是否有计算错误，要求的保证金是否提供，文件是否恰当地签署。</w:t>
      </w:r>
    </w:p>
    <w:p>
      <w:pPr>
        <w:numPr>
          <w:ilvl w:val="0"/>
          <w:numId w:val="11"/>
        </w:numPr>
        <w:kinsoku/>
        <w:wordWrap/>
        <w:overflowPunct/>
        <w:bidi w:val="0"/>
        <w:spacing w:beforeAutospacing="0" w:line="440" w:lineRule="exact"/>
        <w:ind w:left="0" w:leftChars="0" w:right="0" w:righ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在对投标文件进行详细评估之前，评委会将依据投标商提供的资格证明文件审查投标商的财务、技术和生产能力。如果确定投标商无资格履行合同，其投标将被拒绝。</w:t>
      </w:r>
    </w:p>
    <w:p>
      <w:pPr>
        <w:kinsoku/>
        <w:wordWrap/>
        <w:overflowPunct/>
        <w:bidi w:val="0"/>
        <w:spacing w:beforeAutospacing="0" w:line="440" w:lineRule="exact"/>
        <w:ind w:left="0" w:leftChars="0" w:right="0" w:rightChars="0" w:firstLine="3012" w:firstLineChars="1250"/>
        <w:textAlignment w:val="auto"/>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投标文件符合性审查表</w:t>
      </w:r>
    </w:p>
    <w:tbl>
      <w:tblPr>
        <w:tblStyle w:val="51"/>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567"/>
        <w:gridCol w:w="5951"/>
        <w:gridCol w:w="709"/>
        <w:gridCol w:w="709"/>
        <w:gridCol w:w="708"/>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5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652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  审  内  容</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投标人1</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投标人2</w:t>
            </w: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投标人3</w:t>
            </w: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53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初</w:t>
            </w:r>
          </w:p>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步</w:t>
            </w:r>
          </w:p>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w:t>
            </w:r>
          </w:p>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审</w:t>
            </w:r>
          </w:p>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p>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符</w:t>
            </w:r>
          </w:p>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w:t>
            </w:r>
          </w:p>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性</w:t>
            </w:r>
          </w:p>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审</w:t>
            </w:r>
          </w:p>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查</w:t>
            </w:r>
          </w:p>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表</w:t>
            </w:r>
          </w:p>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9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投标文件是否按采购文件要求签字盖章；</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9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投标报价是否高于本项目的最高限价；</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59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投标人是否对同一招标项目做出两个以上报价且未明确效力的；</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59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w:t>
            </w:r>
            <w:r>
              <w:rPr>
                <w:rFonts w:hint="eastAsia" w:ascii="仿宋" w:hAnsi="仿宋" w:eastAsia="仿宋" w:cs="仿宋"/>
                <w:color w:val="auto"/>
                <w:sz w:val="24"/>
                <w:szCs w:val="24"/>
                <w:highlight w:val="none"/>
                <w:lang w:val="en-US" w:eastAsia="zh-CN"/>
              </w:rPr>
              <w:t>供货期</w:t>
            </w:r>
            <w:r>
              <w:rPr>
                <w:rFonts w:hint="eastAsia" w:ascii="仿宋" w:hAnsi="仿宋" w:eastAsia="仿宋" w:cs="仿宋"/>
                <w:color w:val="auto"/>
                <w:sz w:val="24"/>
                <w:szCs w:val="24"/>
                <w:highlight w:val="none"/>
              </w:rPr>
              <w:t>是否</w:t>
            </w:r>
            <w:r>
              <w:rPr>
                <w:rFonts w:hint="eastAsia" w:ascii="仿宋" w:hAnsi="仿宋" w:eastAsia="仿宋" w:cs="仿宋"/>
                <w:color w:val="auto"/>
                <w:sz w:val="24"/>
                <w:szCs w:val="24"/>
                <w:highlight w:val="none"/>
                <w:lang w:val="en-US" w:eastAsia="zh-CN"/>
              </w:rPr>
              <w:t>满足</w:t>
            </w:r>
            <w:r>
              <w:rPr>
                <w:rFonts w:hint="eastAsia" w:ascii="仿宋" w:hAnsi="仿宋" w:eastAsia="仿宋" w:cs="仿宋"/>
                <w:color w:val="auto"/>
                <w:sz w:val="24"/>
                <w:szCs w:val="24"/>
                <w:highlight w:val="none"/>
              </w:rPr>
              <w:t>采购文件</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rPr>
              <w:t>；</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59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投标保证金的缴纳主体是否与投标人一致、提供投标担保或者所提供的投标担保不符合采购文件要求；</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59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项目负责人是否符合采购文件要求、并按采购文件要求提供相关资料；拟派主要服务人员是否符合采购文件要求并按采购文件要求提供相关资料；</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59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投标文件封面右上角是否注明“正本”或“副本”字样；</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59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投标承诺书是否按采购文件规定格式完整提供、且按采购文件要求签字或盖章；</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59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法定代表人身份证明书及法定代表人授权委托书是否按采购文件规定格式完整提供、并按采购文件要求签字或盖章。</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59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企业信誉是否满足采购文件的要求</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59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投标文件是否附有采购人不能接受的条件</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59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技术服务等是否满足采购文件要求；</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983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left"/>
              <w:rPr>
                <w:rFonts w:hint="eastAsia" w:ascii="仿宋" w:hAnsi="仿宋" w:eastAsia="仿宋" w:cs="仿宋"/>
                <w:color w:val="auto"/>
                <w:sz w:val="24"/>
                <w:szCs w:val="24"/>
                <w:highlight w:val="none"/>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595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是否满足采购文件实质性要求的其他情形</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c>
          <w:tcPr>
            <w:tcW w:w="6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83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结论：是否通过初步评审</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初步评审合格后方可进入详细评审阶段</w:t>
            </w:r>
            <w:r>
              <w:rPr>
                <w:rFonts w:hint="eastAsia" w:ascii="仿宋" w:hAnsi="仿宋" w:eastAsia="仿宋" w:cs="仿宋"/>
                <w:b/>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9831"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评标委员会成员签名：</w:t>
            </w:r>
          </w:p>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83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kinsoku/>
              <w:wordWrap/>
              <w:overflowPunct/>
              <w:bidi w:val="0"/>
              <w:spacing w:before="0" w:beforeAutospacing="0" w:after="0" w:after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numPr>
          <w:ilvl w:val="0"/>
          <w:numId w:val="11"/>
        </w:numPr>
        <w:kinsoku/>
        <w:wordWrap/>
        <w:overflowPunct/>
        <w:bidi w:val="0"/>
        <w:spacing w:beforeAutospacing="0" w:line="440" w:lineRule="exact"/>
        <w:ind w:left="0" w:leftChars="0" w:right="0" w:righ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确定每一投标是否对招标文件的要求作出了实质性的响应，而没有重大偏离。实质性响应的投标是指投标符合招标文件的所有条款、条件和规定且没有重大偏离或保留。重大偏离或保留系指影响到招标文件规定的供货范围、质量和性能，或限制了买方的权利和投标商的义务的规定，而纠正这些偏离将影响到其他提交实质性响应投标的投标商的公平竞争地位。其中，供应商的报价超出采购预算的、供应商未按招标文件要求提供完整资料的，均视为未实质性响应招标文件的要求，其投标文件可能被拒绝或导致废标。</w:t>
      </w:r>
    </w:p>
    <w:p>
      <w:pPr>
        <w:numPr>
          <w:ilvl w:val="0"/>
          <w:numId w:val="11"/>
        </w:numPr>
        <w:kinsoku/>
        <w:wordWrap/>
        <w:overflowPunct/>
        <w:bidi w:val="0"/>
        <w:spacing w:before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对投标文件的评估和比较</w:t>
      </w:r>
    </w:p>
    <w:p>
      <w:pPr>
        <w:kinsoku/>
        <w:wordWrap/>
        <w:overflowPunct/>
        <w:bidi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投标文件的评估和比较分为两步进行，评标委员会按照招标文件要求对投标文件中的投标商资格、投标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w:t>
      </w:r>
    </w:p>
    <w:p>
      <w:pPr>
        <w:kinsoku/>
        <w:wordWrap/>
        <w:overflowPunct/>
        <w:bidi w:val="0"/>
        <w:spacing w:before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评价指标及权重：</w:t>
      </w:r>
    </w:p>
    <w:tbl>
      <w:tblPr>
        <w:tblStyle w:val="51"/>
        <w:tblW w:w="9212" w:type="dxa"/>
        <w:jc w:val="center"/>
        <w:tblLayout w:type="fixed"/>
        <w:tblCellMar>
          <w:top w:w="0" w:type="dxa"/>
          <w:left w:w="0" w:type="dxa"/>
          <w:bottom w:w="0" w:type="dxa"/>
          <w:right w:w="0" w:type="dxa"/>
        </w:tblCellMar>
      </w:tblPr>
      <w:tblGrid>
        <w:gridCol w:w="2537"/>
        <w:gridCol w:w="2614"/>
        <w:gridCol w:w="1728"/>
        <w:gridCol w:w="2333"/>
      </w:tblGrid>
      <w:tr>
        <w:tblPrEx>
          <w:tblCellMar>
            <w:top w:w="0" w:type="dxa"/>
            <w:left w:w="0" w:type="dxa"/>
            <w:bottom w:w="0" w:type="dxa"/>
            <w:right w:w="0" w:type="dxa"/>
          </w:tblCellMar>
        </w:tblPrEx>
        <w:trPr>
          <w:trHeight w:val="382" w:hRule="atLeast"/>
          <w:jc w:val="center"/>
        </w:trPr>
        <w:tc>
          <w:tcPr>
            <w:tcW w:w="25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评分项目</w:t>
            </w:r>
          </w:p>
        </w:tc>
        <w:tc>
          <w:tcPr>
            <w:tcW w:w="26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技术评分</w:t>
            </w:r>
          </w:p>
        </w:tc>
        <w:tc>
          <w:tcPr>
            <w:tcW w:w="17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商务评分</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价格评分</w:t>
            </w:r>
          </w:p>
        </w:tc>
      </w:tr>
      <w:tr>
        <w:tblPrEx>
          <w:tblCellMar>
            <w:top w:w="0" w:type="dxa"/>
            <w:left w:w="0" w:type="dxa"/>
            <w:bottom w:w="0" w:type="dxa"/>
            <w:right w:w="0" w:type="dxa"/>
          </w:tblCellMar>
        </w:tblPrEx>
        <w:trPr>
          <w:trHeight w:val="402" w:hRule="atLeast"/>
          <w:jc w:val="center"/>
        </w:trPr>
        <w:tc>
          <w:tcPr>
            <w:tcW w:w="25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分值</w:t>
            </w:r>
          </w:p>
        </w:tc>
        <w:tc>
          <w:tcPr>
            <w:tcW w:w="26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55</w:t>
            </w:r>
            <w:r>
              <w:rPr>
                <w:rFonts w:hint="eastAsia" w:ascii="仿宋" w:hAnsi="仿宋" w:eastAsia="仿宋" w:cs="仿宋"/>
                <w:b/>
                <w:bCs/>
                <w:color w:val="auto"/>
                <w:kern w:val="0"/>
                <w:sz w:val="24"/>
                <w:szCs w:val="24"/>
                <w:highlight w:val="none"/>
              </w:rPr>
              <w:t>分</w:t>
            </w:r>
          </w:p>
        </w:tc>
        <w:tc>
          <w:tcPr>
            <w:tcW w:w="17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15</w:t>
            </w:r>
            <w:r>
              <w:rPr>
                <w:rFonts w:hint="eastAsia" w:ascii="仿宋" w:hAnsi="仿宋" w:eastAsia="仿宋" w:cs="仿宋"/>
                <w:b/>
                <w:bCs/>
                <w:color w:val="auto"/>
                <w:kern w:val="0"/>
                <w:sz w:val="24"/>
                <w:szCs w:val="24"/>
                <w:highlight w:val="none"/>
              </w:rPr>
              <w:t>分</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30分</w:t>
            </w:r>
          </w:p>
        </w:tc>
      </w:tr>
    </w:tbl>
    <w:p>
      <w:pPr>
        <w:kinsoku/>
        <w:wordWrap/>
        <w:overflowPunct/>
        <w:bidi w:val="0"/>
        <w:spacing w:beforeAutospacing="0" w:line="440" w:lineRule="exact"/>
        <w:ind w:left="0" w:leftChars="0" w:right="0" w:righ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价格部分（30分）</w:t>
      </w:r>
    </w:p>
    <w:p>
      <w:pPr>
        <w:kinsoku/>
        <w:wordWrap/>
        <w:overflowPunct/>
        <w:bidi w:val="0"/>
        <w:spacing w:beforeAutospacing="0" w:line="440" w:lineRule="exact"/>
        <w:ind w:left="0" w:leftChars="0" w:right="0" w:right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投标报价的初步评审：</w:t>
      </w:r>
    </w:p>
    <w:p>
      <w:pPr>
        <w:kinsoku/>
        <w:wordWrap/>
        <w:overflowPunct/>
        <w:bidi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依据《中华人民共和国招投标法》第33条、第41条及财政部令第87号（以下简称87号令）第六十条、《反不正当竞争法》中相关法律条款的内容规定。投标人须积极响应相关法律条文规定。</w:t>
      </w:r>
    </w:p>
    <w:p>
      <w:pPr>
        <w:kinsoku/>
        <w:wordWrap/>
        <w:overflowPunct/>
        <w:bidi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当投标报价明显低于其他投标报价时，评标委员会将对其进行重点评审。评标委员会认为低于成本价的，应当要求该投标人作出书面说明并提供证明不低于其研发、生产、制造成本的证明材料（要求：①证明材料必须能符合或优于本项目所采购货物的实际情况；②证明材料必须以扫描件的形式插入投标文件相关章节中；③证明材料的原件开标时须携带备查；④提供证明材料的期限为竞标当日评标开始至评标结束，逾期不作任何解释；⑤证明材料的真实性必须有依据，以备当场核查）。投标人不能合理说明或者不能提供相关证明材料的，由评标委员会认定该投标人以低于成本报价竞价，应当否决其投标。</w:t>
      </w:r>
    </w:p>
    <w:p>
      <w:pPr>
        <w:kinsoku/>
        <w:wordWrap/>
        <w:overflowPunct/>
        <w:bidi w:val="0"/>
        <w:spacing w:beforeAutospacing="0" w:line="440" w:lineRule="exact"/>
        <w:ind w:left="0" w:leftChars="0" w:right="0" w:right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投标报价得分的评分方法：</w:t>
      </w:r>
    </w:p>
    <w:p>
      <w:pPr>
        <w:widowControl/>
        <w:kinsoku/>
        <w:wordWrap/>
        <w:overflowPunct/>
        <w:bidi w:val="0"/>
        <w:spacing w:beforeAutospacing="0" w:line="440" w:lineRule="exact"/>
        <w:ind w:left="0" w:leftChars="0" w:right="0" w:rightChars="0" w:firstLine="544" w:firstLineChars="227"/>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只对通过评标委员会对投标报价的初步评审的投标企业进入价格得分计算；</w:t>
      </w:r>
    </w:p>
    <w:p>
      <w:pPr>
        <w:widowControl/>
        <w:kinsoku/>
        <w:wordWrap/>
        <w:overflowPunct/>
        <w:bidi w:val="0"/>
        <w:spacing w:beforeAutospacing="0" w:line="440" w:lineRule="exact"/>
        <w:ind w:left="0" w:leftChars="0" w:right="0" w:rightChars="0" w:firstLine="544" w:firstLineChars="227"/>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低价优先法计算，即满足招标文件要求且经评审的投标价格最低的投标报价为评标基准价，其价格得分为满分。其他投标人的价格得分统一按照下列公式计算：价格得分=（评标基准价/投标报价）×30%×100，如此类推，算出所有投标供应商的价格得分。</w:t>
      </w:r>
    </w:p>
    <w:p>
      <w:pPr>
        <w:widowControl/>
        <w:kinsoku/>
        <w:wordWrap/>
        <w:overflowPunct/>
        <w:bidi w:val="0"/>
        <w:spacing w:beforeAutospacing="0" w:line="440" w:lineRule="exact"/>
        <w:ind w:left="0" w:leftChars="0" w:right="0" w:rightChars="0" w:firstLine="544" w:firstLineChars="227"/>
        <w:jc w:val="left"/>
        <w:textAlignment w:val="auto"/>
        <w:rPr>
          <w:rFonts w:hint="eastAsia" w:ascii="仿宋" w:hAnsi="仿宋" w:eastAsia="仿宋" w:cs="仿宋"/>
          <w:color w:val="auto"/>
          <w:sz w:val="24"/>
          <w:szCs w:val="24"/>
          <w:highlight w:val="none"/>
        </w:rPr>
      </w:pPr>
    </w:p>
    <w:p>
      <w:pPr>
        <w:widowControl/>
        <w:kinsoku/>
        <w:wordWrap/>
        <w:overflowPunct/>
        <w:bidi w:val="0"/>
        <w:spacing w:beforeAutospacing="0" w:line="440" w:lineRule="exact"/>
        <w:ind w:left="0" w:leftChars="0" w:right="0" w:rightChars="0" w:firstLine="544" w:firstLineChars="227"/>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法律、法规、规章和省级以上财政部门涉及政府采购政策功能及其他规定，见投标人须知前附表。评委会应根据招标文件规定，优先推荐节能环保产品，优先考虑中小企业。</w:t>
      </w:r>
    </w:p>
    <w:p>
      <w:pPr>
        <w:widowControl/>
        <w:kinsoku/>
        <w:wordWrap/>
        <w:overflowPunct/>
        <w:bidi w:val="0"/>
        <w:spacing w:beforeAutospacing="0" w:line="440" w:lineRule="exact"/>
        <w:ind w:left="0" w:leftChars="0" w:right="0" w:rightChars="0" w:firstLine="544" w:firstLineChars="227"/>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投标人获得相应政府采购政策优惠的，应提供相关证明材料。</w:t>
      </w:r>
    </w:p>
    <w:p>
      <w:pPr>
        <w:widowControl/>
        <w:kinsoku/>
        <w:wordWrap/>
        <w:overflowPunct/>
        <w:bidi w:val="0"/>
        <w:spacing w:beforeAutospacing="0" w:line="440" w:lineRule="exact"/>
        <w:ind w:left="0" w:leftChars="0" w:right="0" w:rightChars="0" w:firstLine="544" w:firstLineChars="227"/>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对中小微企业执行财库〔2011〕181号文件的规定，对其投标报价按6%扣除后的价格作为其评标价。不符合财库〔2011〕181号文件的规定企业的产品价格不予扣除，其投标报价即为评标价。</w:t>
      </w:r>
    </w:p>
    <w:p>
      <w:pPr>
        <w:kinsoku/>
        <w:wordWrap/>
        <w:overflowPunct/>
        <w:bidi w:val="0"/>
        <w:spacing w:beforeAutospacing="0" w:line="440" w:lineRule="exact"/>
        <w:ind w:left="0" w:leftChars="0" w:right="0" w:rightChars="0"/>
        <w:textAlignment w:val="auto"/>
        <w:outlineLvl w:val="9"/>
        <w:rPr>
          <w:rFonts w:hint="eastAsia" w:ascii="仿宋" w:hAnsi="仿宋" w:eastAsia="仿宋" w:cs="仿宋"/>
          <w:bCs w:val="0"/>
          <w:color w:val="auto"/>
          <w:kern w:val="2"/>
          <w:sz w:val="24"/>
          <w:szCs w:val="24"/>
          <w:highlight w:val="none"/>
        </w:rPr>
      </w:pPr>
      <w:r>
        <w:rPr>
          <w:rFonts w:hint="eastAsia" w:ascii="仿宋" w:hAnsi="仿宋" w:eastAsia="仿宋" w:cs="仿宋"/>
          <w:bCs w:val="0"/>
          <w:color w:val="auto"/>
          <w:kern w:val="2"/>
          <w:sz w:val="24"/>
          <w:szCs w:val="24"/>
          <w:highlight w:val="none"/>
        </w:rPr>
        <w:t>评分细则</w:t>
      </w:r>
    </w:p>
    <w:p>
      <w:pPr>
        <w:kinsoku/>
        <w:wordWrap/>
        <w:overflowPunct/>
        <w:bidi w:val="0"/>
        <w:spacing w:beforeAutospacing="0" w:line="440" w:lineRule="exact"/>
        <w:ind w:left="0" w:leftChars="0" w:right="0" w:rightChars="0"/>
        <w:textAlignment w:val="auto"/>
        <w:rPr>
          <w:rFonts w:hint="eastAsia" w:ascii="仿宋" w:hAnsi="仿宋" w:eastAsia="仿宋" w:cs="仿宋"/>
          <w:color w:val="auto"/>
          <w:sz w:val="24"/>
          <w:szCs w:val="24"/>
          <w:highlight w:val="none"/>
        </w:rPr>
      </w:pPr>
    </w:p>
    <w:tbl>
      <w:tblPr>
        <w:tblStyle w:val="51"/>
        <w:tblW w:w="935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1001"/>
        <w:gridCol w:w="2150"/>
        <w:gridCol w:w="619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31" w:hRule="atLeast"/>
          <w:jc w:val="center"/>
        </w:trPr>
        <w:tc>
          <w:tcPr>
            <w:tcW w:w="10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评审项目</w:t>
            </w:r>
          </w:p>
        </w:tc>
        <w:tc>
          <w:tcPr>
            <w:tcW w:w="2150"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标准分</w:t>
            </w:r>
          </w:p>
        </w:tc>
        <w:tc>
          <w:tcPr>
            <w:tcW w:w="6199"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  分  标  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1474" w:hRule="atLeast"/>
          <w:jc w:val="center"/>
        </w:trPr>
        <w:tc>
          <w:tcPr>
            <w:tcW w:w="1001"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报价部分</w:t>
            </w:r>
          </w:p>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（30分）</w:t>
            </w:r>
          </w:p>
        </w:tc>
        <w:tc>
          <w:tcPr>
            <w:tcW w:w="2150"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评标价格（30分）</w:t>
            </w:r>
          </w:p>
        </w:tc>
        <w:tc>
          <w:tcPr>
            <w:tcW w:w="6199"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（1）确定评审基准价：自所有投标人的有效报价中，满足招标文件要求且投标价格最低的投标报价为评标基准价。</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（2）各投标人的报价得分=（评标基准价/各投标人的投标报价）×30</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若投标人投标报价超出采购预算的，作为无效投标处理。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92" w:hRule="atLeast"/>
          <w:jc w:val="center"/>
        </w:trPr>
        <w:tc>
          <w:tcPr>
            <w:tcW w:w="9350" w:type="dxa"/>
            <w:gridSpan w:val="3"/>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商务部分（</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500" w:hRule="atLeast"/>
          <w:jc w:val="center"/>
        </w:trPr>
        <w:tc>
          <w:tcPr>
            <w:tcW w:w="1001" w:type="dxa"/>
            <w:vMerge w:val="restart"/>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p>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tc>
        <w:tc>
          <w:tcPr>
            <w:tcW w:w="2150" w:type="dxa"/>
            <w:tcBorders>
              <w:bottom w:val="single" w:color="auto" w:sz="4" w:space="0"/>
            </w:tcBorders>
            <w:vAlign w:val="center"/>
          </w:tcPr>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近三年业绩（</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分）</w:t>
            </w:r>
          </w:p>
        </w:tc>
        <w:tc>
          <w:tcPr>
            <w:tcW w:w="6199" w:type="dxa"/>
            <w:tcBorders>
              <w:bottom w:val="single" w:color="auto" w:sz="4" w:space="0"/>
            </w:tcBorders>
            <w:vAlign w:val="center"/>
          </w:tcPr>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提供近三年投标产品业绩，需提供中标通知书和合同或协议，不提供不得分，</w:t>
            </w:r>
            <w:r>
              <w:rPr>
                <w:rFonts w:hint="eastAsia" w:ascii="仿宋" w:hAnsi="仿宋" w:eastAsia="仿宋" w:cs="仿宋"/>
                <w:bCs/>
                <w:color w:val="auto"/>
                <w:sz w:val="24"/>
                <w:szCs w:val="24"/>
                <w:highlight w:val="none"/>
              </w:rPr>
              <w:t>（2018年</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月至</w:t>
            </w:r>
            <w:r>
              <w:rPr>
                <w:rFonts w:hint="eastAsia" w:ascii="仿宋" w:hAnsi="仿宋" w:eastAsia="仿宋" w:cs="仿宋"/>
                <w:bCs/>
                <w:color w:val="auto"/>
                <w:sz w:val="24"/>
                <w:szCs w:val="24"/>
                <w:highlight w:val="none"/>
                <w:lang w:val="en-US" w:eastAsia="zh-CN"/>
              </w:rPr>
              <w:t>今</w:t>
            </w:r>
            <w:r>
              <w:rPr>
                <w:rFonts w:hint="eastAsia" w:ascii="仿宋" w:hAnsi="仿宋" w:eastAsia="仿宋" w:cs="仿宋"/>
                <w:bCs/>
                <w:color w:val="auto"/>
                <w:sz w:val="24"/>
                <w:szCs w:val="24"/>
                <w:highlight w:val="none"/>
              </w:rPr>
              <w:t>，以合同或协议签字日期为准）在中国境内的销售业绩进行评价，有1项业绩得1分，最高得</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分。</w:t>
            </w:r>
          </w:p>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注：1、投标人需提供中标通知书（</w:t>
            </w:r>
            <w:r>
              <w:rPr>
                <w:rFonts w:hint="eastAsia" w:ascii="仿宋" w:hAnsi="仿宋" w:eastAsia="仿宋" w:cs="仿宋"/>
                <w:bCs/>
                <w:color w:val="auto"/>
                <w:sz w:val="24"/>
                <w:szCs w:val="24"/>
                <w:highlight w:val="none"/>
                <w:lang w:eastAsia="zh-CN"/>
              </w:rPr>
              <w:t>中标</w:t>
            </w:r>
            <w:r>
              <w:rPr>
                <w:rFonts w:hint="eastAsia" w:ascii="仿宋" w:hAnsi="仿宋" w:eastAsia="仿宋" w:cs="仿宋"/>
                <w:bCs/>
                <w:color w:val="auto"/>
                <w:sz w:val="24"/>
                <w:szCs w:val="24"/>
                <w:highlight w:val="none"/>
              </w:rPr>
              <w:t>通知书）、采购合同或协议（含首页、采购设备品牌型号页</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签字</w:t>
            </w:r>
            <w:r>
              <w:rPr>
                <w:rFonts w:hint="eastAsia" w:ascii="仿宋" w:hAnsi="仿宋" w:eastAsia="仿宋" w:cs="仿宋"/>
                <w:bCs/>
                <w:color w:val="auto"/>
                <w:sz w:val="24"/>
                <w:szCs w:val="24"/>
                <w:highlight w:val="none"/>
                <w:lang w:val="en-US" w:eastAsia="zh-CN"/>
              </w:rPr>
              <w:t>和</w:t>
            </w:r>
            <w:r>
              <w:rPr>
                <w:rFonts w:hint="eastAsia" w:ascii="仿宋" w:hAnsi="仿宋" w:eastAsia="仿宋" w:cs="仿宋"/>
                <w:bCs/>
                <w:color w:val="auto"/>
                <w:sz w:val="24"/>
                <w:szCs w:val="24"/>
                <w:highlight w:val="none"/>
              </w:rPr>
              <w:t>盖章页）复印件，否则业绩不予认可。</w:t>
            </w:r>
          </w:p>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投标产品销售给经销商或代理商的销售业绩不予认可。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1001" w:type="dxa"/>
            <w:vMerge w:val="continue"/>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rPr>
            </w:pPr>
          </w:p>
        </w:tc>
        <w:tc>
          <w:tcPr>
            <w:tcW w:w="2150" w:type="dxa"/>
            <w:tcBorders>
              <w:top w:val="single" w:color="auto" w:sz="4" w:space="0"/>
            </w:tcBorders>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对招标文件商务条款的响应程度（</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w:t>
            </w:r>
          </w:p>
        </w:tc>
        <w:tc>
          <w:tcPr>
            <w:tcW w:w="6199" w:type="dxa"/>
            <w:tcBorders>
              <w:top w:val="single" w:color="auto" w:sz="4" w:space="0"/>
            </w:tcBorders>
            <w:vAlign w:val="center"/>
          </w:tcPr>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响应全面，全部符合，得</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分，响应不全面或有不符合的情况适当减分，最低分为0分。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12" w:hRule="atLeast"/>
          <w:jc w:val="center"/>
        </w:trPr>
        <w:tc>
          <w:tcPr>
            <w:tcW w:w="1001" w:type="dxa"/>
            <w:vMerge w:val="continue"/>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rPr>
            </w:pPr>
          </w:p>
        </w:tc>
        <w:tc>
          <w:tcPr>
            <w:tcW w:w="2150" w:type="dxa"/>
            <w:tcBorders>
              <w:top w:val="single" w:color="auto" w:sz="4" w:space="0"/>
            </w:tcBorders>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政府采购节约能源、环境保护评分（1分）</w:t>
            </w:r>
          </w:p>
        </w:tc>
        <w:tc>
          <w:tcPr>
            <w:tcW w:w="6199" w:type="dxa"/>
            <w:tcBorders>
              <w:top w:val="single" w:color="auto" w:sz="4" w:space="0"/>
            </w:tcBorders>
            <w:vAlign w:val="center"/>
          </w:tcPr>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政府采购的强制采购产品除外：（1）投标产品属于财政部、发展改革委公布的“节能产品政府采购品目清单”范围的，且投标人出具了国家确定的认证机构出具的、处于有效期之内的节能产品认证证书的得0.5分；不是的为0分；</w:t>
            </w:r>
          </w:p>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（2）投标产品属于财政部、生态环境部公布的“环境标志产品政府采购品目清单”范围的，且投标人出具了国家确定的认证机构出具的、处于有效期之内的节能产品认证证书的得0.5分；不是的为0分；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1001" w:type="dxa"/>
            <w:vMerge w:val="continue"/>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rPr>
            </w:pPr>
          </w:p>
        </w:tc>
        <w:tc>
          <w:tcPr>
            <w:tcW w:w="2150" w:type="dxa"/>
            <w:tcBorders>
              <w:top w:val="single" w:color="auto" w:sz="4" w:space="0"/>
            </w:tcBorders>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售后服务体系（</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分）</w:t>
            </w:r>
          </w:p>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rPr>
            </w:pPr>
          </w:p>
        </w:tc>
        <w:tc>
          <w:tcPr>
            <w:tcW w:w="6199" w:type="dxa"/>
            <w:tcBorders>
              <w:top w:val="single" w:color="auto" w:sz="4" w:space="0"/>
            </w:tcBorders>
            <w:vAlign w:val="center"/>
          </w:tcPr>
          <w:p>
            <w:pPr>
              <w:pStyle w:val="399"/>
              <w:keepNext w:val="0"/>
              <w:keepLines w:val="0"/>
              <w:numPr>
                <w:ilvl w:val="0"/>
                <w:numId w:val="0"/>
              </w:numPr>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1.具有专职维修工程师，保证设备的日常维护及故障排除（1分）；</w:t>
            </w:r>
          </w:p>
          <w:p>
            <w:pPr>
              <w:pStyle w:val="399"/>
              <w:keepNext w:val="0"/>
              <w:keepLines w:val="0"/>
              <w:numPr>
                <w:ilvl w:val="0"/>
                <w:numId w:val="0"/>
              </w:numPr>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2.生产厂家在疆内设有售后服务机构（1分），拥有完善的售后服务保障体系（1分），设有常驻专业维修工程师以提供技术服务支持（1分）</w:t>
            </w:r>
          </w:p>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附相应证明材料，否则不得分。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1001" w:type="dxa"/>
            <w:vMerge w:val="continue"/>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rPr>
            </w:pPr>
          </w:p>
        </w:tc>
        <w:tc>
          <w:tcPr>
            <w:tcW w:w="2150" w:type="dxa"/>
            <w:tcBorders>
              <w:top w:val="single" w:color="auto" w:sz="4" w:space="0"/>
            </w:tcBorders>
            <w:vAlign w:val="center"/>
          </w:tcPr>
          <w:p>
            <w:pPr>
              <w:pStyle w:val="399"/>
              <w:keepNext w:val="0"/>
              <w:keepLines w:val="0"/>
              <w:numPr>
                <w:ilvl w:val="0"/>
                <w:numId w:val="0"/>
              </w:numPr>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服务承诺（2分）</w:t>
            </w:r>
          </w:p>
        </w:tc>
        <w:tc>
          <w:tcPr>
            <w:tcW w:w="6199" w:type="dxa"/>
            <w:tcBorders>
              <w:top w:val="single" w:color="auto" w:sz="4" w:space="0"/>
            </w:tcBorders>
            <w:vAlign w:val="center"/>
          </w:tcPr>
          <w:p>
            <w:pPr>
              <w:pStyle w:val="399"/>
              <w:keepNext w:val="0"/>
              <w:keepLines w:val="0"/>
              <w:numPr>
                <w:ilvl w:val="0"/>
                <w:numId w:val="0"/>
              </w:numPr>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投标人提供的</w:t>
            </w:r>
            <w:r>
              <w:rPr>
                <w:rFonts w:hint="eastAsia" w:ascii="仿宋" w:hAnsi="仿宋" w:eastAsia="仿宋" w:cs="仿宋"/>
                <w:bCs/>
                <w:color w:val="auto"/>
                <w:sz w:val="24"/>
                <w:szCs w:val="24"/>
                <w:highlight w:val="none"/>
                <w:lang w:val="en-US" w:eastAsia="zh-CN"/>
              </w:rPr>
              <w:t>设备满足本项目质保期要求，质保期每增加1年加1分，满分2分；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12" w:hRule="atLeast"/>
          <w:jc w:val="center"/>
        </w:trPr>
        <w:tc>
          <w:tcPr>
            <w:tcW w:w="9350" w:type="dxa"/>
            <w:gridSpan w:val="3"/>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部分（</w:t>
            </w: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1001" w:type="dxa"/>
            <w:vMerge w:val="restart"/>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rPr>
              <w:t>分）</w:t>
            </w:r>
          </w:p>
        </w:tc>
        <w:tc>
          <w:tcPr>
            <w:tcW w:w="2150" w:type="dxa"/>
            <w:vAlign w:val="center"/>
          </w:tcPr>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对招标文件技术规格要求的响应程度（</w:t>
            </w:r>
            <w:r>
              <w:rPr>
                <w:rFonts w:hint="eastAsia" w:ascii="仿宋" w:hAnsi="仿宋" w:eastAsia="仿宋" w:cs="仿宋"/>
                <w:bCs/>
                <w:color w:val="auto"/>
                <w:sz w:val="24"/>
                <w:szCs w:val="24"/>
                <w:highlight w:val="none"/>
                <w:lang w:val="en-US" w:eastAsia="zh-CN"/>
              </w:rPr>
              <w:t>35</w:t>
            </w:r>
            <w:r>
              <w:rPr>
                <w:rFonts w:hint="eastAsia" w:ascii="仿宋" w:hAnsi="仿宋" w:eastAsia="仿宋" w:cs="仿宋"/>
                <w:bCs/>
                <w:color w:val="auto"/>
                <w:sz w:val="24"/>
                <w:szCs w:val="24"/>
                <w:highlight w:val="none"/>
              </w:rPr>
              <w:t>分）</w:t>
            </w:r>
          </w:p>
        </w:tc>
        <w:tc>
          <w:tcPr>
            <w:tcW w:w="6199"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技术规格响应全部满足招标要求的为</w:t>
            </w: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条款不满足的扣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val="en-US" w:eastAsia="zh-CN"/>
              </w:rPr>
              <w:t>非*</w:t>
            </w:r>
            <w:r>
              <w:rPr>
                <w:rFonts w:hint="eastAsia" w:ascii="仿宋" w:hAnsi="仿宋" w:eastAsia="仿宋" w:cs="仿宋"/>
                <w:color w:val="auto"/>
                <w:sz w:val="24"/>
                <w:szCs w:val="24"/>
                <w:highlight w:val="none"/>
              </w:rPr>
              <w:t>条款不满足的扣</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扣完为止</w:t>
            </w:r>
            <w:r>
              <w:rPr>
                <w:rFonts w:hint="eastAsia" w:ascii="仿宋" w:hAnsi="仿宋" w:eastAsia="仿宋" w:cs="仿宋"/>
                <w:b w:val="0"/>
                <w:bCs w:val="0"/>
                <w:color w:val="auto"/>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1001" w:type="dxa"/>
            <w:vMerge w:val="continue"/>
            <w:vAlign w:val="center"/>
          </w:tcPr>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center"/>
              <w:textAlignment w:val="auto"/>
              <w:rPr>
                <w:rFonts w:hint="eastAsia" w:ascii="仿宋" w:hAnsi="仿宋" w:eastAsia="仿宋" w:cs="仿宋"/>
                <w:bCs/>
                <w:color w:val="auto"/>
                <w:sz w:val="24"/>
                <w:szCs w:val="24"/>
                <w:highlight w:val="none"/>
              </w:rPr>
            </w:pPr>
          </w:p>
        </w:tc>
        <w:tc>
          <w:tcPr>
            <w:tcW w:w="2150" w:type="dxa"/>
            <w:vAlign w:val="center"/>
          </w:tcPr>
          <w:p>
            <w:pPr>
              <w:keepNext w:val="0"/>
              <w:keepLines w:val="0"/>
              <w:suppressLineNumbers w:val="0"/>
              <w:kinsoku/>
              <w:wordWrap/>
              <w:overflowPunct/>
              <w:bidi w:val="0"/>
              <w:adjustRightInd w:val="0"/>
              <w:snapToGrid w:val="0"/>
              <w:spacing w:before="0" w:beforeAutospacing="0" w:after="0" w:afterAutospacing="0" w:line="440" w:lineRule="exact"/>
              <w:ind w:left="0" w:leftChars="0" w:right="0" w:right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技术先进性（</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w:t>
            </w:r>
          </w:p>
        </w:tc>
        <w:tc>
          <w:tcPr>
            <w:tcW w:w="6199"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以利于</w:t>
            </w:r>
            <w:r>
              <w:rPr>
                <w:rFonts w:hint="eastAsia" w:ascii="仿宋" w:hAnsi="仿宋" w:eastAsia="仿宋" w:cs="仿宋"/>
                <w:color w:val="auto"/>
                <w:kern w:val="0"/>
                <w:sz w:val="24"/>
                <w:szCs w:val="24"/>
                <w:highlight w:val="none"/>
                <w:lang w:val="en-US" w:eastAsia="zh-CN"/>
              </w:rPr>
              <w:t>医疗</w:t>
            </w:r>
            <w:r>
              <w:rPr>
                <w:rFonts w:hint="eastAsia" w:ascii="仿宋" w:hAnsi="仿宋" w:eastAsia="仿宋" w:cs="仿宋"/>
                <w:color w:val="auto"/>
                <w:kern w:val="0"/>
                <w:sz w:val="24"/>
                <w:szCs w:val="24"/>
                <w:highlight w:val="none"/>
              </w:rPr>
              <w:t>工作需要为前提，关键性参数高于招标要求的，每项1分，加满为止；否则不得分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有负偏离者，正偏离项不加分。</w:t>
            </w:r>
          </w:p>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其他有利于临床工作需求的优惠条件，有得2分，没有不得分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304" w:hRule="atLeast"/>
          <w:jc w:val="center"/>
        </w:trPr>
        <w:tc>
          <w:tcPr>
            <w:tcW w:w="1001" w:type="dxa"/>
            <w:vMerge w:val="continue"/>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rPr>
            </w:pPr>
          </w:p>
        </w:tc>
        <w:tc>
          <w:tcPr>
            <w:tcW w:w="2150"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产品性能（</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w:t>
            </w:r>
          </w:p>
        </w:tc>
        <w:tc>
          <w:tcPr>
            <w:tcW w:w="6199"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根据所投产品在日常使用中的情况进行评分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科学合理、详细完整,技术指标配置提供齐全，能够详细说明投标货物的计</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分。配置欠合理、不详，技术参数不清，缺漏项的，每处扣1分,扣完为止。有偏离的,每项扣1分,扣完为止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1377" w:hRule="atLeast"/>
          <w:jc w:val="center"/>
        </w:trPr>
        <w:tc>
          <w:tcPr>
            <w:tcW w:w="1001" w:type="dxa"/>
            <w:vMerge w:val="continue"/>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sz w:val="24"/>
                <w:szCs w:val="24"/>
                <w:highlight w:val="none"/>
              </w:rPr>
            </w:pPr>
          </w:p>
        </w:tc>
        <w:tc>
          <w:tcPr>
            <w:tcW w:w="2150" w:type="dxa"/>
            <w:vAlign w:val="center"/>
          </w:tcPr>
          <w:p>
            <w:pPr>
              <w:pStyle w:val="397"/>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整体配置（5分）</w:t>
            </w:r>
          </w:p>
        </w:tc>
        <w:tc>
          <w:tcPr>
            <w:tcW w:w="6199" w:type="dxa"/>
            <w:vAlign w:val="center"/>
          </w:tcPr>
          <w:p>
            <w:pPr>
              <w:keepNext w:val="0"/>
              <w:keepLines w:val="0"/>
              <w:suppressLineNumbers w:val="0"/>
              <w:kinsoku/>
              <w:wordWrap/>
              <w:overflowPunct/>
              <w:bidi w:val="0"/>
              <w:spacing w:before="0" w:beforeAutospacing="0" w:after="0" w:afterAutospacing="0" w:line="440" w:lineRule="exact"/>
              <w:ind w:left="0" w:leftChars="0" w:right="0" w:rightChars="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所投货物配置科学合理、详细完整,技术指标配置提供齐全，</w:t>
            </w:r>
            <w:r>
              <w:rPr>
                <w:rFonts w:hint="eastAsia" w:ascii="仿宋" w:hAnsi="仿宋" w:eastAsia="仿宋" w:cs="仿宋"/>
                <w:color w:val="auto"/>
                <w:kern w:val="0"/>
                <w:sz w:val="24"/>
                <w:szCs w:val="24"/>
                <w:highlight w:val="none"/>
              </w:rPr>
              <w:t>安装调试计划及实施各阶段的人员配备情况。</w:t>
            </w:r>
            <w:r>
              <w:rPr>
                <w:rFonts w:hint="eastAsia" w:ascii="仿宋" w:hAnsi="仿宋" w:eastAsia="仿宋" w:cs="仿宋"/>
                <w:color w:val="auto"/>
                <w:kern w:val="0"/>
                <w:sz w:val="24"/>
                <w:szCs w:val="24"/>
                <w:highlight w:val="none"/>
                <w:lang w:val="en-US" w:eastAsia="zh-CN" w:bidi="ar-SA"/>
              </w:rPr>
              <w:t>详细计5分。配置欠合理、不详，技术参数不清，缺漏项的，每处扣1分,扣完为止。有偏离的,每项扣1分,扣完为止</w:t>
            </w:r>
          </w:p>
        </w:tc>
      </w:tr>
    </w:tbl>
    <w:p>
      <w:pPr>
        <w:kinsoku/>
        <w:wordWrap/>
        <w:overflowPunct/>
        <w:bidi w:val="0"/>
        <w:spacing w:before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6、评标过程的保密性</w:t>
      </w:r>
    </w:p>
    <w:p>
      <w:pPr>
        <w:kinsoku/>
        <w:wordWrap/>
        <w:overflowPunct/>
        <w:bidi w:val="0"/>
        <w:spacing w:beforeAutospacing="0" w:line="440" w:lineRule="exact"/>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pPr>
        <w:kinsoku/>
        <w:wordWrap/>
        <w:overflowPunct/>
        <w:bidi w:val="0"/>
        <w:spacing w:beforeAutospacing="0" w:line="440" w:lineRule="exact"/>
        <w:ind w:left="552" w:leftChars="0" w:right="0" w:rightChars="0" w:hanging="552" w:hangingChars="23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7、投标商在评标过程中，所进行的力图影响评标结果的不符合《招投标法》、《政府采购法》及本次招标中有关规定的活动，将被取消其中标资格。</w:t>
      </w:r>
    </w:p>
    <w:p>
      <w:pPr>
        <w:kinsoku/>
        <w:wordWrap/>
        <w:overflowPunct/>
        <w:bidi w:val="0"/>
        <w:adjustRightInd w:val="0"/>
        <w:snapToGrid w:val="0"/>
        <w:spacing w:beforeAutospacing="0" w:line="440" w:lineRule="exact"/>
        <w:ind w:left="0" w:leftChars="0" w:right="0" w:rightChars="0"/>
        <w:textAlignment w:val="auto"/>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22澄清有关问题</w:t>
      </w:r>
    </w:p>
    <w:p>
      <w:pPr>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对投标文件中含义不明确、同类问题表述不一致或者有明显文字和计算错误的内容，评标委员会将以书面形式通知投标人做出必要的澄清、说明，但不得超出投标文件的范围或对投标文件做实质性的修改（计算错误修正除外）。评标委员会不接受投标人主动提出的澄清、说明。</w:t>
      </w:r>
    </w:p>
    <w:p>
      <w:pPr>
        <w:tabs>
          <w:tab w:val="left" w:pos="0"/>
        </w:tabs>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22.2投标人不得对下列内容</w:t>
      </w:r>
      <w:r>
        <w:rPr>
          <w:rFonts w:hint="eastAsia" w:ascii="仿宋" w:hAnsi="仿宋" w:eastAsia="仿宋" w:cs="仿宋"/>
          <w:bCs/>
          <w:color w:val="auto"/>
          <w:sz w:val="24"/>
          <w:szCs w:val="24"/>
          <w:highlight w:val="none"/>
        </w:rPr>
        <w:t>其进行澄清或补充：</w:t>
      </w:r>
    </w:p>
    <w:p>
      <w:pPr>
        <w:tabs>
          <w:tab w:val="left" w:pos="0"/>
        </w:tabs>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（1）开标时，</w:t>
      </w:r>
      <w:r>
        <w:rPr>
          <w:rFonts w:hint="eastAsia" w:ascii="仿宋" w:hAnsi="仿宋" w:eastAsia="仿宋" w:cs="仿宋"/>
          <w:bCs/>
          <w:color w:val="auto"/>
          <w:sz w:val="24"/>
          <w:szCs w:val="24"/>
          <w:highlight w:val="none"/>
        </w:rPr>
        <w:t>未宣读的投标价格、价格折扣和</w:t>
      </w:r>
      <w:r>
        <w:rPr>
          <w:rFonts w:hint="eastAsia" w:ascii="仿宋" w:hAnsi="仿宋" w:eastAsia="仿宋" w:cs="仿宋"/>
          <w:color w:val="auto"/>
          <w:sz w:val="24"/>
          <w:szCs w:val="24"/>
          <w:highlight w:val="none"/>
        </w:rPr>
        <w:t>第一章“投标须知”第16.3</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允许提</w:t>
      </w:r>
      <w:r>
        <w:rPr>
          <w:rFonts w:hint="eastAsia" w:ascii="仿宋" w:hAnsi="仿宋" w:eastAsia="仿宋" w:cs="仿宋"/>
          <w:color w:val="auto"/>
          <w:sz w:val="24"/>
          <w:szCs w:val="24"/>
          <w:highlight w:val="none"/>
        </w:rPr>
        <w:t>交</w:t>
      </w:r>
      <w:r>
        <w:rPr>
          <w:rFonts w:hint="eastAsia" w:ascii="仿宋" w:hAnsi="仿宋" w:eastAsia="仿宋" w:cs="仿宋"/>
          <w:bCs/>
          <w:color w:val="auto"/>
          <w:sz w:val="24"/>
          <w:szCs w:val="24"/>
          <w:highlight w:val="none"/>
        </w:rPr>
        <w:t>的备选方案等实质性内容。</w:t>
      </w:r>
    </w:p>
    <w:p>
      <w:pPr>
        <w:tabs>
          <w:tab w:val="left" w:pos="0"/>
        </w:tabs>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（2）不满足第一章投标须知第10.2</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sz w:val="24"/>
          <w:szCs w:val="24"/>
          <w:highlight w:val="none"/>
        </w:rPr>
        <w:t>实质性要求的</w:t>
      </w:r>
      <w:r>
        <w:rPr>
          <w:rFonts w:hint="eastAsia" w:ascii="仿宋" w:hAnsi="仿宋" w:eastAsia="仿宋" w:cs="仿宋"/>
          <w:bCs/>
          <w:color w:val="auto"/>
          <w:sz w:val="24"/>
          <w:szCs w:val="24"/>
          <w:highlight w:val="none"/>
        </w:rPr>
        <w:t>投标文件内容</w:t>
      </w:r>
      <w:r>
        <w:rPr>
          <w:rFonts w:hint="eastAsia" w:ascii="仿宋" w:hAnsi="仿宋" w:eastAsia="仿宋" w:cs="仿宋"/>
          <w:color w:val="auto"/>
          <w:sz w:val="24"/>
          <w:szCs w:val="24"/>
          <w:highlight w:val="none"/>
        </w:rPr>
        <w:t>，</w:t>
      </w:r>
    </w:p>
    <w:p>
      <w:pPr>
        <w:tabs>
          <w:tab w:val="left" w:pos="0"/>
        </w:tabs>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 计算错误将按以下方法修正：如果投标文件的大写金额和小写金额不一致的，以大写金额为准；总价金额与按单价汇总金额不一致的，以单价金额计算结果为准；单价金额小数点有明显错位的，应以总价为准，并修改单价；若文字大写表示的数据与数字表示的有差别，则以文字大写表示的数据为准。若投标人拒绝接受上述修正，在评标时将其视为无效投标。</w:t>
      </w:r>
    </w:p>
    <w:p>
      <w:pPr>
        <w:tabs>
          <w:tab w:val="left" w:pos="0"/>
        </w:tabs>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 投标人的澄清、说明或者补正应该采用书面形式，由法定代表人或其授权的代理人签字，并按评标委员会的通知要求递交。</w:t>
      </w:r>
    </w:p>
    <w:p>
      <w:pPr>
        <w:tabs>
          <w:tab w:val="left" w:pos="0"/>
        </w:tabs>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22.5 有效的书面澄清材料，是投标文件的补充材料，成为投标文件的组成部分。</w:t>
      </w:r>
    </w:p>
    <w:p>
      <w:pPr>
        <w:widowControl/>
        <w:kinsoku/>
        <w:wordWrap/>
        <w:overflowPunct/>
        <w:bidi w:val="0"/>
        <w:adjustRightInd w:val="0"/>
        <w:snapToGrid w:val="0"/>
        <w:spacing w:beforeAutospacing="0" w:line="440" w:lineRule="exact"/>
        <w:ind w:left="0" w:leftChars="0" w:right="0" w:rightChars="0" w:firstLine="482" w:firstLineChars="200"/>
        <w:jc w:val="lef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 推荐中标候选人名单</w:t>
      </w:r>
    </w:p>
    <w:p>
      <w:pPr>
        <w:tabs>
          <w:tab w:val="left" w:pos="0"/>
        </w:tabs>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23.1</w:t>
      </w:r>
      <w:r>
        <w:rPr>
          <w:rFonts w:hint="eastAsia" w:ascii="仿宋" w:hAnsi="仿宋" w:eastAsia="仿宋" w:cs="仿宋"/>
          <w:bCs/>
          <w:color w:val="auto"/>
          <w:sz w:val="24"/>
          <w:szCs w:val="24"/>
          <w:highlight w:val="none"/>
        </w:rPr>
        <w:t>按评审后得分由高到低顺序排列。得分相同的，按投标报价由低到高顺序排列。得分且投标报价相同的，按技术指标优劣顺序排列。</w:t>
      </w:r>
    </w:p>
    <w:p>
      <w:pPr>
        <w:tabs>
          <w:tab w:val="left" w:pos="0"/>
        </w:tabs>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23.2</w:t>
      </w:r>
      <w:r>
        <w:rPr>
          <w:rFonts w:hint="eastAsia" w:ascii="仿宋" w:hAnsi="仿宋" w:eastAsia="仿宋" w:cs="仿宋"/>
          <w:color w:val="auto"/>
          <w:sz w:val="24"/>
          <w:szCs w:val="24"/>
          <w:highlight w:val="none"/>
        </w:rPr>
        <w:t>中标候选人数量为1-3名，本次招标采购推荐的中标候选人数量见</w:t>
      </w:r>
      <w:r>
        <w:rPr>
          <w:rFonts w:hint="eastAsia" w:ascii="仿宋" w:hAnsi="仿宋" w:eastAsia="仿宋" w:cs="仿宋"/>
          <w:b/>
          <w:color w:val="auto"/>
          <w:sz w:val="24"/>
          <w:szCs w:val="24"/>
          <w:highlight w:val="none"/>
        </w:rPr>
        <w:t>投标人须知前附表。</w:t>
      </w:r>
    </w:p>
    <w:p>
      <w:pPr>
        <w:tabs>
          <w:tab w:val="left" w:pos="0"/>
        </w:tabs>
        <w:kinsoku/>
        <w:wordWrap/>
        <w:overflowPunct/>
        <w:bidi w:val="0"/>
        <w:adjustRightInd w:val="0"/>
        <w:snapToGrid w:val="0"/>
        <w:spacing w:beforeAutospacing="0" w:line="440" w:lineRule="exact"/>
        <w:ind w:left="0" w:leftChars="0" w:right="0" w:rightChars="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 编写评标报告</w:t>
      </w:r>
    </w:p>
    <w:p>
      <w:pPr>
        <w:tabs>
          <w:tab w:val="left" w:pos="0"/>
        </w:tabs>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24.1评标委员会根据全体评标成员签字的原始评标记录和评标结果编写评标报告</w:t>
      </w:r>
    </w:p>
    <w:p>
      <w:pPr>
        <w:tabs>
          <w:tab w:val="left" w:pos="0"/>
        </w:tabs>
        <w:kinsoku/>
        <w:wordWrap/>
        <w:overflowPunct/>
        <w:bidi w:val="0"/>
        <w:adjustRightInd w:val="0"/>
        <w:snapToGrid w:val="0"/>
        <w:spacing w:beforeAutospacing="0" w:line="440" w:lineRule="exact"/>
        <w:ind w:left="0" w:leftChars="0" w:right="0" w:righ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九、合同授予</w:t>
      </w:r>
    </w:p>
    <w:p>
      <w:pPr>
        <w:tabs>
          <w:tab w:val="left" w:pos="8820"/>
          <w:tab w:val="left" w:pos="9345"/>
          <w:tab w:val="left" w:pos="9765"/>
        </w:tabs>
        <w:kinsoku/>
        <w:wordWrap/>
        <w:overflowPunct/>
        <w:bidi w:val="0"/>
        <w:adjustRightInd w:val="0"/>
        <w:snapToGrid w:val="0"/>
        <w:spacing w:beforeAutospacing="0" w:line="440" w:lineRule="exact"/>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bCs/>
          <w:color w:val="auto"/>
          <w:sz w:val="24"/>
          <w:szCs w:val="24"/>
          <w:highlight w:val="none"/>
        </w:rPr>
        <w:t>定义</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1.1合同当事人</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（1）采购人(以下称甲方)是指使用财政性资金，通过政府采购程序向供应商购买货物、服务的国家机关、事业单位、团体组织。本次采购的甲方名称、地址见</w:t>
      </w:r>
      <w:r>
        <w:rPr>
          <w:rFonts w:hint="eastAsia" w:ascii="仿宋" w:hAnsi="仿宋" w:eastAsia="仿宋" w:cs="仿宋"/>
          <w:b/>
          <w:color w:val="auto"/>
          <w:sz w:val="24"/>
          <w:szCs w:val="24"/>
          <w:highlight w:val="none"/>
        </w:rPr>
        <w:t>投标人须知前附表。</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（2）供应商(以下称乙方)是指参加政府采购活动而取得中标或</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结果，并向采购人提供货物、服务的法人、其他组织或者自然人。</w:t>
      </w:r>
    </w:p>
    <w:p>
      <w:pPr>
        <w:tabs>
          <w:tab w:val="left" w:pos="570"/>
          <w:tab w:val="left" w:pos="9240"/>
          <w:tab w:val="left" w:pos="9555"/>
        </w:tabs>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pPr>
        <w:tabs>
          <w:tab w:val="left" w:pos="570"/>
          <w:tab w:val="left" w:pos="9240"/>
          <w:tab w:val="left" w:pos="9555"/>
        </w:tabs>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（1）“合同”系指甲乙双方签署的、政府采购合同协议书中载明的甲乙双方所达成的协议，包括所有的附件、附录和上述文件所提到的构成合同的所有文件。</w:t>
      </w:r>
    </w:p>
    <w:p>
      <w:pPr>
        <w:tabs>
          <w:tab w:val="left" w:pos="570"/>
          <w:tab w:val="left" w:pos="9240"/>
          <w:tab w:val="left" w:pos="9555"/>
        </w:tabs>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（2）“合同价”系指根据本合同规定乙方在正确地完全履行合同义务后甲方应支付给乙方的价款。</w:t>
      </w:r>
    </w:p>
    <w:p>
      <w:pPr>
        <w:tabs>
          <w:tab w:val="left" w:pos="570"/>
          <w:tab w:val="left" w:pos="9240"/>
          <w:tab w:val="left" w:pos="9555"/>
        </w:tabs>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（3）“货物”系指乙方根据本合同规定须向甲方提供的各种形态和种类的物品，包括原材料、设备、产品(包括软件)及相关的其备品备件、工具、手册及其他技术资料和材料。</w:t>
      </w:r>
    </w:p>
    <w:p>
      <w:pPr>
        <w:tabs>
          <w:tab w:val="left" w:pos="570"/>
          <w:tab w:val="left" w:pos="8880"/>
          <w:tab w:val="left" w:pos="9555"/>
        </w:tabs>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（4）“伴随服务”系指根据本合同规定乙方承担与供货有关的辅助服务，如运输、保</w:t>
      </w:r>
      <w:r>
        <w:rPr>
          <w:rFonts w:hint="eastAsia" w:ascii="仿宋" w:hAnsi="仿宋" w:eastAsia="仿宋" w:cs="仿宋"/>
          <w:color w:val="auto"/>
          <w:spacing w:val="2"/>
          <w:sz w:val="24"/>
          <w:szCs w:val="24"/>
          <w:highlight w:val="none"/>
        </w:rPr>
        <w:t>险以及其他的伴随服务，例如安装、调试、提供技术</w:t>
      </w:r>
      <w:r>
        <w:rPr>
          <w:rFonts w:hint="eastAsia" w:ascii="仿宋" w:hAnsi="仿宋" w:eastAsia="仿宋" w:cs="仿宋"/>
          <w:color w:val="auto"/>
          <w:sz w:val="24"/>
          <w:szCs w:val="24"/>
          <w:highlight w:val="none"/>
        </w:rPr>
        <w:t>协</w:t>
      </w:r>
      <w:r>
        <w:rPr>
          <w:rFonts w:hint="eastAsia" w:ascii="仿宋" w:hAnsi="仿宋" w:eastAsia="仿宋" w:cs="仿宋"/>
          <w:color w:val="auto"/>
          <w:spacing w:val="2"/>
          <w:sz w:val="24"/>
          <w:szCs w:val="24"/>
          <w:highlight w:val="none"/>
        </w:rPr>
        <w:t>助、培训和合同中规定</w:t>
      </w:r>
      <w:r>
        <w:rPr>
          <w:rFonts w:hint="eastAsia" w:ascii="仿宋" w:hAnsi="仿宋" w:eastAsia="仿宋" w:cs="仿宋"/>
          <w:color w:val="auto"/>
          <w:sz w:val="24"/>
          <w:szCs w:val="24"/>
          <w:highlight w:val="none"/>
        </w:rPr>
        <w:t>乙方应承担的其他义务。</w:t>
      </w:r>
    </w:p>
    <w:p>
      <w:pPr>
        <w:tabs>
          <w:tab w:val="left" w:pos="570"/>
          <w:tab w:val="left" w:pos="9240"/>
          <w:tab w:val="left" w:pos="9555"/>
        </w:tabs>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（5）“合同条款”系指本合同条款。</w:t>
      </w:r>
    </w:p>
    <w:p>
      <w:pPr>
        <w:tabs>
          <w:tab w:val="left" w:pos="570"/>
          <w:tab w:val="left" w:pos="9240"/>
          <w:tab w:val="left" w:pos="9555"/>
        </w:tabs>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（6）“项目现场”系指本合同项下货物安装、运行的现场，其名称在</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指明。</w:t>
      </w:r>
    </w:p>
    <w:p>
      <w:pPr>
        <w:kinsoku/>
        <w:wordWrap/>
        <w:overflowPunct/>
        <w:autoSpaceDE w:val="0"/>
        <w:autoSpaceDN w:val="0"/>
        <w:bidi w:val="0"/>
        <w:adjustRightInd w:val="0"/>
        <w:snapToGrid w:val="0"/>
        <w:spacing w:beforeAutospacing="0" w:line="440" w:lineRule="exact"/>
        <w:ind w:left="0" w:leftChars="0" w:right="0" w:right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2.合同的适用范围</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本合同条款适用于没有被本合同其他部分的条款所取代的范围。</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合同内容根据招标文件、投标文件而确定。</w:t>
      </w:r>
    </w:p>
    <w:p>
      <w:pPr>
        <w:kinsoku/>
        <w:wordWrap/>
        <w:overflowPunct/>
        <w:autoSpaceDE w:val="0"/>
        <w:autoSpaceDN w:val="0"/>
        <w:bidi w:val="0"/>
        <w:adjustRightInd w:val="0"/>
        <w:snapToGrid w:val="0"/>
        <w:spacing w:beforeAutospacing="0" w:line="440" w:lineRule="exact"/>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color w:val="auto"/>
          <w:sz w:val="24"/>
          <w:szCs w:val="24"/>
          <w:highlight w:val="none"/>
        </w:rPr>
        <w:t>合同标的及金额</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合同标的及金额应与中标或</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结果一致。</w:t>
      </w:r>
    </w:p>
    <w:p>
      <w:pPr>
        <w:kinsoku/>
        <w:wordWrap/>
        <w:overflowPunct/>
        <w:autoSpaceDE w:val="0"/>
        <w:autoSpaceDN w:val="0"/>
        <w:bidi w:val="0"/>
        <w:adjustRightInd w:val="0"/>
        <w:snapToGrid w:val="0"/>
        <w:spacing w:beforeAutospacing="0" w:line="440" w:lineRule="exact"/>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r>
        <w:rPr>
          <w:rFonts w:hint="eastAsia" w:ascii="仿宋" w:hAnsi="仿宋" w:eastAsia="仿宋" w:cs="仿宋"/>
          <w:b/>
          <w:color w:val="auto"/>
          <w:sz w:val="24"/>
          <w:szCs w:val="24"/>
          <w:highlight w:val="none"/>
        </w:rPr>
        <w:t>合同价款</w:t>
      </w:r>
    </w:p>
    <w:p>
      <w:pPr>
        <w:kinsoku/>
        <w:wordWrap/>
        <w:overflowPunct/>
        <w:bidi w:val="0"/>
        <w:adjustRightInd w:val="0"/>
        <w:snapToGrid w:val="0"/>
        <w:spacing w:beforeAutospacing="0" w:line="440" w:lineRule="exact"/>
        <w:ind w:left="0" w:leftChars="0" w:right="0" w:rightChars="0" w:firstLine="560"/>
        <w:textAlignment w:val="auto"/>
        <w:rPr>
          <w:rFonts w:hint="eastAsia" w:ascii="仿宋" w:hAnsi="仿宋" w:eastAsia="仿宋" w:cs="仿宋"/>
          <w:b/>
          <w:bCs/>
          <w:i/>
          <w:iCs/>
          <w:color w:val="auto"/>
          <w:sz w:val="24"/>
          <w:szCs w:val="24"/>
          <w:highlight w:val="none"/>
        </w:rPr>
      </w:pPr>
      <w:r>
        <w:rPr>
          <w:rFonts w:hint="eastAsia" w:ascii="仿宋" w:hAnsi="仿宋" w:eastAsia="仿宋" w:cs="仿宋"/>
          <w:color w:val="auto"/>
          <w:sz w:val="24"/>
          <w:szCs w:val="24"/>
          <w:highlight w:val="none"/>
        </w:rPr>
        <w:t>4.1具体合同价款见本合同第3.1条。乙方为履行本合同而发生的所有费用均应包含在合同价款中</w:t>
      </w:r>
      <w:r>
        <w:rPr>
          <w:rFonts w:hint="eastAsia" w:ascii="仿宋" w:hAnsi="仿宋" w:eastAsia="仿宋" w:cs="仿宋"/>
          <w:b/>
          <w:color w:val="auto"/>
          <w:sz w:val="24"/>
          <w:szCs w:val="24"/>
          <w:highlight w:val="none"/>
        </w:rPr>
        <w:t>(固定总价合同)</w:t>
      </w:r>
      <w:r>
        <w:rPr>
          <w:rFonts w:hint="eastAsia" w:ascii="仿宋" w:hAnsi="仿宋" w:eastAsia="仿宋" w:cs="仿宋"/>
          <w:color w:val="auto"/>
          <w:sz w:val="24"/>
          <w:szCs w:val="24"/>
          <w:highlight w:val="none"/>
        </w:rPr>
        <w:t>，甲方不再另行支付其他任何费用。</w:t>
      </w:r>
    </w:p>
    <w:p>
      <w:pPr>
        <w:kinsoku/>
        <w:wordWrap/>
        <w:overflowPunct/>
        <w:bidi w:val="0"/>
        <w:adjustRightInd w:val="0"/>
        <w:snapToGrid w:val="0"/>
        <w:spacing w:beforeAutospacing="0" w:line="440" w:lineRule="exact"/>
        <w:ind w:left="0" w:leftChars="0" w:right="0" w:right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5.履行合同的时间、地点和方式</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乙方应当在甲方确定的时间、指定的地点履行合同，具体的交货时间、地点和方式见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 乙方提供服务的应当在甲方指定的地点完成服务项目。</w:t>
      </w:r>
    </w:p>
    <w:p>
      <w:pPr>
        <w:kinsoku/>
        <w:wordWrap/>
        <w:overflowPunct/>
        <w:bidi w:val="0"/>
        <w:adjustRightInd w:val="0"/>
        <w:snapToGrid w:val="0"/>
        <w:spacing w:beforeAutospacing="0" w:line="440" w:lineRule="exact"/>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w:t>
      </w:r>
      <w:r>
        <w:rPr>
          <w:rFonts w:hint="eastAsia" w:ascii="仿宋" w:hAnsi="仿宋" w:eastAsia="仿宋" w:cs="仿宋"/>
          <w:b/>
          <w:color w:val="auto"/>
          <w:sz w:val="24"/>
          <w:szCs w:val="24"/>
          <w:highlight w:val="none"/>
        </w:rPr>
        <w:t>货物的验收</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甲方在收到乙方交付的货物后应当及时组织验收。</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 货物的表面瑕疵，甲方应在验收时当面提出；对质量问题有异议的应在安装调试后十个工作日内提出。</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 在验收过程中发现数量不足或有质量、技术等问题，乙方应负责按照甲方的要求采取补足、更换或退货等处理措施，并承担由此发生的一切费用和损失。</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6.4 甲方在乙方按合同规定交货或安装、调试后，无正当理由而拖延接收、验收或拒绝接收、验收的，应承担因此给乙方造成的直接损失。</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6.5 甲方对货物进行检查验收合格后，应当收取发票并在《交货验收单》上签署验收意见及加盖单位印章。</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6.6 大型或者复杂的货物采购项目，甲方可以邀请国家认可的质量检测机构参加验收工作，并由其出具验收报告单。</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6.7 乙方提供的进口产品，乙方应出示中华人民共和国进出口商品检验部门出具的检验证书（招标文件第三章“采购需求”另有约定的除外）。</w:t>
      </w:r>
    </w:p>
    <w:p>
      <w:pPr>
        <w:kinsoku/>
        <w:wordWrap/>
        <w:overflowPunct/>
        <w:bidi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6.8</w:t>
      </w:r>
      <w:r>
        <w:rPr>
          <w:rFonts w:hint="eastAsia" w:ascii="仿宋" w:hAnsi="仿宋" w:eastAsia="仿宋" w:cs="仿宋"/>
          <w:color w:val="auto"/>
          <w:kern w:val="0"/>
          <w:sz w:val="24"/>
          <w:szCs w:val="24"/>
          <w:highlight w:val="none"/>
        </w:rPr>
        <w:t>政府采购当事人在合同履约和验收工作中，应当自觉接受财政部门和对政府采购负有行政监督职责的政府其他有关部门的监督检查,</w:t>
      </w:r>
      <w:r>
        <w:rPr>
          <w:rFonts w:hint="eastAsia" w:ascii="仿宋" w:hAnsi="仿宋" w:eastAsia="仿宋" w:cs="仿宋"/>
          <w:color w:val="auto"/>
          <w:sz w:val="24"/>
          <w:szCs w:val="24"/>
          <w:highlight w:val="none"/>
        </w:rPr>
        <w:t>在合同履约验收工作中合同当事人有下列情形的，将追究相关违法、违纪责任：</w:t>
      </w:r>
    </w:p>
    <w:p>
      <w:pPr>
        <w:kinsoku/>
        <w:wordWrap/>
        <w:overflowPunct/>
        <w:bidi w:val="0"/>
        <w:spacing w:beforeAutospacing="0" w:line="440" w:lineRule="exact"/>
        <w:ind w:left="0" w:leftChars="0" w:right="0" w:rightChars="0" w:firstLine="552" w:firstLineChars="23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（1）甲方无正当理由推迟项目验收时间的；</w:t>
      </w:r>
    </w:p>
    <w:p>
      <w:pPr>
        <w:kinsoku/>
        <w:wordWrap/>
        <w:overflowPunct/>
        <w:bidi w:val="0"/>
        <w:spacing w:beforeAutospacing="0" w:line="440" w:lineRule="exact"/>
        <w:ind w:left="0" w:leftChars="0" w:right="0" w:rightChars="0" w:firstLine="552" w:firstLineChars="23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（2）甲乙双方相互串通通过减少货物数量、调换物品、更改配置、降低服务标准或虚开发票等手段，套取财政资金的；</w:t>
      </w:r>
    </w:p>
    <w:p>
      <w:pPr>
        <w:kinsoku/>
        <w:wordWrap/>
        <w:overflowPunct/>
        <w:bidi w:val="0"/>
        <w:spacing w:beforeAutospacing="0" w:line="440" w:lineRule="exact"/>
        <w:ind w:left="0" w:leftChars="0" w:right="0" w:rightChars="0" w:firstLine="348" w:firstLineChars="1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0"/>
          <w:sz w:val="24"/>
          <w:szCs w:val="24"/>
          <w:highlight w:val="none"/>
        </w:rPr>
        <w:t>发现问题未向财政部门反映，私自与对方协商改变中标、</w:t>
      </w:r>
      <w:r>
        <w:rPr>
          <w:rFonts w:hint="eastAsia" w:ascii="仿宋" w:hAnsi="仿宋" w:eastAsia="仿宋" w:cs="仿宋"/>
          <w:color w:val="auto"/>
          <w:kern w:val="0"/>
          <w:sz w:val="24"/>
          <w:szCs w:val="24"/>
          <w:highlight w:val="none"/>
          <w:lang w:eastAsia="zh-CN"/>
        </w:rPr>
        <w:t>中标</w:t>
      </w:r>
      <w:r>
        <w:rPr>
          <w:rFonts w:hint="eastAsia" w:ascii="仿宋" w:hAnsi="仿宋" w:eastAsia="仿宋" w:cs="仿宋"/>
          <w:color w:val="auto"/>
          <w:kern w:val="0"/>
          <w:sz w:val="24"/>
          <w:szCs w:val="24"/>
          <w:highlight w:val="none"/>
        </w:rPr>
        <w:t>结果的；</w:t>
      </w:r>
    </w:p>
    <w:p>
      <w:pPr>
        <w:kinsoku/>
        <w:wordWrap/>
        <w:overflowPunct/>
        <w:bidi w:val="0"/>
        <w:spacing w:beforeAutospacing="0" w:line="440" w:lineRule="exact"/>
        <w:ind w:left="0" w:leftChars="0" w:right="0" w:rightChars="0" w:firstLine="348" w:firstLineChars="1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（4）行贿、受贿或谋取不正当利益的；</w:t>
      </w:r>
    </w:p>
    <w:p>
      <w:pPr>
        <w:kinsoku/>
        <w:wordWrap/>
        <w:overflowPunct/>
        <w:bidi w:val="0"/>
        <w:spacing w:beforeAutospacing="0" w:line="440" w:lineRule="exact"/>
        <w:ind w:left="0" w:leftChars="0" w:right="0" w:rightChars="0" w:firstLine="348" w:firstLineChars="145"/>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（5）拒绝有关部门依法实施监督检查的。</w:t>
      </w:r>
    </w:p>
    <w:p>
      <w:pPr>
        <w:kinsoku/>
        <w:wordWrap/>
        <w:overflowPunct/>
        <w:bidi w:val="0"/>
        <w:adjustRightInd w:val="0"/>
        <w:snapToGrid w:val="0"/>
        <w:spacing w:beforeAutospacing="0" w:line="440" w:lineRule="exact"/>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7.货物包装要求</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每一个包装箱内应附一份详细装箱单、质量证书和保修保养证书。</w:t>
      </w:r>
    </w:p>
    <w:p>
      <w:pPr>
        <w:keepNext w:val="0"/>
        <w:keepLines w:val="0"/>
        <w:kinsoku/>
        <w:wordWrap/>
        <w:overflowPunct/>
        <w:bidi w:val="0"/>
        <w:adjustRightInd w:val="0"/>
        <w:snapToGrid w:val="0"/>
        <w:spacing w:beforeAutospacing="0" w:line="440" w:lineRule="exact"/>
        <w:ind w:left="0" w:leftChars="0" w:right="0" w:rightChars="0"/>
        <w:textAlignment w:val="auto"/>
        <w:outlineLvl w:val="9"/>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8.</w:t>
      </w:r>
      <w:r>
        <w:rPr>
          <w:rFonts w:hint="eastAsia" w:ascii="仿宋" w:hAnsi="仿宋" w:eastAsia="仿宋" w:cs="仿宋"/>
          <w:color w:val="auto"/>
          <w:sz w:val="24"/>
          <w:szCs w:val="24"/>
          <w:highlight w:val="none"/>
        </w:rPr>
        <w:t>运输和保险</w:t>
      </w:r>
    </w:p>
    <w:p>
      <w:pPr>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8.1乙方负责办理将货物运抵本合同第5.1条规定的交货地点的一切运输事项，相关费用应包括在合同总价中。</w:t>
      </w:r>
    </w:p>
    <w:p>
      <w:pPr>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8.2乙方应向保险公司投保以甲方为受益人的发运合同货物发票金额的110％运输一切险。</w:t>
      </w:r>
    </w:p>
    <w:p>
      <w:pPr>
        <w:kinsoku/>
        <w:wordWrap/>
        <w:overflowPunct/>
        <w:bidi w:val="0"/>
        <w:adjustRightInd w:val="0"/>
        <w:snapToGrid w:val="0"/>
        <w:spacing w:beforeAutospacing="0" w:line="440" w:lineRule="exact"/>
        <w:ind w:left="0" w:leftChars="0" w:right="0" w:right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9.质量标准和保证</w:t>
      </w:r>
    </w:p>
    <w:p>
      <w:pPr>
        <w:pStyle w:val="29"/>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9.1 质量标准</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（1）本合同下交付的货物应符合第三章“采购需求”所述的标准。如果没有提及适用标准，则应符合中华人民共和国有关机构发布的最新版本的标准。</w:t>
      </w:r>
    </w:p>
    <w:p>
      <w:pPr>
        <w:pStyle w:val="29"/>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（3）乙方所出售的货物还应符合国家有关安全、环保、卫生之规定。</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保证</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规定或乙方承诺（两者以较长的为准）的质量保证期内，本保证保持有效。</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（3）乙方收到通知后应在</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规定的响应时间内以合理的速度免费维修或更换有缺陷的货物或部件。</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pPr>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（5）乙方在约定的时间内未能弥补缺陷，甲方可采取必要的补救措施，但其风险和费用将由乙方承担，甲方根据合同规定对乙方行使的其他权利不受影响。</w:t>
      </w:r>
    </w:p>
    <w:p>
      <w:pPr>
        <w:kinsoku/>
        <w:wordWrap/>
        <w:overflowPunct/>
        <w:bidi w:val="0"/>
        <w:adjustRightInd w:val="0"/>
        <w:snapToGrid w:val="0"/>
        <w:spacing w:beforeAutospacing="0" w:line="440" w:lineRule="exact"/>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10.权利瑕疵担保</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 乙方保证对其出售的货物享有合法的权利。</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 乙方保证在其出售的货物上不存在任何未曾向甲方透露的担保物权，如抵押权、质押权、留置权等。</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 如甲方使用该货物构成上述侵权的，则由乙方承担全部责任。</w:t>
      </w:r>
    </w:p>
    <w:p>
      <w:pPr>
        <w:kinsoku/>
        <w:wordWrap/>
        <w:overflowPunct/>
        <w:autoSpaceDE w:val="0"/>
        <w:autoSpaceDN w:val="0"/>
        <w:bidi w:val="0"/>
        <w:adjustRightInd w:val="0"/>
        <w:snapToGrid w:val="0"/>
        <w:spacing w:beforeAutospacing="0" w:line="440" w:lineRule="exact"/>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11.知识产权保护</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乙方对其所销售的货物应当享有知识产权或经权利人合法授权，保证没有侵犯任何第三人的知识产权和商业秘密等权利。</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甲方使用乙方提供的货物对第三人构成侵权的，应当由乙方承担全部法律责任，给甲方造成损害的，乙方应当承担赔偿责任。</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甲方委托乙方开发的产品，甲方享有知识产权，未经甲方许可不得转让任何第三人。</w:t>
      </w:r>
    </w:p>
    <w:p>
      <w:pPr>
        <w:kinsoku/>
        <w:wordWrap/>
        <w:overflowPunct/>
        <w:autoSpaceDE w:val="0"/>
        <w:autoSpaceDN w:val="0"/>
        <w:bidi w:val="0"/>
        <w:adjustRightInd w:val="0"/>
        <w:snapToGrid w:val="0"/>
        <w:spacing w:beforeAutospacing="0" w:line="440" w:lineRule="exact"/>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12.保密义务</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甲、乙双方在采购和履行合同过程中所获悉的对方属于保密的内容，双方均有保密义务。</w:t>
      </w:r>
    </w:p>
    <w:p>
      <w:pPr>
        <w:kinsoku/>
        <w:wordWrap/>
        <w:overflowPunct/>
        <w:autoSpaceDE w:val="0"/>
        <w:autoSpaceDN w:val="0"/>
        <w:bidi w:val="0"/>
        <w:adjustRightInd w:val="0"/>
        <w:snapToGrid w:val="0"/>
        <w:spacing w:beforeAutospacing="0" w:line="440" w:lineRule="exact"/>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13.合同价款支付</w:t>
      </w:r>
    </w:p>
    <w:p>
      <w:pPr>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13.1验收合格后，乙方出具正规发票给甲方，凭甲方开具的《政府采购合同验收报告单》办理合同价</w:t>
      </w:r>
      <w:r>
        <w:rPr>
          <w:rFonts w:hint="eastAsia" w:ascii="仿宋" w:hAnsi="仿宋" w:eastAsia="仿宋" w:cs="仿宋"/>
          <w:bCs/>
          <w:color w:val="auto"/>
          <w:sz w:val="24"/>
          <w:szCs w:val="24"/>
          <w:highlight w:val="none"/>
        </w:rPr>
        <w:t>款</w:t>
      </w:r>
      <w:r>
        <w:rPr>
          <w:rFonts w:hint="eastAsia" w:ascii="仿宋" w:hAnsi="仿宋" w:eastAsia="仿宋" w:cs="仿宋"/>
          <w:color w:val="auto"/>
          <w:sz w:val="24"/>
          <w:szCs w:val="24"/>
          <w:highlight w:val="none"/>
        </w:rPr>
        <w:t>结算手续。</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合同价款构成中应当由财政支付的部分，甲方应当在货物验收合格后的十五个工作日内向国库管理部门申请支付，经国库管理部门审核后直接支付给乙方。</w:t>
      </w:r>
    </w:p>
    <w:p>
      <w:pPr>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合同价款构成中应当由甲方自行支付的部分，甲方应当在货物验收合格后十五个工作内支付。</w:t>
      </w:r>
    </w:p>
    <w:p>
      <w:pPr>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13.4支付合同价</w:t>
      </w:r>
      <w:r>
        <w:rPr>
          <w:rFonts w:hint="eastAsia" w:ascii="仿宋" w:hAnsi="仿宋" w:eastAsia="仿宋" w:cs="仿宋"/>
          <w:bCs/>
          <w:color w:val="auto"/>
          <w:sz w:val="24"/>
          <w:szCs w:val="24"/>
          <w:highlight w:val="none"/>
        </w:rPr>
        <w:t>款</w:t>
      </w:r>
      <w:r>
        <w:rPr>
          <w:rFonts w:hint="eastAsia" w:ascii="仿宋" w:hAnsi="仿宋" w:eastAsia="仿宋" w:cs="仿宋"/>
          <w:color w:val="auto"/>
          <w:sz w:val="24"/>
          <w:szCs w:val="24"/>
          <w:highlight w:val="none"/>
        </w:rPr>
        <w:t>时，一律不向乙方以外的任何第三方办理付款手续。开户行和账号以签订的政府采购合同为准，如果乙方要求变更，则乙方必须提供加盖了财务专用章、法定代表人签字的证明文件，报经甲方审查同意。</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 合同价款支付方式</w:t>
      </w:r>
      <w:r>
        <w:rPr>
          <w:rFonts w:hint="eastAsia" w:ascii="仿宋" w:hAnsi="仿宋" w:eastAsia="仿宋" w:cs="仿宋"/>
          <w:bCs/>
          <w:color w:val="auto"/>
          <w:sz w:val="24"/>
          <w:szCs w:val="24"/>
          <w:highlight w:val="none"/>
        </w:rPr>
        <w:t>和条件在</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中另有规定。</w:t>
      </w:r>
    </w:p>
    <w:p>
      <w:pPr>
        <w:kinsoku/>
        <w:wordWrap/>
        <w:overflowPunct/>
        <w:autoSpaceDE w:val="0"/>
        <w:autoSpaceDN w:val="0"/>
        <w:bidi w:val="0"/>
        <w:adjustRightInd w:val="0"/>
        <w:snapToGrid w:val="0"/>
        <w:spacing w:beforeAutospacing="0" w:line="440" w:lineRule="exact"/>
        <w:ind w:left="0" w:leftChars="0" w:right="0" w:rightChars="0"/>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14.</w:t>
      </w:r>
      <w:r>
        <w:rPr>
          <w:rFonts w:hint="eastAsia" w:ascii="仿宋" w:hAnsi="仿宋" w:eastAsia="仿宋" w:cs="仿宋"/>
          <w:b/>
          <w:color w:val="auto"/>
          <w:sz w:val="24"/>
          <w:szCs w:val="24"/>
          <w:highlight w:val="none"/>
        </w:rPr>
        <w:t>伴随服务</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乙方应向甲方提交所提供货物的技术文件，包括相应的中文技术文件，如：产品目录、图纸、操作手册、使用说明、维护手册或服务指南。这些文件应包装好随同货物一起发运。</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乙方还应提供下列服务：</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（3）在合同各方商定的一定期限内对所有的货物实施运行监督、维修，但前提条件是该服务并不能免除乙方在质量保证期内所承担的义务；</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（4）在制造商或项目现场就货物的安装、启动、运营、维护对甲方操作人员进行培训。</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与第三章“采购需求”规定的其他伴随服务</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乙方提供的伴随服务的费用应包含在合同价款中，甲方不再另行支付。</w:t>
      </w:r>
    </w:p>
    <w:p>
      <w:pPr>
        <w:kinsoku/>
        <w:wordWrap/>
        <w:overflowPunct/>
        <w:bidi w:val="0"/>
        <w:adjustRightInd w:val="0"/>
        <w:snapToGrid w:val="0"/>
        <w:spacing w:beforeAutospacing="0" w:line="440" w:lineRule="exact"/>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15.违约责任</w:t>
      </w:r>
    </w:p>
    <w:p>
      <w:pPr>
        <w:kinsoku/>
        <w:wordWrap/>
        <w:overflowPunct/>
        <w:bidi w:val="0"/>
        <w:adjustRightInd w:val="0"/>
        <w:snapToGrid w:val="0"/>
        <w:spacing w:beforeAutospacing="0" w:line="440" w:lineRule="exact"/>
        <w:ind w:left="0" w:leftChars="0" w:right="0" w:rightChars="0" w:firstLine="360" w:firstLineChars="15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15.1质量瑕疵的补救措施和索赔</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①乙方同意退货并将货款退还给甲方，由此发生的一切费用和损失由乙方承担。</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②根据货物的质量状况以及甲方所遭受的损失，经过甲乙双方商定降低货物的价格。</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15.2 迟延交货的违约责任</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（2）除本合同</w:t>
      </w:r>
      <w:r>
        <w:rPr>
          <w:rFonts w:hint="eastAsia" w:ascii="仿宋" w:hAnsi="仿宋" w:eastAsia="仿宋" w:cs="仿宋"/>
          <w:bCs/>
          <w:color w:val="auto"/>
          <w:sz w:val="24"/>
          <w:szCs w:val="24"/>
          <w:highlight w:val="none"/>
        </w:rPr>
        <w:t>第20条</w:t>
      </w:r>
      <w:r>
        <w:rPr>
          <w:rFonts w:hint="eastAsia" w:ascii="仿宋" w:hAnsi="仿宋" w:eastAsia="仿宋" w:cs="仿宋"/>
          <w:color w:val="auto"/>
          <w:sz w:val="24"/>
          <w:szCs w:val="24"/>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pPr>
        <w:kinsoku/>
        <w:wordWrap/>
        <w:overflowPunct/>
        <w:autoSpaceDE w:val="0"/>
        <w:autoSpaceDN w:val="0"/>
        <w:bidi w:val="0"/>
        <w:adjustRightInd w:val="0"/>
        <w:snapToGrid w:val="0"/>
        <w:spacing w:beforeAutospacing="0" w:line="440" w:lineRule="exact"/>
        <w:ind w:left="0" w:leftChars="0" w:right="0" w:right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16.合同的变更</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在合同履行过程中，甲、乙双方可就合同履行的时间、地点和方式等协商进行变更。协商一致后，双方应签订书面的补充协议。</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在不改变合同其他条款的前提下，甲方有权在合同价款百分之十的范围内追加与合同标的相同的货物或服务，并就此与乙方签订补充合同，乙方不得拒绝。</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 除双方签署书面协议，并成为合同不可分割的一部分外，本合同条件不得有任何变更。</w:t>
      </w:r>
    </w:p>
    <w:p>
      <w:pPr>
        <w:kinsoku/>
        <w:wordWrap/>
        <w:overflowPunct/>
        <w:autoSpaceDE w:val="0"/>
        <w:autoSpaceDN w:val="0"/>
        <w:bidi w:val="0"/>
        <w:adjustRightInd w:val="0"/>
        <w:snapToGrid w:val="0"/>
        <w:spacing w:beforeAutospacing="0" w:line="440" w:lineRule="exact"/>
        <w:ind w:left="0" w:leftChars="0" w:right="0" w:right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17.合同中止与终止</w:t>
      </w:r>
    </w:p>
    <w:p>
      <w:pPr>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17.1合同的中止</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（1）合同在履行过程中，因采购计划调整，甲方可以要求中止履行，待计划确定后继续履行；</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（2）合同履行过程中因供应商就采购过程或结果提起投诉的，甲方认为有必要或财政部门责令中止的，应当中止合同的履行。</w:t>
      </w:r>
    </w:p>
    <w:p>
      <w:pPr>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17.2合同的终止</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（2）乙方未能依照本合同约定条件履行合同，已构成根本性违约的，甲方有权终止本合同，并追究乙方的违约责任。</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（3）如果乙方丧失履约能力或被宣告破产，甲方可在任何时候以书面形式通知乙方终止合同而不给乙方补偿。</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（4）如果乙方在履行合同过程中有不正当竞争行为，甲方有权解除合同，并按《中华人民共和国反不正当竞争法》规定由有关部门追究其法律责任。</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（5）如果合同的履行将损害国家利益或社会公共利益，甲方有权终止合同的履行，给乙方造成损失的予以相应补偿。</w:t>
      </w:r>
    </w:p>
    <w:p>
      <w:pPr>
        <w:kinsoku/>
        <w:wordWrap/>
        <w:overflowPunct/>
        <w:autoSpaceDE w:val="0"/>
        <w:autoSpaceDN w:val="0"/>
        <w:bidi w:val="0"/>
        <w:adjustRightInd w:val="0"/>
        <w:snapToGrid w:val="0"/>
        <w:spacing w:beforeAutospacing="0" w:line="440" w:lineRule="exact"/>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18.合同转让和分包</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乙方不得以任何形式将合同约定的乙方义务转包。</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乙方未在投标文件中说明，不得将</w:t>
      </w:r>
      <w:r>
        <w:rPr>
          <w:rFonts w:hint="eastAsia" w:ascii="仿宋" w:hAnsi="仿宋" w:eastAsia="仿宋" w:cs="仿宋"/>
          <w:bCs/>
          <w:color w:val="auto"/>
          <w:sz w:val="24"/>
          <w:szCs w:val="24"/>
          <w:highlight w:val="none"/>
        </w:rPr>
        <w:t>合同约定的乙方义务</w:t>
      </w:r>
      <w:r>
        <w:rPr>
          <w:rFonts w:hint="eastAsia" w:ascii="仿宋" w:hAnsi="仿宋" w:eastAsia="仿宋" w:cs="仿宋"/>
          <w:color w:val="auto"/>
          <w:sz w:val="24"/>
          <w:szCs w:val="24"/>
          <w:highlight w:val="none"/>
        </w:rPr>
        <w:t>分包给他人。</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根据政府采购</w:t>
      </w:r>
      <w:r>
        <w:rPr>
          <w:rFonts w:hint="eastAsia" w:ascii="仿宋" w:hAnsi="仿宋" w:eastAsia="仿宋" w:cs="仿宋"/>
          <w:bCs/>
          <w:color w:val="auto"/>
          <w:kern w:val="0"/>
          <w:sz w:val="24"/>
          <w:szCs w:val="24"/>
          <w:highlight w:val="none"/>
        </w:rPr>
        <w:t>支持</w:t>
      </w:r>
      <w:r>
        <w:rPr>
          <w:rFonts w:hint="eastAsia" w:ascii="仿宋" w:hAnsi="仿宋" w:eastAsia="仿宋" w:cs="仿宋"/>
          <w:color w:val="auto"/>
          <w:sz w:val="24"/>
          <w:szCs w:val="24"/>
          <w:highlight w:val="none"/>
        </w:rPr>
        <w:t>中小企业发展政策规定，经甲方同意，获得政府采购合同的大型企业可依法向中小企业分包。</w:t>
      </w:r>
    </w:p>
    <w:p>
      <w:pPr>
        <w:kinsoku/>
        <w:wordWrap/>
        <w:overflowPunct/>
        <w:autoSpaceDE w:val="0"/>
        <w:autoSpaceDN w:val="0"/>
        <w:bidi w:val="0"/>
        <w:adjustRightInd w:val="0"/>
        <w:snapToGrid w:val="0"/>
        <w:spacing w:beforeAutospacing="0" w:line="440" w:lineRule="exact"/>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19.供应商的广告或宣传</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 未经甲方事先书面许可，乙方不得以履行本政府采购合同为由，以广告或其他形式宣称其是政府采购指定供应商或其产品是政府采购指定产品。</w:t>
      </w:r>
    </w:p>
    <w:p>
      <w:pPr>
        <w:kinsoku/>
        <w:wordWrap/>
        <w:overflowPunct/>
        <w:autoSpaceDE w:val="0"/>
        <w:autoSpaceDN w:val="0"/>
        <w:bidi w:val="0"/>
        <w:adjustRightInd w:val="0"/>
        <w:snapToGrid w:val="0"/>
        <w:spacing w:beforeAutospacing="0" w:line="440" w:lineRule="exact"/>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20.不可抗力</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 不可抗力是指合同双方不可预见、不可避免、不可克服的自然灾害和社会事件。</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 任何一方对由于不可抗力造成的部分或全部不能履行合同不承担违约责任。但迟延履行后发生不可抗力的，不能免除责任。</w:t>
      </w:r>
    </w:p>
    <w:p>
      <w:pPr>
        <w:pStyle w:val="278"/>
        <w:kinsoku/>
        <w:wordWrap/>
        <w:overflowPunct/>
        <w:bidi w:val="0"/>
        <w:adjustRightInd w:val="0"/>
        <w:snapToGrid w:val="0"/>
        <w:spacing w:beforeAutospacing="0" w:line="440" w:lineRule="exact"/>
        <w:ind w:left="0" w:leftChars="0" w:right="0" w:rightChars="0" w:firstLine="0" w:firstLine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 遇有不可抗力的一方，应在三日内将事件的情况以书面形式通知另一方，并在事件发生后十日内，向另一方提交合同不能履行或部分不能履行或需要延期履行理由的报告。</w:t>
      </w:r>
    </w:p>
    <w:p>
      <w:pPr>
        <w:kinsoku/>
        <w:wordWrap/>
        <w:overflowPunct/>
        <w:autoSpaceDE w:val="0"/>
        <w:autoSpaceDN w:val="0"/>
        <w:bidi w:val="0"/>
        <w:adjustRightInd w:val="0"/>
        <w:snapToGrid w:val="0"/>
        <w:spacing w:beforeAutospacing="0" w:line="440" w:lineRule="exact"/>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21.解决争议的方法</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合同各方应通过友好协商，解决在执行合同过程中所发生的或与合同有关的一切争端。如从协商开始后十日内仍不能解决，可以向财政部门提请调解。</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调解不成可以按</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中规定下列方式之一提起仲裁或诉讼：</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（1）向甲方所在地仲裁机构提起仲裁；</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（2）向甲方所在地人民法院提起诉讼。</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如仲裁或诉讼事项不影响合同其他部分的履行，则在仲裁或诉讼期间，除正在进行仲裁或诉讼的部分外，合同的其他部分应继续执行。</w:t>
      </w:r>
    </w:p>
    <w:p>
      <w:pPr>
        <w:kinsoku/>
        <w:wordWrap/>
        <w:overflowPunct/>
        <w:autoSpaceDE w:val="0"/>
        <w:autoSpaceDN w:val="0"/>
        <w:bidi w:val="0"/>
        <w:adjustRightInd w:val="0"/>
        <w:snapToGrid w:val="0"/>
        <w:spacing w:beforeAutospacing="0" w:line="440" w:lineRule="exact"/>
        <w:ind w:left="0" w:leftChars="0" w:right="0" w:right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22.法律适用</w:t>
      </w:r>
    </w:p>
    <w:p>
      <w:pPr>
        <w:kinsoku/>
        <w:wordWrap/>
        <w:overflowPunct/>
        <w:autoSpaceDE w:val="0"/>
        <w:autoSpaceDN w:val="0"/>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本合同适用中华人民共和国现行法律、行政法规和规章，如合同条款与法律、行政法规和规章不一致的，按照法律、行政法规和规章修改本合同。</w:t>
      </w:r>
    </w:p>
    <w:p>
      <w:pPr>
        <w:kinsoku/>
        <w:wordWrap/>
        <w:overflowPunct/>
        <w:autoSpaceDE w:val="0"/>
        <w:autoSpaceDN w:val="0"/>
        <w:bidi w:val="0"/>
        <w:adjustRightInd w:val="0"/>
        <w:snapToGrid w:val="0"/>
        <w:spacing w:beforeAutospacing="0" w:line="440" w:lineRule="exact"/>
        <w:ind w:left="0" w:leftChars="0" w:right="0" w:rightChars="0"/>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23.</w:t>
      </w:r>
      <w:r>
        <w:rPr>
          <w:rFonts w:hint="eastAsia" w:ascii="仿宋" w:hAnsi="仿宋" w:eastAsia="仿宋" w:cs="仿宋"/>
          <w:b/>
          <w:color w:val="auto"/>
          <w:sz w:val="24"/>
          <w:szCs w:val="24"/>
          <w:highlight w:val="none"/>
        </w:rPr>
        <w:t>通知</w:t>
      </w:r>
    </w:p>
    <w:p>
      <w:pPr>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23.1本合同一方给另一方的通知均应采用书面形式，传真或快递送到本合同中规定的对方的地址和办理签收手续，</w:t>
      </w:r>
    </w:p>
    <w:p>
      <w:pPr>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23.2通知以送到之日或通知书中规定的生效之日起生效，两者中以较迟之日为准。</w:t>
      </w:r>
    </w:p>
    <w:p>
      <w:pPr>
        <w:kinsoku/>
        <w:wordWrap/>
        <w:overflowPunct/>
        <w:bidi w:val="0"/>
        <w:adjustRightInd w:val="0"/>
        <w:snapToGrid w:val="0"/>
        <w:spacing w:beforeAutospacing="0" w:line="440" w:lineRule="exact"/>
        <w:ind w:left="0" w:leftChars="0"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24.合同未尽事项</w:t>
      </w:r>
    </w:p>
    <w:p>
      <w:pPr>
        <w:kinsoku/>
        <w:wordWrap/>
        <w:overflowPunct/>
        <w:bidi w:val="0"/>
        <w:adjustRightInd w:val="0"/>
        <w:snapToGrid w:val="0"/>
        <w:spacing w:beforeAutospacing="0" w:line="440" w:lineRule="exact"/>
        <w:ind w:left="0" w:leftChars="0" w:right="0" w:rightChars="0"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24.1合同未尽事项见</w:t>
      </w:r>
      <w:r>
        <w:rPr>
          <w:rFonts w:hint="eastAsia" w:ascii="仿宋" w:hAnsi="仿宋" w:eastAsia="仿宋" w:cs="仿宋"/>
          <w:b/>
          <w:color w:val="auto"/>
          <w:sz w:val="24"/>
          <w:szCs w:val="24"/>
          <w:highlight w:val="none"/>
        </w:rPr>
        <w:t>投标人须知前附表。</w:t>
      </w:r>
    </w:p>
    <w:p>
      <w:pPr>
        <w:kinsoku/>
        <w:wordWrap/>
        <w:overflowPunct/>
        <w:bidi w:val="0"/>
        <w:adjustRightInd w:val="0"/>
        <w:snapToGrid w:val="0"/>
        <w:spacing w:beforeAutospacing="0" w:line="440" w:lineRule="exact"/>
        <w:ind w:left="0" w:leftChars="0" w:right="0" w:right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25.合同份数及生效</w:t>
      </w:r>
    </w:p>
    <w:p>
      <w:pPr>
        <w:kinsoku/>
        <w:wordWrap/>
        <w:overflowPunct/>
        <w:bidi w:val="0"/>
        <w:adjustRightInd w:val="0"/>
        <w:snapToGrid w:val="0"/>
        <w:spacing w:beforeAutospacing="0" w:line="440" w:lineRule="exact"/>
        <w:ind w:left="0" w:leftChars="0" w:right="0" w:righ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25.1合同份数见</w:t>
      </w:r>
      <w:r>
        <w:rPr>
          <w:rFonts w:hint="eastAsia" w:ascii="仿宋" w:hAnsi="仿宋" w:eastAsia="仿宋" w:cs="仿宋"/>
          <w:b/>
          <w:color w:val="auto"/>
          <w:sz w:val="24"/>
          <w:szCs w:val="24"/>
          <w:highlight w:val="none"/>
        </w:rPr>
        <w:t>投标人须知前附表</w:t>
      </w:r>
      <w:r>
        <w:rPr>
          <w:rFonts w:hint="eastAsia" w:ascii="仿宋" w:hAnsi="仿宋" w:eastAsia="仿宋" w:cs="仿宋"/>
          <w:color w:val="auto"/>
          <w:sz w:val="24"/>
          <w:szCs w:val="24"/>
          <w:highlight w:val="none"/>
        </w:rPr>
        <w:t>。</w:t>
      </w:r>
    </w:p>
    <w:p>
      <w:pPr>
        <w:kinsoku/>
        <w:wordWrap/>
        <w:overflowPunct/>
        <w:bidi w:val="0"/>
        <w:snapToGrid w:val="0"/>
        <w:spacing w:beforeAutospacing="0" w:line="440" w:lineRule="exact"/>
        <w:ind w:left="0" w:leftChars="0" w:right="0" w:righ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25.2合同自甲乙双方法定代表人或授权代表签字并加盖单位公章之日起生效。</w:t>
      </w:r>
    </w:p>
    <w:p>
      <w:pPr>
        <w:kinsoku/>
        <w:wordWrap/>
        <w:overflowPunct/>
        <w:bidi w:val="0"/>
        <w:snapToGrid w:val="0"/>
        <w:spacing w:beforeAutospacing="0" w:line="440" w:lineRule="exact"/>
        <w:ind w:left="0" w:leftChars="0" w:right="0" w:rightChars="0"/>
        <w:jc w:val="center"/>
        <w:textAlignment w:val="auto"/>
        <w:rPr>
          <w:rFonts w:hint="eastAsia" w:ascii="仿宋" w:hAnsi="仿宋" w:eastAsia="仿宋" w:cs="仿宋"/>
          <w:b/>
          <w:color w:val="auto"/>
          <w:sz w:val="24"/>
          <w:szCs w:val="24"/>
          <w:highlight w:val="none"/>
        </w:rPr>
      </w:pPr>
    </w:p>
    <w:p>
      <w:pPr>
        <w:kinsoku/>
        <w:wordWrap/>
        <w:overflowPunct/>
        <w:bidi w:val="0"/>
        <w:snapToGrid w:val="0"/>
        <w:spacing w:beforeAutospacing="0" w:line="440" w:lineRule="exact"/>
        <w:ind w:left="0" w:leftChars="0" w:right="0" w:rightChars="0"/>
        <w:jc w:val="center"/>
        <w:textAlignment w:val="auto"/>
        <w:rPr>
          <w:rFonts w:hint="eastAsia" w:ascii="仿宋" w:hAnsi="仿宋" w:eastAsia="仿宋" w:cs="仿宋"/>
          <w:b/>
          <w:color w:val="auto"/>
          <w:sz w:val="24"/>
          <w:szCs w:val="24"/>
          <w:highlight w:val="none"/>
        </w:rPr>
      </w:pPr>
    </w:p>
    <w:p>
      <w:pPr>
        <w:kinsoku/>
        <w:wordWrap/>
        <w:overflowPunct/>
        <w:bidi w:val="0"/>
        <w:snapToGrid w:val="0"/>
        <w:spacing w:beforeAutospacing="0" w:line="440" w:lineRule="exact"/>
        <w:ind w:left="0" w:leftChars="0" w:right="0" w:rightChars="0"/>
        <w:jc w:val="center"/>
        <w:textAlignment w:val="auto"/>
        <w:rPr>
          <w:rFonts w:hint="eastAsia" w:ascii="仿宋" w:hAnsi="仿宋" w:eastAsia="仿宋" w:cs="仿宋"/>
          <w:b/>
          <w:color w:val="auto"/>
          <w:sz w:val="24"/>
          <w:szCs w:val="24"/>
          <w:highlight w:val="none"/>
        </w:rPr>
      </w:pPr>
    </w:p>
    <w:p>
      <w:pPr>
        <w:kinsoku/>
        <w:wordWrap/>
        <w:overflowPunct/>
        <w:bidi w:val="0"/>
        <w:snapToGrid w:val="0"/>
        <w:spacing w:beforeAutospacing="0" w:line="440" w:lineRule="exact"/>
        <w:ind w:left="0" w:leftChars="0" w:right="0" w:rightChars="0"/>
        <w:jc w:val="center"/>
        <w:textAlignment w:val="auto"/>
        <w:rPr>
          <w:rFonts w:hint="eastAsia" w:ascii="仿宋" w:hAnsi="仿宋" w:eastAsia="仿宋" w:cs="仿宋"/>
          <w:b/>
          <w:color w:val="auto"/>
          <w:sz w:val="24"/>
          <w:szCs w:val="24"/>
          <w:highlight w:val="none"/>
        </w:rPr>
      </w:pPr>
    </w:p>
    <w:p>
      <w:pPr>
        <w:kinsoku/>
        <w:wordWrap/>
        <w:overflowPunct/>
        <w:bidi w:val="0"/>
        <w:snapToGrid w:val="0"/>
        <w:spacing w:beforeAutospacing="0" w:line="440" w:lineRule="exact"/>
        <w:ind w:left="0" w:leftChars="0" w:right="0" w:rightChars="0"/>
        <w:jc w:val="center"/>
        <w:textAlignment w:val="auto"/>
        <w:rPr>
          <w:rFonts w:hint="eastAsia" w:ascii="仿宋" w:hAnsi="仿宋" w:eastAsia="仿宋" w:cs="仿宋"/>
          <w:b/>
          <w:color w:val="auto"/>
          <w:sz w:val="24"/>
          <w:szCs w:val="24"/>
          <w:highlight w:val="none"/>
        </w:rPr>
      </w:pPr>
    </w:p>
    <w:p>
      <w:pPr>
        <w:kinsoku/>
        <w:wordWrap/>
        <w:overflowPunct/>
        <w:bidi w:val="0"/>
        <w:snapToGrid w:val="0"/>
        <w:spacing w:beforeAutospacing="0" w:line="440" w:lineRule="exact"/>
        <w:ind w:left="0" w:leftChars="0" w:right="0" w:rightChars="0"/>
        <w:jc w:val="center"/>
        <w:textAlignment w:val="auto"/>
        <w:rPr>
          <w:rFonts w:hint="eastAsia" w:ascii="仿宋" w:hAnsi="仿宋" w:eastAsia="仿宋" w:cs="仿宋"/>
          <w:b/>
          <w:color w:val="auto"/>
          <w:sz w:val="24"/>
          <w:szCs w:val="24"/>
          <w:highlight w:val="none"/>
        </w:rPr>
      </w:pPr>
    </w:p>
    <w:p>
      <w:pPr>
        <w:kinsoku/>
        <w:wordWrap/>
        <w:overflowPunct/>
        <w:bidi w:val="0"/>
        <w:snapToGrid w:val="0"/>
        <w:spacing w:beforeAutospacing="0" w:line="440" w:lineRule="exact"/>
        <w:ind w:left="0" w:leftChars="0" w:right="0" w:rightChars="0"/>
        <w:jc w:val="center"/>
        <w:textAlignment w:val="auto"/>
        <w:rPr>
          <w:rFonts w:hint="eastAsia" w:ascii="仿宋" w:hAnsi="仿宋" w:eastAsia="仿宋" w:cs="仿宋"/>
          <w:b/>
          <w:color w:val="auto"/>
          <w:sz w:val="24"/>
          <w:szCs w:val="24"/>
          <w:highlight w:val="none"/>
        </w:rPr>
      </w:pPr>
    </w:p>
    <w:p>
      <w:pPr>
        <w:kinsoku/>
        <w:wordWrap/>
        <w:overflowPunct/>
        <w:bidi w:val="0"/>
        <w:snapToGrid w:val="0"/>
        <w:spacing w:beforeAutospacing="0" w:line="440" w:lineRule="exact"/>
        <w:ind w:left="0" w:leftChars="0" w:right="0" w:rightChars="0"/>
        <w:jc w:val="center"/>
        <w:textAlignment w:val="auto"/>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widowControl/>
        <w:numPr>
          <w:ilvl w:val="0"/>
          <w:numId w:val="12"/>
        </w:numPr>
        <w:kinsoku/>
        <w:wordWrap/>
        <w:overflowPunct/>
        <w:bidi w:val="0"/>
        <w:spacing w:beforeAutospacing="0" w:line="440" w:lineRule="exact"/>
        <w:ind w:left="0" w:leftChars="0" w:right="0" w:rightChars="0"/>
        <w:jc w:val="center"/>
        <w:textAlignment w:val="auto"/>
        <w:outlineLvl w:val="0"/>
        <w:rPr>
          <w:rFonts w:hint="eastAsia" w:ascii="仿宋" w:hAnsi="仿宋" w:eastAsia="仿宋" w:cs="仿宋"/>
          <w:b/>
          <w:color w:val="auto"/>
          <w:sz w:val="24"/>
          <w:szCs w:val="24"/>
          <w:highlight w:val="none"/>
        </w:rPr>
      </w:pPr>
      <w:bookmarkStart w:id="3" w:name="_Toc10316"/>
      <w:r>
        <w:rPr>
          <w:rFonts w:hint="eastAsia" w:ascii="仿宋" w:hAnsi="仿宋" w:eastAsia="仿宋" w:cs="仿宋"/>
          <w:b/>
          <w:color w:val="auto"/>
          <w:sz w:val="24"/>
          <w:szCs w:val="24"/>
          <w:highlight w:val="none"/>
        </w:rPr>
        <w:t>采购需求</w:t>
      </w:r>
      <w:bookmarkEnd w:id="3"/>
    </w:p>
    <w:tbl>
      <w:tblPr>
        <w:tblStyle w:val="51"/>
        <w:tblW w:w="8460" w:type="dxa"/>
        <w:tblInd w:w="93" w:type="dxa"/>
        <w:shd w:val="clear" w:color="auto" w:fill="auto"/>
        <w:tblLayout w:type="autofit"/>
        <w:tblCellMar>
          <w:top w:w="0" w:type="dxa"/>
          <w:left w:w="108" w:type="dxa"/>
          <w:bottom w:w="0" w:type="dxa"/>
          <w:right w:w="108" w:type="dxa"/>
        </w:tblCellMar>
      </w:tblPr>
      <w:tblGrid>
        <w:gridCol w:w="555"/>
        <w:gridCol w:w="1425"/>
        <w:gridCol w:w="5370"/>
        <w:gridCol w:w="555"/>
        <w:gridCol w:w="555"/>
      </w:tblGrid>
      <w:tr>
        <w:tblPrEx>
          <w:shd w:val="clear" w:color="auto" w:fill="auto"/>
          <w:tblCellMar>
            <w:top w:w="0" w:type="dxa"/>
            <w:left w:w="108" w:type="dxa"/>
            <w:bottom w:w="0" w:type="dxa"/>
            <w:right w:w="108" w:type="dxa"/>
          </w:tblCellMar>
        </w:tblPrEx>
        <w:trPr>
          <w:trHeight w:val="5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申请科室</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名称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数量</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单位</w:t>
            </w:r>
          </w:p>
        </w:tc>
      </w:tr>
      <w:tr>
        <w:tblPrEx>
          <w:shd w:val="clear" w:color="auto" w:fill="auto"/>
          <w:tblCellMar>
            <w:top w:w="0" w:type="dxa"/>
            <w:left w:w="108" w:type="dxa"/>
            <w:bottom w:w="0" w:type="dxa"/>
            <w:right w:w="108" w:type="dxa"/>
          </w:tblCellMar>
        </w:tblPrEx>
        <w:trPr>
          <w:trHeight w:val="4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视频生物反馈神经肌肉运动控制髋关节内收外展训练设备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下肢闭链蹬踏测试训练器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认知康复诊断仪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便携式肺功能仪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shd w:val="clear" w:color="auto" w:fill="auto"/>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肌骨可视化超声引导设备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盆底磁治疗仪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shd w:val="clear" w:color="auto" w:fill="auto"/>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 xml:space="preserve">经颅磁刺激仪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上肢康复机器人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吞咽神经肌肉低频电刺激仪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磁振热治疗仪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便携式手关节康复训练仪（气动联合康复）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全自动智能蜡疗仪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上、下肢康复训练设备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床旁下肢康复训练设备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紫外线治疗仪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shd w:val="clear" w:color="auto" w:fill="auto"/>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极超短波治疗机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空气波压力治疗仪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全身音波垂直律动康复训练仪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智能关节康复器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shd w:val="clear" w:color="auto" w:fill="auto"/>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减重步态康复平台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医用跑台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气阻式智能多关节运动控制训练设备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下肢智能康复训练器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悬吊治疗设备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下肢智能反馈训练器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汉语失语症心理语言评价与治疗设备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电动升降站立架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动态干扰电治疗仪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电动PT训练床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Bobath训练床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6段式手法治疗床（手动遥控，脚踏升降）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电动升降起立床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bookmarkStart w:id="75" w:name="_GoBack"/>
            <w:r>
              <w:rPr>
                <w:rFonts w:hint="eastAsia" w:ascii="仿宋" w:hAnsi="仿宋" w:eastAsia="仿宋" w:cs="仿宋"/>
                <w:b w:val="0"/>
                <w:bCs/>
                <w:color w:val="auto"/>
                <w:sz w:val="24"/>
                <w:szCs w:val="24"/>
                <w:highlight w:val="none"/>
                <w:lang w:val="en-US" w:eastAsia="zh-CN"/>
              </w:rPr>
              <w:t>步行反馈自适应康复系统工作站</w:t>
            </w:r>
            <w:bookmarkEnd w:id="75"/>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空气压力脑循环综合治疗仪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高能红外治疗仪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光子治疗仪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光子治疗仪（大功率）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红外治疗仪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下肢CPM关节康复器（膝、踝、髋）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套</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5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深层肌肉振动仪(DMS)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r>
        <w:tblPrEx>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康复科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变频便携式体外膈肌起搏器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kinsoku/>
              <w:wordWrap/>
              <w:overflowPunct/>
              <w:bidi w:val="0"/>
              <w:spacing w:before="0" w:beforeAutospacing="0" w:after="0" w:afterAutospacing="0" w:line="440" w:lineRule="exact"/>
              <w:ind w:left="0" w:leftChars="0" w:right="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台</w:t>
            </w:r>
          </w:p>
        </w:tc>
      </w:tr>
    </w:tbl>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第1到23个设备提供以下服务内容：</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将现有的康复医师、治疗师分批次培养，增强康复医学中心整体的科研实力。</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 xml:space="preserve">每年安排4人次进修学习，为期4年，将开展多学科合作及门诊诊疗。（不限治疗师或者康复医生） </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康复医师：能独立从事科研、临床及教学工作，对于外出进修的骨干，提供与一流专家交流的平台（包括康复科的运营管理方面和技能学习方面）。</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借助目前设备厂家的科研项目，与主课题医院建立子课题合作单位，形成良好的合作，开展数据收集工作，丰富科研内涵，开展科研交流。同时也帮助科室申请本地科研项目，如卫健委科研项目等，帮助后期科室发表论文2篇。</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康复治疗师：能配合康复医师从事康复治疗工作，并配合完成康复治疗技术研究科研工作。</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指导与设备相关的临床知识和操作技能培训。</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科室规范化操作体系的指导，定期及不定期举办科内人才培训班，分期分批培训科室人员，提高医疗水平。同时注重业务学习，通过定期开展专题讲座、知识考试、定期开展技术操作考核、比赛、科室晨会、科室内集中学习、岗位练兵、以考代评等多种方式逐步提高科室医务人员的理论与实际水平。</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科室人才储备的规划建议，积极参加省内外的康复治疗新技术、新发展学术研讨会，加强与国内先进康复机构的交流学习。</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邀请康复培训师定期到科室开展技术复习、指导。</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治疗师和医生到国内知名医院进修学习 3-6 个月.相关医院：中国康复研究所、北大康复医院、中山大学附属第一医院、上海交通大学附属第九医院、南方医科大学附属南方医院、上海阳光康复中心、广东省工伤康复医院、四川八一康复中心、江苏省人民医院、中南大学附属湘雅第二医院、中山大学附属第六医院，或者由医院指定学习地点。</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每季度请省内外知名专家坐诊、带教一次。（具体人员根据科室的需求及专家时间确定），为期4年。</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12</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每年举办不少于2场学术会议，为期3年</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13</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打造康复医学中心文化建设及宣传，包括康复理念、服务宗旨、名医介绍、新技术及设备介绍等，</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14</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帮助康复医学中心建立新疆运动康复培训基地。利用区域医疗政策，提升乌鲁木齐市友谊医院康复医学中心的知名度和实力，围绕综合康复、医养结合、区域医疗等方向开展业务的同时，也为医学康复中心承接科研实验、实习培训、成果转化等软实力产品带来较大机</w:t>
      </w:r>
      <w:r>
        <w:rPr>
          <w:rFonts w:hint="eastAsia" w:ascii="仿宋" w:hAnsi="仿宋" w:eastAsia="仿宋" w:cs="仿宋"/>
          <w:b w:val="0"/>
          <w:bCs w:val="0"/>
          <w:color w:val="auto"/>
          <w:sz w:val="24"/>
          <w:szCs w:val="24"/>
          <w:highlight w:val="none"/>
          <w:lang w:val="en-US" w:eastAsia="zh-CN"/>
        </w:rPr>
        <w:t>遇。</w:t>
      </w:r>
    </w:p>
    <w:p>
      <w:pPr>
        <w:kinsoku/>
        <w:wordWrap/>
        <w:overflowPunct/>
        <w:bidi w:val="0"/>
        <w:spacing w:beforeAutospacing="0" w:line="440" w:lineRule="exact"/>
        <w:ind w:left="0" w:leftChars="0" w:right="0"/>
        <w:rPr>
          <w:rFonts w:hint="eastAsia" w:ascii="仿宋" w:hAnsi="仿宋" w:eastAsia="仿宋" w:cs="仿宋"/>
          <w:b/>
          <w:bCs/>
          <w:color w:val="auto"/>
          <w:sz w:val="24"/>
          <w:szCs w:val="24"/>
          <w:highlight w:val="none"/>
          <w:lang w:val="en-US" w:eastAsia="zh-CN"/>
        </w:rPr>
      </w:pPr>
      <w:r>
        <w:rPr>
          <w:rFonts w:hint="eastAsia" w:ascii="仿宋" w:hAnsi="仿宋" w:eastAsia="仿宋" w:cs="仿宋"/>
          <w:b/>
          <w:color w:val="auto"/>
          <w:sz w:val="24"/>
          <w:szCs w:val="24"/>
          <w:highlight w:val="none"/>
        </w:rPr>
        <w:br w:type="page"/>
      </w:r>
      <w:bookmarkStart w:id="4" w:name="_Toc1351"/>
      <w:r>
        <w:rPr>
          <w:rFonts w:hint="eastAsia" w:ascii="仿宋" w:hAnsi="仿宋" w:eastAsia="仿宋" w:cs="仿宋"/>
          <w:b/>
          <w:bCs/>
          <w:color w:val="auto"/>
          <w:sz w:val="24"/>
          <w:szCs w:val="24"/>
          <w:highlight w:val="none"/>
          <w:lang w:val="en-US" w:eastAsia="zh-CN"/>
        </w:rPr>
        <w:t>(一)视频生物反馈神经肌肉运动控制髋关节内收外展训练系统</w:t>
      </w:r>
      <w:bookmarkEnd w:id="4"/>
    </w:p>
    <w:p>
      <w:pPr>
        <w:pStyle w:val="399"/>
        <w:pageBreakBefore w:val="0"/>
        <w:widowControl/>
        <w:kinsoku/>
        <w:wordWrap/>
        <w:overflowPunct/>
        <w:topLinePunct w:val="0"/>
        <w:autoSpaceDE w:val="0"/>
        <w:autoSpaceDN w:val="0"/>
        <w:bidi w:val="0"/>
        <w:adjustRightInd/>
        <w:snapToGrid/>
        <w:spacing w:beforeAutospacing="0" w:line="440" w:lineRule="exact"/>
        <w:ind w:left="0" w:leftChars="0" w:right="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1、设备功能及用途</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1.1、用于不同体位下进行髋关节内收和外展力量的训练（髋关节肌肉：臀大肌，内收肌等）</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1.2、视觉生物反馈力量训练</w:t>
      </w:r>
    </w:p>
    <w:p>
      <w:pPr>
        <w:pStyle w:val="399"/>
        <w:pageBreakBefore w:val="0"/>
        <w:widowControl/>
        <w:numPr>
          <w:ilvl w:val="0"/>
          <w:numId w:val="13"/>
        </w:numPr>
        <w:kinsoku/>
        <w:wordWrap/>
        <w:overflowPunct/>
        <w:topLinePunct w:val="0"/>
        <w:autoSpaceDE w:val="0"/>
        <w:autoSpaceDN w:val="0"/>
        <w:bidi w:val="0"/>
        <w:adjustRightInd/>
        <w:snapToGrid/>
        <w:spacing w:beforeAutospacing="0" w:line="440" w:lineRule="exact"/>
        <w:ind w:left="0" w:leftChars="0" w:right="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标准配置  </w:t>
      </w:r>
    </w:p>
    <w:p>
      <w:pPr>
        <w:pStyle w:val="399"/>
        <w:pageBreakBefore w:val="0"/>
        <w:widowControl/>
        <w:kinsoku/>
        <w:wordWrap/>
        <w:overflowPunct/>
        <w:topLinePunct w:val="0"/>
        <w:autoSpaceDE w:val="0"/>
        <w:autoSpaceDN w:val="0"/>
        <w:bidi w:val="0"/>
        <w:adjustRightInd/>
        <w:snapToGrid/>
        <w:spacing w:beforeAutospacing="0" w:line="440" w:lineRule="exact"/>
        <w:ind w:left="0" w:leftChars="0" w:right="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2.1、髋关节内收外展训练器1台</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2.2、智能力量训练显示器1个</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2.3、阻力微调重量模块1个</w:t>
      </w:r>
    </w:p>
    <w:p>
      <w:pPr>
        <w:pStyle w:val="399"/>
        <w:pageBreakBefore w:val="0"/>
        <w:widowControl/>
        <w:kinsoku/>
        <w:wordWrap/>
        <w:overflowPunct/>
        <w:topLinePunct w:val="0"/>
        <w:autoSpaceDE w:val="0"/>
        <w:autoSpaceDN w:val="0"/>
        <w:bidi w:val="0"/>
        <w:adjustRightInd/>
        <w:snapToGrid/>
        <w:spacing w:beforeAutospacing="0" w:line="440" w:lineRule="exact"/>
        <w:ind w:left="0" w:leftChars="0" w:right="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3、设备特点和技术参数</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3.1、可以在不同体位进行髋关节内收和外展的等张力量训练</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3.2、座椅靠背通过气压弹簧无级调节，可以在坐位及卧位间按需调节，根据不同的训练目的选择适合的体位</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3.3、脚踏板的位置可以无级调节，适合不同身高的患者</w:t>
      </w:r>
      <w:r>
        <w:rPr>
          <w:rFonts w:hint="eastAsia" w:ascii="仿宋" w:hAnsi="仿宋" w:eastAsia="仿宋" w:cs="仿宋"/>
          <w:b w:val="0"/>
          <w:bCs w:val="0"/>
          <w:color w:val="auto"/>
          <w:sz w:val="24"/>
          <w:szCs w:val="24"/>
          <w:highlight w:val="none"/>
        </w:rPr>
        <w:tab/>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3.4、大腿衬垫可以任意内外旋转，适应内收和外展不同动作时的要求</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3.5、训练的起始位置可以调节，调节幅度为每档</w:t>
      </w:r>
      <w:r>
        <w:rPr>
          <w:rFonts w:hint="eastAsia" w:ascii="仿宋" w:hAnsi="仿宋" w:eastAsia="仿宋" w:cs="仿宋"/>
          <w:b w:val="0"/>
          <w:bCs w:val="0"/>
          <w:color w:val="auto"/>
          <w:sz w:val="24"/>
          <w:szCs w:val="24"/>
          <w:highlight w:val="none"/>
          <w:lang w:val="en-US" w:eastAsia="zh-CN"/>
        </w:rPr>
        <w:t>约</w:t>
      </w:r>
      <w:r>
        <w:rPr>
          <w:rFonts w:hint="eastAsia" w:ascii="仿宋" w:hAnsi="仿宋" w:eastAsia="仿宋" w:cs="仿宋"/>
          <w:b w:val="0"/>
          <w:bCs w:val="0"/>
          <w:color w:val="auto"/>
          <w:sz w:val="24"/>
          <w:szCs w:val="24"/>
          <w:highlight w:val="none"/>
        </w:rPr>
        <w:t>10度</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3.6、产品采用静音设计</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ab/>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3.7、配有保护挡板，保证安全</w:t>
      </w:r>
      <w:r>
        <w:rPr>
          <w:rFonts w:hint="eastAsia" w:ascii="仿宋" w:hAnsi="仿宋" w:eastAsia="仿宋" w:cs="仿宋"/>
          <w:b w:val="0"/>
          <w:bCs w:val="0"/>
          <w:color w:val="auto"/>
          <w:sz w:val="24"/>
          <w:szCs w:val="24"/>
          <w:highlight w:val="none"/>
        </w:rPr>
        <w:tab/>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3.8、使用者可坐在训练位置调节负荷重量、座椅位置、运动模式和方向、运动范围、运动起始位置等，操作方便。</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3.9、*</w:t>
      </w:r>
      <w:r>
        <w:rPr>
          <w:rFonts w:hint="eastAsia" w:ascii="仿宋" w:hAnsi="仿宋" w:eastAsia="仿宋" w:cs="仿宋"/>
          <w:b w:val="0"/>
          <w:bCs w:val="0"/>
          <w:color w:val="auto"/>
          <w:kern w:val="0"/>
          <w:sz w:val="24"/>
          <w:szCs w:val="24"/>
          <w:highlight w:val="none"/>
        </w:rPr>
        <w:t>配有智能力量训练显示器，屏幕显示运动曲线变化，进行视觉生物反馈力量训练；可显示重复次数、组数、阻力负荷、功率、热量消耗、运动时间等指标；有效地控制训练时间、速度、间歇、运动范围，保证科学的训练效果。训练结束后，系统会自动出具训练结果，对患者的神经肌肉控制能力进行评分，并提供运动轨迹图表及训练建议。</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3.10、配有中</w:t>
      </w:r>
      <w:r>
        <w:rPr>
          <w:rFonts w:hint="eastAsia" w:ascii="仿宋" w:hAnsi="仿宋" w:eastAsia="仿宋" w:cs="仿宋"/>
          <w:b w:val="0"/>
          <w:bCs w:val="0"/>
          <w:color w:val="auto"/>
          <w:sz w:val="24"/>
          <w:szCs w:val="24"/>
          <w:highlight w:val="none"/>
          <w:lang w:val="en-US" w:eastAsia="zh-CN"/>
        </w:rPr>
        <w:t>英文操作</w:t>
      </w:r>
      <w:r>
        <w:rPr>
          <w:rFonts w:hint="eastAsia" w:ascii="仿宋" w:hAnsi="仿宋" w:eastAsia="仿宋" w:cs="仿宋"/>
          <w:b w:val="0"/>
          <w:bCs w:val="0"/>
          <w:color w:val="auto"/>
          <w:sz w:val="24"/>
          <w:szCs w:val="24"/>
          <w:highlight w:val="none"/>
        </w:rPr>
        <w:t>软件</w:t>
      </w:r>
    </w:p>
    <w:p>
      <w:pPr>
        <w:pageBreakBefore w:val="0"/>
        <w:tabs>
          <w:tab w:val="left" w:pos="90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配重块：0-8</w:t>
      </w:r>
      <w:r>
        <w:rPr>
          <w:rFonts w:hint="eastAsia" w:ascii="仿宋" w:hAnsi="仿宋" w:eastAsia="仿宋" w:cs="仿宋"/>
          <w:b w:val="0"/>
          <w:bCs w:val="0"/>
          <w:color w:val="auto"/>
          <w:sz w:val="24"/>
          <w:szCs w:val="24"/>
          <w:highlight w:val="none"/>
          <w:lang w:val="en-US" w:eastAsia="zh-CN"/>
        </w:rPr>
        <w:t>0</w:t>
      </w:r>
      <w:r>
        <w:rPr>
          <w:rFonts w:hint="eastAsia" w:ascii="仿宋" w:hAnsi="仿宋" w:eastAsia="仿宋" w:cs="仿宋"/>
          <w:b w:val="0"/>
          <w:bCs w:val="0"/>
          <w:color w:val="auto"/>
          <w:sz w:val="24"/>
          <w:szCs w:val="24"/>
          <w:highlight w:val="none"/>
        </w:rPr>
        <w:t>kg；配重块等级：16×5kg，附加配重块：4×1kg，最小阻力调节为1公斤/每档</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3.11、配件：足关节训练器</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3.12、配件：生物压力反馈仪</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3.13、配件：冷敷加压冰囊</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5" w:name="_Toc28785"/>
      <w:r>
        <w:rPr>
          <w:rFonts w:hint="eastAsia" w:ascii="仿宋" w:hAnsi="仿宋" w:eastAsia="仿宋" w:cs="仿宋"/>
          <w:b/>
          <w:bCs/>
          <w:color w:val="auto"/>
          <w:sz w:val="24"/>
          <w:szCs w:val="24"/>
          <w:highlight w:val="none"/>
          <w:lang w:val="en-US" w:eastAsia="zh-CN"/>
        </w:rPr>
        <w:t>(二)下肢闭链蹬踏测试训练系统</w:t>
      </w:r>
      <w:bookmarkEnd w:id="5"/>
    </w:p>
    <w:p>
      <w:pPr>
        <w:pStyle w:val="305"/>
        <w:pageBreakBefore w:val="0"/>
        <w:numPr>
          <w:ilvl w:val="0"/>
          <w:numId w:val="14"/>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设备功能及用途</w:t>
      </w:r>
    </w:p>
    <w:p>
      <w:pPr>
        <w:pStyle w:val="399"/>
        <w:pageBreakBefore w:val="0"/>
        <w:tabs>
          <w:tab w:val="left" w:pos="840"/>
        </w:tabs>
        <w:kinsoku/>
        <w:wordWrap/>
        <w:overflowPunct/>
        <w:topLinePunct w:val="0"/>
        <w:bidi w:val="0"/>
        <w:snapToGrid/>
        <w:spacing w:beforeAutospacing="0" w:line="440" w:lineRule="exact"/>
        <w:ind w:left="0" w:leftChars="0" w:right="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1、用于不同体位下进行下肢蹬伸力量的训练（腿部和臀部肌肉：股四头肌，腓肠肌，臀大肌等）</w:t>
      </w:r>
    </w:p>
    <w:p>
      <w:pPr>
        <w:pStyle w:val="399"/>
        <w:pageBreakBefore w:val="0"/>
        <w:tabs>
          <w:tab w:val="left" w:pos="180"/>
          <w:tab w:val="left" w:pos="840"/>
          <w:tab w:val="left" w:pos="1320"/>
        </w:tabs>
        <w:kinsoku/>
        <w:wordWrap/>
        <w:overflowPunct/>
        <w:topLinePunct w:val="0"/>
        <w:bidi w:val="0"/>
        <w:snapToGrid/>
        <w:spacing w:beforeAutospacing="0" w:line="440" w:lineRule="exact"/>
        <w:ind w:left="0" w:leftChars="0" w:right="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2、视觉生物反馈力量训练</w:t>
      </w:r>
    </w:p>
    <w:p>
      <w:pPr>
        <w:pStyle w:val="399"/>
        <w:pageBreakBefore w:val="0"/>
        <w:widowControl/>
        <w:kinsoku/>
        <w:wordWrap/>
        <w:overflowPunct/>
        <w:topLinePunct w:val="0"/>
        <w:autoSpaceDE w:val="0"/>
        <w:autoSpaceDN w:val="0"/>
        <w:bidi w:val="0"/>
        <w:adjustRightInd/>
        <w:snapToGrid/>
        <w:spacing w:beforeAutospacing="0" w:line="440" w:lineRule="exact"/>
        <w:ind w:left="0" w:leftChars="0" w:right="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二、标准配置</w:t>
      </w:r>
      <w:r>
        <w:rPr>
          <w:rFonts w:hint="eastAsia" w:ascii="仿宋" w:hAnsi="仿宋" w:eastAsia="仿宋" w:cs="仿宋"/>
          <w:b w:val="0"/>
          <w:bCs w:val="0"/>
          <w:color w:val="auto"/>
          <w:sz w:val="24"/>
          <w:szCs w:val="24"/>
          <w:highlight w:val="none"/>
        </w:rPr>
        <w:tab/>
      </w:r>
    </w:p>
    <w:p>
      <w:pPr>
        <w:pageBreakBefore w:val="0"/>
        <w:tabs>
          <w:tab w:val="left" w:pos="180"/>
          <w:tab w:val="left" w:pos="132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1、蹬踏训练器1台</w:t>
      </w:r>
    </w:p>
    <w:p>
      <w:pPr>
        <w:pageBreakBefore w:val="0"/>
        <w:tabs>
          <w:tab w:val="left" w:pos="180"/>
          <w:tab w:val="left" w:pos="132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2、智能力量训练显示器1个</w:t>
      </w:r>
    </w:p>
    <w:p>
      <w:pPr>
        <w:pageBreakBefore w:val="0"/>
        <w:tabs>
          <w:tab w:val="left" w:pos="180"/>
          <w:tab w:val="left" w:pos="132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3、重量传感器1套</w:t>
      </w:r>
    </w:p>
    <w:p>
      <w:pPr>
        <w:pageBreakBefore w:val="0"/>
        <w:tabs>
          <w:tab w:val="left" w:pos="180"/>
          <w:tab w:val="left" w:pos="132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4、阻力微调重量模块（2kg）1个</w:t>
      </w:r>
    </w:p>
    <w:p>
      <w:pPr>
        <w:pageBreakBefore w:val="0"/>
        <w:tabs>
          <w:tab w:val="left" w:pos="180"/>
          <w:tab w:val="left" w:pos="132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5、训练范围限制器1个</w:t>
      </w:r>
    </w:p>
    <w:p>
      <w:pPr>
        <w:pStyle w:val="399"/>
        <w:pageBreakBefore w:val="0"/>
        <w:widowControl/>
        <w:kinsoku/>
        <w:wordWrap/>
        <w:overflowPunct/>
        <w:topLinePunct w:val="0"/>
        <w:autoSpaceDE w:val="0"/>
        <w:autoSpaceDN w:val="0"/>
        <w:bidi w:val="0"/>
        <w:adjustRightInd/>
        <w:snapToGrid/>
        <w:spacing w:beforeAutospacing="0" w:line="440" w:lineRule="exact"/>
        <w:ind w:left="0" w:leftChars="0" w:right="0" w:firstLine="0"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三、设备特点和技术参数</w:t>
      </w:r>
    </w:p>
    <w:p>
      <w:pPr>
        <w:pageBreakBefore w:val="0"/>
        <w:tabs>
          <w:tab w:val="left" w:pos="180"/>
          <w:tab w:val="left" w:pos="132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1、可用于不同体位的下肢蹬伸的等张力量训练</w:t>
      </w:r>
    </w:p>
    <w:p>
      <w:pPr>
        <w:pageBreakBefore w:val="0"/>
        <w:tabs>
          <w:tab w:val="left" w:pos="180"/>
          <w:tab w:val="left" w:pos="132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2、可进行单腿和双腿训练。配套的非训练腿支架，可保证单腿训练的舒适性。</w:t>
      </w:r>
    </w:p>
    <w:p>
      <w:pPr>
        <w:pageBreakBefore w:val="0"/>
        <w:tabs>
          <w:tab w:val="left" w:pos="180"/>
          <w:tab w:val="left" w:pos="132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3、座椅靠背的倾角可以在0度到</w:t>
      </w:r>
      <w:r>
        <w:rPr>
          <w:rFonts w:hint="eastAsia" w:ascii="仿宋" w:hAnsi="仿宋" w:eastAsia="仿宋" w:cs="仿宋"/>
          <w:b w:val="0"/>
          <w:bCs w:val="0"/>
          <w:color w:val="auto"/>
          <w:sz w:val="24"/>
          <w:szCs w:val="24"/>
          <w:highlight w:val="none"/>
          <w:lang w:val="en-US" w:eastAsia="zh-CN"/>
        </w:rPr>
        <w:t>75</w:t>
      </w:r>
      <w:r>
        <w:rPr>
          <w:rFonts w:hint="eastAsia" w:ascii="仿宋" w:hAnsi="仿宋" w:eastAsia="仿宋" w:cs="仿宋"/>
          <w:b w:val="0"/>
          <w:bCs w:val="0"/>
          <w:color w:val="auto"/>
          <w:sz w:val="24"/>
          <w:szCs w:val="24"/>
          <w:highlight w:val="none"/>
        </w:rPr>
        <w:t>度范围内调节，调节幅度为每档</w:t>
      </w:r>
      <w:r>
        <w:rPr>
          <w:rFonts w:hint="eastAsia" w:ascii="仿宋" w:hAnsi="仿宋" w:eastAsia="仿宋" w:cs="仿宋"/>
          <w:b w:val="0"/>
          <w:bCs w:val="0"/>
          <w:color w:val="auto"/>
          <w:sz w:val="24"/>
          <w:szCs w:val="24"/>
          <w:highlight w:val="none"/>
          <w:lang w:val="en-US" w:eastAsia="zh-CN"/>
        </w:rPr>
        <w:t>约</w:t>
      </w:r>
      <w:r>
        <w:rPr>
          <w:rFonts w:hint="eastAsia" w:ascii="仿宋" w:hAnsi="仿宋" w:eastAsia="仿宋" w:cs="仿宋"/>
          <w:b w:val="0"/>
          <w:bCs w:val="0"/>
          <w:color w:val="auto"/>
          <w:sz w:val="24"/>
          <w:szCs w:val="24"/>
          <w:highlight w:val="none"/>
        </w:rPr>
        <w:t>10度</w:t>
      </w:r>
    </w:p>
    <w:p>
      <w:pPr>
        <w:pageBreakBefore w:val="0"/>
        <w:tabs>
          <w:tab w:val="left" w:pos="180"/>
          <w:tab w:val="left" w:pos="132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4、肩部靠垫高度可通过气压弹簧无级调节</w:t>
      </w:r>
      <w:r>
        <w:rPr>
          <w:rFonts w:hint="eastAsia" w:ascii="仿宋" w:hAnsi="仿宋" w:eastAsia="仿宋" w:cs="仿宋"/>
          <w:b w:val="0"/>
          <w:bCs w:val="0"/>
          <w:color w:val="auto"/>
          <w:sz w:val="24"/>
          <w:szCs w:val="24"/>
          <w:highlight w:val="none"/>
        </w:rPr>
        <w:tab/>
      </w:r>
    </w:p>
    <w:p>
      <w:pPr>
        <w:pageBreakBefore w:val="0"/>
        <w:tabs>
          <w:tab w:val="left" w:pos="180"/>
          <w:tab w:val="left" w:pos="132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5、脚踏板倾角可调，训练的起始位置可以根据个人情况调节</w:t>
      </w:r>
    </w:p>
    <w:p>
      <w:pPr>
        <w:pageBreakBefore w:val="0"/>
        <w:tabs>
          <w:tab w:val="left" w:pos="180"/>
          <w:tab w:val="left" w:pos="132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6、脚踏板和座椅之间距离可调，适合不同身高的患者</w:t>
      </w:r>
      <w:r>
        <w:rPr>
          <w:rFonts w:hint="eastAsia" w:ascii="仿宋" w:hAnsi="仿宋" w:eastAsia="仿宋" w:cs="仿宋"/>
          <w:b w:val="0"/>
          <w:bCs w:val="0"/>
          <w:color w:val="auto"/>
          <w:sz w:val="24"/>
          <w:szCs w:val="24"/>
          <w:highlight w:val="none"/>
        </w:rPr>
        <w:tab/>
      </w:r>
    </w:p>
    <w:p>
      <w:pPr>
        <w:pageBreakBefore w:val="0"/>
        <w:tabs>
          <w:tab w:val="left" w:pos="180"/>
          <w:tab w:val="left" w:pos="132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7、脚踏板与座椅之间没有障碍物，便于行动不便患者上下器械</w:t>
      </w:r>
    </w:p>
    <w:p>
      <w:pPr>
        <w:pageBreakBefore w:val="0"/>
        <w:tabs>
          <w:tab w:val="left" w:pos="180"/>
          <w:tab w:val="left" w:pos="132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8、产品采用静音设计</w:t>
      </w:r>
      <w:r>
        <w:rPr>
          <w:rFonts w:hint="eastAsia" w:ascii="仿宋" w:hAnsi="仿宋" w:eastAsia="仿宋" w:cs="仿宋"/>
          <w:b w:val="0"/>
          <w:bCs w:val="0"/>
          <w:color w:val="auto"/>
          <w:sz w:val="24"/>
          <w:szCs w:val="24"/>
          <w:highlight w:val="none"/>
        </w:rPr>
        <w:tab/>
      </w:r>
    </w:p>
    <w:p>
      <w:pPr>
        <w:pageBreakBefore w:val="0"/>
        <w:tabs>
          <w:tab w:val="left" w:pos="180"/>
          <w:tab w:val="left" w:pos="132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9、配有保护挡板，保证使用安全</w:t>
      </w:r>
      <w:r>
        <w:rPr>
          <w:rFonts w:hint="eastAsia" w:ascii="仿宋" w:hAnsi="仿宋" w:eastAsia="仿宋" w:cs="仿宋"/>
          <w:b w:val="0"/>
          <w:bCs w:val="0"/>
          <w:color w:val="auto"/>
          <w:sz w:val="24"/>
          <w:szCs w:val="24"/>
          <w:highlight w:val="none"/>
        </w:rPr>
        <w:tab/>
      </w:r>
    </w:p>
    <w:p>
      <w:pPr>
        <w:pageBreakBefore w:val="0"/>
        <w:tabs>
          <w:tab w:val="left" w:pos="180"/>
          <w:tab w:val="left" w:pos="132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10、使用者可坐在训练位置调节负荷重量、座椅位置、运动模式和方向、运动范围、运动起始位置等，操作方便。</w:t>
      </w:r>
    </w:p>
    <w:p>
      <w:pPr>
        <w:pageBreakBefore w:val="0"/>
        <w:tabs>
          <w:tab w:val="left" w:pos="180"/>
          <w:tab w:val="left" w:pos="132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配有智能力量训练显示器，屏幕显示运动曲线变化，进行视觉生物反馈力量训练；可显示重复次数、组数、阻力负荷、功率、热量消耗、运动时间等指标；有效地控制训练时间、速度、间歇、运动范围，保证科学的训练效果。训练结束后，系统会自动出具训练结果，对患者的神经肌肉控制能力进行评分，并提供运动轨迹图表及训练建议。</w:t>
      </w:r>
    </w:p>
    <w:p>
      <w:pPr>
        <w:pageBreakBefore w:val="0"/>
        <w:tabs>
          <w:tab w:val="left" w:pos="180"/>
          <w:tab w:val="left" w:pos="1320"/>
        </w:tabs>
        <w:kinsoku/>
        <w:wordWrap/>
        <w:overflowPunct/>
        <w:topLinePunct w:val="0"/>
        <w:bidi w:val="0"/>
        <w:adjustRightInd w:val="0"/>
        <w:snapToGrid/>
        <w:spacing w:beforeAutospacing="0" w:line="440" w:lineRule="exact"/>
        <w:ind w:left="0" w:leftChars="0" w:right="0"/>
        <w:jc w:val="left"/>
        <w:textAlignment w:val="baseline"/>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12、配有中英</w:t>
      </w:r>
      <w:r>
        <w:rPr>
          <w:rFonts w:hint="eastAsia" w:ascii="仿宋" w:hAnsi="仿宋" w:eastAsia="仿宋" w:cs="仿宋"/>
          <w:b w:val="0"/>
          <w:bCs w:val="0"/>
          <w:color w:val="auto"/>
          <w:sz w:val="24"/>
          <w:szCs w:val="24"/>
          <w:highlight w:val="none"/>
          <w:lang w:val="en-US" w:eastAsia="zh-CN"/>
        </w:rPr>
        <w:t>文</w:t>
      </w:r>
      <w:r>
        <w:rPr>
          <w:rFonts w:hint="eastAsia" w:ascii="仿宋" w:hAnsi="仿宋" w:eastAsia="仿宋" w:cs="仿宋"/>
          <w:b w:val="0"/>
          <w:bCs w:val="0"/>
          <w:color w:val="auto"/>
          <w:sz w:val="24"/>
          <w:szCs w:val="24"/>
          <w:highlight w:val="none"/>
        </w:rPr>
        <w:t>语言软件</w:t>
      </w:r>
    </w:p>
    <w:p>
      <w:pPr>
        <w:pStyle w:val="399"/>
        <w:pageBreakBefore w:val="0"/>
        <w:tabs>
          <w:tab w:val="left" w:pos="180"/>
          <w:tab w:val="left" w:pos="1320"/>
        </w:tabs>
        <w:kinsoku/>
        <w:wordWrap/>
        <w:overflowPunct/>
        <w:topLinePunct w:val="0"/>
        <w:bidi w:val="0"/>
        <w:snapToGrid/>
        <w:spacing w:beforeAutospacing="0" w:line="440" w:lineRule="exact"/>
        <w:ind w:left="0" w:leftChars="0" w:right="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13、配有重量传感器，系统自动提示并识别设备相关信息，确保训练安全有效进行。</w:t>
      </w:r>
    </w:p>
    <w:p>
      <w:pPr>
        <w:pStyle w:val="399"/>
        <w:pageBreakBefore w:val="0"/>
        <w:tabs>
          <w:tab w:val="left" w:pos="180"/>
          <w:tab w:val="left" w:pos="1320"/>
        </w:tabs>
        <w:kinsoku/>
        <w:wordWrap/>
        <w:overflowPunct/>
        <w:topLinePunct w:val="0"/>
        <w:bidi w:val="0"/>
        <w:snapToGrid/>
        <w:spacing w:beforeAutospacing="0" w:line="440" w:lineRule="exact"/>
        <w:ind w:left="0" w:leftChars="0" w:right="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14、配重块：0-16</w:t>
      </w:r>
      <w:r>
        <w:rPr>
          <w:rFonts w:hint="eastAsia" w:ascii="仿宋" w:hAnsi="仿宋" w:eastAsia="仿宋" w:cs="仿宋"/>
          <w:b w:val="0"/>
          <w:bCs w:val="0"/>
          <w:color w:val="auto"/>
          <w:sz w:val="24"/>
          <w:szCs w:val="24"/>
          <w:highlight w:val="none"/>
          <w:lang w:val="en-US" w:eastAsia="zh-CN"/>
        </w:rPr>
        <w:t>0</w:t>
      </w:r>
      <w:r>
        <w:rPr>
          <w:rFonts w:hint="eastAsia" w:ascii="仿宋" w:hAnsi="仿宋" w:eastAsia="仿宋" w:cs="仿宋"/>
          <w:b w:val="0"/>
          <w:bCs w:val="0"/>
          <w:color w:val="auto"/>
          <w:sz w:val="24"/>
          <w:szCs w:val="24"/>
          <w:highlight w:val="none"/>
        </w:rPr>
        <w:t>kg；配重块等级：16×10kg，附加配重块：4×2kg，最小阻力调节为2公斤/每档</w:t>
      </w:r>
    </w:p>
    <w:p>
      <w:pPr>
        <w:pStyle w:val="399"/>
        <w:pageBreakBefore w:val="0"/>
        <w:tabs>
          <w:tab w:val="left" w:pos="180"/>
          <w:tab w:val="left" w:pos="1320"/>
        </w:tabs>
        <w:kinsoku/>
        <w:wordWrap/>
        <w:overflowPunct/>
        <w:topLinePunct w:val="0"/>
        <w:bidi w:val="0"/>
        <w:snapToGrid/>
        <w:spacing w:beforeAutospacing="0" w:line="440" w:lineRule="exact"/>
        <w:ind w:left="0" w:leftChars="0" w:right="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16、配件：颈椎松动带</w:t>
      </w:r>
    </w:p>
    <w:p>
      <w:pPr>
        <w:pStyle w:val="399"/>
        <w:pageBreakBefore w:val="0"/>
        <w:tabs>
          <w:tab w:val="left" w:pos="180"/>
          <w:tab w:val="left" w:pos="1320"/>
        </w:tabs>
        <w:kinsoku/>
        <w:wordWrap/>
        <w:overflowPunct/>
        <w:topLinePunct w:val="0"/>
        <w:bidi w:val="0"/>
        <w:snapToGrid/>
        <w:spacing w:beforeAutospacing="0" w:line="440" w:lineRule="exact"/>
        <w:ind w:left="0" w:leftChars="0" w:right="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17、配件：关节活动度测量仪</w:t>
      </w:r>
    </w:p>
    <w:p>
      <w:pPr>
        <w:pStyle w:val="399"/>
        <w:pageBreakBefore w:val="0"/>
        <w:tabs>
          <w:tab w:val="left" w:pos="180"/>
          <w:tab w:val="left" w:pos="1320"/>
        </w:tabs>
        <w:kinsoku/>
        <w:wordWrap/>
        <w:overflowPunct/>
        <w:topLinePunct w:val="0"/>
        <w:bidi w:val="0"/>
        <w:snapToGrid/>
        <w:spacing w:beforeAutospacing="0" w:line="440" w:lineRule="exact"/>
        <w:ind w:left="0" w:leftChars="0" w:right="0" w:firstLine="0" w:firstLineChars="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18、配件：康复训练带</w:t>
      </w:r>
    </w:p>
    <w:p>
      <w:pPr>
        <w:pStyle w:val="399"/>
        <w:pageBreakBefore w:val="0"/>
        <w:tabs>
          <w:tab w:val="left" w:pos="180"/>
          <w:tab w:val="left" w:pos="1320"/>
        </w:tabs>
        <w:kinsoku/>
        <w:wordWrap/>
        <w:overflowPunct/>
        <w:topLinePunct w:val="0"/>
        <w:bidi w:val="0"/>
        <w:snapToGrid/>
        <w:spacing w:beforeAutospacing="0" w:line="440" w:lineRule="exact"/>
        <w:ind w:left="0" w:leftChars="0" w:right="0" w:firstLine="0" w:firstLineChars="0"/>
        <w:jc w:val="left"/>
        <w:rPr>
          <w:rFonts w:hint="eastAsia" w:ascii="仿宋" w:hAnsi="仿宋" w:eastAsia="仿宋" w:cs="仿宋"/>
          <w:b w:val="0"/>
          <w:bCs w:val="0"/>
          <w:color w:val="auto"/>
          <w:sz w:val="24"/>
          <w:szCs w:val="24"/>
          <w:highlight w:val="none"/>
        </w:rPr>
      </w:pP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6" w:name="_Toc15698"/>
      <w:r>
        <w:rPr>
          <w:rFonts w:hint="eastAsia" w:ascii="仿宋" w:hAnsi="仿宋" w:eastAsia="仿宋" w:cs="仿宋"/>
          <w:b/>
          <w:bCs/>
          <w:color w:val="auto"/>
          <w:sz w:val="24"/>
          <w:szCs w:val="24"/>
          <w:highlight w:val="none"/>
          <w:lang w:val="en-US" w:eastAsia="zh-CN"/>
        </w:rPr>
        <w:t>(三)认知康复诊断系统技术要求</w:t>
      </w:r>
      <w:bookmarkEnd w:id="6"/>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一、系统基本参数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1、治疗范围：针对认知损害进行全面诊疗，包括各种筛查测验（含定向力测验）以及注意、记忆、计算、思维、知觉专项</w:t>
      </w:r>
      <w:r>
        <w:rPr>
          <w:rFonts w:hint="eastAsia" w:ascii="仿宋" w:hAnsi="仿宋" w:eastAsia="仿宋" w:cs="仿宋"/>
          <w:b w:val="0"/>
          <w:bCs w:val="0"/>
          <w:color w:val="auto"/>
          <w:sz w:val="24"/>
          <w:szCs w:val="24"/>
          <w:highlight w:val="none"/>
          <w:lang w:val="en-US" w:eastAsia="zh-CN"/>
        </w:rPr>
        <w:t>等</w:t>
      </w:r>
      <w:r>
        <w:rPr>
          <w:rFonts w:hint="eastAsia" w:ascii="仿宋" w:hAnsi="仿宋" w:eastAsia="仿宋" w:cs="仿宋"/>
          <w:b w:val="0"/>
          <w:bCs w:val="0"/>
          <w:color w:val="auto"/>
          <w:sz w:val="24"/>
          <w:szCs w:val="24"/>
          <w:highlight w:val="none"/>
        </w:rPr>
        <w:t>模块</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5</w:t>
      </w:r>
      <w:r>
        <w:rPr>
          <w:rFonts w:hint="eastAsia" w:ascii="仿宋" w:hAnsi="仿宋" w:eastAsia="仿宋" w:cs="仿宋"/>
          <w:b w:val="0"/>
          <w:bCs w:val="0"/>
          <w:color w:val="auto"/>
          <w:sz w:val="24"/>
          <w:szCs w:val="24"/>
          <w:highlight w:val="none"/>
          <w:lang w:val="en-US" w:eastAsia="zh-CN"/>
        </w:rPr>
        <w:t>个</w:t>
      </w:r>
      <w:r>
        <w:rPr>
          <w:rFonts w:hint="eastAsia" w:ascii="仿宋" w:hAnsi="仿宋" w:eastAsia="仿宋" w:cs="仿宋"/>
          <w:b w:val="0"/>
          <w:bCs w:val="0"/>
          <w:color w:val="auto"/>
          <w:sz w:val="24"/>
          <w:szCs w:val="24"/>
          <w:highlight w:val="none"/>
        </w:rPr>
        <w:t>。</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2、网络管理：B/S架构，方便在线扩展若干台认知能力评估与训练终端，同时多人进行评价或训练，并提供远程认知康复训练接口，具备远程升级能力。</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二、主要功能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1、眼动监控分析/训练模块：</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眼动监控分析：基于国际先进的眼动传感器技术，对患者训练过程中的眼球轨迹运动进行自动实时跟踪，评估患者在训练中的注意力集中程度、疲劳度以及两者与训练成绩的关系，剔除伪成绩，减少治疗过程对治疗师经验的依赖程度，从而使治疗师能够及时准确把握病人训练状况，及时改进康复训练计划；</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（2）眼动训练：运用眼动技术专门设计的注意力训练题目，使患者在除害虫、余光狗、选购商品、阅读等特制题目中快乐训练，加快康复进程。</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2、认知障碍评定系统：</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包括语言筛查、MMSE、MOCA、EC301、星型划销、临床记忆测查、抑郁自评、反应时检查等多种评定量表及注意、记忆、计算、思维、知觉</w:t>
      </w:r>
      <w:r>
        <w:rPr>
          <w:rFonts w:hint="eastAsia" w:ascii="仿宋" w:hAnsi="仿宋" w:eastAsia="仿宋" w:cs="仿宋"/>
          <w:b w:val="0"/>
          <w:bCs w:val="0"/>
          <w:color w:val="auto"/>
          <w:sz w:val="24"/>
          <w:szCs w:val="24"/>
          <w:highlight w:val="none"/>
          <w:lang w:val="en-US" w:eastAsia="zh-CN"/>
        </w:rPr>
        <w:t>等</w:t>
      </w:r>
      <w:r>
        <w:rPr>
          <w:rFonts w:hint="eastAsia" w:ascii="仿宋" w:hAnsi="仿宋" w:eastAsia="仿宋" w:cs="仿宋"/>
          <w:b w:val="0"/>
          <w:bCs w:val="0"/>
          <w:color w:val="auto"/>
          <w:sz w:val="24"/>
          <w:szCs w:val="24"/>
          <w:highlight w:val="none"/>
        </w:rPr>
        <w:t>模块</w:t>
      </w:r>
      <w:r>
        <w:rPr>
          <w:rFonts w:hint="eastAsia" w:ascii="仿宋" w:hAnsi="仿宋" w:eastAsia="仿宋" w:cs="仿宋"/>
          <w:b w:val="0"/>
          <w:bCs w:val="0"/>
          <w:color w:val="auto"/>
          <w:sz w:val="24"/>
          <w:szCs w:val="24"/>
          <w:highlight w:val="none"/>
          <w:lang w:val="en-US" w:eastAsia="zh-CN"/>
        </w:rPr>
        <w:t>≥5个</w:t>
      </w:r>
      <w:r>
        <w:rPr>
          <w:rFonts w:hint="eastAsia" w:ascii="仿宋" w:hAnsi="仿宋" w:eastAsia="仿宋" w:cs="仿宋"/>
          <w:b w:val="0"/>
          <w:bCs w:val="0"/>
          <w:color w:val="auto"/>
          <w:sz w:val="24"/>
          <w:szCs w:val="24"/>
          <w:highlight w:val="none"/>
        </w:rPr>
        <w:t>。评定结果能够自动出具诊断报告，医生可对报告进行必要编辑功能。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（1）具体评定模块包括：</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A、筛查测验模块：包括语言筛查、MMSE、MOCA、EC301、星型划销、临床记忆测查、反应时检查以及定向力测验。</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B、注意评定模块：包括反应时测验，注意的五个维度的评定即注意的广度、保持、转移、选择与分配测验。</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C、记忆功能评定模块：包括瞬时、短时、长时记忆、前瞻性记忆、回溯性记忆评定等。</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D、失算症评定模块：包括数字加工测验与计算测验。</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E、思维功能评定模块：包括威斯康星卡片分类测验、连线测验、范畴测验及其他执行功能障碍检查。</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F、知觉功能评定模块：包括失认症评定、失用症评定、单侧忽略评定、空间关系障碍等视知觉障碍评定等。</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（2）认知评估完全采用人机对话方式，不需要任何辅助评估工具，保证评估数据的准确性。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（3）软件界面：治疗画面经过美工优化，软件界面分辨率为1920*1080全屏高清显示，兼容23英寸及以上触摸屏显示器，软件设计采用触摸屏方式设计，操作图标显示清晰，便于无计算机知识的患者接受治疗。</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3、认知障碍训练系统：基于20万余例临床经验</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（1）训练系统与评定系统的检查分类相对应，训练包括注意障碍、记忆障碍、失算症、思维障碍以及知觉障碍</w:t>
      </w:r>
      <w:r>
        <w:rPr>
          <w:rFonts w:hint="eastAsia" w:ascii="仿宋" w:hAnsi="仿宋" w:eastAsia="仿宋" w:cs="仿宋"/>
          <w:b w:val="0"/>
          <w:bCs w:val="0"/>
          <w:color w:val="auto"/>
          <w:sz w:val="24"/>
          <w:szCs w:val="24"/>
          <w:highlight w:val="none"/>
          <w:lang w:val="en-US" w:eastAsia="zh-CN"/>
        </w:rPr>
        <w:t>等</w:t>
      </w:r>
      <w:r>
        <w:rPr>
          <w:rFonts w:hint="eastAsia" w:ascii="仿宋" w:hAnsi="仿宋" w:eastAsia="仿宋" w:cs="仿宋"/>
          <w:b w:val="0"/>
          <w:bCs w:val="0"/>
          <w:color w:val="auto"/>
          <w:sz w:val="24"/>
          <w:szCs w:val="24"/>
          <w:highlight w:val="none"/>
        </w:rPr>
        <w:t>康复训练模块</w:t>
      </w:r>
      <w:r>
        <w:rPr>
          <w:rFonts w:hint="eastAsia" w:ascii="仿宋" w:hAnsi="仿宋" w:eastAsia="仿宋" w:cs="仿宋"/>
          <w:b w:val="0"/>
          <w:bCs w:val="0"/>
          <w:color w:val="auto"/>
          <w:sz w:val="24"/>
          <w:szCs w:val="24"/>
          <w:highlight w:val="none"/>
          <w:lang w:val="en-US" w:eastAsia="zh-CN"/>
        </w:rPr>
        <w:t>≥5个</w:t>
      </w:r>
      <w:r>
        <w:rPr>
          <w:rFonts w:hint="eastAsia" w:ascii="仿宋" w:hAnsi="仿宋" w:eastAsia="仿宋" w:cs="仿宋"/>
          <w:b w:val="0"/>
          <w:bCs w:val="0"/>
          <w:color w:val="auto"/>
          <w:sz w:val="24"/>
          <w:szCs w:val="24"/>
          <w:highlight w:val="none"/>
        </w:rPr>
        <w:t>，具体分项内容如下：</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A、注意障碍训练模块：应包括注意的广度、保持、转移、选择、分配训练以及与注意相关的ADL训练。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B、记忆障碍训练模块：应包括言语记忆、人物记忆、空间记忆、图形记忆、听觉记忆以及记忆相关的ADL训练。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C、失算症训练模块：应包括数字理解、运算规则、心算、估算、列式计算、各种与日常生活相关的实用计算训练。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D、思维障碍训练模块：应包括概念形成、分类、概括、逻辑推理、序列思维以及相关ADL能力训练。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E、知觉障碍训练模块：应包括视追踪训练、图形背景分辨训练、失认症训练、空间关系训练、失用症训练以及辨时训练等。</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（2）训练具有难度梯度，可根据病人的病情，选择不同难易程度的训练内容，由易到难，循序渐进；</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（3）训练内容须符合我国国情，即训练项目中必须包含基于汉字和汉语的认知障碍康复训练相关内容；</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（4）设备的科学性、有效性必须经过多中心、大样本的循证医学研究证实。科研结果应得在国家级刊物中发表；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（5）病人在训练的过程中可自动晋级，医生也可根据病人的实际情况人工选择难易程度，尽量满足不同认知障碍以及障碍程度患者的训练；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（6）具有开放式平台扩展功能，治疗人员可根据病人的障碍点自行设计个性化训练方案；并可自行设置和修改训练参数；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患者训练过程中，系统会自动判断用户操作答题是否正确，并给与声音提醒，每训练结束后，系统以训练报表方式对患者予以及时反馈；每治疗结束后，系统自动对患者当日的整体治疗过程出具训练信息记录，具体数据包括：所答每道题目的正确与否、分值、是否合格等信息。</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（8）完全基于互联网设计，可与互联网数据实现同步，患者可以在家中即可获得专家会诊机会和康复训练的指导；</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（9）医生可以根据检查结果与诊断给病人制订个性化治疗方案；</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（10）用户按照医生开出的训练处方进行训练，可根据自己的身体情况自行安排训练量和训练时间，可在一天当中任意时间段（早、中、晚）进行多次强化训练，以提高训练疗效；</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（11）康复训练的结果可自动保存，医生可动态观察病人的治疗情况，及时做出调整；</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（12）病人自己或家属可以查看成绩和医生的评估报告，并与以往成绩进行对比。</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4、执行功能训练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即认知的认知，是一种更高级的认知机制或能力。指在完成复杂的认知任务时，对各种认知过程进行协调，保证认知系统以灵活优化的方式实行特定目标的一般性控制机制；其本质就是对其他认知过程进行控制和调节，以产生协调有序的、具有目的性的行为，是认知发展的高级阶段。其中包括“抑制控制、定势转移、工作记忆、计划组织”四个模块。</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5、增强现实板块:</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将增强现实三维实时渲染技术应用到认知领域，将平面卡片图像瞬间变化为3D立体事物，动画和实景空间实现无缝融合。寓教于乐，带给用户前所未有的体验和快乐</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6、后台病案管理系统：</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（1）基于专业数据库设计，能存储上百万条以上的治疗数据；</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（2）可查询病人一般情况、病史、认知评定结果与报告、康复治疗计划包括远期目标、近期目标及治疗方案、康复训练成绩以及治疗前后对比等，具体如下：</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A、用户注册：专家医生注册、患者用户注册；</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B、病历录入和病历管理，可以录入与病情相关的病历；</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C、可查询病人一般情况、所在科室、病床、病案号、病史、诊断、影像学诊断（可下载影像资料如头颅CT或MRI即核磁）、认知评定结果报告、康复治疗计划包括远期目标、近期目标、治疗计划、当前训练项目、康复训练成绩以及治疗前后对比等；</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D、评价和训练的历史记录和分析，可实现分析报告的导出、打印等；</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E、操作日志：对系统操作日志有清晰的记录，包括操作内容、时间、用户等；</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（3）病人数据可以实现通过英特网实时上传到认知康复服务云平台，保证数据的安全性。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（4）系统采用B/S架构，布局维护方便，可采用多种网络连接方式。</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7、系统管理功能：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（1）对科室的训练仪资源进行排班管理，防止上机时间冲突并保证最大程度的利用。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（2）权限管理：针对不同的用户可以开通相应的权限；</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（3）操作日志：对系统操作日志有清晰的记录，包括操作内容、时间、用户等。</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产品配置清单</w:t>
      </w:r>
    </w:p>
    <w:tbl>
      <w:tblPr>
        <w:tblStyle w:val="51"/>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6804"/>
        <w:gridCol w:w="709"/>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vAlign w:val="center"/>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软件</w:t>
            </w:r>
          </w:p>
        </w:tc>
        <w:tc>
          <w:tcPr>
            <w:tcW w:w="6804" w:type="dxa"/>
            <w:noWrap w:val="0"/>
            <w:vAlign w:val="center"/>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认知康复训练与评估软件   备注：含眼动</w:t>
            </w:r>
          </w:p>
        </w:tc>
        <w:tc>
          <w:tcPr>
            <w:tcW w:w="709"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套</w:t>
            </w:r>
          </w:p>
        </w:tc>
        <w:tc>
          <w:tcPr>
            <w:tcW w:w="850"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Merge w:val="restart"/>
            <w:noWrap w:val="0"/>
            <w:vAlign w:val="center"/>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p>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硬件</w:t>
            </w:r>
          </w:p>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w:t>
            </w:r>
          </w:p>
        </w:tc>
        <w:tc>
          <w:tcPr>
            <w:tcW w:w="6804"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触控显示器：≥23寸高清电容触控屏</w:t>
            </w:r>
          </w:p>
        </w:tc>
        <w:tc>
          <w:tcPr>
            <w:tcW w:w="709"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个</w:t>
            </w:r>
          </w:p>
        </w:tc>
        <w:tc>
          <w:tcPr>
            <w:tcW w:w="850"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Merge w:val="continue"/>
            <w:noWrap w:val="0"/>
            <w:vAlign w:val="center"/>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p>
        </w:tc>
        <w:tc>
          <w:tcPr>
            <w:tcW w:w="6804"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计算机主机：</w:t>
            </w:r>
            <w:r>
              <w:rPr>
                <w:rFonts w:hint="eastAsia" w:ascii="仿宋" w:hAnsi="仿宋" w:eastAsia="仿宋" w:cs="仿宋"/>
                <w:b w:val="0"/>
                <w:bCs w:val="0"/>
                <w:color w:val="auto"/>
                <w:sz w:val="24"/>
                <w:szCs w:val="24"/>
                <w:highlight w:val="none"/>
                <w:lang w:val="en-US" w:eastAsia="zh-CN"/>
              </w:rPr>
              <w:t>品牌电脑</w:t>
            </w:r>
          </w:p>
        </w:tc>
        <w:tc>
          <w:tcPr>
            <w:tcW w:w="709"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台</w:t>
            </w:r>
          </w:p>
        </w:tc>
        <w:tc>
          <w:tcPr>
            <w:tcW w:w="850"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6" w:type="dxa"/>
            <w:vMerge w:val="continue"/>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p>
        </w:tc>
        <w:tc>
          <w:tcPr>
            <w:tcW w:w="6804"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AR高清摄像头：支持1920*1080高清分辨率</w:t>
            </w:r>
          </w:p>
        </w:tc>
        <w:tc>
          <w:tcPr>
            <w:tcW w:w="709"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个</w:t>
            </w:r>
          </w:p>
        </w:tc>
        <w:tc>
          <w:tcPr>
            <w:tcW w:w="850"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Merge w:val="continue"/>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p>
        </w:tc>
        <w:tc>
          <w:tcPr>
            <w:tcW w:w="6804"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基于人体工学设计，方便轮椅出入设计</w:t>
            </w:r>
          </w:p>
        </w:tc>
        <w:tc>
          <w:tcPr>
            <w:tcW w:w="709"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套</w:t>
            </w:r>
          </w:p>
        </w:tc>
        <w:tc>
          <w:tcPr>
            <w:tcW w:w="850"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Merge w:val="continue"/>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p>
        </w:tc>
        <w:tc>
          <w:tcPr>
            <w:tcW w:w="6804"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眼动跟踪传感器</w:t>
            </w:r>
          </w:p>
        </w:tc>
        <w:tc>
          <w:tcPr>
            <w:tcW w:w="709"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个</w:t>
            </w:r>
          </w:p>
        </w:tc>
        <w:tc>
          <w:tcPr>
            <w:tcW w:w="850"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vMerge w:val="continue"/>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p>
        </w:tc>
        <w:tc>
          <w:tcPr>
            <w:tcW w:w="6804"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辅助</w:t>
            </w:r>
            <w:r>
              <w:rPr>
                <w:rFonts w:hint="eastAsia" w:ascii="仿宋" w:hAnsi="仿宋" w:eastAsia="仿宋" w:cs="仿宋"/>
                <w:b w:val="0"/>
                <w:bCs w:val="0"/>
                <w:color w:val="auto"/>
                <w:sz w:val="24"/>
                <w:szCs w:val="24"/>
                <w:highlight w:val="none"/>
              </w:rPr>
              <w:t>触屏显示器：≥15寸高清触屏显示器</w:t>
            </w:r>
          </w:p>
        </w:tc>
        <w:tc>
          <w:tcPr>
            <w:tcW w:w="709"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个</w:t>
            </w:r>
          </w:p>
        </w:tc>
        <w:tc>
          <w:tcPr>
            <w:tcW w:w="850" w:type="dxa"/>
            <w:noWrap w:val="0"/>
            <w:vAlign w:val="top"/>
          </w:tcPr>
          <w:p>
            <w:pPr>
              <w:keepNext w:val="0"/>
              <w:keepLines w:val="0"/>
              <w:pageBreakBefore w:val="0"/>
              <w:suppressLineNumbers w:val="0"/>
              <w:kinsoku/>
              <w:wordWrap/>
              <w:overflowPunct/>
              <w:topLinePunct w:val="0"/>
              <w:bidi w:val="0"/>
              <w:snapToGrid/>
              <w:spacing w:before="0" w:beforeAutospacing="0" w:after="0" w:after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r>
    </w:tbl>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配件：环形训练带</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配件：肌肉放松滚轴</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配件：电动筋膜刀</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7" w:name="_Toc5120"/>
      <w:r>
        <w:rPr>
          <w:rFonts w:hint="eastAsia" w:ascii="仿宋" w:hAnsi="仿宋" w:eastAsia="仿宋" w:cs="仿宋"/>
          <w:b/>
          <w:bCs/>
          <w:color w:val="auto"/>
          <w:sz w:val="24"/>
          <w:szCs w:val="24"/>
          <w:highlight w:val="none"/>
          <w:lang w:val="en-US" w:eastAsia="zh-CN"/>
        </w:rPr>
        <w:t>(四)便携式肺功能仪技术要求</w:t>
      </w:r>
      <w:bookmarkEnd w:id="7"/>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一、产品标准及认证</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1.产品注册名称：肺功能仪，肺功能测试仪，肺功能测定仪，肺功能检测仪等；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2.产品注册标准：符合国家肺功能仪有关技术规范要求和技术标准，产品主要性能指标经过国家权威检测机构检测；</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3.产品检测原理：采用双向筛网压差检测技术原理。</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二、产品功能参数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1.检测显示参数包含：FVC(用力肺活量)：FVC、FEV1、FEV3、FEV6、FEV1/FVC、FEV1/VC Max、PEF、FEF25、FEF50. FEF75、MMEF、VEXP、FET等呼气指标，PIF等吸气指标；SVC（慢肺活量）：VC、VT、IRV、ERV、IC等；每分钟最大通气量（MVV）：MVV、MVV%P、VT MVV、TIME MVV、BF MVV、MVV% 等；</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2.可进行支气管舒张试验；</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3.可检测呼气、吸气指标，实时显示动态曲线（流量容积曲线、时间容积曲线）；建议加入中国人预计值；</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4.便携式设计，方便床旁及基层医疗卫生机构使用，适用于在社区体检或现场流调等工作开展；</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5.具备交叉感染防控的恰当措施，例如拆卸、清洗、消毒传感器，或使用一次性传感器或呼吸过滤器；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6.同时支持A4报告打印或仪器自带打印功能</w:t>
      </w:r>
      <w:r>
        <w:rPr>
          <w:rFonts w:hint="eastAsia" w:ascii="仿宋" w:hAnsi="仿宋" w:eastAsia="仿宋" w:cs="仿宋"/>
          <w:b w:val="0"/>
          <w:bCs w:val="0"/>
          <w:color w:val="auto"/>
          <w:sz w:val="24"/>
          <w:szCs w:val="24"/>
          <w:highlight w:val="none"/>
          <w:lang w:eastAsia="zh-CN"/>
        </w:rPr>
        <w:t>。</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三、产品质控功能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1.3升定标桶符合质量标准，仪器支持容量定标、三流速线性验证；</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2.具备自动测量环境参数(温度、湿度、大气压)并进行BTPS自动修正功能；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3.系统软件可根据检测结果进行自动质控评级。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四、产品数据传输</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1.支持无线数据互联功能：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2.支持单台仪器离线工作及与PC端联机工作模式。</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五、PC端软件功能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1.检测模块：肺通气功能检查（FVC、SVC、MVV）支气管舒张试验等：实时显示流量容积（F—V）曲线、时间容积（V—T）曲线等；</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2.质控管理模块：客量定标、线性验证，并形成质控报告；自动计算质控评级；依据ATS/ERS智能推荐可接受度高的测量曲线；</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3.肺功能检查对象信息收集及管理模块：可录入检查对象基本信息、症状、危险因素、呼吸系统疾病史、身体测量结果、禁忌症、及定期的慢阻肺高危人群及患者的随访管理等信息；</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4.随访问卷模块：CAT、mMRC、COPD—SQ等问卷配置；</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5.报告生成及打印模块：支持多种报告模板，包括肺量计检查、支气管舒张试验；</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6.工作台账模块：检测结果统计及报告导出；</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7.数据通讯模块：支持对接医院HIS系统；支持多中心及分级诊疗工作模式等功能；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8.账号管理及设置模块：账号及密码管理，账户基本信息配置，版本开级、设备管理、预计值选择、数据同步等。</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六、云端数据平台功能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1.项目管理功能：包括基础信息，汇总信息，随访内容设置，项目参与单位等；</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2.质控管理功能：设备质控定标报告，检查报告质量管理；查看某个中心的质控报告，可在线批注、留言；</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肺功能检查对象信息管理功能：包括调查对象姓名、性别、出生年月日、民族、身份证号、婚姻状况、职业、户籍地址、实际居住地址、联系电话、门诊号/住院号、症状、危险因素、呼吸病史、身体测量、禁忌症、慢阻肺高危人群及患者的随访管理等；</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肺功能报告管理模块：肺功能报告汇总；肺功能质控等级；在线查看肺功能报告详情；在线解读批注；FVC检查质量、FEV1检查质量、肺通气功能障碍类型、肺通气功能障碍程度、舒张试验阴性/阳性、GOLD分级等分析图表展示；实时查看及动态展示本中心、本地区、本省肺功能检查情况；</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5.数据导出功能：支持自定义时间范围数据导出；支持全部数据导出，包括检查对象基础信息、肺功能报告数据、随访数据等；</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6.数据共享：检查对象的基本信息和肺功能检查、诊断等相关数据和信息可传输共享至居民电子健康档案和区域人口健康信息平台等；</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7.安全性要求：保护调查对象隐私，保证信息平台和所收集信息的安全性；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8.具备可定制扩展功能。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七、</w:t>
      </w:r>
      <w:r>
        <w:rPr>
          <w:rFonts w:hint="eastAsia" w:ascii="仿宋" w:hAnsi="仿宋" w:eastAsia="仿宋" w:cs="仿宋"/>
          <w:b w:val="0"/>
          <w:bCs w:val="0"/>
          <w:color w:val="auto"/>
          <w:sz w:val="24"/>
          <w:szCs w:val="24"/>
          <w:highlight w:val="none"/>
          <w:lang w:val="en-US" w:eastAsia="zh-CN"/>
        </w:rPr>
        <w:t>配置</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1.符合标准的3升定标桶一个；</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2.肺功能仪一台(包括肺功能仪、PC端软件和云端数据平台等)；</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3、扳机点按摩棒：肌肉起止点放松</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4、手动整脊枪：关节松动</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5、泡沫轴：软组织放松</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8" w:name="_Toc24242"/>
      <w:r>
        <w:rPr>
          <w:rFonts w:hint="eastAsia" w:ascii="仿宋" w:hAnsi="仿宋" w:eastAsia="仿宋" w:cs="仿宋"/>
          <w:b/>
          <w:bCs/>
          <w:color w:val="auto"/>
          <w:sz w:val="24"/>
          <w:szCs w:val="24"/>
          <w:highlight w:val="none"/>
          <w:lang w:val="en-US" w:eastAsia="zh-CN"/>
        </w:rPr>
        <w:t>(五)肌骨可视化超声引导系统技术要求</w:t>
      </w:r>
      <w:bookmarkEnd w:id="8"/>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一、</w:t>
      </w:r>
      <w:r>
        <w:rPr>
          <w:rFonts w:hint="eastAsia" w:ascii="仿宋" w:hAnsi="仿宋" w:eastAsia="仿宋" w:cs="仿宋"/>
          <w:b w:val="0"/>
          <w:bCs w:val="0"/>
          <w:color w:val="auto"/>
          <w:sz w:val="24"/>
          <w:szCs w:val="24"/>
          <w:highlight w:val="none"/>
        </w:rPr>
        <w:t>设备用途：主要用于康复科骨超声、介入科、疼痛科、外科等超声下可视化引导研究和临床实践；系统必须具有升级能力的设计</w:t>
      </w:r>
      <w:r>
        <w:rPr>
          <w:rFonts w:hint="eastAsia" w:ascii="仿宋" w:hAnsi="仿宋" w:eastAsia="仿宋" w:cs="仿宋"/>
          <w:b w:val="0"/>
          <w:bCs w:val="0"/>
          <w:color w:val="auto"/>
          <w:sz w:val="24"/>
          <w:szCs w:val="24"/>
          <w:highlight w:val="none"/>
          <w:lang w:eastAsia="zh-CN"/>
        </w:rPr>
        <w:t>。</w:t>
      </w:r>
    </w:p>
    <w:p>
      <w:pPr>
        <w:keepNext w:val="0"/>
        <w:keepLines w:val="0"/>
        <w:pageBreakBefore w:val="0"/>
        <w:kinsoku/>
        <w:wordWrap/>
        <w:overflowPunct/>
        <w:topLinePunct w:val="0"/>
        <w:bidi w:val="0"/>
        <w:snapToGrid/>
        <w:spacing w:beforeAutospacing="0" w:line="440" w:lineRule="exact"/>
        <w:ind w:left="0" w:leftChars="0" w:right="0" w:hanging="578"/>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投标方必须保证所投机型为本公司之最新专科应用产品，若有新技术推出，将免费为本超声仪升级。</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主要技术规格及系统概述：</w:t>
      </w:r>
    </w:p>
    <w:p>
      <w:pPr>
        <w:keepNext w:val="0"/>
        <w:keepLines w:val="0"/>
        <w:pageBreakBefore w:val="0"/>
        <w:kinsoku/>
        <w:wordWrap/>
        <w:overflowPunct/>
        <w:topLinePunct w:val="0"/>
        <w:bidi w:val="0"/>
        <w:snapToGrid/>
        <w:spacing w:beforeAutospacing="0" w:line="440" w:lineRule="exact"/>
        <w:ind w:left="0" w:leftChars="0" w:right="0" w:hanging="578"/>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二、</w:t>
      </w:r>
      <w:r>
        <w:rPr>
          <w:rFonts w:hint="eastAsia" w:ascii="仿宋" w:hAnsi="仿宋" w:eastAsia="仿宋" w:cs="仿宋"/>
          <w:b w:val="0"/>
          <w:bCs w:val="0"/>
          <w:color w:val="auto"/>
          <w:sz w:val="24"/>
          <w:szCs w:val="24"/>
          <w:highlight w:val="none"/>
        </w:rPr>
        <w:t>高档彩色多普勒超声诊断仪：</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彩色监视器：≥13寸高分辨率彩色LED显示器</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触摸屏：≥13寸电容式触摸屏，支持单点、多点、滑动、缩放操作</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电池的续航时间（实时连续非冻结下扫查）：≥60分钟</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u w:color="FF0000"/>
        </w:rPr>
        <w:t>一体化</w:t>
      </w:r>
      <w:r>
        <w:rPr>
          <w:rFonts w:hint="eastAsia" w:ascii="仿宋" w:hAnsi="仿宋" w:eastAsia="仿宋" w:cs="仿宋"/>
          <w:b w:val="0"/>
          <w:bCs w:val="0"/>
          <w:color w:val="auto"/>
          <w:sz w:val="24"/>
          <w:szCs w:val="24"/>
          <w:highlight w:val="none"/>
        </w:rPr>
        <w:t>台车，带储物盒功能</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台车支持升降，行程≥30cm</w:t>
      </w:r>
    </w:p>
    <w:p>
      <w:pPr>
        <w:keepNext w:val="0"/>
        <w:keepLines w:val="0"/>
        <w:pageBreakBefore w:val="0"/>
        <w:tabs>
          <w:tab w:val="left" w:pos="378"/>
        </w:tabs>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支持桌面支架放置，用户可从台车上直接拆下放置在桌面上</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台车上自带专业的消毒用杯套，方便单人完成探头消毒。</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全数字化超宽频带波束形成器：数字通道≥28672</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rPr>
        <w:t>数字化高分辨率二维灰阶成像</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rPr>
        <w:t>谐波成像技术</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rPr>
        <w:t>彩色多普勒</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12.</w:t>
      </w:r>
      <w:r>
        <w:rPr>
          <w:rFonts w:hint="eastAsia" w:ascii="仿宋" w:hAnsi="仿宋" w:eastAsia="仿宋" w:cs="仿宋"/>
          <w:b w:val="0"/>
          <w:bCs w:val="0"/>
          <w:color w:val="auto"/>
          <w:sz w:val="24"/>
          <w:szCs w:val="24"/>
          <w:highlight w:val="none"/>
        </w:rPr>
        <w:t>能量多普勒（CDE/PDI)，方向能量图</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13.</w:t>
      </w:r>
      <w:r>
        <w:rPr>
          <w:rFonts w:hint="eastAsia" w:ascii="仿宋" w:hAnsi="仿宋" w:eastAsia="仿宋" w:cs="仿宋"/>
          <w:b w:val="0"/>
          <w:bCs w:val="0"/>
          <w:color w:val="auto"/>
          <w:sz w:val="24"/>
          <w:szCs w:val="24"/>
          <w:highlight w:val="none"/>
        </w:rPr>
        <w:t>M模式</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14.</w:t>
      </w:r>
      <w:r>
        <w:rPr>
          <w:rFonts w:hint="eastAsia" w:ascii="仿宋" w:hAnsi="仿宋" w:eastAsia="仿宋" w:cs="仿宋"/>
          <w:b w:val="0"/>
          <w:bCs w:val="0"/>
          <w:color w:val="auto"/>
          <w:sz w:val="24"/>
          <w:szCs w:val="24"/>
          <w:highlight w:val="none"/>
        </w:rPr>
        <w:t>脉冲波多普勒，连续波多普勒</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15.</w:t>
      </w:r>
      <w:r>
        <w:rPr>
          <w:rFonts w:hint="eastAsia" w:ascii="仿宋" w:hAnsi="仿宋" w:eastAsia="仿宋" w:cs="仿宋"/>
          <w:b w:val="0"/>
          <w:bCs w:val="0"/>
          <w:color w:val="auto"/>
          <w:sz w:val="24"/>
          <w:szCs w:val="24"/>
          <w:highlight w:val="none"/>
        </w:rPr>
        <w:t>实时血流三同步</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16.</w:t>
      </w:r>
      <w:r>
        <w:rPr>
          <w:rFonts w:hint="eastAsia" w:ascii="仿宋" w:hAnsi="仿宋" w:eastAsia="仿宋" w:cs="仿宋"/>
          <w:b w:val="0"/>
          <w:bCs w:val="0"/>
          <w:color w:val="auto"/>
          <w:sz w:val="24"/>
          <w:szCs w:val="24"/>
          <w:highlight w:val="none"/>
        </w:rPr>
        <w:t>血流的自动频谱包络分析测量</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17.</w:t>
      </w:r>
      <w:r>
        <w:rPr>
          <w:rFonts w:hint="eastAsia" w:ascii="仿宋" w:hAnsi="仿宋" w:eastAsia="仿宋" w:cs="仿宋"/>
          <w:b w:val="0"/>
          <w:bCs w:val="0"/>
          <w:color w:val="auto"/>
          <w:sz w:val="24"/>
          <w:szCs w:val="24"/>
          <w:highlight w:val="none"/>
        </w:rPr>
        <w:t>实时空间复合成像技术，同时用作发射和接收。≥7线，可做曲别针实验。</w:t>
      </w:r>
      <w:r>
        <w:rPr>
          <w:rFonts w:hint="eastAsia" w:ascii="仿宋" w:hAnsi="仿宋" w:eastAsia="仿宋" w:cs="仿宋"/>
          <w:b w:val="0"/>
          <w:bCs w:val="0"/>
          <w:color w:val="auto"/>
          <w:sz w:val="24"/>
          <w:szCs w:val="24"/>
          <w:highlight w:val="none"/>
          <w:lang w:val="en-US" w:eastAsia="zh-CN"/>
        </w:rPr>
        <w:t>提供</w:t>
      </w:r>
      <w:r>
        <w:rPr>
          <w:rFonts w:hint="eastAsia" w:ascii="仿宋" w:hAnsi="仿宋" w:eastAsia="仿宋" w:cs="仿宋"/>
          <w:b w:val="0"/>
          <w:bCs w:val="0"/>
          <w:color w:val="auto"/>
          <w:sz w:val="24"/>
          <w:szCs w:val="24"/>
          <w:highlight w:val="none"/>
        </w:rPr>
        <w:t>图片证明。</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18.</w:t>
      </w:r>
      <w:r>
        <w:rPr>
          <w:rFonts w:hint="eastAsia" w:ascii="仿宋" w:hAnsi="仿宋" w:eastAsia="仿宋" w:cs="仿宋"/>
          <w:b w:val="0"/>
          <w:bCs w:val="0"/>
          <w:color w:val="auto"/>
          <w:sz w:val="24"/>
          <w:szCs w:val="24"/>
          <w:highlight w:val="none"/>
        </w:rPr>
        <w:t>自适应图像增强技术，清除斑点噪声，提高组织边界对比分辨率。</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19.</w:t>
      </w:r>
      <w:r>
        <w:rPr>
          <w:rFonts w:hint="eastAsia" w:ascii="仿宋" w:hAnsi="仿宋" w:eastAsia="仿宋" w:cs="仿宋"/>
          <w:b w:val="0"/>
          <w:bCs w:val="0"/>
          <w:color w:val="auto"/>
          <w:sz w:val="24"/>
          <w:szCs w:val="24"/>
          <w:highlight w:val="none"/>
        </w:rPr>
        <w:t>频率复合技术，根据深度自适应调整发射频率，并进行复合。</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rPr>
        <w:t>智能穿刺增强技术，平面内的穿刺针增强角度自适应调整，无需手动选择角度。</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21.</w:t>
      </w:r>
      <w:r>
        <w:rPr>
          <w:rFonts w:hint="eastAsia" w:ascii="仿宋" w:hAnsi="仿宋" w:eastAsia="仿宋" w:cs="仿宋"/>
          <w:b w:val="0"/>
          <w:bCs w:val="0"/>
          <w:color w:val="auto"/>
          <w:sz w:val="24"/>
          <w:szCs w:val="24"/>
          <w:highlight w:val="none"/>
        </w:rPr>
        <w:t>支持磁导航技术，可精准定位针尖和针杆的空间位置，不论是平面内还是平面外都适用。</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w:t>
      </w:r>
      <w:r>
        <w:rPr>
          <w:rFonts w:hint="eastAsia" w:ascii="仿宋" w:hAnsi="仿宋" w:eastAsia="仿宋" w:cs="仿宋"/>
          <w:b w:val="0"/>
          <w:bCs w:val="0"/>
          <w:color w:val="auto"/>
          <w:sz w:val="24"/>
          <w:szCs w:val="24"/>
          <w:highlight w:val="none"/>
        </w:rPr>
        <w:t>智能一键图像优化技术：能优化B模式、彩色模式、频谱模式的图像。</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w:t>
      </w:r>
      <w:r>
        <w:rPr>
          <w:rFonts w:hint="eastAsia" w:ascii="仿宋" w:hAnsi="仿宋" w:eastAsia="仿宋" w:cs="仿宋"/>
          <w:b w:val="0"/>
          <w:bCs w:val="0"/>
          <w:color w:val="auto"/>
          <w:sz w:val="24"/>
          <w:szCs w:val="24"/>
          <w:highlight w:val="none"/>
        </w:rPr>
        <w:t>极简模式:可点击仅把常用几个按键调出，方便医生只关注图像或实施简单的操作</w:t>
      </w:r>
      <w:r>
        <w:rPr>
          <w:rFonts w:hint="eastAsia" w:ascii="仿宋" w:hAnsi="仿宋" w:eastAsia="仿宋" w:cs="仿宋"/>
          <w:b w:val="0"/>
          <w:bCs w:val="0"/>
          <w:color w:val="auto"/>
          <w:sz w:val="24"/>
          <w:szCs w:val="24"/>
          <w:highlight w:val="none"/>
          <w:lang w:val="en-US" w:eastAsia="zh-CN"/>
        </w:rPr>
        <w:t>.</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24.</w:t>
      </w:r>
      <w:r>
        <w:rPr>
          <w:rFonts w:hint="eastAsia" w:ascii="仿宋" w:hAnsi="仿宋" w:eastAsia="仿宋" w:cs="仿宋"/>
          <w:b w:val="0"/>
          <w:bCs w:val="0"/>
          <w:color w:val="auto"/>
          <w:sz w:val="24"/>
          <w:szCs w:val="24"/>
          <w:highlight w:val="none"/>
        </w:rPr>
        <w:t>麻醉科、疼痛科专用的成像条件：比如臂丛神经、坐骨神经、肩部、足部等</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25</w:t>
      </w:r>
      <w:r>
        <w:rPr>
          <w:rFonts w:hint="eastAsia" w:ascii="仿宋" w:hAnsi="仿宋" w:eastAsia="仿宋" w:cs="仿宋"/>
          <w:b w:val="0"/>
          <w:bCs w:val="0"/>
          <w:color w:val="auto"/>
          <w:sz w:val="24"/>
          <w:szCs w:val="24"/>
          <w:highlight w:val="none"/>
        </w:rPr>
        <w:t>麻醉和疼痛专用的教学软件，方便医生刚接触超声能快速提升超声业务水平</w:t>
      </w:r>
    </w:p>
    <w:p>
      <w:pPr>
        <w:keepNext w:val="0"/>
        <w:keepLines w:val="0"/>
        <w:pageBreakBefore w:val="0"/>
        <w:kinsoku/>
        <w:wordWrap/>
        <w:overflowPunct/>
        <w:topLinePunct w:val="0"/>
        <w:bidi w:val="0"/>
        <w:snapToGrid/>
        <w:spacing w:beforeAutospacing="0" w:line="440" w:lineRule="exact"/>
        <w:ind w:left="0" w:leftChars="0" w:right="0" w:hanging="578"/>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26.</w:t>
      </w:r>
      <w:r>
        <w:rPr>
          <w:rFonts w:hint="eastAsia" w:ascii="仿宋" w:hAnsi="仿宋" w:eastAsia="仿宋" w:cs="仿宋"/>
          <w:b w:val="0"/>
          <w:bCs w:val="0"/>
          <w:color w:val="auto"/>
          <w:sz w:val="24"/>
          <w:szCs w:val="24"/>
          <w:highlight w:val="none"/>
        </w:rPr>
        <w:t>测量和分析（B模式，M模式，多普勒模式，彩色模式）</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27.</w:t>
      </w:r>
      <w:r>
        <w:rPr>
          <w:rFonts w:hint="eastAsia" w:ascii="仿宋" w:hAnsi="仿宋" w:eastAsia="仿宋" w:cs="仿宋"/>
          <w:b w:val="0"/>
          <w:bCs w:val="0"/>
          <w:color w:val="auto"/>
          <w:sz w:val="24"/>
          <w:szCs w:val="24"/>
          <w:highlight w:val="none"/>
        </w:rPr>
        <w:t>一般测量（距离、面积、周长、体积、角度、时间、斜率、心率、流速、压力、流速比等）</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28.</w:t>
      </w:r>
      <w:r>
        <w:rPr>
          <w:rFonts w:hint="eastAsia" w:ascii="仿宋" w:hAnsi="仿宋" w:eastAsia="仿宋" w:cs="仿宋"/>
          <w:b w:val="0"/>
          <w:bCs w:val="0"/>
          <w:color w:val="auto"/>
          <w:sz w:val="24"/>
          <w:szCs w:val="24"/>
          <w:highlight w:val="none"/>
        </w:rPr>
        <w:t>产科测量，具有产科应用软件</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29.</w:t>
      </w:r>
      <w:r>
        <w:rPr>
          <w:rFonts w:hint="eastAsia" w:ascii="仿宋" w:hAnsi="仿宋" w:eastAsia="仿宋" w:cs="仿宋"/>
          <w:b w:val="0"/>
          <w:bCs w:val="0"/>
          <w:color w:val="auto"/>
          <w:sz w:val="24"/>
          <w:szCs w:val="24"/>
          <w:highlight w:val="none"/>
        </w:rPr>
        <w:t>多普勒血流测量与分析</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30.</w:t>
      </w:r>
      <w:r>
        <w:rPr>
          <w:rFonts w:hint="eastAsia" w:ascii="仿宋" w:hAnsi="仿宋" w:eastAsia="仿宋" w:cs="仿宋"/>
          <w:b w:val="0"/>
          <w:bCs w:val="0"/>
          <w:color w:val="auto"/>
          <w:sz w:val="24"/>
          <w:szCs w:val="24"/>
          <w:highlight w:val="none"/>
        </w:rPr>
        <w:t>全自动血流多普勒包络分析</w:t>
      </w:r>
    </w:p>
    <w:p>
      <w:pPr>
        <w:keepNext w:val="0"/>
        <w:keepLines w:val="0"/>
        <w:pageBreakBefore w:val="0"/>
        <w:kinsoku/>
        <w:wordWrap/>
        <w:overflowPunct/>
        <w:topLinePunct w:val="0"/>
        <w:bidi w:val="0"/>
        <w:snapToGrid/>
        <w:spacing w:beforeAutospacing="0" w:line="440" w:lineRule="exact"/>
        <w:ind w:left="0" w:leftChars="0" w:right="0" w:hanging="578"/>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31.</w:t>
      </w:r>
      <w:r>
        <w:rPr>
          <w:rFonts w:hint="eastAsia" w:ascii="仿宋" w:hAnsi="仿宋" w:eastAsia="仿宋" w:cs="仿宋"/>
          <w:b w:val="0"/>
          <w:bCs w:val="0"/>
          <w:color w:val="auto"/>
          <w:sz w:val="24"/>
          <w:szCs w:val="24"/>
          <w:highlight w:val="none"/>
        </w:rPr>
        <w:t>一体化图像存储（电影）回放重现及病案管理部件：</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32.</w:t>
      </w:r>
      <w:r>
        <w:rPr>
          <w:rFonts w:hint="eastAsia" w:ascii="仿宋" w:hAnsi="仿宋" w:eastAsia="仿宋" w:cs="仿宋"/>
          <w:b w:val="0"/>
          <w:bCs w:val="0"/>
          <w:color w:val="auto"/>
          <w:sz w:val="24"/>
          <w:szCs w:val="24"/>
          <w:highlight w:val="none"/>
        </w:rPr>
        <w:t>超声图像静态、动态存储、原始数据回放重现</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33.</w:t>
      </w:r>
      <w:r>
        <w:rPr>
          <w:rFonts w:hint="eastAsia" w:ascii="仿宋" w:hAnsi="仿宋" w:eastAsia="仿宋" w:cs="仿宋"/>
          <w:b w:val="0"/>
          <w:bCs w:val="0"/>
          <w:color w:val="auto"/>
          <w:sz w:val="24"/>
          <w:szCs w:val="24"/>
          <w:highlight w:val="none"/>
        </w:rPr>
        <w:t>病案管理部件包括：病人资料、报告、图像等的存储、修改、检索和打印等</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34.</w:t>
      </w:r>
      <w:r>
        <w:rPr>
          <w:rFonts w:hint="eastAsia" w:ascii="仿宋" w:hAnsi="仿宋" w:eastAsia="仿宋" w:cs="仿宋"/>
          <w:b w:val="0"/>
          <w:bCs w:val="0"/>
          <w:color w:val="auto"/>
          <w:sz w:val="24"/>
          <w:szCs w:val="24"/>
          <w:highlight w:val="none"/>
        </w:rPr>
        <w:t>输出：HDMI，USB</w:t>
      </w:r>
    </w:p>
    <w:p>
      <w:pPr>
        <w:keepNext w:val="0"/>
        <w:keepLines w:val="0"/>
        <w:pageBreakBefore w:val="0"/>
        <w:kinsoku/>
        <w:wordWrap/>
        <w:overflowPunct/>
        <w:topLinePunct w:val="0"/>
        <w:bidi w:val="0"/>
        <w:snapToGrid/>
        <w:spacing w:beforeAutospacing="0" w:line="440" w:lineRule="exact"/>
        <w:ind w:left="0" w:leftChars="0" w:right="0" w:hanging="578"/>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35.</w:t>
      </w:r>
      <w:r>
        <w:rPr>
          <w:rFonts w:hint="eastAsia" w:ascii="仿宋" w:hAnsi="仿宋" w:eastAsia="仿宋" w:cs="仿宋"/>
          <w:b w:val="0"/>
          <w:bCs w:val="0"/>
          <w:color w:val="auto"/>
          <w:sz w:val="24"/>
          <w:szCs w:val="24"/>
          <w:highlight w:val="none"/>
        </w:rPr>
        <w:t>图像管理与记录装置：</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w:t>
      </w:r>
      <w:r>
        <w:rPr>
          <w:rFonts w:hint="eastAsia" w:ascii="仿宋" w:hAnsi="仿宋" w:eastAsia="仿宋" w:cs="仿宋"/>
          <w:b w:val="0"/>
          <w:bCs w:val="0"/>
          <w:color w:val="auto"/>
          <w:sz w:val="24"/>
          <w:szCs w:val="24"/>
          <w:highlight w:val="none"/>
        </w:rPr>
        <w:t>大容量硬盘≥240G</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37.</w:t>
      </w:r>
      <w:r>
        <w:rPr>
          <w:rFonts w:hint="eastAsia" w:ascii="仿宋" w:hAnsi="仿宋" w:eastAsia="仿宋" w:cs="仿宋"/>
          <w:b w:val="0"/>
          <w:bCs w:val="0"/>
          <w:color w:val="auto"/>
          <w:sz w:val="24"/>
          <w:szCs w:val="24"/>
          <w:highlight w:val="none"/>
        </w:rPr>
        <w:t>图像可存储为PC兼容格式</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38.</w:t>
      </w:r>
      <w:r>
        <w:rPr>
          <w:rFonts w:hint="eastAsia" w:ascii="仿宋" w:hAnsi="仿宋" w:eastAsia="仿宋" w:cs="仿宋"/>
          <w:b w:val="0"/>
          <w:bCs w:val="0"/>
          <w:color w:val="auto"/>
          <w:sz w:val="24"/>
          <w:szCs w:val="24"/>
          <w:highlight w:val="none"/>
        </w:rPr>
        <w:t>USB接口支持打印和数据输出</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三、</w:t>
      </w:r>
      <w:r>
        <w:rPr>
          <w:rFonts w:hint="eastAsia" w:ascii="仿宋" w:hAnsi="仿宋" w:eastAsia="仿宋" w:cs="仿宋"/>
          <w:b w:val="0"/>
          <w:bCs w:val="0"/>
          <w:color w:val="auto"/>
          <w:sz w:val="24"/>
          <w:szCs w:val="24"/>
          <w:highlight w:val="none"/>
        </w:rPr>
        <w:t>技术参数及要求：</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彩色监视器：≥13寸高分辨率彩色LED监视器</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触摸屏：≥13寸电容屏，支持单点，多点触控操作</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主机探头接口：≥1个，非扩展接口。</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支持探头扩展器，扩展器可1扩≥3个。</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安全性能：符合国家标准</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探头频率范围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1.0-15.0MHz</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高频探头中心频率≥10MHz</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支持探头类型：凸阵，线阵，相控阵，腔内</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rPr>
        <w:t>线阵探头有效阵元≥192</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b w:val="0"/>
          <w:bCs w:val="0"/>
          <w:color w:val="auto"/>
          <w:sz w:val="24"/>
          <w:szCs w:val="24"/>
          <w:highlight w:val="none"/>
        </w:rPr>
        <w:t>探头上自带按键，可远程操控主机，能定义常规的操作如增益、深度、冻结解冻</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11.</w:t>
      </w:r>
      <w:r>
        <w:rPr>
          <w:rFonts w:hint="eastAsia" w:ascii="仿宋" w:hAnsi="仿宋" w:eastAsia="仿宋" w:cs="仿宋"/>
          <w:b w:val="0"/>
          <w:bCs w:val="0"/>
          <w:color w:val="auto"/>
          <w:sz w:val="24"/>
          <w:szCs w:val="24"/>
          <w:highlight w:val="none"/>
        </w:rPr>
        <w:t>支持小尺寸的L型探头，方便末梢神经穿刺和桡动脉穿刺</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12.</w:t>
      </w:r>
      <w:r>
        <w:rPr>
          <w:rFonts w:hint="eastAsia" w:ascii="仿宋" w:hAnsi="仿宋" w:eastAsia="仿宋" w:cs="仿宋"/>
          <w:b w:val="0"/>
          <w:bCs w:val="0"/>
          <w:color w:val="auto"/>
          <w:sz w:val="24"/>
          <w:szCs w:val="24"/>
          <w:highlight w:val="none"/>
        </w:rPr>
        <w:t>探头具备穿刺架装置，穿刺架可消毒</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13.</w:t>
      </w:r>
      <w:r>
        <w:rPr>
          <w:rFonts w:hint="eastAsia" w:ascii="仿宋" w:hAnsi="仿宋" w:eastAsia="仿宋" w:cs="仿宋"/>
          <w:b w:val="0"/>
          <w:bCs w:val="0"/>
          <w:color w:val="auto"/>
          <w:sz w:val="24"/>
          <w:szCs w:val="24"/>
          <w:highlight w:val="none"/>
        </w:rPr>
        <w:t>可选探头群工作频率范围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腹部凸阵探头频率1.0-5.0MHz</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线阵探头频率4-15MHz</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14.</w:t>
      </w:r>
      <w:r>
        <w:rPr>
          <w:rFonts w:hint="eastAsia" w:ascii="仿宋" w:hAnsi="仿宋" w:eastAsia="仿宋" w:cs="仿宋"/>
          <w:b w:val="0"/>
          <w:bCs w:val="0"/>
          <w:color w:val="auto"/>
          <w:sz w:val="24"/>
          <w:szCs w:val="24"/>
          <w:highlight w:val="none"/>
        </w:rPr>
        <w:t>扫描速率</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相控阵，18cm 深度时，全视野扫描帧率≥70帧/秒</w:t>
      </w:r>
    </w:p>
    <w:p>
      <w:pPr>
        <w:keepNext w:val="0"/>
        <w:keepLines w:val="0"/>
        <w:pageBreakBefore w:val="0"/>
        <w:numPr>
          <w:ilvl w:val="0"/>
          <w:numId w:val="0"/>
        </w:numPr>
        <w:kinsoku/>
        <w:wordWrap/>
        <w:overflowPunct/>
        <w:topLinePunct w:val="0"/>
        <w:bidi w:val="0"/>
        <w:snapToGrid/>
        <w:spacing w:beforeAutospacing="0" w:line="440" w:lineRule="exact"/>
        <w:ind w:left="0" w:leftChars="0" w:right="0" w:firstLine="42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凸阵探头，18cm深时，全视野扫描帧率≥80帧/秒</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15.</w:t>
      </w:r>
      <w:r>
        <w:rPr>
          <w:rFonts w:hint="eastAsia" w:ascii="仿宋" w:hAnsi="仿宋" w:eastAsia="仿宋" w:cs="仿宋"/>
          <w:b w:val="0"/>
          <w:bCs w:val="0"/>
          <w:color w:val="auto"/>
          <w:sz w:val="24"/>
          <w:szCs w:val="24"/>
          <w:highlight w:val="none"/>
        </w:rPr>
        <w:t>发射声束聚焦≥4段</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16.</w:t>
      </w:r>
      <w:r>
        <w:rPr>
          <w:rFonts w:hint="eastAsia" w:ascii="仿宋" w:hAnsi="仿宋" w:eastAsia="仿宋" w:cs="仿宋"/>
          <w:b w:val="0"/>
          <w:bCs w:val="0"/>
          <w:color w:val="auto"/>
          <w:sz w:val="24"/>
          <w:szCs w:val="24"/>
          <w:highlight w:val="none"/>
        </w:rPr>
        <w:t>可视可调动态范围≥180</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17.</w:t>
      </w:r>
      <w:r>
        <w:rPr>
          <w:rFonts w:hint="eastAsia" w:ascii="仿宋" w:hAnsi="仿宋" w:eastAsia="仿宋" w:cs="仿宋"/>
          <w:b w:val="0"/>
          <w:bCs w:val="0"/>
          <w:color w:val="auto"/>
          <w:sz w:val="24"/>
          <w:szCs w:val="24"/>
          <w:highlight w:val="none"/>
        </w:rPr>
        <w:t>二维灰阶≥256</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18.</w:t>
      </w:r>
      <w:r>
        <w:rPr>
          <w:rFonts w:hint="eastAsia" w:ascii="仿宋" w:hAnsi="仿宋" w:eastAsia="仿宋" w:cs="仿宋"/>
          <w:b w:val="0"/>
          <w:bCs w:val="0"/>
          <w:color w:val="auto"/>
          <w:sz w:val="24"/>
          <w:szCs w:val="24"/>
          <w:highlight w:val="none"/>
        </w:rPr>
        <w:t>数字式声束形成器：数字式全程动态聚焦，数字式可变孔径及动态变速，A/D≥14 BIT</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19.</w:t>
      </w:r>
      <w:r>
        <w:rPr>
          <w:rFonts w:hint="eastAsia" w:ascii="仿宋" w:hAnsi="仿宋" w:eastAsia="仿宋" w:cs="仿宋"/>
          <w:b w:val="0"/>
          <w:bCs w:val="0"/>
          <w:color w:val="auto"/>
          <w:sz w:val="24"/>
          <w:szCs w:val="24"/>
          <w:highlight w:val="none"/>
        </w:rPr>
        <w:t>电影回放：灰阶图像回放≥16000幅；图片证明</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rPr>
        <w:t>预设条件：针对不同的检查脏器，预置最佳化图像的检查条件，减少操作时的调节及常用所需的外部调节及组合调节</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21.</w:t>
      </w:r>
      <w:r>
        <w:rPr>
          <w:rFonts w:hint="eastAsia" w:ascii="仿宋" w:hAnsi="仿宋" w:eastAsia="仿宋" w:cs="仿宋"/>
          <w:b w:val="0"/>
          <w:bCs w:val="0"/>
          <w:color w:val="auto"/>
          <w:sz w:val="24"/>
          <w:szCs w:val="24"/>
          <w:highlight w:val="none"/>
        </w:rPr>
        <w:t>增益调节：TGC分段≥8</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22.</w:t>
      </w:r>
      <w:r>
        <w:rPr>
          <w:rFonts w:hint="eastAsia" w:ascii="仿宋" w:hAnsi="仿宋" w:eastAsia="仿宋" w:cs="仿宋"/>
          <w:b w:val="0"/>
          <w:bCs w:val="0"/>
          <w:color w:val="auto"/>
          <w:sz w:val="24"/>
          <w:szCs w:val="24"/>
          <w:highlight w:val="none"/>
        </w:rPr>
        <w:t>谐波：所选探头均支持脉冲反相谐波</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23.</w:t>
      </w:r>
      <w:r>
        <w:rPr>
          <w:rFonts w:hint="eastAsia" w:ascii="仿宋" w:hAnsi="仿宋" w:eastAsia="仿宋" w:cs="仿宋"/>
          <w:b w:val="0"/>
          <w:bCs w:val="0"/>
          <w:color w:val="auto"/>
          <w:sz w:val="24"/>
          <w:szCs w:val="24"/>
          <w:highlight w:val="none"/>
        </w:rPr>
        <w:t>扫描深度≥29cm（附图说明）</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24.</w:t>
      </w:r>
      <w:r>
        <w:rPr>
          <w:rFonts w:hint="eastAsia" w:ascii="仿宋" w:hAnsi="仿宋" w:eastAsia="仿宋" w:cs="仿宋"/>
          <w:b w:val="0"/>
          <w:bCs w:val="0"/>
          <w:color w:val="auto"/>
          <w:sz w:val="24"/>
          <w:szCs w:val="24"/>
          <w:highlight w:val="none"/>
        </w:rPr>
        <w:t>支持方式：PWD、CWD、HPRF</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25.</w:t>
      </w:r>
      <w:r>
        <w:rPr>
          <w:rFonts w:hint="eastAsia" w:ascii="仿宋" w:hAnsi="仿宋" w:eastAsia="仿宋" w:cs="仿宋"/>
          <w:b w:val="0"/>
          <w:bCs w:val="0"/>
          <w:color w:val="auto"/>
          <w:sz w:val="24"/>
          <w:szCs w:val="24"/>
          <w:highlight w:val="none"/>
        </w:rPr>
        <w:t>最大测量速度：PWD：血流速度最大8.5 m/s</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26.</w:t>
      </w:r>
      <w:r>
        <w:rPr>
          <w:rFonts w:hint="eastAsia" w:ascii="仿宋" w:hAnsi="仿宋" w:eastAsia="仿宋" w:cs="仿宋"/>
          <w:b w:val="0"/>
          <w:bCs w:val="0"/>
          <w:color w:val="auto"/>
          <w:sz w:val="24"/>
          <w:szCs w:val="24"/>
          <w:highlight w:val="none"/>
        </w:rPr>
        <w:t>CWD：血流速度最大35 m/s</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27.</w:t>
      </w:r>
      <w:r>
        <w:rPr>
          <w:rFonts w:hint="eastAsia" w:ascii="仿宋" w:hAnsi="仿宋" w:eastAsia="仿宋" w:cs="仿宋"/>
          <w:b w:val="0"/>
          <w:bCs w:val="0"/>
          <w:color w:val="auto"/>
          <w:sz w:val="24"/>
          <w:szCs w:val="24"/>
          <w:highlight w:val="none"/>
        </w:rPr>
        <w:t>最低测量速度：≤3mm/s（非噪声信号）</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28.</w:t>
      </w:r>
      <w:r>
        <w:rPr>
          <w:rFonts w:hint="eastAsia" w:ascii="仿宋" w:hAnsi="仿宋" w:eastAsia="仿宋" w:cs="仿宋"/>
          <w:b w:val="0"/>
          <w:bCs w:val="0"/>
          <w:color w:val="auto"/>
          <w:sz w:val="24"/>
          <w:szCs w:val="24"/>
          <w:highlight w:val="none"/>
        </w:rPr>
        <w:t>显示方式：B、B/PWD、B/CW、B/HPRF,、B/M、B/B、B/CFI/D</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29.</w:t>
      </w:r>
      <w:r>
        <w:rPr>
          <w:rFonts w:hint="eastAsia" w:ascii="仿宋" w:hAnsi="仿宋" w:eastAsia="仿宋" w:cs="仿宋"/>
          <w:b w:val="0"/>
          <w:bCs w:val="0"/>
          <w:color w:val="auto"/>
          <w:sz w:val="24"/>
          <w:szCs w:val="24"/>
          <w:highlight w:val="none"/>
        </w:rPr>
        <w:t>电影回放：≥400秒，Doppler及M型电影回放时可以测量和计算</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30.</w:t>
      </w:r>
      <w:r>
        <w:rPr>
          <w:rFonts w:hint="eastAsia" w:ascii="仿宋" w:hAnsi="仿宋" w:eastAsia="仿宋" w:cs="仿宋"/>
          <w:b w:val="0"/>
          <w:bCs w:val="0"/>
          <w:color w:val="auto"/>
          <w:sz w:val="24"/>
          <w:szCs w:val="24"/>
          <w:highlight w:val="none"/>
        </w:rPr>
        <w:t>零位移动：≥8级</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31.</w:t>
      </w:r>
      <w:r>
        <w:rPr>
          <w:rFonts w:hint="eastAsia" w:ascii="仿宋" w:hAnsi="仿宋" w:eastAsia="仿宋" w:cs="仿宋"/>
          <w:b w:val="0"/>
          <w:bCs w:val="0"/>
          <w:color w:val="auto"/>
          <w:sz w:val="24"/>
          <w:szCs w:val="24"/>
          <w:highlight w:val="none"/>
        </w:rPr>
        <w:t>取样宽度及位置范围：宽度1–30mm；分级；</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32.</w:t>
      </w:r>
      <w:r>
        <w:rPr>
          <w:rFonts w:hint="eastAsia" w:ascii="仿宋" w:hAnsi="仿宋" w:eastAsia="仿宋" w:cs="仿宋"/>
          <w:b w:val="0"/>
          <w:bCs w:val="0"/>
          <w:color w:val="auto"/>
          <w:sz w:val="24"/>
          <w:szCs w:val="24"/>
          <w:highlight w:val="none"/>
        </w:rPr>
        <w:t>显示方式：能量显示、速度显示、二维图像/频谱多普勒/彩色血流成像三同步显示</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33.</w:t>
      </w:r>
      <w:r>
        <w:rPr>
          <w:rFonts w:hint="eastAsia" w:ascii="仿宋" w:hAnsi="仿宋" w:eastAsia="仿宋" w:cs="仿宋"/>
          <w:b w:val="0"/>
          <w:bCs w:val="0"/>
          <w:color w:val="auto"/>
          <w:sz w:val="24"/>
          <w:szCs w:val="24"/>
          <w:highlight w:val="none"/>
        </w:rPr>
        <w:t>彩色显示帧频：</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34.</w:t>
      </w:r>
      <w:r>
        <w:rPr>
          <w:rFonts w:hint="eastAsia" w:ascii="仿宋" w:hAnsi="仿宋" w:eastAsia="仿宋" w:cs="仿宋"/>
          <w:b w:val="0"/>
          <w:bCs w:val="0"/>
          <w:color w:val="auto"/>
          <w:sz w:val="24"/>
          <w:szCs w:val="24"/>
          <w:highlight w:val="none"/>
        </w:rPr>
        <w:t>相控阵探头，18cm深时,全视野彩色显示帧频≥15帧/秒，图片证明</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35.</w:t>
      </w:r>
      <w:r>
        <w:rPr>
          <w:rFonts w:hint="eastAsia" w:ascii="仿宋" w:hAnsi="仿宋" w:eastAsia="仿宋" w:cs="仿宋"/>
          <w:b w:val="0"/>
          <w:bCs w:val="0"/>
          <w:color w:val="auto"/>
          <w:sz w:val="24"/>
          <w:szCs w:val="24"/>
          <w:highlight w:val="none"/>
        </w:rPr>
        <w:t>凸阵探头， 18cm深时,全视野彩色显示帧频≥8帧/秒，图片证明</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36.</w:t>
      </w:r>
      <w:r>
        <w:rPr>
          <w:rFonts w:hint="eastAsia" w:ascii="仿宋" w:hAnsi="仿宋" w:eastAsia="仿宋" w:cs="仿宋"/>
          <w:b w:val="0"/>
          <w:bCs w:val="0"/>
          <w:color w:val="auto"/>
          <w:sz w:val="24"/>
          <w:szCs w:val="24"/>
          <w:highlight w:val="none"/>
        </w:rPr>
        <w:t>偏转角：线阵扫描感兴趣的图像范围：-30°~+30°，图片证明</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37.</w:t>
      </w:r>
      <w:r>
        <w:rPr>
          <w:rFonts w:hint="eastAsia" w:ascii="仿宋" w:hAnsi="仿宋" w:eastAsia="仿宋" w:cs="仿宋"/>
          <w:b w:val="0"/>
          <w:bCs w:val="0"/>
          <w:color w:val="auto"/>
          <w:sz w:val="24"/>
          <w:szCs w:val="24"/>
          <w:highlight w:val="none"/>
        </w:rPr>
        <w:t>显示控制：零位移动≥8级可调，黑白与彩色比较双实时彩色对比</w:t>
      </w:r>
    </w:p>
    <w:p>
      <w:pPr>
        <w:keepNext w:val="0"/>
        <w:keepLines w:val="0"/>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38.</w:t>
      </w:r>
      <w:r>
        <w:rPr>
          <w:rFonts w:hint="eastAsia" w:ascii="仿宋" w:hAnsi="仿宋" w:eastAsia="仿宋" w:cs="仿宋"/>
          <w:b w:val="0"/>
          <w:bCs w:val="0"/>
          <w:color w:val="auto"/>
          <w:sz w:val="24"/>
          <w:szCs w:val="24"/>
          <w:highlight w:val="none"/>
        </w:rPr>
        <w:t>彩色增强功能：彩色多普勒能量图（CDE）及方向性能量图</w:t>
      </w:r>
    </w:p>
    <w:p>
      <w:pPr>
        <w:keepNext w:val="0"/>
        <w:keepLines w:val="0"/>
        <w:pageBreakBefore w:val="0"/>
        <w:kinsoku/>
        <w:wordWrap/>
        <w:overflowPunct/>
        <w:topLinePunct w:val="0"/>
        <w:bidi w:val="0"/>
        <w:snapToGrid/>
        <w:spacing w:beforeAutospacing="0" w:line="440" w:lineRule="exact"/>
        <w:ind w:left="0" w:leftChars="0" w:right="0" w:hanging="578"/>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39.</w:t>
      </w:r>
      <w:r>
        <w:rPr>
          <w:rFonts w:hint="eastAsia" w:ascii="仿宋" w:hAnsi="仿宋" w:eastAsia="仿宋" w:cs="仿宋"/>
          <w:b w:val="0"/>
          <w:bCs w:val="0"/>
          <w:color w:val="auto"/>
          <w:sz w:val="24"/>
          <w:szCs w:val="24"/>
          <w:highlight w:val="none"/>
        </w:rPr>
        <w:t>超声功率输出调节：B/M、CWD、PWD、Color Dopple输出功率可调。</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bCs/>
          <w:color w:val="auto"/>
          <w:sz w:val="24"/>
          <w:szCs w:val="24"/>
          <w:highlight w:val="none"/>
          <w:lang w:val="en-US" w:eastAsia="zh-CN"/>
        </w:rPr>
      </w:pPr>
      <w:bookmarkStart w:id="9" w:name="_Toc15966"/>
      <w:r>
        <w:rPr>
          <w:rFonts w:hint="eastAsia" w:ascii="仿宋" w:hAnsi="仿宋" w:eastAsia="仿宋" w:cs="仿宋"/>
          <w:b/>
          <w:bCs/>
          <w:color w:val="auto"/>
          <w:sz w:val="24"/>
          <w:szCs w:val="24"/>
          <w:highlight w:val="none"/>
          <w:lang w:val="en-US" w:eastAsia="zh-CN"/>
        </w:rPr>
        <w:t>(六)生物反馈治疗仪技术要求</w:t>
      </w:r>
      <w:bookmarkEnd w:id="9"/>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1.注册证适应范围必须包括肌电信号采集、分析功能。</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2.阴道电极、理疗用体表电极都有单独的注册/备案，且与生物刺激反馈仪为同厂注册</w:t>
      </w:r>
      <w:r>
        <w:rPr>
          <w:rFonts w:hint="eastAsia" w:ascii="仿宋" w:hAnsi="仿宋" w:eastAsia="仿宋" w:cs="仿宋"/>
          <w:b w:val="0"/>
          <w:bCs w:val="0"/>
          <w:color w:val="auto"/>
          <w:kern w:val="0"/>
          <w:sz w:val="24"/>
          <w:szCs w:val="24"/>
          <w:highlight w:val="none"/>
          <w:lang w:eastAsia="zh-CN"/>
        </w:rPr>
        <w:t>。</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 xml:space="preserve">3.主机：集成化一体式机箱设计（信号采集和电刺激模块与工控机封装于同一机箱内），稳定性和兼容性更有保障，抗电磁干扰性能突出。 </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val="en-US" w:eastAsia="zh-CN"/>
        </w:rPr>
        <w:t>*</w:t>
      </w:r>
      <w:r>
        <w:rPr>
          <w:rFonts w:hint="eastAsia" w:ascii="仿宋" w:hAnsi="仿宋" w:eastAsia="仿宋" w:cs="仿宋"/>
          <w:b w:val="0"/>
          <w:bCs w:val="0"/>
          <w:color w:val="auto"/>
          <w:kern w:val="0"/>
          <w:sz w:val="24"/>
          <w:szCs w:val="24"/>
          <w:highlight w:val="none"/>
        </w:rPr>
        <w:t>4.主机多功能物理通道≥4个，其中≥4个电刺激通道（STIM），≥3个肌电采集通道（EMG）。</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5.使用物理旋钮调节电流强度，操作方便，每个通道均设置各自的独立旋钮控制，可实现多通道不同强度刺激。</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val="en-US" w:eastAsia="zh-CN"/>
        </w:rPr>
        <w:t>*</w:t>
      </w:r>
      <w:r>
        <w:rPr>
          <w:rFonts w:hint="eastAsia" w:ascii="仿宋" w:hAnsi="仿宋" w:eastAsia="仿宋" w:cs="仿宋"/>
          <w:b w:val="0"/>
          <w:bCs w:val="0"/>
          <w:color w:val="auto"/>
          <w:kern w:val="0"/>
          <w:sz w:val="24"/>
          <w:szCs w:val="24"/>
          <w:highlight w:val="none"/>
        </w:rPr>
        <w:t>6.肌电采集范围：2-2500μV（r.m.s）</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7.分辨率：≤0.5μV（r.m.s）</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8.通频带：20Hz～500Hz</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9.刺激电流强度：0-100mA范围内可调，步进0.5mA可调节。</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10.电刺激脉冲宽度：50-900μs范围内均可调，步进10us可调节。</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11.电刺激脉冲频率：1-250Hz范围内均可调，步进1Hz可调节。</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12.上升/下降时间：0s～18s范围内可调。</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13.一键式开机，直接进入软件操作界面，一键式关机。</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14.筛查模式用于短时间内筛查出盆底肌异常者，快速筛查耗时</w:t>
      </w:r>
      <w:r>
        <w:rPr>
          <w:rFonts w:hint="eastAsia" w:ascii="仿宋" w:hAnsi="仿宋" w:eastAsia="仿宋" w:cs="仿宋"/>
          <w:b w:val="0"/>
          <w:bCs w:val="0"/>
          <w:color w:val="auto"/>
          <w:kern w:val="0"/>
          <w:sz w:val="24"/>
          <w:szCs w:val="24"/>
          <w:highlight w:val="none"/>
          <w:lang w:val="en-US" w:eastAsia="zh-CN"/>
        </w:rPr>
        <w:t>≤60秒</w:t>
      </w:r>
      <w:r>
        <w:rPr>
          <w:rFonts w:hint="eastAsia" w:ascii="仿宋" w:hAnsi="仿宋" w:eastAsia="仿宋" w:cs="仿宋"/>
          <w:b w:val="0"/>
          <w:bCs w:val="0"/>
          <w:color w:val="auto"/>
          <w:kern w:val="0"/>
          <w:sz w:val="24"/>
          <w:szCs w:val="24"/>
          <w:highlight w:val="none"/>
        </w:rPr>
        <w:t>，标准筛查耗时</w:t>
      </w:r>
      <w:r>
        <w:rPr>
          <w:rFonts w:hint="eastAsia" w:ascii="仿宋" w:hAnsi="仿宋" w:eastAsia="仿宋" w:cs="仿宋"/>
          <w:b w:val="0"/>
          <w:bCs w:val="0"/>
          <w:color w:val="auto"/>
          <w:kern w:val="0"/>
          <w:sz w:val="24"/>
          <w:szCs w:val="24"/>
          <w:highlight w:val="none"/>
          <w:lang w:val="en-US" w:eastAsia="zh-CN"/>
        </w:rPr>
        <w:t>≤18</w:t>
      </w:r>
      <w:r>
        <w:rPr>
          <w:rFonts w:hint="eastAsia" w:ascii="仿宋" w:hAnsi="仿宋" w:eastAsia="仿宋" w:cs="仿宋"/>
          <w:b w:val="0"/>
          <w:bCs w:val="0"/>
          <w:color w:val="auto"/>
          <w:kern w:val="0"/>
          <w:sz w:val="24"/>
          <w:szCs w:val="24"/>
          <w:highlight w:val="none"/>
        </w:rPr>
        <w:t>0秒。快速筛查和标准筛查指标包括：前静息平均值、前静息变异性、快速收缩上升时间、快速收缩最大值、快速收缩下降时间、持续收缩平均值、持续收缩变异性、后静息平均值、后静息变异性。</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lang w:val="en-US" w:eastAsia="zh-CN"/>
        </w:rPr>
        <w:t>*</w:t>
      </w:r>
      <w:r>
        <w:rPr>
          <w:rFonts w:hint="eastAsia" w:ascii="仿宋" w:hAnsi="仿宋" w:eastAsia="仿宋" w:cs="仿宋"/>
          <w:b w:val="0"/>
          <w:bCs w:val="0"/>
          <w:color w:val="auto"/>
          <w:kern w:val="0"/>
          <w:sz w:val="24"/>
          <w:szCs w:val="24"/>
          <w:highlight w:val="none"/>
        </w:rPr>
        <w:t>15.盆底表面肌电标准评估（Glazer评估），对盆底肌肉进行全面且标准化的评估，耗时约6分钟。评估指标包括：前静息平均值，前静息变异性，快速收缩上升时间，快速收缩最大值，快速收缩下降时间，持续收缩平均值，持续收缩变异性，耐久收缩平均值、耐久收缩变异性、耐久收缩后前10秒比值、后静息平均值，后静息变异性。</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16.肌电筛查、评估报告包括筛查、评估指标数值、参考值、盆底肌肌电图、腹肌肌电图、报告简要解读说明和治疗建议。</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17.系统自动对筛查、评估的每个阶段进行打分，并计算出整个过程的最终得分。</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18.可对肌电报告的模板进行设置，包括自定义报告的医院名称、报告解读、诊断结果、治疗建议。</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19.筛查、评估和治疗过程中，系统提供语音指导，提高临床效率。</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20.系统可根据盆底筛查或评估结果自动生成针对不同患者的疗程化盆底训练方案。</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21.系统可将训练方案（包括电刺激、触发电刺激、生物反馈训练、多媒体游戏训练）通过无线方式传输至盆底生物刺激反馈类设备（由主机和手机APP软件等组成），医生可通过手机APP查看患者的训练数据，提高患者依从性，安卓和IOS系统均支持该APP。</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22.多种治疗模式，包括神经肌肉电刺激、肌电触发电刺激、Kegel模板训练、多媒体游戏训练。</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23.内置多种盆底康复方案和产后康复方案，且所有内置方案参数可查看，也可以导入、导出。</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24.疗程化方案治疗，自动按照当前治疗次数选择对应的治疗方案进行治疗，也可手动调整方案。</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25.具有强大的方案自定义功能，可用于疗程化方案设置和单独方案设置。所有治疗模式可以自由组合，形成个性化治疗方案，治疗模式组合</w:t>
      </w:r>
      <w:r>
        <w:rPr>
          <w:rFonts w:hint="eastAsia" w:ascii="仿宋" w:hAnsi="仿宋" w:eastAsia="仿宋" w:cs="仿宋"/>
          <w:b w:val="0"/>
          <w:bCs w:val="0"/>
          <w:color w:val="auto"/>
          <w:kern w:val="0"/>
          <w:sz w:val="24"/>
          <w:szCs w:val="24"/>
          <w:highlight w:val="none"/>
          <w:lang w:val="en-US" w:eastAsia="zh-CN"/>
        </w:rPr>
        <w:t>≥</w:t>
      </w:r>
      <w:r>
        <w:rPr>
          <w:rFonts w:hint="eastAsia" w:ascii="仿宋" w:hAnsi="仿宋" w:eastAsia="仿宋" w:cs="仿宋"/>
          <w:b w:val="0"/>
          <w:bCs w:val="0"/>
          <w:color w:val="auto"/>
          <w:kern w:val="0"/>
          <w:sz w:val="24"/>
          <w:szCs w:val="24"/>
          <w:highlight w:val="none"/>
        </w:rPr>
        <w:t>8个。</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26.每次治疗过程中无需多次选择治疗模式，实现无中断治疗。</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27.所有盆底方案的刺激电流强度可以在治疗前预设，并在下次治疗之前显示上次的电流强度。</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28.盆底治疗过程中可以对电刺激的强度、频率、脉宽、刺激时间、休息时间参数进行调节。</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29.单个电刺激治疗可设置变频模式，实现刺激过程中至少两种频率以及脉宽之间转换。</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30.肌电触发电刺激模式包括阈值上刺激和阈值下刺激，系统可根据肌肉收缩情况自动调整阈值。</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31.Kegel训练可采用肌电值和MVC%（最大随意收缩力的百分比）两种模式。其中MVC%模式可根据患者的自身情况，调节模板训练的难度，有助于科学训练。</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32.Kegel方案可自定义编辑，包括编辑方案的模板图形、训练时间，以满足不同的治疗需求。</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33.触发电刺激、Kegel训练可查看训练记录，且Kegel训练可查看训练期间的盆底肌肌电图和腹肌肌电图。</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34.多台设备可实现筛查评估及治疗数据的自动实时同步。</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35.强大的数据管理功能，对工作量进行统计，还可对所有筛查、评估及治疗数据进行统计分析，可以回顾数据结果、波形。</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36.系统支持与盆底疾病分级诊疗信息软件的数据同步，实现医联体组建、共享数据、科研协作、病患转诊、患者预约、本地病员管理等功能。</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37.系统支持患者通过手机APP实时进行医院的诊疗预约，医生可通过预约软件对患者预约信息进行管理。医生可对诊疗预约进行个性化设置，包括：最大预约次数、允许预约时间、预约设备管理和预约时间段管理等。</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38</w:t>
      </w:r>
      <w:r>
        <w:rPr>
          <w:rFonts w:hint="eastAsia" w:ascii="仿宋" w:hAnsi="仿宋" w:eastAsia="仿宋" w:cs="仿宋"/>
          <w:b w:val="0"/>
          <w:bCs w:val="0"/>
          <w:color w:val="auto"/>
          <w:sz w:val="24"/>
          <w:szCs w:val="24"/>
          <w:highlight w:val="none"/>
        </w:rPr>
        <w:t>、康复训练垫</w:t>
      </w:r>
      <w:r>
        <w:rPr>
          <w:rFonts w:hint="eastAsia" w:ascii="仿宋" w:hAnsi="仿宋" w:eastAsia="仿宋" w:cs="仿宋"/>
          <w:b w:val="0"/>
          <w:bCs w:val="0"/>
          <w:color w:val="auto"/>
          <w:sz w:val="24"/>
          <w:szCs w:val="24"/>
          <w:highlight w:val="none"/>
          <w:lang w:val="en-US" w:eastAsia="zh-CN"/>
        </w:rPr>
        <w:t>5个；</w:t>
      </w:r>
      <w:r>
        <w:rPr>
          <w:rFonts w:hint="eastAsia" w:ascii="仿宋" w:hAnsi="仿宋" w:eastAsia="仿宋" w:cs="仿宋"/>
          <w:b w:val="0"/>
          <w:bCs w:val="0"/>
          <w:color w:val="auto"/>
          <w:sz w:val="24"/>
          <w:szCs w:val="24"/>
          <w:highlight w:val="none"/>
        </w:rPr>
        <w:t>平衡软塌</w:t>
      </w:r>
      <w:r>
        <w:rPr>
          <w:rFonts w:hint="eastAsia" w:ascii="仿宋" w:hAnsi="仿宋" w:eastAsia="仿宋" w:cs="仿宋"/>
          <w:b w:val="0"/>
          <w:bCs w:val="0"/>
          <w:color w:val="auto"/>
          <w:sz w:val="24"/>
          <w:szCs w:val="24"/>
          <w:highlight w:val="none"/>
          <w:lang w:val="en-US" w:eastAsia="zh-CN"/>
        </w:rPr>
        <w:t>10个；</w:t>
      </w:r>
      <w:r>
        <w:rPr>
          <w:rFonts w:hint="eastAsia" w:ascii="仿宋" w:hAnsi="仿宋" w:eastAsia="仿宋" w:cs="仿宋"/>
          <w:b w:val="0"/>
          <w:bCs w:val="0"/>
          <w:color w:val="auto"/>
          <w:sz w:val="24"/>
          <w:szCs w:val="24"/>
          <w:highlight w:val="none"/>
        </w:rPr>
        <w:t>手功能训练球</w:t>
      </w:r>
      <w:r>
        <w:rPr>
          <w:rFonts w:hint="eastAsia" w:ascii="仿宋" w:hAnsi="仿宋" w:eastAsia="仿宋" w:cs="仿宋"/>
          <w:b w:val="0"/>
          <w:bCs w:val="0"/>
          <w:color w:val="auto"/>
          <w:sz w:val="24"/>
          <w:szCs w:val="24"/>
          <w:highlight w:val="none"/>
          <w:lang w:val="en-US" w:eastAsia="zh-CN"/>
        </w:rPr>
        <w:t>10个</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10" w:name="_Toc7236"/>
      <w:r>
        <w:rPr>
          <w:rFonts w:hint="eastAsia" w:ascii="仿宋" w:hAnsi="仿宋" w:eastAsia="仿宋" w:cs="仿宋"/>
          <w:b/>
          <w:bCs/>
          <w:color w:val="auto"/>
          <w:sz w:val="24"/>
          <w:szCs w:val="24"/>
          <w:highlight w:val="none"/>
          <w:lang w:val="en-US" w:eastAsia="zh-CN"/>
        </w:rPr>
        <w:t>(七)经颅磁刺激仪技术要求</w:t>
      </w:r>
      <w:bookmarkEnd w:id="10"/>
      <w:r>
        <w:rPr>
          <w:rFonts w:hint="eastAsia" w:ascii="仿宋" w:hAnsi="仿宋" w:eastAsia="仿宋" w:cs="仿宋"/>
          <w:b/>
          <w:bCs/>
          <w:color w:val="auto"/>
          <w:sz w:val="24"/>
          <w:szCs w:val="24"/>
          <w:highlight w:val="none"/>
          <w:lang w:val="en-US" w:eastAsia="zh-CN"/>
        </w:rPr>
        <w:t xml:space="preserve"> </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适应症：用于人体中枢神经和外周神经刺激，用于神经电生理检查。配合药物，用于心境低落、焦虑、失眠及性症状的辅助治疗。（必须明确具有心境低落、焦虑、失眠及性症状等适应症，而非仅仅能用于检查，或者神经损伤性疾病的辅助治疗，以医疗器械注册证为准）</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产品通过CFDA临床试验验证。（需提供医疗器械临床试验报告）</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技术参数</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（一）硬件 </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1.整机通过 YY/T 0994-2015 磁刺激设备行业标准（需提供证明材料）；</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 整机通过电磁兼容性 EMC 测试（需提供证明材料）；</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3.冷却系统：智能变频风冷冷却技术，安全、无漏液风险、无需耗材和后期维护。非半导体风冷或循环液冷，主机不含液体；</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4.标配圆形和 8 字形两个刺激线圈，根据临床需求，两个刺激线圈可在 30 秒内快速切换；</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5.标配运动诱发电位监测模块：可测量阈值，也可用于在治疗中进行电生理安全监测。无线通讯，减少束缚，便于临床操作；</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6.标配随动定位辅助系统，辅助刺激线圈随头部偏移而自动跟随，确保治疗过程中靶点相对位置不变，保证脉冲个数与治疗效果；</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7.随动定位辅助系统具有电子传感器来监测患者头部运动情况，而非纯机械结构；</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8.线圈支架由步进电机来控制移动并跟随靶点，而非固定式线圈支架；</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9.随动定位辅助系统中含有专用电动座椅，座椅角度可180度调节，患者可坐、可躺，治疗过程中更加舒适；</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10.随动定位辅助系统头枕高度可调，行程</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13cm，满足1.5m-1.9m身高患者的治疗需求；</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11.标配触控式一体机，操作简单，一体机与工作站紧密固定，非笔记本直接放置在台面上，无跌落风险；</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12.触控式一体机通过 CE 电磁兼容性（EMC）认证，更安全；</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13.标配稳压电源，满足设备在复杂电压环境下的安全使用需求；</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14.开放式设计平台，具备触发输入输出通用接口，可兼容肌电图等设备；</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15.设备生产厂家需取得专业认证机构认证的 ISO13485 和 ISO9001 质量体系认证。</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 主机技术指标</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1.最大磁感应强度：6T，允差±20%；</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2.输出脉冲重复频率：0.01Hz～100Hz可调，允差±5%；</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Hz以下</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步长0.01Hz,1Hz以上</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步长1Hz；</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3.脉冲上升时间：50μs±10μs；</w:t>
      </w:r>
    </w:p>
    <w:p>
      <w:pPr>
        <w:pageBreakBefore w:val="0"/>
        <w:kinsoku/>
        <w:wordWrap/>
        <w:overflowPunct/>
        <w:topLinePunct w:val="0"/>
        <w:bidi w:val="0"/>
        <w:snapToGrid/>
        <w:spacing w:beforeAutospacing="0" w:line="440" w:lineRule="exact"/>
        <w:ind w:left="0" w:leftChars="0" w:right="0"/>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 脉冲持续时间：340μs ±20μs；</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 磁感应强度最大变化率范围：40kT/s～80kT/s。</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（三）运动诱发电位监测模块技术指标</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1.通道数：2通道；</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2.触发同步方式：磁感应触发，触发同步时间≤100μs；</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3.数据传输方式：WIFI；</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4.测量范围：1μV～1000μV；</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5.最小分辨率：≤2μV；</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6.频率范围：20Hz～500Hz。</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（四）软件</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1.上位机软件通过GB/T 25000.51 软件工软件产品质量要求与评价；</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2.运动阈值及治疗方案自动记忆功能，减轻操作负担；</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3.可实现单脉冲刺激、重复脉冲刺激和模式化刺激（含 TBS 模式）等多种刺激模式；</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4.内置治疗方案库，多种临床方案供医生选择；</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5.方案可自定义编辑，强度、频率、脉冲个数、间歇时间、串时间、串数等参数可调；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6.刺激方案具有数字和图形两种展示方式，刺激线圈温度显示与控制保护，温度达到 40℃自动停止输出；</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7.治疗界面能够实时采集运动诱发电位，并提供图像和声音报警功能，以进行治疗过程中电生理安全监测；</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8.自动化报告生成与打印功能，也可根据需要自定义编辑；</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9.患者基本信息、临床方案、诊疗记录等信息海量存储，并可实时查询、编辑及导出数据备份保存；</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10.含波形设置、权限设置等多种自设功能，满足用户多种临床及科研需求。</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11" w:name="_Toc5950"/>
      <w:r>
        <w:rPr>
          <w:rFonts w:hint="eastAsia" w:ascii="仿宋" w:hAnsi="仿宋" w:eastAsia="仿宋" w:cs="仿宋"/>
          <w:b/>
          <w:bCs/>
          <w:color w:val="auto"/>
          <w:sz w:val="24"/>
          <w:szCs w:val="24"/>
          <w:highlight w:val="none"/>
          <w:lang w:val="en-US" w:eastAsia="zh-CN"/>
        </w:rPr>
        <w:t>(八)上肢康复机器人</w:t>
      </w:r>
      <w:bookmarkEnd w:id="11"/>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1.提供多种功能，包括示教功能、被动训练、评估功能、情景互动、报告生成和查询。</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2.配有多维力传感器，精度≤0.1公斤,范围0-10公斤，反馈数值可以实时显示。</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3.训练结合情景互动，与游戏结合提升训练积极性。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4.具有示教模式。支持任意自定义训练轨迹制定，可根据用户实际情况制定个性化训练处方，所有示教中的自定义轨迹可实现处方共享。</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示教模式中可完成由患者、操作者、使用时间段和多个计划条目等内容组成的一个可执行的训练项；计划条目包含在计划内，计划条目至少包含训练类型、训练时长、运动速度和运动轨迹等内容组成的一个可执行的训练项。</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6.快速启动功能：可快速进入训练模式，该功能可直接推荐该患者上一次训练处方，方便临床快速使用。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7.五重安全保护：设备具备急停开关，电子围栏，痉挛保护、过载保护和剩余电流短路保护装置多种安全保护。</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8.为确保安全，刺激正确运动，最小运动速度应该≤0.05m/s，训练速度5级可调。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9.设备高度连续可调，高度上下运动范围应该≥400mm，允许误差±10mm，升降速度应该≤2.5cm/s，保证操作安全。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10.提供上肢范围评估功能，根据评估数据自动计算出用户训练过程的活动情况。</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11.支持用户数据储存，提供用户信息的新增、查询、修改、删除等功能。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12.可记录用户每次训练的得分和各项指标，随时查看和输出所有的分析报告。</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13.训练台面范围不大于786mm*1136mm。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14.机械结构：采用同步带联动导轨设计。（需提供设备机械结构图佐证）</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15.可移动式显示器架，经久耐用，抗重压。</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.具有中国CFDA注册证</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17</w:t>
      </w:r>
      <w:r>
        <w:rPr>
          <w:rFonts w:hint="eastAsia" w:ascii="仿宋" w:hAnsi="仿宋" w:eastAsia="仿宋" w:cs="仿宋"/>
          <w:b w:val="0"/>
          <w:bCs w:val="0"/>
          <w:color w:val="auto"/>
          <w:sz w:val="24"/>
          <w:szCs w:val="24"/>
          <w:highlight w:val="none"/>
        </w:rPr>
        <w:t>.★软件控制：配置有力反馈及力模拟运动控制软件。（需提供相关软件证明文件）</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12" w:name="_Toc1534"/>
      <w:r>
        <w:rPr>
          <w:rFonts w:hint="eastAsia" w:ascii="仿宋" w:hAnsi="仿宋" w:eastAsia="仿宋" w:cs="仿宋"/>
          <w:b/>
          <w:bCs/>
          <w:color w:val="auto"/>
          <w:sz w:val="24"/>
          <w:szCs w:val="24"/>
          <w:highlight w:val="none"/>
          <w:lang w:val="en-US" w:eastAsia="zh-CN"/>
        </w:rPr>
        <w:t>(九)吞咽神经肌肉低频电刺激仪</w:t>
      </w:r>
      <w:bookmarkEnd w:id="12"/>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1.产品符合YY 0505标准电磁兼容有关要求。</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2.产品符合GB 4824标准I组A类的相关要求。</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3.适应范围：适用于神经肌肉损伤引起的吞咽功能障碍的辅助治疗。</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4.性能参数：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4.1具备恒流、恒压两种电疗输出模式，恒流输出模式下，用于吞咽部固定式电极片治疗；恒压输出模式下，用于吞咽部活动电极治疗。</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4.2双通道输出，每通道可独立设置治疗参数。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4.3输出强度：0mA～80mA或0V～80V范围内可调，步长0.5mA或0.5V。</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4.4脉冲频率：20Hz～100Hz可调，步长1Hz。</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4.5脉冲宽度：100μs～400μs可调，步长10μs。</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4.6脉冲波形为双向对称波，正负脉冲间隔为100μs。</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4.7脉冲的上升时间和下降时间：1s～10s可调，步长1s。</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4.8脉冲的维持时间：1s～55s可调，步长1s。</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4.9脉冲的断电时间：3s～75s可调，步长1s。</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4.10治疗时间1～99min可调，步长1min。</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4.11具备蝶形固定电极、单球移动电极、双球移动电极、板状移动电极、口腔内棉签电极、口腔内单点球状电极和口腔内两点球状电极共七种电极治疗方式。</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4.12固定电极具备三种治疗模式。</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4.13内置电极放置图示，方便使用。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4.14电刺激手柄供治疗师操作，可按治疗需求控制电流输出的持续时间。</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4.15触屏</w:t>
      </w:r>
      <w:r>
        <w:rPr>
          <w:rFonts w:hint="eastAsia" w:ascii="仿宋" w:hAnsi="仿宋" w:eastAsia="仿宋" w:cs="仿宋"/>
          <w:b w:val="0"/>
          <w:bCs w:val="0"/>
          <w:color w:val="auto"/>
          <w:sz w:val="24"/>
          <w:szCs w:val="24"/>
          <w:highlight w:val="none"/>
          <w:lang w:val="en-US" w:eastAsia="zh-CN"/>
        </w:rPr>
        <w:t>和</w:t>
      </w:r>
      <w:r>
        <w:rPr>
          <w:rFonts w:hint="eastAsia" w:ascii="仿宋" w:hAnsi="仿宋" w:eastAsia="仿宋" w:cs="仿宋"/>
          <w:b w:val="0"/>
          <w:bCs w:val="0"/>
          <w:color w:val="auto"/>
          <w:sz w:val="24"/>
          <w:szCs w:val="24"/>
          <w:highlight w:val="none"/>
        </w:rPr>
        <w:t>一键飞梭，操作简便多样化。</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4.16开路报警提示，过电保护确保治疗安全。</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13" w:name="_Toc423"/>
      <w:r>
        <w:rPr>
          <w:rFonts w:hint="eastAsia" w:ascii="仿宋" w:hAnsi="仿宋" w:eastAsia="仿宋" w:cs="仿宋"/>
          <w:b/>
          <w:bCs/>
          <w:color w:val="auto"/>
          <w:sz w:val="24"/>
          <w:szCs w:val="24"/>
          <w:highlight w:val="none"/>
          <w:lang w:val="en-US" w:eastAsia="zh-CN"/>
        </w:rPr>
        <w:t>(十)磁振热治疗仪</w:t>
      </w:r>
      <w:bookmarkEnd w:id="13"/>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1.具有国家规定的医疗器械产品注册证；入选国家中医药管理局第一批推荐中医诊疗设备；产品为具有自主知识产权的软件著作权产品；</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2.产品通过ISO13485和ISO9001质量体系认证。</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3.适用范围：适用于慢性软组织损伤和颈肩腰腿痛的辅助治疗。</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4.性能参数：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4.1采用磁场、振动、温热三种物理因子相结合进行同步治疗；</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4.2独立四通道输出，四通道参数可独立调节，可同时治疗四个患者或部位；</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4.3磁场强度：磁感应强度在10mT～50mT的范围内可调，步长为10mT，误差为±10%；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4.4振动频率：</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a、单一振动模式：30Hz、40Hz、50Hz、60Hz四种频率可调，误差±2Hz。振动时间2s，振动周期2s、3s、4s、5s可调；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b、多频振动模式：30Hz、40Hz、50Hz、60Hz循环扫引，误差±2Hz。振动时间5s，振动周期10s、12s、14s、16s可调；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4.5治疗温度40℃、46℃、52℃、58℃共4级可调，精度：±3℃；</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4.6颈肩型、标准型、膝肩型三种治疗导子可供选择；</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4.7无热模式，适用于炎症损伤急性期治疗；</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4.8软件含有内置处方，具有三种治疗模式</w:t>
      </w:r>
      <w:r>
        <w:rPr>
          <w:rFonts w:hint="eastAsia" w:ascii="仿宋" w:hAnsi="仿宋" w:eastAsia="仿宋" w:cs="仿宋"/>
          <w:b w:val="0"/>
          <w:bCs w:val="0"/>
          <w:color w:val="auto"/>
          <w:sz w:val="24"/>
          <w:szCs w:val="24"/>
          <w:highlight w:val="none"/>
          <w:lang w:val="en-US" w:eastAsia="zh-CN"/>
        </w:rPr>
        <w:t>≥12</w:t>
      </w:r>
      <w:r>
        <w:rPr>
          <w:rFonts w:hint="eastAsia" w:ascii="仿宋" w:hAnsi="仿宋" w:eastAsia="仿宋" w:cs="仿宋"/>
          <w:b w:val="0"/>
          <w:bCs w:val="0"/>
          <w:color w:val="auto"/>
          <w:sz w:val="24"/>
          <w:szCs w:val="24"/>
          <w:highlight w:val="none"/>
        </w:rPr>
        <w:t>种处方；每种处方又分急性、亚急性、慢性期分别有对应不一样的磁场强度、温度、振动频率参数。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4.9治疗时间1～99min可调，以1min为单位设定；</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4.1</w:t>
      </w:r>
      <w:r>
        <w:rPr>
          <w:rFonts w:hint="eastAsia" w:ascii="仿宋" w:hAnsi="仿宋" w:eastAsia="仿宋" w:cs="仿宋"/>
          <w:b w:val="0"/>
          <w:bCs w:val="0"/>
          <w:color w:val="auto"/>
          <w:sz w:val="24"/>
          <w:szCs w:val="24"/>
          <w:highlight w:val="none"/>
          <w:lang w:val="en-US" w:eastAsia="zh-CN"/>
        </w:rPr>
        <w:t>0</w:t>
      </w:r>
      <w:r>
        <w:rPr>
          <w:rFonts w:hint="eastAsia" w:ascii="仿宋" w:hAnsi="仿宋" w:eastAsia="仿宋" w:cs="仿宋"/>
          <w:b w:val="0"/>
          <w:bCs w:val="0"/>
          <w:color w:val="auto"/>
          <w:sz w:val="24"/>
          <w:szCs w:val="24"/>
          <w:highlight w:val="none"/>
        </w:rPr>
        <w:t>具有多种安全保护装置：</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a)输入过流保护装置；</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b)输出过流保护装置；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c)双重过温度保护装置。</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14" w:name="_Toc16928"/>
      <w:r>
        <w:rPr>
          <w:rFonts w:hint="eastAsia" w:ascii="仿宋" w:hAnsi="仿宋" w:eastAsia="仿宋" w:cs="仿宋"/>
          <w:b/>
          <w:bCs/>
          <w:color w:val="auto"/>
          <w:sz w:val="24"/>
          <w:szCs w:val="24"/>
          <w:highlight w:val="none"/>
          <w:lang w:val="en-US" w:eastAsia="zh-CN"/>
        </w:rPr>
        <w:t>(十一)便携式手关节康复训练系统（气动联合康复系统）</w:t>
      </w:r>
      <w:bookmarkEnd w:id="14"/>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一、硬件参数：</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1、软体手套最大工作气压</w:t>
      </w:r>
      <w:r>
        <w:rPr>
          <w:rFonts w:hint="eastAsia" w:ascii="仿宋" w:hAnsi="仿宋" w:eastAsia="仿宋" w:cs="仿宋"/>
          <w:b w:val="0"/>
          <w:bCs w:val="0"/>
          <w:color w:val="auto"/>
          <w:kern w:val="2"/>
          <w:sz w:val="24"/>
          <w:szCs w:val="24"/>
          <w:highlight w:val="none"/>
        </w:rPr>
        <w:tab/>
      </w:r>
      <w:r>
        <w:rPr>
          <w:rFonts w:hint="eastAsia" w:ascii="仿宋" w:hAnsi="仿宋" w:eastAsia="仿宋" w:cs="仿宋"/>
          <w:b w:val="0"/>
          <w:bCs w:val="0"/>
          <w:color w:val="auto"/>
          <w:kern w:val="2"/>
          <w:sz w:val="24"/>
          <w:szCs w:val="24"/>
          <w:highlight w:val="none"/>
        </w:rPr>
        <w:t>3bar；</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2、软体手套弯曲角度</w:t>
      </w:r>
      <w:r>
        <w:rPr>
          <w:rFonts w:hint="eastAsia" w:ascii="仿宋" w:hAnsi="仿宋" w:eastAsia="仿宋" w:cs="仿宋"/>
          <w:b w:val="0"/>
          <w:bCs w:val="0"/>
          <w:color w:val="auto"/>
          <w:kern w:val="2"/>
          <w:sz w:val="24"/>
          <w:szCs w:val="24"/>
          <w:highlight w:val="none"/>
          <w:lang w:val="en-US" w:eastAsia="zh-CN"/>
        </w:rPr>
        <w:t>≥</w:t>
      </w:r>
      <w:r>
        <w:rPr>
          <w:rFonts w:hint="eastAsia" w:ascii="仿宋" w:hAnsi="仿宋" w:eastAsia="仿宋" w:cs="仿宋"/>
          <w:b w:val="0"/>
          <w:bCs w:val="0"/>
          <w:color w:val="auto"/>
          <w:kern w:val="2"/>
          <w:sz w:val="24"/>
          <w:szCs w:val="24"/>
          <w:highlight w:val="none"/>
        </w:rPr>
        <w:t>270°；</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3、软体手套输出力</w:t>
      </w:r>
      <w:r>
        <w:rPr>
          <w:rFonts w:hint="eastAsia" w:ascii="仿宋" w:hAnsi="仿宋" w:eastAsia="仿宋" w:cs="仿宋"/>
          <w:b w:val="0"/>
          <w:bCs w:val="0"/>
          <w:color w:val="auto"/>
          <w:kern w:val="2"/>
          <w:sz w:val="24"/>
          <w:szCs w:val="24"/>
          <w:highlight w:val="none"/>
          <w:lang w:val="en-US" w:eastAsia="zh-CN"/>
        </w:rPr>
        <w:t>≥</w:t>
      </w:r>
      <w:r>
        <w:rPr>
          <w:rFonts w:hint="eastAsia" w:ascii="仿宋" w:hAnsi="仿宋" w:eastAsia="仿宋" w:cs="仿宋"/>
          <w:b w:val="0"/>
          <w:bCs w:val="0"/>
          <w:color w:val="auto"/>
          <w:kern w:val="2"/>
          <w:sz w:val="24"/>
          <w:szCs w:val="24"/>
          <w:highlight w:val="none"/>
        </w:rPr>
        <w:t>7N；</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4、主机同时有肌电/电刺激和气路通道两类；2通道肌电采集以及神经肌肉电刺激；10通道气路，可接两只手套，同时进行双手或双人治疗；</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 xml:space="preserve">5、配备安卓平板控制主机，内置嵌入式软件，和手功能主机无线连接，可进行多台设备管理，可选配推车； </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6、气电联合功能，气动治疗同时，联合肌电检测和神经肌肉电刺激，做到腕手一体化治疗，并有效进行手部张开和分指；</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7、分辨率≤0.2μV（r.m.s）</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8、肌电采集阈值范围1μV～ 3000μV（r.m.s）</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 xml:space="preserve">9、刺激频率：0.5 Hz～1000 Hz可调，1Hz调节， </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 xml:space="preserve">10、刺激脉宽：10μs～1000μs可调，10μs调节， </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11、单次动作最大时间20s;</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二、软件参数：</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1、被动精细化动作模式：可实现握拳、单指、对指等精细动作，并且可以对这些动作进行编排，进行方案化管理；</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2、气电联合模式，智能算法协调气电介入时间，有效进行手部牵伸。</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3、触发式/引动式气电联合，利用肌电检测技术，采集患者主动运动意图，触发气电联合，实现主被动相结合的训练；</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4、双通道刺激，可以实现手部、腕部和肘部整个上肢的完全伸展训练；</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5、被动牵伸功能</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6、抗阻模式，进行手部肌肉力量训练；</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7、参数可调，单/双手选择，治疗时间、单次动作时间、休息时间；</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8、患者管理，可以对患者信息，治疗记录等进行编辑和查询；</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9、数据同步，可以和</w:t>
      </w:r>
      <w:r>
        <w:rPr>
          <w:rFonts w:hint="eastAsia" w:ascii="仿宋" w:hAnsi="仿宋" w:eastAsia="仿宋" w:cs="仿宋"/>
          <w:b w:val="0"/>
          <w:bCs w:val="0"/>
          <w:color w:val="auto"/>
          <w:kern w:val="2"/>
          <w:sz w:val="24"/>
          <w:szCs w:val="24"/>
          <w:highlight w:val="none"/>
          <w:lang w:val="en-US" w:eastAsia="zh-CN"/>
        </w:rPr>
        <w:t>同品牌</w:t>
      </w:r>
      <w:r>
        <w:rPr>
          <w:rFonts w:hint="eastAsia" w:ascii="仿宋" w:hAnsi="仿宋" w:eastAsia="仿宋" w:cs="仿宋"/>
          <w:b w:val="0"/>
          <w:bCs w:val="0"/>
          <w:color w:val="auto"/>
          <w:kern w:val="2"/>
          <w:sz w:val="24"/>
          <w:szCs w:val="24"/>
          <w:highlight w:val="none"/>
        </w:rPr>
        <w:t>台式手功能系列同步共享患者数据；</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10、安卓平板可以通过无线连接，实现对多台便携式手功能主机的控制，在平板上进行功能选择和操作，同时也可以监控多台设备的工作状态。</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15" w:name="_Toc1222"/>
      <w:r>
        <w:rPr>
          <w:rFonts w:hint="eastAsia" w:ascii="仿宋" w:hAnsi="仿宋" w:eastAsia="仿宋" w:cs="仿宋"/>
          <w:b/>
          <w:bCs/>
          <w:color w:val="auto"/>
          <w:sz w:val="24"/>
          <w:szCs w:val="24"/>
          <w:highlight w:val="none"/>
          <w:lang w:val="en-US" w:eastAsia="zh-CN"/>
        </w:rPr>
        <w:t>(十二)全自动智能蜡疗系统</w:t>
      </w:r>
      <w:bookmarkEnd w:id="15"/>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技术规格要求：</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1、仪器组成：融蜡箱、自动换水洗蜡系统、全自动放蜡系统、蜡饼箱、智能语音播报系统五大部分组成。</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2、全 自 动：自动开关机、融蜡、自动换水洗蜡和过滤、自动放蜡和制作蜡饼，无需人工蜡管接蜡或舀蜡。</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3、自动智能：自动语音播报功能、蜡饼厚度准确控制、制饼时间动态调整、 智能管道防堵设计、一键自动换水洗蜡、一键恢复出厂设置。</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4、智能显示：彩色高清触摸液晶屏，人机界面，仪器工作状态全程实时显示，操作简单实用。</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5</w:t>
      </w:r>
      <w:r>
        <w:rPr>
          <w:rFonts w:hint="eastAsia" w:ascii="仿宋" w:hAnsi="仿宋" w:eastAsia="仿宋" w:cs="仿宋"/>
          <w:b w:val="0"/>
          <w:bCs w:val="0"/>
          <w:color w:val="auto"/>
          <w:kern w:val="2"/>
          <w:sz w:val="24"/>
          <w:szCs w:val="24"/>
          <w:highlight w:val="none"/>
        </w:rPr>
        <w:t>、功率：融蜡箱</w:t>
      </w:r>
      <w:r>
        <w:rPr>
          <w:rFonts w:hint="eastAsia" w:ascii="仿宋" w:hAnsi="仿宋" w:eastAsia="仿宋" w:cs="仿宋"/>
          <w:b w:val="0"/>
          <w:bCs w:val="0"/>
          <w:color w:val="auto"/>
          <w:kern w:val="2"/>
          <w:sz w:val="24"/>
          <w:szCs w:val="24"/>
          <w:highlight w:val="none"/>
          <w:lang w:val="en-US" w:eastAsia="zh-CN"/>
        </w:rPr>
        <w:t>≥</w:t>
      </w:r>
      <w:r>
        <w:rPr>
          <w:rFonts w:hint="eastAsia" w:ascii="仿宋" w:hAnsi="仿宋" w:eastAsia="仿宋" w:cs="仿宋"/>
          <w:b w:val="0"/>
          <w:bCs w:val="0"/>
          <w:color w:val="auto"/>
          <w:kern w:val="2"/>
          <w:sz w:val="24"/>
          <w:szCs w:val="24"/>
          <w:highlight w:val="none"/>
        </w:rPr>
        <w:t>1250W、蜡饼制作箱</w:t>
      </w:r>
      <w:r>
        <w:rPr>
          <w:rFonts w:hint="eastAsia" w:ascii="仿宋" w:hAnsi="仿宋" w:eastAsia="仿宋" w:cs="仿宋"/>
          <w:b w:val="0"/>
          <w:bCs w:val="0"/>
          <w:color w:val="auto"/>
          <w:kern w:val="2"/>
          <w:sz w:val="24"/>
          <w:szCs w:val="24"/>
          <w:highlight w:val="none"/>
          <w:lang w:val="en-US" w:eastAsia="zh-CN"/>
        </w:rPr>
        <w:t>≥</w:t>
      </w:r>
      <w:r>
        <w:rPr>
          <w:rFonts w:hint="eastAsia" w:ascii="仿宋" w:hAnsi="仿宋" w:eastAsia="仿宋" w:cs="仿宋"/>
          <w:b w:val="0"/>
          <w:bCs w:val="0"/>
          <w:color w:val="auto"/>
          <w:kern w:val="2"/>
          <w:sz w:val="24"/>
          <w:szCs w:val="24"/>
          <w:highlight w:val="none"/>
        </w:rPr>
        <w:t>1500W</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lang w:val="en-US" w:eastAsia="zh-CN"/>
        </w:rPr>
        <w:t>6</w:t>
      </w:r>
      <w:r>
        <w:rPr>
          <w:rFonts w:hint="eastAsia" w:ascii="仿宋" w:hAnsi="仿宋" w:eastAsia="仿宋" w:cs="仿宋"/>
          <w:b w:val="0"/>
          <w:bCs w:val="0"/>
          <w:color w:val="auto"/>
          <w:kern w:val="2"/>
          <w:sz w:val="24"/>
          <w:szCs w:val="24"/>
          <w:highlight w:val="none"/>
        </w:rPr>
        <w:t>、容积：融蜡箱</w:t>
      </w:r>
      <w:r>
        <w:rPr>
          <w:rFonts w:hint="eastAsia" w:ascii="仿宋" w:hAnsi="仿宋" w:eastAsia="仿宋" w:cs="仿宋"/>
          <w:b w:val="0"/>
          <w:bCs w:val="0"/>
          <w:color w:val="auto"/>
          <w:kern w:val="2"/>
          <w:sz w:val="24"/>
          <w:szCs w:val="24"/>
          <w:highlight w:val="none"/>
          <w:lang w:val="en-US" w:eastAsia="zh-CN"/>
        </w:rPr>
        <w:t>≥</w:t>
      </w:r>
      <w:r>
        <w:rPr>
          <w:rFonts w:hint="eastAsia" w:ascii="仿宋" w:hAnsi="仿宋" w:eastAsia="仿宋" w:cs="仿宋"/>
          <w:b w:val="0"/>
          <w:bCs w:val="0"/>
          <w:color w:val="auto"/>
          <w:kern w:val="2"/>
          <w:sz w:val="24"/>
          <w:szCs w:val="24"/>
          <w:highlight w:val="none"/>
        </w:rPr>
        <w:t>90升、蜡饼制作箱</w:t>
      </w:r>
      <w:r>
        <w:rPr>
          <w:rFonts w:hint="eastAsia" w:ascii="仿宋" w:hAnsi="仿宋" w:eastAsia="仿宋" w:cs="仿宋"/>
          <w:b w:val="0"/>
          <w:bCs w:val="0"/>
          <w:color w:val="auto"/>
          <w:kern w:val="2"/>
          <w:sz w:val="24"/>
          <w:szCs w:val="24"/>
          <w:highlight w:val="none"/>
          <w:lang w:val="en-US" w:eastAsia="zh-CN"/>
        </w:rPr>
        <w:t>≥</w:t>
      </w:r>
      <w:r>
        <w:rPr>
          <w:rFonts w:hint="eastAsia" w:ascii="仿宋" w:hAnsi="仿宋" w:eastAsia="仿宋" w:cs="仿宋"/>
          <w:b w:val="0"/>
          <w:bCs w:val="0"/>
          <w:color w:val="auto"/>
          <w:kern w:val="2"/>
          <w:sz w:val="24"/>
          <w:szCs w:val="24"/>
          <w:highlight w:val="none"/>
        </w:rPr>
        <w:t>220升</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8、温控范围：室温～98℃ 、温控精度：±0.1℃ （安全限温控制，PID控制）</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9、运行模式：全自动模式Ⅰ和全自动模式Ⅱ，最大化提升蜡饼产量满足临床需求。</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10、智能控制：24小时智能循环，多时段控制设置，时间、温度等所有参数智能一键保存自动控制。</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11、消毒方式：紫外线及高温双重消毒结合，确保有效对重复使用石蜡表面及内部全面消毒。</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12、智能一键（一键程序完成后自动回复到正常工作状态）：</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12.1整机：智能一键语音播报、一键假期设置、一键运行模式转换、一键出厂设置恢复等功能；</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12.2融蜡箱：一键消毒、一键搅拌、紫外线消毒关闭功能；</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12.3蜡饼箱: 一键预约制饼、一键立即制饼(每天可多批次制作蜡饼，满足不同需求)，</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一键急融功能、一键急冷功能(特别为临床设计非常实用性功能快捷键)，</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一键制作蜡饼数量选择、一键制作蜡饼厚度选择、一键开门及一键照明设计。</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13、放蜡通道：一盘对应一个独立控制出蜡管道系统，出蜡量可单独设置且实时监控管道温度防堵塞。</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14、制饼厚度: 10mm、13mm、16mm、19mm、22mm、25mm智能自主一键选择，确保临床需求和治疗效果。</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15、蜡饼数量：18盘，可分五区控制，智能一键可选1-3、4-6、7-10、11-14、14-18盘或全选。</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16、实时显示：制作蜡饼和消毒剩余状态实时进度提示。</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17、制饼速度：根据蜡饼厚度45min-2h快速制作蜡饼，自动识别环境温度，调整制饼时间。</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18、融蜡方式：采取水化蜡技术(杜绝无水化蜡，因石蜡直接受热易氧化产生异味同时无法有效洗蜡)。</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 xml:space="preserve">19、过滤方式：采取三级过滤，一重水沉淀清洗，二重细目滤网过滤， </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20、自动洗蜡：对重复使用的石蜡，一键自动排水、进水清洗，自动消毒、沉淀、过滤。</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21、节能环保：采取蜡水分离、内有1-6重高效节能型加热材料PID控制等特殊技术设计。</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22、蜡饼效果：特殊风道双循环系统设计快速制饼，温差不超过±0.5℃，确保蜡饼无夹心无蜡液包裹。</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23、设备材料：采用高标SUS304#不锈钢及冷轧板喷塑制作，无指纹烦恼，模块化设计方便清理及维护。</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24、视觉设计：设有超大观察窗和LED节能照明系统，方便随时观察实时蜡饼制作情况。</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25、安全保护：双重漏电保护、语音报警等7重安全保护装置，确保使用更安全。</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26、应急预案，白天或晚上突然停断电再来电时自动记忆识别切换既定程序，确保临床蜡饼使用。</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28、蜡盘尺寸</w:t>
      </w:r>
      <w:r>
        <w:rPr>
          <w:rFonts w:hint="eastAsia" w:ascii="仿宋" w:hAnsi="仿宋" w:eastAsia="仿宋" w:cs="仿宋"/>
          <w:b w:val="0"/>
          <w:bCs w:val="0"/>
          <w:color w:val="auto"/>
          <w:kern w:val="2"/>
          <w:sz w:val="24"/>
          <w:szCs w:val="24"/>
          <w:highlight w:val="none"/>
          <w:lang w:val="en-US" w:eastAsia="zh-CN"/>
        </w:rPr>
        <w:t>约</w:t>
      </w:r>
      <w:r>
        <w:rPr>
          <w:rFonts w:hint="eastAsia" w:ascii="仿宋" w:hAnsi="仿宋" w:eastAsia="仿宋" w:cs="仿宋"/>
          <w:b w:val="0"/>
          <w:bCs w:val="0"/>
          <w:color w:val="auto"/>
          <w:kern w:val="2"/>
          <w:sz w:val="24"/>
          <w:szCs w:val="24"/>
          <w:highlight w:val="none"/>
        </w:rPr>
        <w:t>478mm*358mm*26mm（18盘）、外形尺寸</w:t>
      </w:r>
      <w:r>
        <w:rPr>
          <w:rFonts w:hint="eastAsia" w:ascii="仿宋" w:hAnsi="仿宋" w:eastAsia="仿宋" w:cs="仿宋"/>
          <w:b w:val="0"/>
          <w:bCs w:val="0"/>
          <w:color w:val="auto"/>
          <w:kern w:val="2"/>
          <w:sz w:val="24"/>
          <w:szCs w:val="24"/>
          <w:highlight w:val="none"/>
          <w:lang w:val="en-US" w:eastAsia="zh-CN"/>
        </w:rPr>
        <w:t>约1</w:t>
      </w:r>
      <w:r>
        <w:rPr>
          <w:rFonts w:hint="eastAsia" w:ascii="仿宋" w:hAnsi="仿宋" w:eastAsia="仿宋" w:cs="仿宋"/>
          <w:b w:val="0"/>
          <w:bCs w:val="0"/>
          <w:color w:val="auto"/>
          <w:kern w:val="2"/>
          <w:sz w:val="24"/>
          <w:szCs w:val="24"/>
          <w:highlight w:val="none"/>
        </w:rPr>
        <w:t>700mm*730mm*1520mm</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16" w:name="_Toc5456"/>
      <w:r>
        <w:rPr>
          <w:rFonts w:hint="eastAsia" w:ascii="仿宋" w:hAnsi="仿宋" w:eastAsia="仿宋" w:cs="仿宋"/>
          <w:b/>
          <w:bCs/>
          <w:color w:val="auto"/>
          <w:sz w:val="24"/>
          <w:szCs w:val="24"/>
          <w:highlight w:val="none"/>
          <w:lang w:val="en-US" w:eastAsia="zh-CN"/>
        </w:rPr>
        <w:t>(十三)上、下肢康复训练设备</w:t>
      </w:r>
      <w:bookmarkEnd w:id="16"/>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1、自动康复机的操作：</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1.1、上肢主动：利用自身具有的肌力进行训练，提供可调节的阻力完成训练和治疗目的手托板不仅可以牢固的固定患者手腕，更可以再康复过程中进行手部拓展训练</w:t>
      </w:r>
      <w:r>
        <w:rPr>
          <w:rFonts w:hint="eastAsia" w:ascii="仿宋" w:hAnsi="仿宋" w:eastAsia="仿宋" w:cs="仿宋"/>
          <w:b w:val="0"/>
          <w:bCs w:val="0"/>
          <w:color w:val="auto"/>
          <w:sz w:val="24"/>
          <w:szCs w:val="24"/>
          <w:highlight w:val="none"/>
          <w:lang w:eastAsia="zh-CN"/>
        </w:rPr>
        <w:t>。</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上肢被动：防止患者在运动中出现痉挛，当肌肉痉挛出现时，CPU会马上判断并立即终止驱动，并有2秒延迟保护然后自动且切换到反转模式，如再遇肌张力重复切换，直至患者达到运动目的，并对于患者肢体进行有效保护，避免康复中收到损伤</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1.3、下肢主动：利用自身具有的肌力进行训练，如关节的运动，肌肉力量的康复训练，阻力可调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1.4、下肢被动：自动变动驱动方向，更有利于患者进行关节屈伸训练，转速可触控调节；</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上肢主动+下肢被动：自动康复训练器对于肌力微弱和单侧肢体肌力的患者提供了辅助运动模式。通过电机发现患者残存肌力，并辅助残存肌力的肢体在智能电机的支持下完成主动运动。而且能够显示时间，距离，阻力值，做功，热量，平衡情况等信息，此功能不仅让患者得到主动的运动再学习，实现对四肢的协调运动训练，对其心理和生理的健康也有重要激励作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1.6、智能保护：</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1.6.1、电脑通过传感器判断出患者的屈张力或伸张力过大时，改变曲柄运转方向，将伸张运动改变成屈曲运动或将屈曲运动改变成伸张运动，从而起到痉挛保护的作用；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1.6.2、在运转过程中随时检测患者的下肢关节或肌肉的疲劳状态通过改变运行方向加以缓解；</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2、升降行程：高度调整：高度调整机构可升降行程：上下移动行程为</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100㎜，误差±=20mm。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3、移动行程：上肢传动机构机头前后移动行程：</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60㎜，误差±20mm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、硬件</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.1、触摸屏：</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5.</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英寸</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.2、CPU：lpc2132-485</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.3、主板：定制</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.4、电机：无刷电机</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、技术参数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.1、运动时间</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1-99分钟.步进增量分为：1分钟和10分钟    ±10%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.2、机转速上肢转速5-60分钟.下肢转速5-60分钟±4分钟</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.3、阻力扭矩</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4-9Nm可调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.4、助力扭矩</w:t>
      </w:r>
      <w:r>
        <w:rPr>
          <w:rFonts w:hint="eastAsia" w:ascii="仿宋" w:hAnsi="仿宋" w:eastAsia="仿宋" w:cs="仿宋"/>
          <w:b w:val="0"/>
          <w:bCs w:val="0"/>
          <w:color w:val="auto"/>
          <w:sz w:val="24"/>
          <w:szCs w:val="24"/>
          <w:highlight w:val="none"/>
        </w:rPr>
        <w:tab/>
      </w:r>
      <w:r>
        <w:rPr>
          <w:rFonts w:hint="eastAsia" w:ascii="仿宋" w:hAnsi="仿宋" w:eastAsia="仿宋" w:cs="仿宋"/>
          <w:b w:val="0"/>
          <w:bCs w:val="0"/>
          <w:color w:val="auto"/>
          <w:sz w:val="24"/>
          <w:szCs w:val="24"/>
          <w:highlight w:val="none"/>
        </w:rPr>
        <w:t>4Nm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、上肢手托板，下肢脚盒，束带</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.1、设计：符合人机工程设计</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.2、材质：（注塑）ABS</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.3、上肢手托板连结：双曲柄连结</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.4、下肢的脚盒连结：双曲柄连结</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.5、手部束带尺寸：手背长530mm.宽25mm.误差±20%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.6、脚面束带尺寸：长450mm.宽50mm.误差</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17" w:name="_Toc27696"/>
      <w:r>
        <w:rPr>
          <w:rFonts w:hint="eastAsia" w:ascii="仿宋" w:hAnsi="仿宋" w:eastAsia="仿宋" w:cs="仿宋"/>
          <w:b/>
          <w:bCs/>
          <w:color w:val="auto"/>
          <w:sz w:val="24"/>
          <w:szCs w:val="24"/>
          <w:highlight w:val="none"/>
          <w:lang w:val="en-US" w:eastAsia="zh-CN"/>
        </w:rPr>
        <w:t>(十四)床旁下肢康复训练设备</w:t>
      </w:r>
      <w:bookmarkEnd w:id="17"/>
    </w:p>
    <w:p>
      <w:pPr>
        <w:pageBreakBefore w:val="0"/>
        <w:widowControl/>
        <w:kinsoku/>
        <w:wordWrap/>
        <w:overflowPunct/>
        <w:topLinePunct w:val="0"/>
        <w:bidi w:val="0"/>
        <w:snapToGrid/>
        <w:spacing w:beforeAutospacing="0" w:line="440" w:lineRule="exact"/>
        <w:ind w:left="0" w:leftChars="0" w:right="0"/>
        <w:jc w:val="left"/>
        <w:textAlignment w:val="top"/>
        <w:rPr>
          <w:rFonts w:hint="eastAsia" w:ascii="仿宋" w:hAnsi="仿宋" w:eastAsia="仿宋" w:cs="仿宋"/>
          <w:b w:val="0"/>
          <w:bCs w:val="0"/>
          <w:color w:val="auto"/>
          <w:sz w:val="24"/>
          <w:szCs w:val="24"/>
          <w:highlight w:val="none"/>
        </w:rPr>
      </w:pP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1、自动康复机的操作</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1.1、被动运动：在被动运行时，设备可以灵敏发现训练者具有的微小肌力（残余肌力和治疗恢复的肌力），通过发现助力次数显示出来</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当训练模式从被动运动（通过训练者的发力）自动进入助力运动，随着训练者的力量增加，自动进入主动运动。在主动运动中训练者的力量若不断增加时设备会自动增加阻力，当训练者的力量减小时设备会自动减小阻力，当训练者不发力时训练模式从主动运动返回到被动运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1.3、助力训练模式:患者不能运用残存肌力进行站、走、抬腿等活动，所以肌肉残余力量被忽视。可在电机助力下进行下肢小肌力主动运动。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1.4、智能保护:电脑通过传感器判断出患者的屈张力或伸张力过大时，改变曲柄运转方向，将伸张运动改变成屈曲运动或将屈曲运动改变成伸张运动，从而起到痉挛保护的作用；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1.5、在运转过程中随时检测患者的下肢关节或肌肉的疲劳状态通过改变运行方向加以缓解；</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2、升降行程</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2.1、度调整：高度调整机构可升降行程：电气壳底面上下移动行程为</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150㎜，误差±10%。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2.2、上下移动：床尾连接装置升降行程：上平面上下移动行程</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180㎜，误差±10%。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3、移动行程：前后移动下肢传动机构机头前后移动行程：机箱后面前后移动行程</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130㎜，误差±10%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、硬件</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.1、触摸屏：</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5.</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英寸</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.2、CPU：lpc2132-485</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.3、主板：定制</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.4、电机：无刷电机</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、技术参数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.1、运动时间：0-99分钟.步进增量分为：1分钟和10分钟    ±10%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.2、电机转速：5转/分钟-60转/分钟 ±4转/分钟</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.3、阻力扭矩：4-9Nm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.4、助力扭矩：4Nm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 xml:space="preserve">、下肢脚盒，束带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.1、设计：符合人机工程设计</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.2、材质：（注塑）ABS</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.3、下肢的脚盒连结：双曲柄连结</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.4、脚面束带尺寸：长450mm.宽50mm.误差±20mm（尼龙材质）</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18" w:name="_Toc22601"/>
      <w:r>
        <w:rPr>
          <w:rFonts w:hint="eastAsia" w:ascii="仿宋" w:hAnsi="仿宋" w:eastAsia="仿宋" w:cs="仿宋"/>
          <w:b/>
          <w:bCs/>
          <w:color w:val="auto"/>
          <w:sz w:val="24"/>
          <w:szCs w:val="24"/>
          <w:highlight w:val="none"/>
          <w:lang w:val="en-US" w:eastAsia="zh-CN"/>
        </w:rPr>
        <w:t>(十五)紫外线治疗仪</w:t>
      </w:r>
      <w:bookmarkEnd w:id="18"/>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辐射波长：254nm，允差±3nm。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.治疗时间:治疗时间最大可调999s，步进1s，允差±2%。</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.输出通道为双通道输出。</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.具有体腔照射器和体表照射器。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.体腔照射器配有直光导和弯光导。</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.体表照射器紫外辐照强度的均匀性应不大于±25%。</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.紫外辐照强度的稳定性应不大于5%。</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.产品通过ISO9001、13485医疗器械质量管理体系认证。</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rPr>
        <w:t>.环境管理体系认证和职业健康安全管理体系认证。</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19" w:name="_Toc25410"/>
      <w:r>
        <w:rPr>
          <w:rFonts w:hint="eastAsia" w:ascii="仿宋" w:hAnsi="仿宋" w:eastAsia="仿宋" w:cs="仿宋"/>
          <w:b/>
          <w:bCs/>
          <w:color w:val="auto"/>
          <w:sz w:val="24"/>
          <w:szCs w:val="24"/>
          <w:highlight w:val="none"/>
          <w:lang w:val="en-US" w:eastAsia="zh-CN"/>
        </w:rPr>
        <w:t>(十六)极超短波治疗机</w:t>
      </w:r>
      <w:bookmarkEnd w:id="19"/>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1.输入功率：</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 xml:space="preserve">1400VA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2.额定电压a.c.220V，额定频率：50Hz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3.工作频率：2450MHz±50MHz.</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.配有可旋转支臂，方便医务人员操作</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.最大输出强度：150W</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.治疗时间：1～20min</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.输出方式：连续式和脉冲式</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.微电脑控制，输出功率更加稳定；</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9</w:t>
      </w:r>
      <w:r>
        <w:rPr>
          <w:rFonts w:hint="eastAsia" w:ascii="仿宋" w:hAnsi="仿宋" w:eastAsia="仿宋" w:cs="仿宋"/>
          <w:b w:val="0"/>
          <w:bCs w:val="0"/>
          <w:color w:val="auto"/>
          <w:sz w:val="24"/>
          <w:szCs w:val="24"/>
          <w:highlight w:val="none"/>
        </w:rPr>
        <w:t>.输出功率过载保护，治疗更加安全.</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20" w:name="_Toc12349"/>
      <w:r>
        <w:rPr>
          <w:rFonts w:hint="eastAsia" w:ascii="仿宋" w:hAnsi="仿宋" w:eastAsia="仿宋" w:cs="仿宋"/>
          <w:b/>
          <w:bCs/>
          <w:color w:val="auto"/>
          <w:sz w:val="24"/>
          <w:szCs w:val="24"/>
          <w:highlight w:val="none"/>
          <w:lang w:val="en-US" w:eastAsia="zh-CN"/>
        </w:rPr>
        <w:t>(十七)空气波压力治疗仪</w:t>
      </w:r>
      <w:bookmarkEnd w:id="20"/>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1、压力模式：</w:t>
      </w:r>
      <w:bookmarkStart w:id="21" w:name="_Hlk52280069"/>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10种压力模式+20种自定义收藏模式</w:t>
      </w:r>
      <w:bookmarkEnd w:id="21"/>
      <w:r>
        <w:rPr>
          <w:rFonts w:hint="eastAsia" w:ascii="仿宋" w:hAnsi="仿宋" w:eastAsia="仿宋" w:cs="仿宋"/>
          <w:b w:val="0"/>
          <w:bCs w:val="0"/>
          <w:color w:val="auto"/>
          <w:sz w:val="24"/>
          <w:szCs w:val="24"/>
          <w:highlight w:val="none"/>
        </w:rPr>
        <w:t>。</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2、电源电压：a.c.220V/50Hz。</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3、输入功率：</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240VA。</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4、定时：1min～99min。</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5、压力范围：5kPa～36 kPa(38mmHg～270 mmHg)。</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6、气囊腔数：</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6腔。</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7、生物波顶核电刺激：输出模式</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6种，治疗时间：</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20min，允差±1min，治疗结束有声音提示，并停止输出。</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8、采用</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8寸真彩触摸屏显示操作，具有一键飞梭功能。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9、空气波与生物波顶核、生物波肢体电刺激、加热四种治疗相结合，一体化设计，操作简单，使用方便。</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10、具有单腔压力调节功能，可调节单腔压力大小或关闭。</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11、压力显示kPa和mmHg可切换。</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12、四种治疗方式分别单独控制，可进行灵活组合治疗。</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13、可同时治疗两个肢体、多个部位。</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14、具有防电磁波干扰、节电型设计功能。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15、配有功能开关，可紧急终止，保证患者安全。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16、产品通过CE认证证书。</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22" w:name="_Toc11399"/>
      <w:r>
        <w:rPr>
          <w:rFonts w:hint="eastAsia" w:ascii="仿宋" w:hAnsi="仿宋" w:eastAsia="仿宋" w:cs="仿宋"/>
          <w:b/>
          <w:bCs/>
          <w:color w:val="auto"/>
          <w:sz w:val="24"/>
          <w:szCs w:val="24"/>
          <w:highlight w:val="none"/>
          <w:lang w:val="en-US" w:eastAsia="zh-CN"/>
        </w:rPr>
        <w:t>(十八)全身音波垂直律动康复训练系统</w:t>
      </w:r>
      <w:bookmarkEnd w:id="22"/>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1、强度调节：提供三档调节。</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2、声波震动系统：音响原理和电磁技术的精密垂直震动。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3、运动频率：4～30Hz五种自动模式（循环运动、肌力强化、减肥运动、手臂运动、腿部运动）。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4、时间调节:设备默认5分钟设置，最大可设置15分钟设备运转中时间，强度，频率都可调节;当设备震动中按下电源键设备停止震动，20分钟后进入省电模式。</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5、操作方式：通过触摸的方式操作设备。</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6、最大适用负重：</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130Kg。</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7、额定输入功率：</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200VA。</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8、电源：220V,50Hz。</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9、功能：数码显示，可调节模式(五种模式可调），强度三档可调，时间（5min ,10min,15min 三种运动时间可调）。</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23" w:name="_Toc18213"/>
      <w:r>
        <w:rPr>
          <w:rFonts w:hint="eastAsia" w:ascii="仿宋" w:hAnsi="仿宋" w:eastAsia="仿宋" w:cs="仿宋"/>
          <w:b/>
          <w:bCs/>
          <w:color w:val="auto"/>
          <w:sz w:val="24"/>
          <w:szCs w:val="24"/>
          <w:highlight w:val="none"/>
          <w:lang w:val="en-US" w:eastAsia="zh-CN"/>
        </w:rPr>
        <w:t>(十九)智能关节康复器</w:t>
      </w:r>
      <w:bookmarkEnd w:id="23"/>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1、电源：交流220V±22V、50Hz±1Hz</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2、额定输入功率：</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60VA</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3、大腿支架长度可调范围0～260mm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4、小腿支架长度可调范围0～260mm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5、液晶显示屏，数据清晰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6、伸展角度最大调节范围为0～120°；屈曲角度最大调节范围为0～125°，级差3°，其中123°～125°级差2°，角度不大于50°时，允差±5°；角度大于50°时，允差±10%；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7、角度运行速度8档可调，最小角速度为1.5°/s，最大角速度为3.6°/s。级差0.3°/s，允差±20%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8、训练时间0～240min可调，级差10min，允差±10%，时间结束会有提示音</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9、脚踏板移动至最左位置和最右位置中心线夹角</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60°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10、活动仪设有线控开关，安全可靠</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11、运动角度、速度、时间均数码控制</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12、设备功能：下肢关节（髋、膝、踝）功能障碍的康复训练</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24" w:name="_Toc23884"/>
      <w:r>
        <w:rPr>
          <w:rFonts w:hint="eastAsia" w:ascii="仿宋" w:hAnsi="仿宋" w:eastAsia="仿宋" w:cs="仿宋"/>
          <w:b/>
          <w:bCs/>
          <w:color w:val="auto"/>
          <w:sz w:val="24"/>
          <w:szCs w:val="24"/>
          <w:highlight w:val="none"/>
          <w:lang w:val="en-US" w:eastAsia="zh-CN"/>
        </w:rPr>
        <w:t>(二十)减重步态康复平台</w:t>
      </w:r>
      <w:bookmarkEnd w:id="24"/>
    </w:p>
    <w:p>
      <w:pPr>
        <w:pageBreakBefore w:val="0"/>
        <w:numPr>
          <w:ilvl w:val="0"/>
          <w:numId w:val="15"/>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额定电压：220V，额定频率：50Hz，</w:t>
      </w:r>
      <w:r>
        <w:rPr>
          <w:rFonts w:hint="eastAsia" w:ascii="仿宋" w:hAnsi="仿宋" w:eastAsia="仿宋" w:cs="仿宋"/>
          <w:b w:val="0"/>
          <w:bCs w:val="0"/>
          <w:color w:val="auto"/>
          <w:sz w:val="24"/>
          <w:szCs w:val="24"/>
          <w:highlight w:val="none"/>
          <w:lang w:val="en-US" w:eastAsia="zh-CN"/>
        </w:rPr>
        <w:t>有</w:t>
      </w:r>
      <w:r>
        <w:rPr>
          <w:rFonts w:hint="eastAsia" w:ascii="仿宋" w:hAnsi="仿宋" w:eastAsia="仿宋" w:cs="仿宋"/>
          <w:b w:val="0"/>
          <w:bCs w:val="0"/>
          <w:color w:val="auto"/>
          <w:sz w:val="24"/>
          <w:szCs w:val="24"/>
          <w:highlight w:val="none"/>
        </w:rPr>
        <w:t>备用电源</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2、额定输入功率</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1800W</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3、控制方式：电动控制</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4、立柱升降调节范围(mm）：0～300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5、扶手高度调节范围(mm）：0～330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6、减重力量显示范围：0～990N，步进10N</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7、根据患者体重，通过吊带控制，调节患者训练中下肢的承重量，保证行走安全。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8、与医用跑台配合使用，帮助控制步行姿势，提供更足够的临床使用空间。</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9、配备手柄开关，通过控制立柱升降下降，方便对患者进行点控操作。</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10、配备备用直流电源，确保设备在没有网电源提供下的正常使用。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11、配备海绵扶手用来保持患者身体平衡或支撑，可以保证人身安全。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12、立柱升降可调节；通过调节立柱升降高度，从而调节训练者下肢的承重，使患者能承受范围内，从而进行步态训练。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13、带刹脚轮，有效地控制训练器在使用过程中的移动幅度，使患者在相对安全的情况下进行训练。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14、充气式背心及腿部固定绑带，使患者体感舒适。</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15、具有力量显示功能。</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2"/>
          <w:sz w:val="24"/>
          <w:szCs w:val="24"/>
          <w:highlight w:val="none"/>
        </w:rPr>
        <w:t>16、配件 ：人体肌肉模型：人体肌肉链模型，肌肉内脏可拆分</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25" w:name="_Toc27523"/>
      <w:r>
        <w:rPr>
          <w:rFonts w:hint="eastAsia" w:ascii="仿宋" w:hAnsi="仿宋" w:eastAsia="仿宋" w:cs="仿宋"/>
          <w:b/>
          <w:bCs/>
          <w:color w:val="auto"/>
          <w:sz w:val="24"/>
          <w:szCs w:val="24"/>
          <w:highlight w:val="none"/>
          <w:lang w:val="en-US" w:eastAsia="zh-CN"/>
        </w:rPr>
        <w:t>(二十一)医用跑台</w:t>
      </w:r>
      <w:bookmarkEnd w:id="25"/>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1、程序控制：</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5种预设程控模式、2种使用者自定、HRC心率程式</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2、持续马力：DC2.5HP</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3、速度范围：0.1～10km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4、控制面板：LCD显示（时间.速度.距离.消耗热量.心率程式等）</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5、心跳测量：手握心跳</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6、坡度控制：电动扬升</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7、反向训练：0-5km可调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8、机器尺寸</w:t>
      </w:r>
      <w:r>
        <w:rPr>
          <w:rFonts w:hint="eastAsia" w:ascii="仿宋" w:hAnsi="仿宋" w:eastAsia="仿宋" w:cs="仿宋"/>
          <w:b w:val="0"/>
          <w:bCs w:val="0"/>
          <w:color w:val="auto"/>
          <w:sz w:val="24"/>
          <w:szCs w:val="24"/>
          <w:highlight w:val="none"/>
          <w:lang w:val="en-US" w:eastAsia="zh-CN"/>
        </w:rPr>
        <w:t>约</w:t>
      </w:r>
      <w:r>
        <w:rPr>
          <w:rFonts w:hint="eastAsia" w:ascii="仿宋" w:hAnsi="仿宋" w:eastAsia="仿宋" w:cs="仿宋"/>
          <w:b w:val="0"/>
          <w:bCs w:val="0"/>
          <w:color w:val="auto"/>
          <w:sz w:val="24"/>
          <w:szCs w:val="24"/>
          <w:highlight w:val="none"/>
        </w:rPr>
        <w:t>1910*820*1278mm，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9、跑步面积</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495*1540mm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10、踏板：止滑踏板</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11、具有快速按键</w:t>
      </w:r>
    </w:p>
    <w:p>
      <w:pPr>
        <w:pStyle w:val="2"/>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12、配件：肩关节模型：人体功能模型，动态功能展示</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26" w:name="_Toc1735"/>
      <w:r>
        <w:rPr>
          <w:rFonts w:hint="eastAsia" w:ascii="仿宋" w:hAnsi="仿宋" w:eastAsia="仿宋" w:cs="仿宋"/>
          <w:b/>
          <w:bCs/>
          <w:color w:val="auto"/>
          <w:sz w:val="24"/>
          <w:szCs w:val="24"/>
          <w:highlight w:val="none"/>
          <w:lang w:val="en-US" w:eastAsia="zh-CN"/>
        </w:rPr>
        <w:t>(二十二)气阻式智能多关节运动控制训练系统</w:t>
      </w:r>
      <w:bookmarkEnd w:id="26"/>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一、整套设备参数：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1、系统组成：上肢推拉反馈训练系统、下肢蹬踏反馈训练系统、核心屈伸反馈训练系统、核心旋转训练系统、膝关节屈伸训练系统、数据工作站</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2、数据同步软件：能够与系统内的其他设备进行数据同步，能够同步病员信息、训练方案、评估记录、训练记录。能够将一套完整的训练方案，自动分解为各个部位的训练计划，推送到各个治疗设备上，提示用户进行治疗。</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二、上肢推拉反馈训练系统</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硬件参数：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1、最小气源压力：</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0.6Mpa</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2、最大气源压力：</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0.8Mpa</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3、最大负荷：</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400N</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4、最小负荷：</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0N</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5、负荷调节：连续可调，多缸控制，左右侧负荷可以单独调节。</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6、安全保护：⑴力超限保护  ⑵速度超限保护 ⑶痉挛自动识别和解痉挛</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7、运动范围限制：能够限制患者的运动范围，防止运动损伤。</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8、设备控制和显示：iPad，能够通过微云与服务器联网，进行病人信息同步和治疗方案同步。</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9、配备心肺功能测试套件，实时监测心率。</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10、紧急停止按钮，安全可控。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软件功能：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1、用户管理：能够新建、修改、删除病员信息。</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2、病员数据管理：能够记录病员的评估数据和训练数据，能够根据训练情况对系统内的用户进行排名和打分。</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3、病员训练方案管理：医生可以从方案库中导入治疗方案进行治疗，也可以自己编辑个性化的治疗方案。</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4、心肺功能监测，能够监测实时心率，并根据病人最适心率区间实时调整阻力值，以保证在最适心率范围内安全有效的训练。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5、评估：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1）基础评估：能够分别评估患者左右侧上肢的运动范围、最大力、最大速度。</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2）本体感觉评估：能够分别评估患者左右侧上肢的本体感觉，计算患侧相对健侧的偏差。</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3）协调性评估：能够分别评估患者左右侧上肢的协调性。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4）反应时评估：能够分别评估患者左右侧上肢的完成任务时的响应时间，完成时间。</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6、RM值测试：能够评估多次重复运动的力量值（RM），并以此值为基础进行运算，自动设定其它评估和运动训练的阻力值。</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7、方案训练：可以自定义预设方案，并根据预先设置的训练方案进行训练。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8、主动训练：能够进行平推、平拉、交叉（左推右拉）、交叉（左拉右推），训练过程中可以随时调节负荷，并能记录病人完成的组数。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9、被动训练：当患者不能自主运动时，可以进行被动训练，由设备带动患者上肢运动，运动过程中能够自动检测患者的痉挛情况，进行解痉挛。可以分别进行同向或交叉的被动训练。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10、游戏训练：可以以游戏的方式进行主动训练，使康复训练变得更有趣，增加患者的依从性。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11、智能模式：当患者进行主动训练时，设备能够给患者增加阻力，当患者疲劳，不再进行主动训练时，设备能够自动识别，并带动患者进行被动训练，能在两种模式之间进行智能切换。</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三、核心屈伸反馈训练系统</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硬件参数：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1、最小气源压力：</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0.6Mpa</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2、最大气源压力：</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0.8Mpa</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3、最大负荷：</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400N</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4、最小负荷：</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0N</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5、负荷调节：连续可调，多缸控制，左右侧负荷可以单独调节。</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6、安全保护：⑴力超限保护  ⑵速度超限保护 ⑶痉挛自动识别和解痉挛</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7、运动范围限制：能够限制患者的运动范围，防止运动损伤。</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8、设备控制和显示：iPad，能够通过微云与服务器联网，进行病人信息同步和治疗方案同步。</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9、配备心肺功能测试套件，实时监测心率。</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10、可旋转调节座椅，可实现背伸、前屈和侧屈三个功能动作。</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11、紧急停止按钮，安全可控。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软件功能：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1、用户管理：能够新建、修改、删除病员信息。</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2、病员数据管理：能够记录病员的评估数据和训练数据，能够根据训练情况对系统内的用户进行排名和打分。</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3、病员训练方案管理：医生可以从方案库中导入治疗方案进行治疗，也可以自己编辑个性化的治疗方案。</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4、心肺功能监测，能够监测实时心率，并根据病人最适心率区间实时调整阻力值，以保证在最适心率范围内安全有效的训练。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5、评估：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1）基础评估：能够前屈、背伸的运动范围、最大力、最大速度。</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2）本体感觉评估：能够前屈、背伸的本体感觉。</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3）协调性评估：能够前屈、背伸的协调性。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4）反应时评估：能够前屈、背伸的完成任务时的响应时间，完成时间。</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6、RM值测试：能够评估多次重复运动的力量值（RM），并以此值为基础进行运算，自动设定其它评估和运动训练的阻力值。</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7、方案训练：可以自定义预设方案，并根据预先设置的训练方案进行训练。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8、主动训练：能够进行前屈、背伸的主动训练，训练过程中可以随时调节负荷，并能记录病人完成的组数。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9、游戏训练：可以以游戏的方式进行主动训练，使康复训练变得更有趣，增加患者的依从性。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四、核心旋转反馈训练系统</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硬件参数：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1、最小气源压力：</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0.6Mpa</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2、最大气源压力：</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0.8Mpa</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3、最大负荷：</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400N</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4、最小负荷：&gt;0N</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5、负荷调节：无级连续可调，多缸控制，左右侧负荷可以单独调节。</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6、安全保护：⑴力超限保护  ⑵速度超限保护 ⑶痉挛自动识别和解痉挛</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7、运动范围限制：能够限制患者的运动范围，防止运动损伤。</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8、设备控制和显示：iPad，能够通过微云与服务器联网，进行病人信息同步和治疗方案同步。</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9、配备心肺功能测试套件，实时监测心率。</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10、紧急停止按钮，安全可控。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软件功能：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1、用户管理：能够新建、修改、删除病员信息。</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2、病员数据管理：能够记录病员的评估数据和训练数据，能够根据训练情况对系统内的用户进行排名和打分。</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3、病员训练方案管理：医生可以从方案库中导入治疗方案进行治疗，也可以自己编辑个性化的治疗方案。</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4、心肺功能监测，能够监测实时心率，并根据病人最适心率区间实时调整阻力值，以保证在最适心率范围内安全有效的训练。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5、评估：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1）基础评估：能够评估腰部旋转的运动范围、最大力、最大速度。</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2）本体感觉评估：能够评估腰部旋转的本体感觉。</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3）协调性评估：能够评估腰部旋转的协调性。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4）反应时评估：能够评估腰部旋转完成任务时的响应时间，完成时间。</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6、RM值测试：能够评估多次重复运动的力量值（RM），并以此值为基础进行运算，自动设定其它评估和运动训练的阻力值。</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7、方案训练：可以自定义预设方案，并根据预先设置的训练方案进行训练。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8、主动训练：能够进行评估腰部旋转的主动训练，训练过程中可以随时调节负荷，并能记录病人完成的组数。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9、被动训练：当患者不能自主运动时，可以进行被动训练，由设备带动患者上肢旋转运动。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10、游戏训练：可以以游戏的方式进行主动训练，使康复训练变得更有趣，增加患者的依从性。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11、智能模式：当患者进行主动训练时，设备能够给患者增加阻力，当患者疲劳，不再进行主动训练时，设备能够自动识别，并带动患者进行被动训练，能在两种模式之间进行智能切换。</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五、膝关节屈伸反馈训练系统</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硬件参数：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1、最小气源压力：</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0.6Mpa</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2、最大气源压力：</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0.8Mpa</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3、最大负荷：</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400N</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4、最小负荷：&gt;0N</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5、负荷调节：无级连续可调，多缸控制，左右侧负荷可以单独调节。</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6、安全保护：⑴力超限保护  ⑵速度超限保护 ⑶痉挛自动识别和解痉挛</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7、运动范围限制：能够限制患者的运动范围，防止运动损伤。</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8、设备控制和显示：iPad，能够通过微云与服务器联网，进行病人信息同步和治疗方案同步。</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9、配备心肺功能测试套件，实时监测心率。</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10、紧急停止按钮，安全可控。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软件功能：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1、用户管理：能够新建、修改、删除病员信息。</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2、病员数据管理：能够记录病员的评估数据和训练数据，能够根据训练情况对系统内的用户进行排名和打分。</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3、病员训练方案管理：医生可以从方案库中导入治疗方案进行治疗，也可以自己编辑个性化的治疗方案。</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4、心肺功能监测，能够监测实时心率，并根据病人最适心率区间实时调整阻力值，以保证在最适心率范围内安全有效的训练。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5、评估：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1）基础评估：能够分别评估患者左右侧膝关节的运动范围、最大力、最大速度。</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2）本体感觉评估：能够分别评估患者左右侧膝关节的本体感觉，计算患侧相对健侧的偏差。</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3）协调性评估：能够分别评估患者左右侧膝关节的协调性。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4）反应时评估：能够分别评估患者左右侧膝关节的完成任务时的响应时间，完成时间。</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6、RM值测试：能够评估多次重复运动的力量值（RM），并以此值为基础进行运算，自动设定其它评估和运动训练的阻力值。</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7、方案训练：可以自定义预设方案，并根据预先设置的训练方案进行训练。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8、主动训练：能够进行伸膝、屈膝、左伸右屈、左屈右伸训练，训练过程中可以随时调节负荷，并能记录病人完成的组数。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9、被动训练：当患者不能自主运动时，可以进行被动训练，由设备带动患者膝关节运动，运动过程中能够自动检测患者的痉挛情况，进行解痉挛。可以分别进行同向或交叉的被动训练。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10、游戏训练：可以以游戏的方式进行主动训练，使康复训练变得更有趣，增加患者的依从性。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11、智能模式：当患者进行主动训练时，设备能够给患者增加阻力，当患者疲劳，不再进行主动训练时，设备能够自动识别，并带动患者膝关节进行被动训练，能在两种模式之间进行智能切换。</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六、下肢蹬踏反馈训练系统</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硬件参数：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1、最小气源压力：</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0.6Mpa</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2、最大气源压力：</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0.8Mpa</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3、最大负荷：</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400N</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4、最小负荷：&gt;0N</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5、负荷调节：无级连续可调，多缸控制，左右侧负荷可以单独调节。</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6、安全保护：⑴力超限保护  ⑵速度超限保护 ⑶痉挛自动识别和解痉挛</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7、运动范围限制：能够限制患者的运动范围，防止运动损伤。</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8、设备控制和显示：iPad，能够通过微云与服务器联网，进行病人信息同步和治疗方案同步。</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9、配备心肺功能测试套件，实时监测心率。</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10、紧急停止按钮，安全可控。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软件功能：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1、用户管理：能够新建、修改、删除病员信息。</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2、病员数据管理：能够记录病员的评估数据和训练数据，能够根据训练情况对系统内的用户进行排名和打分。</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3、病员训练方案管理：医生可以从方案库中导入治疗方案进行治疗，也可以自己编辑个性化的治疗方案。</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4、心肺功能监测，能够监测实时心率，并根据病人最适心率区间实时调整阻力值，以保证在最适心率范围内安全有效的训练。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5、评估：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1）基础评估：能够分别评估患者左右侧下肢的运动范围、最大力、最大速度。</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2）本体感觉评估：能够分别评估患者左右侧下肢的本体感觉，计算患侧相对健侧的偏差。</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3）协调性评估：能够分别评估患者左右侧下肢的协调性。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4）反应时评估：能够分别评估患者左右侧下肢的完成任务时的响应时间，完成时间。</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6、RM值测试：能够评估多次重复运动的力量值（RM），并以此值为基础进行运算，自动设定其它评估和运动训练的阻力值。</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7、方案训练：可以自定义预设方案，并根据预先设置的训练方案进行训练。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8、主动训练：能够进行平蹬、平拉、左蹬右拉、左拉右蹬训练，训练过程中可以随时调节负荷，并能记录病人完成的组数。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9、被动训练：当患者不能自主运动时，可以进行被动训练，由设备带动患者下肢运动，运动过程中能够自动检测患者的痉挛情况，进行解痉挛。可以分别进行同向或交叉的被动训练。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10、游戏训练：可以以游戏的方式进行主动训练，使康复训练变得更有趣，增加患者的依从性。</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11、智能模式：当患者进行主动训练时，设备能够给患者增加阻力，当患者疲劳，不再进行主动训练时，设备能够自动识别，并带动患者膝关节进行被动训练，能在两种模式之间进行智能切换。</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27" w:name="_Toc31603"/>
      <w:r>
        <w:rPr>
          <w:rFonts w:hint="eastAsia" w:ascii="仿宋" w:hAnsi="仿宋" w:eastAsia="仿宋" w:cs="仿宋"/>
          <w:b/>
          <w:bCs/>
          <w:color w:val="auto"/>
          <w:sz w:val="24"/>
          <w:szCs w:val="24"/>
          <w:highlight w:val="none"/>
          <w:lang w:val="en-US" w:eastAsia="zh-CN"/>
        </w:rPr>
        <w:t>(二十三)下肢智能康复训练系统</w:t>
      </w:r>
      <w:bookmarkEnd w:id="27"/>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一、适用范围：产品适用于由脑卒中、脑外伤、脊髓损伤等疾病引起的下肢功能障碍的康复治疗。</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二、设备主要性能参数：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1、拥有5个维度电子驱动机构，适合不同类型患者康复</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（1）床面平起升降范围：485mm～835mm。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（2）床体起立角度调节范围：0°～90°（具有页面实时显示，倾斜角度可随意控制，避免患者体位性低血压）。</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（3）床体背板前倾角度：0°～15°；床体背板后仰角度：0°～10°。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（4）腿长调节范围：0mm～250mm。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（5）电动减重范围：通过穿戴部件调节人体沿床面方向向上的减重距离为0mm～200mm。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（6）足底脚踏板运动角度范围：0mm～100mm。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（7）踝关节踏步活动角度范围：0°～30°。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（8）踏步速度：10</w:t>
      </w:r>
      <w:r>
        <w:rPr>
          <w:rFonts w:hint="eastAsia" w:ascii="仿宋" w:hAnsi="仿宋" w:eastAsia="仿宋" w:cs="仿宋"/>
          <w:b w:val="0"/>
          <w:bCs w:val="0"/>
          <w:color w:val="auto"/>
          <w:sz w:val="24"/>
          <w:szCs w:val="24"/>
          <w:highlight w:val="none"/>
          <w:lang w:val="en-US" w:eastAsia="zh-CN"/>
        </w:rPr>
        <w:t>步</w:t>
      </w:r>
      <w:r>
        <w:rPr>
          <w:rFonts w:hint="eastAsia" w:ascii="仿宋" w:hAnsi="仿宋" w:eastAsia="仿宋" w:cs="仿宋"/>
          <w:b w:val="0"/>
          <w:bCs w:val="0"/>
          <w:color w:val="auto"/>
          <w:sz w:val="24"/>
          <w:szCs w:val="24"/>
          <w:highlight w:val="none"/>
        </w:rPr>
        <w:t>/min～80</w:t>
      </w:r>
      <w:r>
        <w:rPr>
          <w:rFonts w:hint="eastAsia" w:ascii="仿宋" w:hAnsi="仿宋" w:eastAsia="仿宋" w:cs="仿宋"/>
          <w:b w:val="0"/>
          <w:bCs w:val="0"/>
          <w:color w:val="auto"/>
          <w:sz w:val="24"/>
          <w:szCs w:val="24"/>
          <w:highlight w:val="none"/>
          <w:lang w:val="en-US" w:eastAsia="zh-CN"/>
        </w:rPr>
        <w:t>步</w:t>
      </w:r>
      <w:r>
        <w:rPr>
          <w:rFonts w:hint="eastAsia" w:ascii="仿宋" w:hAnsi="仿宋" w:eastAsia="仿宋" w:cs="仿宋"/>
          <w:b w:val="0"/>
          <w:bCs w:val="0"/>
          <w:color w:val="auto"/>
          <w:sz w:val="24"/>
          <w:szCs w:val="24"/>
          <w:highlight w:val="none"/>
        </w:rPr>
        <w:t>/min。</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（9）髋关节踏步运动角度范围：0°～50°。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（10）训练时间：1min～99min可调。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（11）步态训练方式：模拟人体自然踏步曲线，进行步态规划与步态训练。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（12）训练模式：主动训练模式；被动训练模式，指导力可调；主被动训练模式，支持健侧带动患侧训练；自动切换训练模式。</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（13）多功能脚踏板：适应病人内、外翻足型，调整踝关节角度，实时监测双脚足底压力，在显示屏上实时显示患者足底压力，刺激足部本体感觉，有助于大脑控制下肢功能的恢复。</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（14）痉挛监测功能：智能监测患者痉挛情况；左右腿痉挛灵敏度可根据患者实际情况进行灵敏度设置，1到5挡可调；发生痉挛，进入安全保护处理模式，并在显示屏上提示。</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（15）安全保护装置：2个紧急停止开关，其中一个为便携式手持开关。</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（16）训练驱动装置：2个高精度，快速响应，静音直线低压伺服作动器。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（17）床体：采用高密度记忆性海绵和PU皮，高阻燃，抗菌、耐温，防划、床体弹力好，床体舒适。</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（18）承载能力：能承载≥135kg分布的质量。</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（19）步态分析功能：实时显示左右腿肌力；实时显示左右侧足底压力；可根据曲线变化调节参数，调整治疗方案。</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（20）评估功能：对患者左、右腿肌力进行评估，评估结束可查看本次训练结果，直观显示当次治疗效果，提高患者治疗信心；对患者指定角度的等长肌力进行评估。</w:t>
      </w:r>
    </w:p>
    <w:p>
      <w:pPr>
        <w:pageBreakBefore w:val="0"/>
        <w:numPr>
          <w:ilvl w:val="0"/>
          <w:numId w:val="16"/>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软件功能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（1）PC软件功能：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a)能够控制设备的启动、停止、暂停。</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b)能够记录和显示患者基本信息，记录患者治疗信息。</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c)能够设置和调整踏步速度、踏步角度、训练时间。</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d)能对左右腿进行独立设置痉挛灵敏度。。</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e)训练模式：主动、可调指导力的被动，和健侧带动患侧的主被动训练模式</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f)情景化训练：多种浸入式情景化训练模式</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基于训练场景，配合舒适的治疗音乐，让患者在训练过程中放松心情。</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g)具有实时显示患者腿部肌力大小及变化功能。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h)具有实时显示患者足底压力大小功能。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i)具有实时显示患者左右大小腿肌电功能。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j)具有实时显示左右腿运动角度功能。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k)真人发音:提供设备使用提示音；患者训练互动，提供正反向激励。</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l)显示屏上实时显示患者训练整体翻转角度，俯仰翻转角度。</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m)步态分析功能：实时显示左右腿肌力；实时显示左右侧足底压力；可根据曲线变化调节参数，调整治疗方案。</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（2）康复云平台软件功能：集成康复大数据云平台,能够记录设备运行时间与训练距离、显示患者训练得分与设备状态得分,支持本地与云端两种模式下数据的采集、分析及监控。</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28" w:name="_Toc16761"/>
      <w:r>
        <w:rPr>
          <w:rFonts w:hint="eastAsia" w:ascii="仿宋" w:hAnsi="仿宋" w:eastAsia="仿宋" w:cs="仿宋"/>
          <w:b/>
          <w:bCs/>
          <w:color w:val="auto"/>
          <w:sz w:val="24"/>
          <w:szCs w:val="24"/>
          <w:highlight w:val="none"/>
          <w:lang w:val="en-US" w:eastAsia="zh-CN"/>
        </w:rPr>
        <w:t>(二十四)悬吊治疗系统</w:t>
      </w:r>
      <w:bookmarkEnd w:id="28"/>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悬吊技术参数：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1.双滑移悬挂设备：承重</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200公斤×1套</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2.滑动悬挂设备：用于悬挂悬吊康复训练器×3个</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3.悬吊康复训练器：承重</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200公斤×3个</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4.悬挂绳：5m</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9mm直径×2根</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5.不同规格的悬带，便于悬吊起身体不同部位</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5.1</w:t>
      </w:r>
      <w:r>
        <w:rPr>
          <w:rFonts w:hint="eastAsia" w:ascii="仿宋" w:hAnsi="仿宋" w:eastAsia="仿宋" w:cs="仿宋"/>
          <w:b w:val="0"/>
          <w:bCs w:val="0"/>
          <w:color w:val="auto"/>
          <w:sz w:val="24"/>
          <w:szCs w:val="24"/>
          <w:highlight w:val="none"/>
        </w:rPr>
        <w:t>扣环窄悬带：尺寸1050*85*10mm、承重</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180公斤×2条</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5.2</w:t>
      </w:r>
      <w:r>
        <w:rPr>
          <w:rFonts w:hint="eastAsia" w:ascii="仿宋" w:hAnsi="仿宋" w:eastAsia="仿宋" w:cs="仿宋"/>
          <w:b w:val="0"/>
          <w:bCs w:val="0"/>
          <w:color w:val="auto"/>
          <w:sz w:val="24"/>
          <w:szCs w:val="24"/>
          <w:highlight w:val="none"/>
        </w:rPr>
        <w:t>扣环宽悬带：尺寸 900*245*10mm、承重</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180公斤×2条</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5.3</w:t>
      </w:r>
      <w:r>
        <w:rPr>
          <w:rFonts w:hint="eastAsia" w:ascii="仿宋" w:hAnsi="仿宋" w:eastAsia="仿宋" w:cs="仿宋"/>
          <w:b w:val="0"/>
          <w:bCs w:val="0"/>
          <w:color w:val="auto"/>
          <w:sz w:val="24"/>
          <w:szCs w:val="24"/>
          <w:highlight w:val="none"/>
        </w:rPr>
        <w:t>中分带：尺寸 740*100*3mm、承重</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180公斤×</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条</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5.4</w:t>
      </w:r>
      <w:r>
        <w:rPr>
          <w:rFonts w:hint="eastAsia" w:ascii="仿宋" w:hAnsi="仿宋" w:eastAsia="仿宋" w:cs="仿宋"/>
          <w:b w:val="0"/>
          <w:bCs w:val="0"/>
          <w:color w:val="auto"/>
          <w:sz w:val="24"/>
          <w:szCs w:val="24"/>
          <w:highlight w:val="none"/>
        </w:rPr>
        <w:t>手握带：尺寸 320*220*3mm、承重</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180公斤×2条</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5.5</w:t>
      </w:r>
      <w:r>
        <w:rPr>
          <w:rFonts w:hint="eastAsia" w:ascii="仿宋" w:hAnsi="仿宋" w:eastAsia="仿宋" w:cs="仿宋"/>
          <w:b w:val="0"/>
          <w:bCs w:val="0"/>
          <w:color w:val="auto"/>
          <w:sz w:val="24"/>
          <w:szCs w:val="24"/>
          <w:highlight w:val="none"/>
        </w:rPr>
        <w:t>手握柄：尺寸250*140*40mm、承重</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180公斤×2个</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6.短弹性黑绳：长30cm、承重</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30公斤×2根</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拉伸范围（％）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33</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0</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100</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50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阻力（公斤）</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4.0</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4.7</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6.7</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8.6</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长弹性黑绳：长60cm、承重</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50公斤×2根</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拉伸范围（％）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33</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50</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100</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150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阻力（公斤）</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4.0</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4.7</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6.7</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8.6</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8.短弹性红绳：长30cm、承重</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50公斤×2根</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拉力范围（％）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33、50、100、150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阻力（公斤）</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8.0、9.2、13.0、18.0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9.长弹性红绳：长60cm、承重</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50公斤×2根</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拉力范围（％）</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33、50、100、150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阻力（公斤）</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8.0、9.2、13.0、18.0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10.红色实心短绳：长30cm，承重</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150Kg×2根</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11.红色实心长绳：长60cm，承重</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150Kg×2根</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12.集绳挂件：用于悬挂整理悬挂绳，8个挂点×</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个</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13.躯干旋转训练装置：承重</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200公斤×1个</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14.平衡垫：直径330mm、高60mm×2个</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15.柱形垫：直径150mm、长600mm×</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个</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16.悬吊康复训练指示图，让训练操作变得简单易懂</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17.产品具备一类医疗器械备案凭证。</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29" w:name="_Toc23799"/>
      <w:r>
        <w:rPr>
          <w:rFonts w:hint="eastAsia" w:ascii="仿宋" w:hAnsi="仿宋" w:eastAsia="仿宋" w:cs="仿宋"/>
          <w:b/>
          <w:bCs/>
          <w:color w:val="auto"/>
          <w:sz w:val="24"/>
          <w:szCs w:val="24"/>
          <w:highlight w:val="none"/>
          <w:lang w:val="en-US" w:eastAsia="zh-CN"/>
        </w:rPr>
        <w:t>（二十五）下肢智能反馈训练系统</w:t>
      </w:r>
      <w:bookmarkEnd w:id="29"/>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1、操作平台：采用独立笔记本电脑作为操作平台，i5系列CPU，4G内存配置。</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2、床体控制装置：</w:t>
      </w:r>
      <w:r>
        <w:rPr>
          <w:rFonts w:hint="eastAsia" w:ascii="仿宋" w:hAnsi="仿宋" w:eastAsia="仿宋" w:cs="仿宋"/>
          <w:b w:val="0"/>
          <w:bCs w:val="0"/>
          <w:color w:val="auto"/>
          <w:sz w:val="24"/>
          <w:szCs w:val="24"/>
          <w:highlight w:val="none"/>
          <w:lang w:val="en-US" w:eastAsia="zh-CN"/>
        </w:rPr>
        <w:t>3个</w:t>
      </w:r>
      <w:r>
        <w:rPr>
          <w:rFonts w:hint="eastAsia" w:ascii="仿宋" w:hAnsi="仿宋" w:eastAsia="仿宋" w:cs="仿宋"/>
          <w:b w:val="0"/>
          <w:bCs w:val="0"/>
          <w:color w:val="auto"/>
          <w:sz w:val="24"/>
          <w:szCs w:val="24"/>
          <w:highlight w:val="none"/>
        </w:rPr>
        <w:t>品牌直线电机。</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3、训练驱动装置：伺服电机。</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4、床体表面采用特种合成皮革，具有耐高温，阻燃及防刮等性能特征。</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5、设备配置独立减重绑带，能够根据患者状态调整减重量。</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6、床体具备后仰功能，能充分拉伸髂腰肌，缓解髂腰肌痉挛和挛缩。</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7、站立角度侦测采用无接触角度传感技术，非接触式检测、性能稳定、使用寿命长、高灵敏度。</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8、设备采用多种训练方式，被动模式、主被动模式。</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9、被动模式通过设备带动患者下肢运动，维持患者下肢的肢体功能。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10、主被动模式中设备能够实时监测患者下肢的配合用力状态，并主动改变设备的训练速度，配合患者进行持续的下肢踏步运动。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11、多功能脚踏板具备有多个活动方向，可做足内外翻角度、趾屈和背伸的角度与足间距调整，能够矫正患者足型，提供训练生物反馈的功能。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12、多功能脚踏板采用优质环保软胶，表面具有防滑纹理设计。</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13、多功能踏板的趾屈和背伸的调整角度范围：±15°、足内外翻调整角度范围：±15°。</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14、跟踪模式，设备能实时跟踪显示患者腿部受到电机扭矩的大小，通过是连续的曲线图显示，治疗师能根据图表观察患者下肢肌张力的变化，监控患者的训练状态。力矩显示范围：-120～120NM。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15、评估模式：设备能显示患者左右腿在训练中的僵硬度，判断患者训练前/后的张力变化。力矩显示范围：0～60NM。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16、痉挛侦察功能：自动检测患者训练异常，当痉挛发生时以较低的速度反向运动至起始角度，休息后根据速度降低值降低训练速度，然后重新开始训练，缓解患者下肢痉挛，保证患者训练安全。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17、治疗音乐：训练全程提供语音反馈提示信息，配合舒适的治疗音乐。</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18、安全保护装置：紧急停止开关。</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19、床体核心底座采用2.5mm厚度优质碳素钢管材制造，具有良好的机械性能。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20、治疗信息：添加患者病历信息，记录患者训练数据，包含治疗参数设置、主被动训练持续时间、痉挛发生时刻及次数等。</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21、设备承载重量：</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135kg</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22、床体硬件参数：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床体升降高度范围：45～86cm；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床体站立角度范围：0～80°；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床体后仰角度范围：0～10°；</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腿长调节范围：0～25cm。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23、训练参数：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踏步角度范围：0～25°；</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踏步速度范围：1～80步/min；</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治疗时间：1～90min。</w:t>
      </w:r>
    </w:p>
    <w:p>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jc w:val="left"/>
        <w:textAlignment w:val="auto"/>
        <w:rPr>
          <w:rFonts w:hint="eastAsia" w:ascii="仿宋" w:hAnsi="仿宋" w:eastAsia="仿宋" w:cs="仿宋"/>
          <w:b/>
          <w:bCs/>
          <w:color w:val="auto"/>
          <w:sz w:val="24"/>
          <w:szCs w:val="24"/>
          <w:highlight w:val="none"/>
          <w:lang w:val="en-US" w:eastAsia="zh-CN"/>
        </w:rPr>
      </w:pPr>
      <w:bookmarkStart w:id="30" w:name="_Toc29884"/>
      <w:r>
        <w:rPr>
          <w:rFonts w:hint="eastAsia" w:ascii="仿宋" w:hAnsi="仿宋" w:eastAsia="仿宋" w:cs="仿宋"/>
          <w:b/>
          <w:bCs/>
          <w:color w:val="auto"/>
          <w:sz w:val="24"/>
          <w:szCs w:val="24"/>
          <w:highlight w:val="none"/>
          <w:lang w:val="en-US" w:eastAsia="zh-CN"/>
        </w:rPr>
        <w:t>（二十六）汉语失语症心理语言评价与治疗系统</w:t>
      </w:r>
      <w:bookmarkEnd w:id="30"/>
    </w:p>
    <w:p>
      <w:pPr>
        <w:pStyle w:val="2"/>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一、基本要求：</w:t>
      </w:r>
    </w:p>
    <w:p>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具有中国大陆地区的医疗器械注册证，注册证的适用范围为：产品适用于对脑损伤引起的运动功能障碍、语言障碍（失语症）、吞咽障碍进行治疗。</w:t>
      </w:r>
    </w:p>
    <w:p>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1、根据汉语语言加工理论编制，包括汉语失语症心理语言评价、治疗两大部分。</w:t>
      </w:r>
    </w:p>
    <w:p>
      <w:pPr>
        <w:keepNext w:val="0"/>
        <w:keepLines w:val="0"/>
        <w:pageBreakBefore w:val="0"/>
        <w:widowControl w:val="0"/>
        <w:kinsoku/>
        <w:wordWrap/>
        <w:overflowPunct/>
        <w:topLinePunct w:val="0"/>
        <w:autoSpaceDE/>
        <w:autoSpaceDN/>
        <w:bidi w:val="0"/>
        <w:adjustRightInd/>
        <w:snapToGrid/>
        <w:spacing w:beforeAutospacing="0" w:line="440" w:lineRule="exact"/>
        <w:ind w:left="0" w:leftChars="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70种评价方法、</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60种治疗方法。</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3、采用形象直观的流程图进行导航，便于治疗师快速选择评价与治疗方法。</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4、采用独立模块式设计的评价与治疗方法，针对性强、易于扩充、操作简便、人机界面友好。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5、评价与治疗结合紧密：治疗师通过评价系统评估患者的受损情况，确定障碍产生的原因，再通过治疗系统进行针对性治疗。</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6、评价与治疗可全程录音、录像，支持多种统计工具的数据分析。</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7、评价及治疗素材内容丰富，近万张图片、数十小时录制的专业播音员语音。</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8、帮助文档内容翔实，操作简便，提供有每个测验模块的设计思路。</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二</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汉语失语症心理语言评价功能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70种独立的评价方法供选择：</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a.包括名词、动词、句子理解与产生的检查系统；</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b.包括听理解（12个模块）、看图命名（9个模块）、阅读朗读（16个模块）、复述（11个模块）、书写（6个模块）等多方面的检查；</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c.包含听理解、阅读理解、命名等动词检查；</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d.包含功能水平、位置水平、语段产生的整合水平等方面的句子检查。</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2、对患者的言语反应可录音，并计算平均反应时；</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3、统计错语类型，分析反应错误性质；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4、检查结果用量化方式呈现，方便统计；</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5、与汉语失语症心理语言治疗系统紧密结合，可直接进行针对性治疗；</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6、除提供汉语普通话语音外，另备有为检查者输入方言的语音输入接口。</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三</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汉语失语症心理语言治疗功能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60种独立的治疗方法供选择：</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a.包括名词、动词、句子理解与产生的治疗系统；</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b.包括听（19个模块）、看（16个模块）、读（6个模块）等多方面的的治疗训练；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c.包含听理解、阅读理解、命名等动词治疗；</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d.包含功能水平、位置水平、语段产生的整合等水平的等方面的句子治疗；</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2、对患者的言语反应可录音，并计算、记录每次治疗时的平均反应时、正确率等结果；</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3、与汉语失语症心理语言评价系统紧密结合，可直接进行针对性检查；</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4、除提供汉语普通话语音外，另备有为检查者输入方言的语音输入接口。</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31" w:name="_Toc5599"/>
      <w:r>
        <w:rPr>
          <w:rFonts w:hint="eastAsia" w:ascii="仿宋" w:hAnsi="仿宋" w:eastAsia="仿宋" w:cs="仿宋"/>
          <w:b/>
          <w:bCs/>
          <w:color w:val="auto"/>
          <w:sz w:val="24"/>
          <w:szCs w:val="24"/>
          <w:highlight w:val="none"/>
          <w:lang w:val="en-US" w:eastAsia="zh-CN"/>
        </w:rPr>
        <w:t>（二十七）电动升降站立架</w:t>
      </w:r>
      <w:bookmarkEnd w:id="31"/>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外形尺寸（长×宽×高）/cm：</w:t>
      </w:r>
      <w:r>
        <w:rPr>
          <w:rFonts w:hint="eastAsia" w:ascii="仿宋" w:hAnsi="仿宋" w:eastAsia="仿宋" w:cs="仿宋"/>
          <w:b w:val="0"/>
          <w:bCs w:val="0"/>
          <w:color w:val="auto"/>
          <w:sz w:val="24"/>
          <w:szCs w:val="24"/>
          <w:highlight w:val="none"/>
          <w:lang w:val="en-US" w:eastAsia="zh-CN"/>
        </w:rPr>
        <w:t>约</w:t>
      </w:r>
      <w:r>
        <w:rPr>
          <w:rFonts w:hint="eastAsia" w:ascii="仿宋" w:hAnsi="仿宋" w:eastAsia="仿宋" w:cs="仿宋"/>
          <w:b w:val="0"/>
          <w:bCs w:val="0"/>
          <w:color w:val="auto"/>
          <w:sz w:val="24"/>
          <w:szCs w:val="24"/>
          <w:highlight w:val="none"/>
        </w:rPr>
        <w:t>110×78×（88～131）</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机架升降距离：</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43cm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辅助站立时台面升降调节范围/cm：88～131</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膝托上下调节范围：</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10cm</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支承座角度转动范围：0 º～90 º</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台面额定载荷：</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750N</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支承座、踏脚板额定载荷：</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2000N</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32" w:name="_Toc17302"/>
      <w:r>
        <w:rPr>
          <w:rFonts w:hint="eastAsia" w:ascii="仿宋" w:hAnsi="仿宋" w:eastAsia="仿宋" w:cs="仿宋"/>
          <w:b/>
          <w:bCs/>
          <w:color w:val="auto"/>
          <w:sz w:val="24"/>
          <w:szCs w:val="24"/>
          <w:highlight w:val="none"/>
          <w:lang w:val="en-US" w:eastAsia="zh-CN"/>
        </w:rPr>
        <w:t>（二十八）动态干扰电治疗仪</w:t>
      </w:r>
      <w:bookmarkEnd w:id="32"/>
    </w:p>
    <w:p>
      <w:pPr>
        <w:pageBreakBefore w:val="0"/>
        <w:numPr>
          <w:ilvl w:val="0"/>
          <w:numId w:val="17"/>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适用范围：主要起到肌肉、关节及韧带等</w:t>
      </w:r>
    </w:p>
    <w:p>
      <w:pPr>
        <w:pageBreakBefore w:val="0"/>
        <w:numPr>
          <w:ilvl w:val="0"/>
          <w:numId w:val="17"/>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软组织镇痛；改善软组织血液循环、促进炎症消散的作用。</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2、主要构成：主要由一台主机和两根4极吸附输出线、两根2极吸附输出线、两根6极自粘输出线组成。</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3、结构形式：不可分拆的柜机推车式。</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4、显示及按键方式：</w:t>
      </w:r>
      <w:r>
        <w:rPr>
          <w:rFonts w:hint="eastAsia" w:ascii="仿宋" w:hAnsi="仿宋" w:eastAsia="仿宋" w:cs="仿宋"/>
          <w:b w:val="0"/>
          <w:bCs w:val="0"/>
          <w:color w:val="auto"/>
          <w:sz w:val="24"/>
          <w:szCs w:val="24"/>
          <w:highlight w:val="none"/>
          <w:lang w:val="en-US" w:eastAsia="zh-CN"/>
        </w:rPr>
        <w:t>多</w:t>
      </w:r>
      <w:r>
        <w:rPr>
          <w:rFonts w:hint="eastAsia" w:ascii="仿宋" w:hAnsi="仿宋" w:eastAsia="仿宋" w:cs="仿宋"/>
          <w:b w:val="0"/>
          <w:bCs w:val="0"/>
          <w:color w:val="auto"/>
          <w:sz w:val="24"/>
          <w:szCs w:val="24"/>
          <w:highlight w:val="none"/>
        </w:rPr>
        <w:t>块</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8寸触摸屏形式下的显示界面及按键方式，互不干扰。</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5、自学模式：以图文并茂的方式直接在屏幕上显示仪器的功能原理、操作方式等相关内容，触手可及，操作人员可即时了解仪器的功能特点、自学仪器的操作方式，使仪器的使用培训变的自助、便捷。</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6、输出频率：2KHz、3KHz、4KHz、5KHz</w:t>
      </w:r>
      <w:r>
        <w:rPr>
          <w:rFonts w:hint="eastAsia" w:ascii="仿宋" w:hAnsi="仿宋" w:eastAsia="仿宋" w:cs="仿宋"/>
          <w:b w:val="0"/>
          <w:bCs w:val="0"/>
          <w:color w:val="auto"/>
          <w:sz w:val="24"/>
          <w:szCs w:val="24"/>
          <w:highlight w:val="none"/>
          <w:lang w:val="en-US" w:eastAsia="zh-CN"/>
        </w:rPr>
        <w:t>等</w:t>
      </w:r>
      <w:r>
        <w:rPr>
          <w:rFonts w:hint="eastAsia" w:ascii="仿宋" w:hAnsi="仿宋" w:eastAsia="仿宋" w:cs="仿宋"/>
          <w:b w:val="0"/>
          <w:bCs w:val="0"/>
          <w:color w:val="auto"/>
          <w:sz w:val="24"/>
          <w:szCs w:val="24"/>
          <w:highlight w:val="none"/>
        </w:rPr>
        <w:t>。</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7、治疗波形：正弦波。</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8、输出电压：最大输出峰值电压82～102V。</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9、输出电流：最大输出电流有效值≤60mA，恒流输出特性，在治疗全过程中，患者可以得到依设定值而恒定不变的治疗剂量（电流恒定），确保疗效。</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符合国家2015年颁布的YY0951-2015《干扰电治疗设备》行业强制标准的要求。</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10、治疗功能要求：设备智能化操作，全电脑控制输出，具有</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5种干涉模式、</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5种电疗模式、</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6种调制方式、</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6种向量选择、</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4种扫引时间，提供多种选择方案。</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11、干</w:t>
      </w:r>
      <w:r>
        <w:rPr>
          <w:rFonts w:hint="eastAsia" w:ascii="仿宋" w:hAnsi="仿宋" w:eastAsia="仿宋" w:cs="仿宋"/>
          <w:b w:val="0"/>
          <w:bCs w:val="0"/>
          <w:color w:val="auto"/>
          <w:sz w:val="24"/>
          <w:szCs w:val="24"/>
          <w:highlight w:val="none"/>
          <w:lang w:val="en-US" w:eastAsia="zh-CN"/>
        </w:rPr>
        <w:t>扰</w:t>
      </w:r>
      <w:r>
        <w:rPr>
          <w:rFonts w:hint="eastAsia" w:ascii="仿宋" w:hAnsi="仿宋" w:eastAsia="仿宋" w:cs="仿宋"/>
          <w:b w:val="0"/>
          <w:bCs w:val="0"/>
          <w:color w:val="auto"/>
          <w:sz w:val="24"/>
          <w:szCs w:val="24"/>
          <w:highlight w:val="none"/>
        </w:rPr>
        <w:t>方式：三维立体干扰模式与二维平面干扰模式任意组合。</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12、干涉（差频）频率：0Hz～200Hz。</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13、治疗时间：1～99min可调。</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14、电疗模式：低、中、高、广域、低高（低、高交替）。</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15、干涉模式：IFC、IFCW、PMC、PMC2、自定义程序模式。</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16、调制方式：OFF、25%、50%、75%、100%、巴斯特方式。</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17、向量选择：OFF、1秒、2秒、3秒、4秒、5秒。</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18、扫引时间：1/f、15秒、30秒、60秒。</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19、吸附压力：-30mmHg～-300mmHg.</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20、吸附模式：连续、15回/分、30回/分、60回/分、自动模式。</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21、顶盘温度：顶盘可加热，加热温度35℃～45℃。</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22、废水回收：具有废水回收装置，废水回收在底端托盘内。</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23、电极选择：任何一路电极输出均可在吸附电极及自粘电极之间任意转换。</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24、电极监测：具备对电极（吸附及自粘）脱落监测及报警功能。</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25、存放装置：机器侧边具有挂篮存放待用的配件。</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26、皮碗配置：自带大、中、小号皮碗满足身体各部位治疗需要。</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27、提供具有自主知识产权的软件著作权（含：计算机软件著作权登记证书、软件产品登记证书）。</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33" w:name="_Toc26559"/>
      <w:r>
        <w:rPr>
          <w:rFonts w:hint="eastAsia" w:ascii="仿宋" w:hAnsi="仿宋" w:eastAsia="仿宋" w:cs="仿宋"/>
          <w:b/>
          <w:bCs/>
          <w:color w:val="auto"/>
          <w:sz w:val="24"/>
          <w:szCs w:val="24"/>
          <w:highlight w:val="none"/>
          <w:lang w:val="en-US" w:eastAsia="zh-CN"/>
        </w:rPr>
        <w:t>（二十九）电动PT训练床</w:t>
      </w:r>
      <w:bookmarkEnd w:id="33"/>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产品简介：PT训练床设计符合神经疾病康复的治疗性程序，可以用于PT训练患者床上活动。宽大的床面设计符合每位使用者的要求，并提供足够的支撑力及稳定性。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一、产品技术参数描述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1.床面面积：</w:t>
      </w:r>
      <w:r>
        <w:rPr>
          <w:rFonts w:hint="eastAsia" w:ascii="仿宋" w:hAnsi="仿宋" w:eastAsia="仿宋" w:cs="仿宋"/>
          <w:b w:val="0"/>
          <w:bCs w:val="0"/>
          <w:color w:val="auto"/>
          <w:sz w:val="24"/>
          <w:szCs w:val="24"/>
          <w:highlight w:val="none"/>
          <w:lang w:val="en-US" w:eastAsia="zh-CN"/>
        </w:rPr>
        <w:t>约</w:t>
      </w:r>
      <w:r>
        <w:rPr>
          <w:rFonts w:hint="eastAsia" w:ascii="仿宋" w:hAnsi="仿宋" w:eastAsia="仿宋" w:cs="仿宋"/>
          <w:b w:val="0"/>
          <w:bCs w:val="0"/>
          <w:color w:val="auto"/>
          <w:sz w:val="24"/>
          <w:szCs w:val="24"/>
          <w:highlight w:val="none"/>
        </w:rPr>
        <w:t>198x112</w:t>
      </w:r>
      <w:r>
        <w:rPr>
          <w:rFonts w:hint="eastAsia" w:ascii="仿宋" w:hAnsi="仿宋" w:eastAsia="仿宋" w:cs="仿宋"/>
          <w:b w:val="0"/>
          <w:bCs w:val="0"/>
          <w:color w:val="auto"/>
          <w:sz w:val="24"/>
          <w:szCs w:val="24"/>
          <w:highlight w:val="none"/>
          <w:lang w:val="en-US" w:eastAsia="zh-CN"/>
        </w:rPr>
        <w:t>cm</w:t>
      </w:r>
      <w:r>
        <w:rPr>
          <w:rFonts w:hint="eastAsia" w:ascii="仿宋" w:hAnsi="仿宋" w:eastAsia="仿宋" w:cs="仿宋"/>
          <w:b w:val="0"/>
          <w:bCs w:val="0"/>
          <w:color w:val="auto"/>
          <w:sz w:val="24"/>
          <w:szCs w:val="24"/>
          <w:highlight w:val="none"/>
        </w:rPr>
        <w:t xml:space="preserve">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2.电动控制高度：45～90cm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3.最大承重：</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rPr>
        <w:t>20</w:t>
      </w:r>
      <w:r>
        <w:rPr>
          <w:rFonts w:hint="eastAsia" w:ascii="仿宋" w:hAnsi="仿宋" w:eastAsia="仿宋" w:cs="仿宋"/>
          <w:b w:val="0"/>
          <w:bCs w:val="0"/>
          <w:color w:val="auto"/>
          <w:sz w:val="24"/>
          <w:szCs w:val="24"/>
          <w:highlight w:val="none"/>
          <w:lang w:val="en-US" w:eastAsia="zh-CN"/>
        </w:rPr>
        <w:t>0</w:t>
      </w:r>
      <w:r>
        <w:rPr>
          <w:rFonts w:hint="eastAsia" w:ascii="仿宋" w:hAnsi="仿宋" w:eastAsia="仿宋" w:cs="仿宋"/>
          <w:b w:val="0"/>
          <w:bCs w:val="0"/>
          <w:color w:val="auto"/>
          <w:sz w:val="24"/>
          <w:szCs w:val="24"/>
          <w:highlight w:val="none"/>
        </w:rPr>
        <w:t xml:space="preserve">Kg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4.电器参数：220V/ 50Hz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5.电动控制高度升降，治疗师可以很好的通过遥控器对训练床上升和下降进行控制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6.具有过载保护功能，最大限度保证患者以及产品的安全性。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7.带有床脚高度调节设计，提高产品稳固性，解决地面不平整问题。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8.采用高密度加强海绵及高档透气皮垫，舒适感更强。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9.通过遥控器控制电动PT床高度上升/下降。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10.产品获得医疗器械注册证,并以纳入ISO 13485:2003&amp;EN ISO 13485:2012质量管理体系认证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p>
    <w:p>
      <w:pPr>
        <w:pageBreakBefore w:val="0"/>
        <w:numPr>
          <w:ilvl w:val="0"/>
          <w:numId w:val="0"/>
        </w:numPr>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34" w:name="_Toc4423"/>
      <w:r>
        <w:rPr>
          <w:rFonts w:hint="eastAsia" w:ascii="仿宋" w:hAnsi="仿宋" w:eastAsia="仿宋" w:cs="仿宋"/>
          <w:b/>
          <w:bCs/>
          <w:color w:val="auto"/>
          <w:sz w:val="24"/>
          <w:szCs w:val="24"/>
          <w:highlight w:val="none"/>
          <w:lang w:val="en-US" w:eastAsia="zh-CN"/>
        </w:rPr>
        <w:t>（三十）Bobath训练床</w:t>
      </w:r>
      <w:bookmarkEnd w:id="34"/>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产品专为神经系统疾病患者康复设计，坚固的钢结构和宽大的床面设计，使患者和 治疗师之间有相当的空间去完成各种治疗锻炼和治疗技术，角度可调的靠背可以让患者在坐位时进行康复训练。</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一、产品技术参数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1.床面宽度约112cm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2.床面长度约202cm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3.床面高度：45cm-90cm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4.靠背调节角度：0°~82°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5.最大安全承重：≥200kg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6.床重约110KG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7.电器参数：220V/ 50Hz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8.防护等级：IP×4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9.电动控制高度升降，治疗师可以很好的通过遥控器对训练床上升和下降进行控制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10.具有过载保护功能,最大限度保证产品的安全性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11.采用高密度加强海绵以及高档透气皮垫，舒适感更强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12.采用进口电机</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13.产品获得医疗器械注册证,并以纳入ISO 13485:2016&amp;EN ISO 13485:2016质量管理体系认证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35" w:name="_Toc14547"/>
      <w:r>
        <w:rPr>
          <w:rFonts w:hint="eastAsia" w:ascii="仿宋" w:hAnsi="仿宋" w:eastAsia="仿宋" w:cs="仿宋"/>
          <w:b/>
          <w:bCs/>
          <w:color w:val="auto"/>
          <w:sz w:val="24"/>
          <w:szCs w:val="24"/>
          <w:highlight w:val="none"/>
          <w:lang w:val="en-US" w:eastAsia="zh-CN"/>
        </w:rPr>
        <w:t>（三十一）6段式手法治疗床（手动遥控，脚踏升降）</w:t>
      </w:r>
      <w:bookmarkEnd w:id="35"/>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产品6段式手法治疗床根据治疗计划提供不同体位，特别可单独对颈、胸、腰及腿部进行体位角度设定，满足各种不同治疗需要，并提供可调式扶手，方便患者选择舒适的体位。</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p>
    <w:p>
      <w:pPr>
        <w:pageBreakBefore w:val="0"/>
        <w:numPr>
          <w:ilvl w:val="0"/>
          <w:numId w:val="18"/>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产品技术参数</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1、治疗角度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(1)背部翻转角度：0°～ 21°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(2)脚部翻转角度：0°～ 95°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(3)头部翻转角度：-23°～ +35°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 规格尺寸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(1)床板面积(cm)：约202 x 63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(2)高度调节范围：49 ～ 94cm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(3)最大安全承重：≥200kg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(4)防护等级：IP×4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3、性能特点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(1)根据骨科康复治疗计划提供不同体位，可单独对颈、胸、腰及腿部进行体位角度设定，满足各种不同治疗需要。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(2)腿部特别采用两段分离式设计，可使患者单下肢独立完成各种康复训练。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(3)提供高度可调扶手，方便患者选择舒适体位。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(4)具有过载保护功能，最大限度保证产品的安全性。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(5)符合人体工程学设计，带有圆弧形可塞式呼吸孔，俯卧位治疗时患者更加舒适。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(6)采用进口电机</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(7)采用高密度加强海绵以及高档透气皮垫，舒适感更强。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4、电源： 220V/ 50Hz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5、产品获得医疗器械注册证,并以纳入ISO 13485:2016&amp;EN ISO 13485:2016 质量管理体系认证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w:t>
      </w:r>
    </w:p>
    <w:p>
      <w:pPr>
        <w:pageBreakBefore w:val="0"/>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p>
    <w:p>
      <w:pPr>
        <w:pageBreakBefore w:val="0"/>
        <w:numPr>
          <w:ilvl w:val="0"/>
          <w:numId w:val="0"/>
        </w:numPr>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36" w:name="_Toc25393"/>
      <w:r>
        <w:rPr>
          <w:rFonts w:hint="eastAsia" w:ascii="仿宋" w:hAnsi="仿宋" w:eastAsia="仿宋" w:cs="仿宋"/>
          <w:b/>
          <w:bCs/>
          <w:color w:val="auto"/>
          <w:sz w:val="24"/>
          <w:szCs w:val="24"/>
          <w:highlight w:val="none"/>
          <w:lang w:val="en-US" w:eastAsia="zh-CN"/>
        </w:rPr>
        <w:t>（三十二）电动升降起立床</w:t>
      </w:r>
      <w:bookmarkEnd w:id="36"/>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产品电动升降起立床广泛应用于康复患者的功能性恢复，偏瘫，瘫痪肢体中运动不足及肌张力异常而必须长期卧床的患者，容易患上全身肌肉，关节僵硬、体位行低血压等多种并发症的发生，维持脊柱、盆骨及下肢的应用负荷，协助恢复身体的自然引力功能，以及长期卧床影响的平衡机制。</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 产品技术参数</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1.床面宽度：约61cm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2.床面长度：约190cm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3.床面高度：46cm-81cm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4.床面翻转角度：0°~+90°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5.脚踏板调节角度：70°~290°，用于患者的踝关节的矫正训练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6.最大安全承重：≥180kg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7.电器参数：220V/ 50Hz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8.防护等级：IP×4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*9.采用双电源系统</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10.具有过载保护功能，最大限度的保证产品的安全性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11.安全操作保护系统，防止护理人员的误操作导致患者受伤及设备损坏。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12.采用高密度加强海绵以及高档透气皮垫，舒适感更强，使用寿命更长。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37" w:name="_Toc6337"/>
      <w:r>
        <w:rPr>
          <w:rFonts w:hint="eastAsia" w:ascii="仿宋" w:hAnsi="仿宋" w:eastAsia="仿宋" w:cs="仿宋"/>
          <w:b/>
          <w:bCs/>
          <w:color w:val="auto"/>
          <w:sz w:val="24"/>
          <w:szCs w:val="24"/>
          <w:highlight w:val="none"/>
          <w:lang w:val="en-US" w:eastAsia="zh-CN"/>
        </w:rPr>
        <w:t>（三十三）步行反馈自适应康复系统工作站</w:t>
      </w:r>
      <w:bookmarkEnd w:id="37"/>
    </w:p>
    <w:p>
      <w:pPr>
        <w:pageBreakBefore w:val="0"/>
        <w:numPr>
          <w:ilvl w:val="0"/>
          <w:numId w:val="19"/>
        </w:numPr>
        <w:kinsoku/>
        <w:wordWrap/>
        <w:overflowPunct/>
        <w:topLinePunct w:val="0"/>
        <w:bidi w:val="0"/>
        <w:snapToGrid/>
        <w:spacing w:beforeAutospacing="0" w:line="440" w:lineRule="exact"/>
        <w:ind w:left="0" w:leftChars="0" w:right="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动态主机功能</w:t>
      </w:r>
      <w:r>
        <w:rPr>
          <w:rFonts w:hint="eastAsia" w:ascii="仿宋" w:hAnsi="仿宋" w:eastAsia="仿宋" w:cs="仿宋"/>
          <w:b/>
          <w:bCs/>
          <w:color w:val="auto"/>
          <w:sz w:val="24"/>
          <w:szCs w:val="24"/>
          <w:highlight w:val="none"/>
          <w:lang w:val="en-US" w:eastAsia="zh-CN"/>
        </w:rPr>
        <w:t xml:space="preserve">：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 主机可全程无障碍上下、前后伺服电机驱动移动；</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1.2.主机可以实时提供系统状态、紧急报警显示、无线连接状态；</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1.3.至少具有以下训练模式（提供厂家印刷彩页证明）：（1）定速训练；（2）智能跟随训练；（3）动态平衡训练；（4）上下台阶训练；（5）全地形模拟训练；                                                                                                                                                                                                                                                                                                                                                                                  *1.4.系统具有实时动态感应补偿功能，系统可以自动探测到患者上下台阶、步行速度变化、摔倒等状况，根据患者具体情况做出实时动态调整，实时保持减重的拉力恒定不变，根据患者步行速度快慢实时调整，患者将要跌倒时给予摔倒保护。（提供厂家印刷彩页证明）                                                                                                                             *1.5.系统具有跌倒保护功能，当患者突然跌倒等意外时，系统能够快速识别并实时做出保护反应，确保患者不会跌倒，并给患者一定的时间自主站起来，如果超过自主站起的时间仍然没有站立，系统会自动拉伸患者，辅助患者站立，始终确保患者处于安全状态。（提供厂家印刷彩页证明）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2.动态主机参数 ：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*2.1水平位移速度20-200 厘米/秒，连续可调；                                                                                                                                                                                             2.2上升速度20-200 厘米/秒，连续可调；                                                                                                                                                                                        2.3主机吊带最大行程≤2900mm；吊架限位：上限位0-100cm可调，下限位0-100cm可调；                                                                                                                                                                                                                                                                                                                                                                             2.4安全保护参数：摔倒次数可以任意设置，摔倒速度：20-200 厘米/秒，连续可调；摔倒复位等待时长可以根据患者能力任意设置，摔倒复位速度：20-200 厘米/秒，连续可调；                                                                                                                                                                                                         2.5动态主机功率：水平轴电机交流≥750W，垂直轴电机交流≥400W；                                                                                                                 2.6供电方式：全轨轨道内供电，轨道内置供电条，为主机在轨道上运行过程中实时提供动力，无需充电；（提供厂家印刷彩页证明）</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2.7最大负重≤190kg；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3.手持式控制器功能：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3.1控制器与动态主机连接方式：无线连接控制；                                                                                                                                                                                               3.2控制器参数：触摸屏操作，屏幕≥5寸；CPU4核2.1GHz，存储容量120G，电池≥5000mAh ，具有无线充电功能；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3.3控制器具有防摔、防水和防压功能，保证使用绝对安全；                                                                                                                              3.4可设置并显示患者姓名、身高、体重、年龄、性别等基础资料；可以一键进入系统的五大训练模式，每种模式还可以设置训练时长、减重百分比、主机运行方向、垂直最大速度、水平最大速度、上限位和下限位距离、摔倒速度和摔倒次数、复位速度和等待时长等；                                             4.系统工作站参数要求：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4.1系统可以实现患者档案管理、评估功能以及评估报告管理。工作站电脑配置不低于以下要求：处理器主频：3.9GHz；系统内存：4GB；存储容量：128GB；21.5英寸高清显示屏。                                                                                                                           4.2康复处方功能，治疗师可以根据病人情况制定个性化训练方案，训练前，操作者只需用鼠标点击要训练的项目，训练项目之间可以设置间隔休息时间，一次设置完成，更人性化，节约治疗师工作强度。</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4.3系统配置2个可设置为左右侧的无线3D传感器，可以佩戴到身体的任何部位，实现全身各关节活动度评估。</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4.4丰富的临床报告，对报告加以分析，方便医护人员对病人的恢复状况进行评估，制定治疗方案。                                                                         4.5系统工作站可以与手持式控制器及动主机实现实时无线连接，通过系统工作站可以设置更多的患者评估及训练的数据，更加精准康复。                                                                5.轨道要求：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5.1轨道外形尺寸不小于：高105mm，宽60mm，壁厚：6mm；</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5.2材质：高强度铝合金，节省安装空间，材质强度高，耐用性好;</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5.3轨道内置供电条，供电条宽度尺寸不大于15mm。      </w:t>
      </w:r>
    </w:p>
    <w:p>
      <w:pPr>
        <w:pageBreakBefore w:val="0"/>
        <w:numPr>
          <w:ilvl w:val="0"/>
          <w:numId w:val="2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配置清单：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6.1轨道：≥20米</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6.2两点吊架：1个；</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6.3成人步行训练衣1套；</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6.4动态主机1台；</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6.5手持式控制器1个（含充电器）；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6.6电脑主机 1台；</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6.7电脑显示器1台；</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6.8 3D传感器 2个（含绑带）；</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6.9充电器套装 1套；</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6.10蓝牙接收器 1个；                                                                                                                                 6.11工作站推车1个；                                                                                                                                  6.12步行反馈自适应康复系统软件1套；                                                                                                             6.13变压器1台； </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38" w:name="_Toc21252"/>
      <w:r>
        <w:rPr>
          <w:rFonts w:hint="eastAsia" w:ascii="仿宋" w:hAnsi="仿宋" w:eastAsia="仿宋" w:cs="仿宋"/>
          <w:b/>
          <w:bCs/>
          <w:color w:val="auto"/>
          <w:sz w:val="24"/>
          <w:szCs w:val="24"/>
          <w:highlight w:val="none"/>
          <w:lang w:val="en-US" w:eastAsia="zh-CN"/>
        </w:rPr>
        <w:t>（三十四）空气压力脑循环综合治疗仪</w:t>
      </w:r>
      <w:bookmarkEnd w:id="38"/>
    </w:p>
    <w:p>
      <w:pPr>
        <w:pageBreakBefore w:val="0"/>
        <w:numPr>
          <w:ilvl w:val="0"/>
          <w:numId w:val="21"/>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w:t>
      </w:r>
      <w:r>
        <w:rPr>
          <w:rFonts w:hint="eastAsia" w:ascii="仿宋" w:hAnsi="仿宋" w:eastAsia="仿宋" w:cs="仿宋"/>
          <w:b/>
          <w:bCs/>
          <w:color w:val="auto"/>
          <w:sz w:val="24"/>
          <w:szCs w:val="24"/>
          <w:highlight w:val="none"/>
          <w:lang w:val="en-US" w:eastAsia="zh-CN"/>
        </w:rPr>
        <w:t>范围</w:t>
      </w:r>
      <w:r>
        <w:rPr>
          <w:rFonts w:hint="eastAsia" w:ascii="仿宋" w:hAnsi="仿宋" w:eastAsia="仿宋" w:cs="仿宋"/>
          <w:b w:val="0"/>
          <w:bCs w:val="0"/>
          <w:color w:val="auto"/>
          <w:sz w:val="24"/>
          <w:szCs w:val="24"/>
          <w:highlight w:val="none"/>
          <w:lang w:val="en-US" w:eastAsia="zh-CN"/>
        </w:rPr>
        <w:t>：适用于脑血管意外、脑外伤、脑手术后、脊髓病变引起的肢体功能障碍和外周非栓塞性脉管炎的辅助治疗，预防静脉血栓形成，减轻肢体水肿，另外电疗对小儿脑瘫、焦虑、失眠、偏头痛有辅助治疗作用。</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*2、主要功能：同时兼备空气压力循环及脑循环双功效。</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3、主要构成：由主机、手控器、空气压力循环输出单元（连接气管、套筒）、治疗主电极和治疗辅电极组成。</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4、结构形式：不可分拆的柜机推车式。</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5、显示及按键方式≥8寸触摸屏形式下的显示界面及按键方式。</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6、空气压力循环部分</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*6.1工作腔数：≥8腔；主机可同时支持2个8腔套筒工作。</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6.2工作压力：0～200mmHg分41档，歩距增量1（5mmHg）,各腔室压力分别独立可调。</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6.3保压时间：0～15s可调，歩距增量1s。</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6.4间停时间：0～99s可调,歩距增量1s。</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6.5工作模式：≥8种预先设定的工作模式。</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6.6治疗方案：共有12种内置组合治疗方案，供不同病症选择，也可以根据病况自定义治疗方案。</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6.7安全保护：具有断电保护功能，运行中断电套筒可自动排气减压。</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6.8套筒可承受压力：≥300mmHg,且承受时间不少于1分钟。</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7、脑循环部分</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7.1输出路（线）数：1路（2线）仿生电刺激小脑顶核（乳突穴）；</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2路（4线）仿生电刺激上、下肢；</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7.2主频谱：≤20KHz。</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7.3主电极：输出开路的最大电压峰值：＜50V；输出最大电流：≤30mA（最大可达30mA），可调</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7.4辅电极：输出开路的最大电压峰值：＜150V；输出最大电流：≤100mA（最大可达100mA），可调</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8、产品具有ISO13485和ISO9001《质量管理体系认证证书》</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9、具有自主知识产权的软件著作权（包括：计算机软件著作权登记证书、软件产品登记证书）</w:t>
      </w:r>
    </w:p>
    <w:p>
      <w:pPr>
        <w:pageBreakBefore w:val="0"/>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39" w:name="_Toc26769"/>
      <w:r>
        <w:rPr>
          <w:rFonts w:hint="eastAsia" w:ascii="仿宋" w:hAnsi="仿宋" w:eastAsia="仿宋" w:cs="仿宋"/>
          <w:b/>
          <w:bCs/>
          <w:color w:val="auto"/>
          <w:sz w:val="24"/>
          <w:szCs w:val="24"/>
          <w:highlight w:val="none"/>
          <w:lang w:val="en-US" w:eastAsia="zh-CN"/>
        </w:rPr>
        <w:t>（三十五）高能红外治疗仪</w:t>
      </w:r>
      <w:bookmarkEnd w:id="39"/>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1.产品用途：主要用于对疼痛和炎症的治疗，能改善血液循环，促进组织修复与再生，消除肿胀，加速创面愈合。</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2.*波长范围：能量主要分布范围0.4μm-1.4μm （即400-1400nm）,可产生WIRA光</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3.治疗光源：进口卤素光源</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4.光源功率：≥750W</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5.光功率密度：出光口平面中心处光功率密度应≥600mW/cm2</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*6.出光口面积：出光口面积≥95cm2</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7.有效照射面积：≥625cm2</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8.治疗深度：≥10cm</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9.显示屏及操作方式：彩色液晶触摸屏操作</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10.治疗方案定义保存功能：具有，可定义和保存治疗方案</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11.升降方式：电动升降调整治疗高度，最大治疗高度≥1500mm</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12.治疗头调整：水平旋转角度≥90°，竖直旋转角度≥90°</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13.定时模式：电子定时，1-99min</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14.过热保护：具有</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15.倾倒断电保护：具有</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16.软件升级接口：具有</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输入功率：≤900W</w:t>
      </w:r>
    </w:p>
    <w:p>
      <w:pPr>
        <w:pageBreakBefore w:val="0"/>
        <w:numPr>
          <w:ilvl w:val="0"/>
          <w:numId w:val="0"/>
        </w:numPr>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40" w:name="_Toc7004"/>
      <w:r>
        <w:rPr>
          <w:rFonts w:hint="eastAsia" w:ascii="仿宋" w:hAnsi="仿宋" w:eastAsia="仿宋" w:cs="仿宋"/>
          <w:b/>
          <w:bCs/>
          <w:color w:val="auto"/>
          <w:sz w:val="24"/>
          <w:szCs w:val="24"/>
          <w:highlight w:val="none"/>
          <w:lang w:val="en-US" w:eastAsia="zh-CN"/>
        </w:rPr>
        <w:t>（三十六）光子治疗仪</w:t>
      </w:r>
      <w:bookmarkEnd w:id="40"/>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1、产品注册登记表的适应症：适用于消炎、镇痛，对体表创面有止渗液、促进肉芽组织生长、加速愈合的作用</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2、光源材料：半导体固态光源（点阵芯片集成式）</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3、峰值波长：640nm±10nm</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*4、光功率密度：（光源表面测量）≥1500mW/c㎡（需提供医疗器械注册检验报告证明）</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5、最大治疗面积：≥1000c㎡</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6、光源聚光设计：光杯式</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7、光杯口平面面积：≥54c㎡</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*8、最大治疗深度：最大治疗深度≥10cm（需提供医疗器械注册检验报告证明）</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9、输出光功率：（光杯口平面测量）≥8W</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10光功率稳定度：光功率变化率≤±1%</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11、升降装置：手动</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12、照射治疗模式：持续照射治疗</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13、定时时间：可从 0min～99min 连续可调</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14、操作面板：数码显示、高档薄膜按键</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15、输入功率：≥200VA</w:t>
      </w:r>
    </w:p>
    <w:p>
      <w:pPr>
        <w:pageBreakBefore w:val="0"/>
        <w:numPr>
          <w:ilvl w:val="0"/>
          <w:numId w:val="0"/>
        </w:numPr>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41" w:name="_Toc10075"/>
      <w:r>
        <w:rPr>
          <w:rFonts w:hint="eastAsia" w:ascii="仿宋" w:hAnsi="仿宋" w:eastAsia="仿宋" w:cs="仿宋"/>
          <w:b/>
          <w:bCs/>
          <w:color w:val="auto"/>
          <w:sz w:val="24"/>
          <w:szCs w:val="24"/>
          <w:highlight w:val="none"/>
          <w:lang w:val="en-US" w:eastAsia="zh-CN"/>
        </w:rPr>
        <w:t>（三十七）光子治疗仪（大功率）</w:t>
      </w:r>
      <w:bookmarkEnd w:id="41"/>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1、产品注册的适应症：适用于消炎、镇痛，对体表创面有止渗液、促进肉芽组织生长、加速愈合的作用</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2、光源材料：半导体固态光源（大功率芯片集成式）</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3、光源聚光设计：透镜式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4、峰值波长：蓝光：460±10nm     红光：640±10nm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*5、光功率密度 （光源表面测量）： 蓝光：≥3000mW/cm2    红光：≥3000mW/cm2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6、温度反馈功能 ：具有温度反馈功能，温度测量误差为±2℃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7、特定照射距离下的温升和光功率密度（距离光杯口10cm处，照射15min）：水膜温升≤2℃，光功率密度≥80mW/cm2</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8、光功率稳定度 ：光功率变化率≤±1%</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9、光斑均匀性：有效红光辐照度的均匀性＞0.6</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*10、最大治疗深度：≥10cm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11、联网功能：支持联网功能，配工作站</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12、遮光装置：治疗光源应具有一体式内置伸缩遮光装置，可伸缩调节距离</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13、能量调节方式：五级能量调节</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14、照射治疗模式：持续/脉冲照射治疗可选</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15、操作设置：触摸屏、液晶显示，可从 0min～99min 连续可调</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16、输入功率：≤200VA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17、红蓝光自动切换功能：蓝光源照射后自动启动红光照射的切换</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18、最大有效治疗面积：≥800cm2</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p>
    <w:p>
      <w:pPr>
        <w:pageBreakBefore w:val="0"/>
        <w:numPr>
          <w:ilvl w:val="0"/>
          <w:numId w:val="0"/>
        </w:numPr>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42" w:name="_Toc23083"/>
      <w:r>
        <w:rPr>
          <w:rFonts w:hint="eastAsia" w:ascii="仿宋" w:hAnsi="仿宋" w:eastAsia="仿宋" w:cs="仿宋"/>
          <w:b/>
          <w:bCs/>
          <w:color w:val="auto"/>
          <w:sz w:val="24"/>
          <w:szCs w:val="24"/>
          <w:highlight w:val="none"/>
          <w:lang w:val="en-US" w:eastAsia="zh-CN"/>
        </w:rPr>
        <w:t>（三十八）红外治疗仪</w:t>
      </w:r>
      <w:bookmarkEnd w:id="42"/>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1、波长范围：能量主要分布范围0.5μm-30μm，产品峰值波长：0.9～10μm</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*2、光谱范围：近红外、远红外、宽谱红光</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3、显示屏：液晶屏</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4、操作方式：触摸屏操作</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5、出光口面积：≥700cm2</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6、功率档数： 三档以上可调</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7、定时模式： 电子定时</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8、定时范围： 0-99分钟</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*9、治疗模式：1、纯远红外治疗  2、纯近红外治疗（含红光）3、近红外（含红光）、远红外复合治疗</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10、竖直升降功能：气压升降手动调节</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11、升降距离：≥40cm</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12、角度调节：二维,±90度</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13、过温保护：有</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14、温度保护极数：两级（双温控开关）</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15、倾倒断电保护：有</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16、远红外工作状态指示灯：有</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17、外壳温度：≤50℃</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18、输入功率：≤450VA</w:t>
      </w:r>
    </w:p>
    <w:p>
      <w:pPr>
        <w:pageBreakBefore w:val="0"/>
        <w:numPr>
          <w:ilvl w:val="0"/>
          <w:numId w:val="0"/>
        </w:numPr>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43" w:name="_Toc12671"/>
      <w:r>
        <w:rPr>
          <w:rFonts w:hint="eastAsia" w:ascii="仿宋" w:hAnsi="仿宋" w:eastAsia="仿宋" w:cs="仿宋"/>
          <w:b/>
          <w:bCs/>
          <w:color w:val="auto"/>
          <w:sz w:val="24"/>
          <w:szCs w:val="24"/>
          <w:highlight w:val="none"/>
          <w:lang w:val="en-US" w:eastAsia="zh-CN"/>
        </w:rPr>
        <w:t>（三十九）下肢CPM关节康复器（膝、踝、髋）</w:t>
      </w:r>
      <w:bookmarkEnd w:id="43"/>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01. 数码电路，微电脑控制、LCD大屏幕液晶屏显示运动角度、时间、速度。</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*02. 过载自动反转保护功能。</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03. 膝、踝、髋关节均可运动。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04. 康复器大腿支架长度可调节范围不小于90mm，小腿支架长度可调节范围不小于100mm。</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05. 康复器的调节范围：</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a)大小腿支架之间的夹角运动最大变化范围不小于125°</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b)脚托板前后翻转角落变化范围应不小于40°，左右移动角度变化范围应不小于40°。</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06. 康复器额定载荷≥200N,在额定荷载下应能平稳工作不卡滞，往复运行无异常撞击声。</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07. 康复器整机工作噪音应不大于65dB。</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08.康复器腿支架夹角的角速度调范围：最低速不大于1°/s，最高速度不小于2.5°/s，并分档可调（大于6档）。</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09. 康复器在200N荷载下可连续工作时间大于2h。</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 康复器设置手动控制件，使病人能自行控制康复器暂停或进行伸展运动（α向180°运动）。</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 康复器开机,按启动键后出现伸展运动，即大小腿支架之间的夹角（α）向180°运动（伸展位置）。</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 康复器输入功率为≤70VA。</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13.额定工作电压：220Vac</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p>
    <w:p>
      <w:pPr>
        <w:pageBreakBefore w:val="0"/>
        <w:numPr>
          <w:ilvl w:val="0"/>
          <w:numId w:val="0"/>
        </w:numPr>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44" w:name="_Toc16301"/>
      <w:r>
        <w:rPr>
          <w:rFonts w:hint="eastAsia" w:ascii="仿宋" w:hAnsi="仿宋" w:eastAsia="仿宋" w:cs="仿宋"/>
          <w:b/>
          <w:bCs/>
          <w:color w:val="auto"/>
          <w:sz w:val="24"/>
          <w:szCs w:val="24"/>
          <w:highlight w:val="none"/>
          <w:lang w:val="en-US" w:eastAsia="zh-CN"/>
        </w:rPr>
        <w:t>（四十）深层肌肉振动仪(DMS)</w:t>
      </w:r>
      <w:bookmarkEnd w:id="44"/>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*1、振动频率为36.7Hz，精度：±20％。振动次数：2200次/分钟。</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2、振动头伸缩距离恒定，振动仪振动头伸缩距离为6.3mm，精度：±1mm。</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3、振动头分为5种可选，直径分别为15mm、20mm、25mm、30mm、35mm，精度：±1mm。</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4、手柄直径：手柄直径约41mm，更适合亚洲人的手型，便于操作。</w:t>
      </w:r>
    </w:p>
    <w:p>
      <w:pPr>
        <w:pageBreakBefore w:val="0"/>
        <w:numPr>
          <w:ilvl w:val="0"/>
          <w:numId w:val="0"/>
        </w:numPr>
        <w:kinsoku/>
        <w:wordWrap/>
        <w:overflowPunct/>
        <w:topLinePunct w:val="0"/>
        <w:bidi w:val="0"/>
        <w:snapToGrid/>
        <w:spacing w:beforeAutospacing="0" w:line="440" w:lineRule="exact"/>
        <w:ind w:left="0" w:leftChars="0" w:right="0"/>
        <w:jc w:val="left"/>
        <w:outlineLvl w:val="0"/>
        <w:rPr>
          <w:rFonts w:hint="eastAsia" w:ascii="仿宋" w:hAnsi="仿宋" w:eastAsia="仿宋" w:cs="仿宋"/>
          <w:b/>
          <w:bCs/>
          <w:color w:val="auto"/>
          <w:sz w:val="24"/>
          <w:szCs w:val="24"/>
          <w:highlight w:val="none"/>
          <w:lang w:val="en-US" w:eastAsia="zh-CN"/>
        </w:rPr>
      </w:pPr>
      <w:bookmarkStart w:id="45" w:name="_Toc28245"/>
      <w:r>
        <w:rPr>
          <w:rFonts w:hint="eastAsia" w:ascii="仿宋" w:hAnsi="仿宋" w:eastAsia="仿宋" w:cs="仿宋"/>
          <w:b/>
          <w:bCs/>
          <w:color w:val="auto"/>
          <w:sz w:val="24"/>
          <w:szCs w:val="24"/>
          <w:highlight w:val="none"/>
          <w:lang w:val="en-US" w:eastAsia="zh-CN"/>
        </w:rPr>
        <w:t>（四十一）变频便携式体外膈肌起搏器</w:t>
      </w:r>
      <w:bookmarkEnd w:id="45"/>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功能用途：用于慢性阻塞性肺疾病引发的气短或呼吸困难、慢性咳嗽、咳痰、喘息症状的辅助治疗。通过功能性电刺激对膈肌进行起搏治疗。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技术参数</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一、基础参数</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1、输出脉冲频率及脉宽：工作频率；40Hz±10%最小脉冲宽度：0.3ms±10% 复合频率（40Hz+2.5Hz）±10%，（40Hz+10Hz）±10%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2、输出脉冲峰值电压：脉冲峰值电压为0V-15V,分为31档调节，误差±1%~±15%</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3、膈肌起搏次数：8~23次/分钟，可选择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4、输出脉冲串宽度：1.2s±10%</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5、电极：电极采用纽扣电极，电极与控制器连接良好无松动。.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6内置电池：可持续供电</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7、≥7英寸彩色触摸液晶屏，分辨率1024*600</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8、工作频率：40Hz、40Hz+2.5Hz、40Hz+10Hz          </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二、报警及安全指标</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1、具有报警指示灯</w:t>
      </w: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2、具有报警音  </w:t>
      </w:r>
    </w:p>
    <w:p>
      <w:pPr>
        <w:pStyle w:val="2"/>
        <w:kinsoku/>
        <w:wordWrap/>
        <w:overflowPunct/>
        <w:bidi w:val="0"/>
        <w:spacing w:beforeAutospacing="0" w:line="440" w:lineRule="exact"/>
        <w:ind w:left="0" w:leftChars="0" w:right="0"/>
        <w:rPr>
          <w:rFonts w:hint="eastAsia" w:ascii="仿宋" w:hAnsi="仿宋" w:eastAsia="仿宋" w:cs="仿宋"/>
          <w:b w:val="0"/>
          <w:bCs w:val="0"/>
          <w:color w:val="auto"/>
          <w:kern w:val="2"/>
          <w:sz w:val="24"/>
          <w:szCs w:val="24"/>
          <w:highlight w:val="none"/>
          <w:lang w:val="en-US" w:eastAsia="zh-CN" w:bidi="ar-SA"/>
        </w:rPr>
      </w:pPr>
    </w:p>
    <w:p>
      <w:pPr>
        <w:pageBreakBefore w:val="0"/>
        <w:numPr>
          <w:ilvl w:val="0"/>
          <w:numId w:val="0"/>
        </w:numPr>
        <w:kinsoku/>
        <w:wordWrap/>
        <w:overflowPunct/>
        <w:topLinePunct w:val="0"/>
        <w:bidi w:val="0"/>
        <w:snapToGrid/>
        <w:spacing w:beforeAutospacing="0" w:line="440" w:lineRule="exact"/>
        <w:ind w:left="0" w:leftChars="0" w:right="0"/>
        <w:jc w:val="left"/>
        <w:rPr>
          <w:rFonts w:hint="eastAsia" w:ascii="仿宋" w:hAnsi="仿宋" w:eastAsia="仿宋" w:cs="仿宋"/>
          <w:b w:val="0"/>
          <w:bCs w:val="0"/>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b/>
          <w:bCs/>
          <w:color w:val="auto"/>
          <w:sz w:val="24"/>
          <w:szCs w:val="24"/>
          <w:highlight w:val="none"/>
          <w:lang w:val="en-US" w:eastAsia="zh-CN"/>
        </w:rPr>
      </w:pPr>
      <w:bookmarkStart w:id="46" w:name="_Toc11193"/>
      <w:r>
        <w:rPr>
          <w:rFonts w:hint="eastAsia" w:ascii="仿宋" w:hAnsi="仿宋" w:eastAsia="仿宋" w:cs="仿宋"/>
          <w:b/>
          <w:bCs/>
          <w:color w:val="auto"/>
          <w:sz w:val="24"/>
          <w:szCs w:val="24"/>
          <w:highlight w:val="none"/>
          <w:lang w:val="en-US" w:eastAsia="zh-CN"/>
        </w:rPr>
        <w:br w:type="page"/>
      </w:r>
    </w:p>
    <w:p>
      <w:pPr>
        <w:kinsoku/>
        <w:wordWrap/>
        <w:overflowPunct/>
        <w:bidi w:val="0"/>
        <w:spacing w:beforeAutospacing="0" w:line="440" w:lineRule="exact"/>
        <w:ind w:left="0" w:leftChars="0" w:right="0"/>
        <w:jc w:val="center"/>
        <w:outlineLvl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第四部分  合同格式（参考）</w:t>
      </w:r>
      <w:bookmarkEnd w:id="46"/>
    </w:p>
    <w:p>
      <w:pPr>
        <w:kinsoku/>
        <w:wordWrap/>
        <w:overflowPunct/>
        <w:bidi w:val="0"/>
        <w:spacing w:beforeAutospacing="0" w:line="440" w:lineRule="exact"/>
        <w:ind w:left="0" w:leftChars="0" w:right="0"/>
        <w:jc w:val="center"/>
        <w:outlineLvl w:val="9"/>
        <w:rPr>
          <w:rFonts w:hint="eastAsia" w:ascii="仿宋" w:hAnsi="仿宋" w:eastAsia="仿宋" w:cs="仿宋"/>
          <w:b/>
          <w:bCs/>
          <w:color w:val="auto"/>
          <w:sz w:val="24"/>
          <w:szCs w:val="24"/>
          <w:highlight w:val="none"/>
        </w:rPr>
      </w:pPr>
      <w:bookmarkStart w:id="47" w:name="_Toc29447"/>
      <w:r>
        <w:rPr>
          <w:rFonts w:hint="eastAsia" w:ascii="仿宋" w:hAnsi="仿宋" w:eastAsia="仿宋" w:cs="仿宋"/>
          <w:b/>
          <w:bCs/>
          <w:color w:val="auto"/>
          <w:sz w:val="24"/>
          <w:szCs w:val="24"/>
          <w:highlight w:val="none"/>
          <w:lang w:eastAsia="zh-CN"/>
        </w:rPr>
        <w:t>康复</w:t>
      </w:r>
      <w:r>
        <w:rPr>
          <w:rFonts w:hint="eastAsia" w:ascii="仿宋" w:hAnsi="仿宋" w:eastAsia="仿宋" w:cs="仿宋"/>
          <w:b/>
          <w:bCs/>
          <w:color w:val="auto"/>
          <w:sz w:val="24"/>
          <w:szCs w:val="24"/>
          <w:highlight w:val="none"/>
          <w:lang w:val="en-US" w:eastAsia="zh-CN"/>
        </w:rPr>
        <w:t>理</w:t>
      </w:r>
      <w:r>
        <w:rPr>
          <w:rFonts w:hint="eastAsia" w:ascii="仿宋" w:hAnsi="仿宋" w:eastAsia="仿宋" w:cs="仿宋"/>
          <w:b/>
          <w:bCs/>
          <w:color w:val="auto"/>
          <w:sz w:val="24"/>
          <w:szCs w:val="24"/>
          <w:highlight w:val="none"/>
          <w:lang w:eastAsia="zh-CN"/>
        </w:rPr>
        <w:t>疗设备</w:t>
      </w:r>
      <w:r>
        <w:rPr>
          <w:rFonts w:hint="eastAsia" w:ascii="仿宋" w:hAnsi="仿宋" w:eastAsia="仿宋" w:cs="仿宋"/>
          <w:b/>
          <w:bCs/>
          <w:color w:val="auto"/>
          <w:sz w:val="24"/>
          <w:szCs w:val="24"/>
          <w:highlight w:val="none"/>
          <w:lang w:val="en-US" w:eastAsia="zh-CN"/>
        </w:rPr>
        <w:t>采购</w:t>
      </w:r>
      <w:r>
        <w:rPr>
          <w:rFonts w:hint="eastAsia" w:ascii="仿宋" w:hAnsi="仿宋" w:eastAsia="仿宋" w:cs="仿宋"/>
          <w:b/>
          <w:bCs/>
          <w:color w:val="auto"/>
          <w:sz w:val="24"/>
          <w:szCs w:val="24"/>
          <w:highlight w:val="none"/>
        </w:rPr>
        <w:t>合同</w:t>
      </w:r>
      <w:bookmarkEnd w:id="47"/>
    </w:p>
    <w:p>
      <w:pPr>
        <w:kinsoku/>
        <w:wordWrap/>
        <w:overflowPunct/>
        <w:bidi w:val="0"/>
        <w:spacing w:beforeAutospacing="0" w:line="440" w:lineRule="exact"/>
        <w:ind w:left="0" w:leftChars="0" w:right="0"/>
        <w:jc w:val="righ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合同编号： </w:t>
      </w:r>
    </w:p>
    <w:p>
      <w:pPr>
        <w:kinsoku/>
        <w:wordWrap/>
        <w:overflowPunct/>
        <w:bidi w:val="0"/>
        <w:spacing w:beforeAutospacing="0" w:line="440" w:lineRule="exact"/>
        <w:ind w:left="0" w:leftChars="0" w:right="0"/>
        <w:jc w:val="both"/>
        <w:outlineLvl w:val="9"/>
        <w:rPr>
          <w:rFonts w:hint="eastAsia" w:ascii="仿宋" w:hAnsi="仿宋" w:eastAsia="仿宋" w:cs="仿宋"/>
          <w:color w:val="auto"/>
          <w:sz w:val="24"/>
          <w:szCs w:val="24"/>
          <w:highlight w:val="none"/>
          <w:u w:val="single"/>
          <w:lang w:val="en-US" w:eastAsia="zh-CN"/>
        </w:rPr>
      </w:pPr>
      <w:bookmarkStart w:id="48" w:name="_Toc21707"/>
      <w:r>
        <w:rPr>
          <w:rFonts w:hint="eastAsia" w:ascii="仿宋" w:hAnsi="仿宋" w:eastAsia="仿宋" w:cs="仿宋"/>
          <w:color w:val="auto"/>
          <w:sz w:val="24"/>
          <w:szCs w:val="24"/>
          <w:highlight w:val="none"/>
        </w:rPr>
        <w:t>签约地点： 乌鲁木齐市</w:t>
      </w:r>
      <w:bookmarkEnd w:id="48"/>
      <w:r>
        <w:rPr>
          <w:rFonts w:hint="eastAsia" w:ascii="仿宋" w:hAnsi="仿宋" w:eastAsia="仿宋" w:cs="仿宋"/>
          <w:color w:val="auto"/>
          <w:sz w:val="24"/>
          <w:szCs w:val="24"/>
          <w:highlight w:val="none"/>
          <w:lang w:val="en-US" w:eastAsia="zh-CN"/>
        </w:rPr>
        <w:t xml:space="preserve"> </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甲方（买方）：</w:t>
      </w:r>
      <w:r>
        <w:rPr>
          <w:rFonts w:hint="eastAsia" w:ascii="仿宋" w:hAnsi="仿宋" w:eastAsia="仿宋" w:cs="仿宋"/>
          <w:color w:val="auto"/>
          <w:sz w:val="24"/>
          <w:szCs w:val="24"/>
          <w:highlight w:val="none"/>
          <w:lang w:eastAsia="zh-CN"/>
        </w:rPr>
        <w:t>乌鲁木齐市友谊医院</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乙方（卖方）：</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甲乙双方根据«中华人民共和国合同法»，在平等互利、协商一致的基础上，就乙方向甲方出售及授权以下设备（以下设备器械均简称设备）一事达成如下条款，并承诺共同遵守：</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购买设备清单及价款：</w:t>
      </w:r>
    </w:p>
    <w:tbl>
      <w:tblPr>
        <w:tblStyle w:val="51"/>
        <w:tblpPr w:leftFromText="180" w:rightFromText="180" w:vertAnchor="text" w:horzAnchor="margin" w:tblpXSpec="center" w:tblpY="45"/>
        <w:tblW w:w="9228" w:type="dxa"/>
        <w:tblInd w:w="-7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2003"/>
        <w:gridCol w:w="1671"/>
        <w:gridCol w:w="1005"/>
        <w:gridCol w:w="1201"/>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3" w:type="dxa"/>
            <w:noWrap w:val="0"/>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设备名称</w:t>
            </w:r>
          </w:p>
        </w:tc>
        <w:tc>
          <w:tcPr>
            <w:tcW w:w="2003" w:type="dxa"/>
            <w:noWrap w:val="0"/>
            <w:vAlign w:val="center"/>
          </w:tcPr>
          <w:p>
            <w:pPr>
              <w:keepNext w:val="0"/>
              <w:keepLines w:val="0"/>
              <w:suppressLineNumbers w:val="0"/>
              <w:kinsoku/>
              <w:wordWrap/>
              <w:overflowPunct/>
              <w:bidi w:val="0"/>
              <w:spacing w:before="0" w:beforeAutospacing="0" w:after="0" w:afterAutospacing="0" w:line="440" w:lineRule="exact"/>
              <w:ind w:left="0" w:leftChars="0" w:right="0"/>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规格型号</w:t>
            </w:r>
          </w:p>
        </w:tc>
        <w:tc>
          <w:tcPr>
            <w:tcW w:w="1671" w:type="dxa"/>
            <w:noWrap w:val="0"/>
            <w:vAlign w:val="center"/>
          </w:tcPr>
          <w:p>
            <w:pPr>
              <w:keepNext w:val="0"/>
              <w:keepLines w:val="0"/>
              <w:suppressLineNumbers w:val="0"/>
              <w:kinsoku/>
              <w:wordWrap/>
              <w:overflowPunct/>
              <w:bidi w:val="0"/>
              <w:spacing w:before="0" w:beforeAutospacing="0" w:after="0" w:afterAutospacing="0" w:line="440" w:lineRule="exact"/>
              <w:ind w:left="0" w:leftChars="0" w:right="0"/>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厂家</w:t>
            </w:r>
          </w:p>
        </w:tc>
        <w:tc>
          <w:tcPr>
            <w:tcW w:w="1005" w:type="dxa"/>
            <w:noWrap w:val="0"/>
            <w:vAlign w:val="center"/>
          </w:tcPr>
          <w:p>
            <w:pPr>
              <w:keepNext w:val="0"/>
              <w:keepLines w:val="0"/>
              <w:suppressLineNumbers w:val="0"/>
              <w:kinsoku/>
              <w:wordWrap/>
              <w:overflowPunct/>
              <w:bidi w:val="0"/>
              <w:spacing w:before="0" w:beforeAutospacing="0" w:after="0" w:afterAutospacing="0" w:line="440" w:lineRule="exact"/>
              <w:ind w:left="0" w:leftChars="0" w:right="0"/>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1201" w:type="dxa"/>
            <w:noWrap w:val="0"/>
            <w:vAlign w:val="center"/>
          </w:tcPr>
          <w:p>
            <w:pPr>
              <w:keepNext w:val="0"/>
              <w:keepLines w:val="0"/>
              <w:suppressLineNumbers w:val="0"/>
              <w:kinsoku/>
              <w:wordWrap/>
              <w:overflowPunct/>
              <w:bidi w:val="0"/>
              <w:spacing w:before="0" w:beforeAutospacing="0" w:after="0" w:afterAutospacing="0" w:line="440" w:lineRule="exact"/>
              <w:ind w:left="0" w:leftChars="0" w:right="0"/>
              <w:jc w:val="center"/>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金额</w:t>
            </w:r>
            <w:r>
              <w:rPr>
                <w:rFonts w:hint="eastAsia" w:ascii="仿宋" w:hAnsi="仿宋" w:eastAsia="仿宋" w:cs="仿宋"/>
                <w:b/>
                <w:bCs/>
                <w:color w:val="auto"/>
                <w:sz w:val="24"/>
                <w:szCs w:val="24"/>
                <w:highlight w:val="none"/>
                <w:lang w:eastAsia="zh-CN"/>
              </w:rPr>
              <w:t>（元）</w:t>
            </w:r>
          </w:p>
        </w:tc>
        <w:tc>
          <w:tcPr>
            <w:tcW w:w="1635" w:type="dxa"/>
            <w:noWrap w:val="0"/>
            <w:vAlign w:val="center"/>
          </w:tcPr>
          <w:p>
            <w:pPr>
              <w:keepNext w:val="0"/>
              <w:keepLines w:val="0"/>
              <w:suppressLineNumbers w:val="0"/>
              <w:kinsoku/>
              <w:wordWrap/>
              <w:overflowPunct/>
              <w:bidi w:val="0"/>
              <w:spacing w:before="0" w:beforeAutospacing="0" w:after="0" w:afterAutospacing="0" w:line="440" w:lineRule="exact"/>
              <w:ind w:left="0" w:leftChars="0" w:right="0"/>
              <w:jc w:val="center"/>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成交金额</w:t>
            </w:r>
            <w:r>
              <w:rPr>
                <w:rFonts w:hint="eastAsia" w:ascii="仿宋" w:hAnsi="仿宋" w:eastAsia="仿宋" w:cs="仿宋"/>
                <w:b/>
                <w:bCs/>
                <w:color w:val="auto"/>
                <w:sz w:val="24"/>
                <w:szCs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13" w:type="dxa"/>
            <w:noWrap w:val="0"/>
            <w:vAlign w:val="center"/>
          </w:tcPr>
          <w:p>
            <w:pPr>
              <w:keepNext w:val="0"/>
              <w:keepLines w:val="0"/>
              <w:suppressLineNumbers w:val="0"/>
              <w:kinsoku/>
              <w:wordWrap/>
              <w:overflowPunct/>
              <w:bidi w:val="0"/>
              <w:spacing w:before="0" w:beforeAutospacing="0" w:after="0" w:afterAutospacing="0" w:line="440" w:lineRule="exact"/>
              <w:ind w:left="0" w:leftChars="0" w:right="0"/>
              <w:jc w:val="center"/>
              <w:outlineLvl w:val="9"/>
              <w:rPr>
                <w:rFonts w:hint="eastAsia" w:ascii="仿宋" w:hAnsi="仿宋" w:eastAsia="仿宋" w:cs="仿宋"/>
                <w:color w:val="auto"/>
                <w:kern w:val="2"/>
                <w:sz w:val="24"/>
                <w:szCs w:val="24"/>
                <w:highlight w:val="none"/>
                <w:lang w:val="en-US" w:eastAsia="zh-CN" w:bidi="ar-SA"/>
              </w:rPr>
            </w:pPr>
          </w:p>
        </w:tc>
        <w:tc>
          <w:tcPr>
            <w:tcW w:w="2003" w:type="dxa"/>
            <w:noWrap w:val="0"/>
            <w:vAlign w:val="top"/>
          </w:tcPr>
          <w:p>
            <w:pPr>
              <w:keepNext w:val="0"/>
              <w:keepLines w:val="0"/>
              <w:suppressLineNumbers w:val="0"/>
              <w:kinsoku/>
              <w:wordWrap/>
              <w:overflowPunct/>
              <w:bidi w:val="0"/>
              <w:spacing w:before="0" w:beforeAutospacing="0" w:after="0" w:afterAutospacing="0" w:line="440" w:lineRule="exact"/>
              <w:ind w:left="0" w:leftChars="0" w:right="0"/>
              <w:jc w:val="center"/>
              <w:outlineLvl w:val="9"/>
              <w:rPr>
                <w:rFonts w:hint="eastAsia" w:ascii="仿宋" w:hAnsi="仿宋" w:eastAsia="仿宋" w:cs="仿宋"/>
                <w:color w:val="auto"/>
                <w:sz w:val="24"/>
                <w:szCs w:val="24"/>
                <w:highlight w:val="none"/>
              </w:rPr>
            </w:pPr>
          </w:p>
          <w:p>
            <w:pPr>
              <w:keepNext w:val="0"/>
              <w:keepLines w:val="0"/>
              <w:suppressLineNumbers w:val="0"/>
              <w:kinsoku/>
              <w:wordWrap/>
              <w:overflowPunct/>
              <w:bidi w:val="0"/>
              <w:spacing w:before="0" w:beforeAutospacing="0" w:after="0" w:afterAutospacing="0" w:line="440" w:lineRule="exact"/>
              <w:ind w:left="0" w:leftChars="0" w:right="0"/>
              <w:jc w:val="center"/>
              <w:outlineLvl w:val="9"/>
              <w:rPr>
                <w:rFonts w:hint="eastAsia" w:ascii="仿宋" w:hAnsi="仿宋" w:eastAsia="仿宋" w:cs="仿宋"/>
                <w:color w:val="auto"/>
                <w:kern w:val="2"/>
                <w:sz w:val="24"/>
                <w:szCs w:val="24"/>
                <w:highlight w:val="none"/>
                <w:lang w:val="en-US" w:eastAsia="zh-CN" w:bidi="ar-SA"/>
              </w:rPr>
            </w:pPr>
          </w:p>
        </w:tc>
        <w:tc>
          <w:tcPr>
            <w:tcW w:w="1671" w:type="dxa"/>
            <w:noWrap w:val="0"/>
            <w:vAlign w:val="center"/>
          </w:tcPr>
          <w:p>
            <w:pPr>
              <w:keepNext w:val="0"/>
              <w:keepLines w:val="0"/>
              <w:suppressLineNumbers w:val="0"/>
              <w:kinsoku/>
              <w:wordWrap/>
              <w:overflowPunct/>
              <w:bidi w:val="0"/>
              <w:spacing w:before="0" w:beforeAutospacing="0" w:after="0" w:afterAutospacing="0" w:line="440" w:lineRule="exact"/>
              <w:ind w:left="0" w:leftChars="0" w:right="0"/>
              <w:jc w:val="center"/>
              <w:outlineLvl w:val="9"/>
              <w:rPr>
                <w:rFonts w:hint="eastAsia" w:ascii="仿宋" w:hAnsi="仿宋" w:eastAsia="仿宋" w:cs="仿宋"/>
                <w:color w:val="auto"/>
                <w:sz w:val="24"/>
                <w:szCs w:val="24"/>
                <w:highlight w:val="none"/>
                <w:lang w:val="en-US" w:eastAsia="zh-CN"/>
              </w:rPr>
            </w:pPr>
          </w:p>
        </w:tc>
        <w:tc>
          <w:tcPr>
            <w:tcW w:w="1005" w:type="dxa"/>
            <w:noWrap w:val="0"/>
            <w:vAlign w:val="center"/>
          </w:tcPr>
          <w:p>
            <w:pPr>
              <w:keepNext w:val="0"/>
              <w:keepLines w:val="0"/>
              <w:suppressLineNumbers w:val="0"/>
              <w:kinsoku/>
              <w:wordWrap/>
              <w:overflowPunct/>
              <w:bidi w:val="0"/>
              <w:spacing w:before="0" w:beforeAutospacing="0" w:after="0" w:afterAutospacing="0" w:line="440" w:lineRule="exact"/>
              <w:ind w:left="0" w:leftChars="0" w:right="0"/>
              <w:jc w:val="center"/>
              <w:outlineLvl w:val="9"/>
              <w:rPr>
                <w:rFonts w:hint="eastAsia" w:ascii="仿宋" w:hAnsi="仿宋" w:eastAsia="仿宋" w:cs="仿宋"/>
                <w:color w:val="auto"/>
                <w:sz w:val="24"/>
                <w:szCs w:val="24"/>
                <w:highlight w:val="none"/>
                <w:lang w:val="en-US" w:eastAsia="zh-CN"/>
              </w:rPr>
            </w:pPr>
          </w:p>
        </w:tc>
        <w:tc>
          <w:tcPr>
            <w:tcW w:w="1201" w:type="dxa"/>
            <w:noWrap w:val="0"/>
            <w:vAlign w:val="center"/>
          </w:tcPr>
          <w:p>
            <w:pPr>
              <w:keepNext w:val="0"/>
              <w:keepLines w:val="0"/>
              <w:suppressLineNumbers w:val="0"/>
              <w:kinsoku/>
              <w:wordWrap/>
              <w:overflowPunct/>
              <w:bidi w:val="0"/>
              <w:spacing w:before="0" w:beforeAutospacing="0" w:after="0" w:afterAutospacing="0" w:line="440" w:lineRule="exact"/>
              <w:ind w:left="0" w:leftChars="0" w:right="0"/>
              <w:jc w:val="center"/>
              <w:outlineLvl w:val="9"/>
              <w:rPr>
                <w:rFonts w:hint="eastAsia" w:ascii="仿宋" w:hAnsi="仿宋" w:eastAsia="仿宋" w:cs="仿宋"/>
                <w:color w:val="auto"/>
                <w:sz w:val="24"/>
                <w:szCs w:val="24"/>
                <w:highlight w:val="none"/>
                <w:lang w:val="en-US" w:eastAsia="zh-CN"/>
              </w:rPr>
            </w:pPr>
          </w:p>
        </w:tc>
        <w:tc>
          <w:tcPr>
            <w:tcW w:w="1635" w:type="dxa"/>
            <w:noWrap w:val="0"/>
            <w:vAlign w:val="center"/>
          </w:tcPr>
          <w:p>
            <w:pPr>
              <w:keepNext w:val="0"/>
              <w:keepLines w:val="0"/>
              <w:suppressLineNumbers w:val="0"/>
              <w:kinsoku/>
              <w:wordWrap/>
              <w:overflowPunct/>
              <w:bidi w:val="0"/>
              <w:spacing w:before="0" w:beforeAutospacing="0" w:after="0" w:afterAutospacing="0" w:line="440" w:lineRule="exact"/>
              <w:ind w:left="0" w:leftChars="0" w:right="0"/>
              <w:jc w:val="center"/>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228" w:type="dxa"/>
            <w:gridSpan w:val="6"/>
            <w:noWrap w:val="0"/>
            <w:vAlign w:val="center"/>
          </w:tcPr>
          <w:p>
            <w:pPr>
              <w:keepNext w:val="0"/>
              <w:keepLines w:val="0"/>
              <w:suppressLineNumbers w:val="0"/>
              <w:kinsoku/>
              <w:wordWrap/>
              <w:overflowPunct/>
              <w:bidi w:val="0"/>
              <w:spacing w:before="0" w:beforeAutospacing="0" w:after="0" w:afterAutospacing="0" w:line="440" w:lineRule="exact"/>
              <w:ind w:left="0" w:leftChars="0" w:right="0"/>
              <w:jc w:val="left"/>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合计成交金额人民币（大写）：</w:t>
            </w:r>
          </w:p>
          <w:p>
            <w:pPr>
              <w:keepNext w:val="0"/>
              <w:keepLines w:val="0"/>
              <w:suppressLineNumbers w:val="0"/>
              <w:kinsoku/>
              <w:wordWrap/>
              <w:overflowPunct/>
              <w:bidi w:val="0"/>
              <w:spacing w:before="0" w:beforeAutospacing="0" w:after="0" w:afterAutospacing="0" w:line="440" w:lineRule="exact"/>
              <w:ind w:left="0" w:leftChars="0" w:right="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该价款为含税价。</w:t>
            </w:r>
          </w:p>
        </w:tc>
      </w:tr>
    </w:tbl>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乙方保证所提供的所有设备完全符合乙方投标文件所承诺的品牌名称、生产厂家、质量标准、规格、型号、性能参数、数量、单价、金额等条件，并全面响应标书及答疑文件，合同附件应包括所售产品配置清单。</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本合同若有详细的双方签字的配置清单，请详见附件。</w:t>
      </w:r>
    </w:p>
    <w:p>
      <w:pPr>
        <w:numPr>
          <w:ilvl w:val="0"/>
          <w:numId w:val="22"/>
        </w:num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设备的交付期</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乙方在合同生效后，按甲方指定时间交付全部设备。</w:t>
      </w:r>
    </w:p>
    <w:p>
      <w:pPr>
        <w:numPr>
          <w:ilvl w:val="0"/>
          <w:numId w:val="22"/>
        </w:num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设备运输、安装和验收  </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（1）乙方确保设备安全无损地运抵甲方指定现场，并承担设备增常使用前的包装、运费、装卸费、保险、安装调试等所有费用。</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设备全部到达现场后，乙方提前一个工作日告知甲方设备处及使用科室，以便甲方安排接收。经甲乙双方共同对设备进行开箱清点、外观检查验收，如果发现数量不足、与装箱清单信息不符或外观毁损等问题，乙方应在</w:t>
      </w:r>
      <w:r>
        <w:rPr>
          <w:rFonts w:hint="eastAsia" w:ascii="仿宋" w:hAnsi="仿宋" w:eastAsia="仿宋" w:cs="仿宋"/>
          <w:color w:val="auto"/>
          <w:sz w:val="24"/>
          <w:szCs w:val="24"/>
          <w:highlight w:val="none"/>
          <w:u w:val="single"/>
        </w:rPr>
        <w:t xml:space="preserve">   3 </w:t>
      </w:r>
      <w:r>
        <w:rPr>
          <w:rFonts w:hint="eastAsia" w:ascii="仿宋" w:hAnsi="仿宋" w:eastAsia="仿宋" w:cs="仿宋"/>
          <w:color w:val="auto"/>
          <w:sz w:val="24"/>
          <w:szCs w:val="24"/>
          <w:highlight w:val="none"/>
        </w:rPr>
        <w:t>天内，按照甲方的要求，采取补足、更换或退货等处理措施。</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甲方不接受部分交付。设备部分到场或乙方补足、调换部分设备期间，已到场的设备由乙方自行保管并承担由此发生的一切责任和损失及费用。</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甲方收货时对产品的外观检查或开箱清点，不能免除乙方对产品内在质量的责任。</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（3）设备全部到货外观检验合格，乙方接到甲方通知后，一般设备在</w:t>
      </w:r>
      <w:r>
        <w:rPr>
          <w:rFonts w:hint="eastAsia" w:ascii="仿宋" w:hAnsi="仿宋" w:eastAsia="仿宋" w:cs="仿宋"/>
          <w:color w:val="auto"/>
          <w:sz w:val="24"/>
          <w:szCs w:val="24"/>
          <w:highlight w:val="none"/>
          <w:u w:val="single"/>
        </w:rPr>
        <w:t xml:space="preserve">   1 </w:t>
      </w:r>
      <w:r>
        <w:rPr>
          <w:rFonts w:hint="eastAsia" w:ascii="仿宋" w:hAnsi="仿宋" w:eastAsia="仿宋" w:cs="仿宋"/>
          <w:color w:val="auto"/>
          <w:sz w:val="24"/>
          <w:szCs w:val="24"/>
          <w:highlight w:val="none"/>
        </w:rPr>
        <w:t>天内，特大型设备在</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天内安装调试完成。</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（4）安装调试完毕，甲、乙双方根据国家相关技术标准和技术验收条件、流程（合同的技术标准见附表）在90日内进行技术验收，验收合格后，双方在甲方«技术验收合格单»上签字确认。</w:t>
      </w:r>
    </w:p>
    <w:p>
      <w:pPr>
        <w:kinsoku/>
        <w:wordWrap/>
        <w:overflowPunct/>
        <w:bidi w:val="0"/>
        <w:spacing w:beforeAutospacing="0" w:line="440" w:lineRule="exact"/>
        <w:ind w:left="0" w:leftChars="0" w:right="0" w:firstLine="240" w:firstLineChars="100"/>
        <w:outlineLvl w:val="9"/>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付款方式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4、伴随服务</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（1）乙方应提供设备的技术文件，包括相应的图纸、操作手册、维护手册、质量保证文件、服务指南等，这些文件应随同设备一起交付给甲方。</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（2）乙方还应免费提供下列服务：</w:t>
      </w:r>
    </w:p>
    <w:p>
      <w:pPr>
        <w:kinsoku/>
        <w:wordWrap/>
        <w:overflowPunct/>
        <w:bidi w:val="0"/>
        <w:spacing w:beforeAutospacing="0" w:line="440" w:lineRule="exact"/>
        <w:ind w:left="0" w:leftChars="0" w:right="0"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A、设备的现场安装和调试.乙方负责联系质检部门对特种设备进行安全检验检定，承担检定费，提供本合同特种设备相关部门认可使用的检定合格证。</w:t>
      </w:r>
    </w:p>
    <w:p>
      <w:pPr>
        <w:kinsoku/>
        <w:wordWrap/>
        <w:overflowPunct/>
        <w:bidi w:val="0"/>
        <w:spacing w:beforeAutospacing="0" w:line="440" w:lineRule="exact"/>
        <w:ind w:left="0" w:leftChars="0" w:right="0"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B、提供设备安装和维修所需的专用工具和辅助材料</w:t>
      </w:r>
    </w:p>
    <w:p>
      <w:pPr>
        <w:kinsoku/>
        <w:wordWrap/>
        <w:overflowPunct/>
        <w:bidi w:val="0"/>
        <w:spacing w:beforeAutospacing="0" w:line="440" w:lineRule="exact"/>
        <w:ind w:left="0" w:leftChars="0" w:right="0"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C、乙方应派专业技术人员在项目现场对甲方使用人员进行培训或指导，在使用一段时间后可根据甲方的要求另行安排培训计划。</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5、质量保证及售后服务</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（1）乙方应保证所供的是在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月）后生产的全新、未使用过，并符合合同约定技术标准要求的设备。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质量保证期。</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（2）乙方应提供主机质保期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个</w:t>
      </w:r>
      <w:r>
        <w:rPr>
          <w:rFonts w:hint="eastAsia" w:ascii="仿宋" w:hAnsi="仿宋" w:eastAsia="仿宋" w:cs="仿宋"/>
          <w:color w:val="auto"/>
          <w:sz w:val="24"/>
          <w:szCs w:val="24"/>
          <w:highlight w:val="none"/>
        </w:rPr>
        <w:t>月，自甲乙双方的技术验收合格之日起计算，质保期内免费更换零配件及工时费。设备质保期内发生短时间内无法修复的故障时，甲乙双方应协商由乙方免费提供备用机以保证甲方医疗工作的正常开展。</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（3）报修响应时间</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小时，到场时间</w:t>
      </w:r>
      <w:r>
        <w:rPr>
          <w:rFonts w:hint="eastAsia" w:ascii="仿宋" w:hAnsi="仿宋" w:eastAsia="仿宋" w:cs="仿宋"/>
          <w:color w:val="auto"/>
          <w:sz w:val="24"/>
          <w:szCs w:val="24"/>
          <w:highlight w:val="none"/>
          <w:u w:val="single"/>
        </w:rPr>
        <w:t xml:space="preserve">  8  </w:t>
      </w:r>
      <w:r>
        <w:rPr>
          <w:rFonts w:hint="eastAsia" w:ascii="仿宋" w:hAnsi="仿宋" w:eastAsia="仿宋" w:cs="仿宋"/>
          <w:color w:val="auto"/>
          <w:sz w:val="24"/>
          <w:szCs w:val="24"/>
          <w:highlight w:val="none"/>
        </w:rPr>
        <w:t>小时（不可抗拒力量下除外）。</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（4）年度定期预防性维护保养次数，不少于</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次。</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（5）乙方负责设备的终身免费维修并应继续提供优质的服务，储备足够的零配件备库，质保期满后，以厂家批发价格供应维修零配件，消耗品的供应由双方另设协议决定。</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（6）乙方对设备的维护保养须告知甲方设备处维修人员到场，否则所实施的售后行为不计入年度预防性维护保养次数，乙方自行承担发生的一切费用。</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6、索赔条款</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（1）如经检验确认货物不符合本合同约定，买方有权选择下列方式之一要求卖方进行补救；</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A、接受买方退货，并将全额货款偿还买方，并负担因退货而发生的一切直接损失和费用。</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B、按照货物的疵劣程度、损坏的范围和买方所遭受的损失，将货物贬值，情节严重，甲方有权终止合同。</w:t>
      </w:r>
    </w:p>
    <w:p>
      <w:pPr>
        <w:kinsoku/>
        <w:wordWrap/>
        <w:overflowPunct/>
        <w:bidi w:val="0"/>
        <w:spacing w:beforeAutospacing="0" w:line="440" w:lineRule="exact"/>
        <w:ind w:left="0" w:leftChars="0" w:right="0" w:firstLine="120" w:firstLineChars="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C、调换有瑕疵的货物，换货必须全新并符合本合同规定的规格，质量标准和性能，卖方同时负责因此而产生和一切费用和买方的一切直接损失。</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乙方没有按照合同规定的时间交货和提供服务，甲方应从货款或质保金中扣除误期赔偿费而不影响合同项下的其他补救方法，延期交货和延期服务的赔偿费按每日迟交仪器的合同价的百分之零点五（0.5%）计收，直至交货、提供服务或甲方解除合同为止。延期交货十天以上，甲方有权解除合同。</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（3）乙方应保证甲方和使用单位在使用该设备或其任何一部分时免受第三方提出侵犯其专利权、商标权或工业产权的起诉。</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7、争端的解决</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双方如在履行合同中发生纠纷，首先应友好协商，协商不成，双方均应向甲方所在地人民法院起诉。</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8、合同生效</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（1）本合同在甲、乙双方签字盖章后生效。</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（2）本合同一式肆份，签约双方甲方执</w:t>
      </w: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份，乙方执</w:t>
      </w: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份，具有相同的法律效应。</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9、合同附件   合同附件是合同的不可分割的组成部分，与合同具有同等法律效力。</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bookmarkStart w:id="49" w:name="_Toc27875"/>
      <w:r>
        <w:rPr>
          <w:rFonts w:hint="eastAsia" w:ascii="仿宋" w:hAnsi="仿宋" w:eastAsia="仿宋" w:cs="仿宋"/>
          <w:color w:val="auto"/>
          <w:sz w:val="24"/>
          <w:szCs w:val="24"/>
          <w:highlight w:val="none"/>
        </w:rPr>
        <w:t>（1）配置清单     □设备的配置清单</w:t>
      </w:r>
      <w:bookmarkEnd w:id="49"/>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bookmarkStart w:id="50" w:name="_Toc32541"/>
      <w:r>
        <w:rPr>
          <w:rFonts w:hint="eastAsia" w:ascii="仿宋" w:hAnsi="仿宋" w:eastAsia="仿宋" w:cs="仿宋"/>
          <w:color w:val="auto"/>
          <w:sz w:val="24"/>
          <w:szCs w:val="24"/>
          <w:highlight w:val="none"/>
        </w:rPr>
        <w:t>（2）技术标准     □投标文件的技术响应  □设备技术说明</w:t>
      </w:r>
      <w:bookmarkEnd w:id="50"/>
    </w:p>
    <w:p>
      <w:pPr>
        <w:numPr>
          <w:ilvl w:val="0"/>
          <w:numId w:val="23"/>
        </w:num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特别约定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none"/>
        </w:rPr>
        <w:t xml:space="preserve">                                </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乌鲁木齐市友谊医院</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乙方：</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none"/>
        </w:rPr>
        <w:t xml:space="preserve">甲方工作电子邮箱：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 xml:space="preserve">乙方工作电子邮箱：    </w:t>
      </w:r>
    </w:p>
    <w:p>
      <w:pPr>
        <w:kinsoku/>
        <w:wordWrap/>
        <w:overflowPunct/>
        <w:bidi w:val="0"/>
        <w:spacing w:beforeAutospacing="0" w:line="440" w:lineRule="exact"/>
        <w:ind w:left="0" w:leftChars="0" w:right="0" w:firstLine="1200" w:firstLineChars="5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                                       （盖章）</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甲方法定代表人或授权委托人：                    乙方法定代表人或授权委托人：</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u w:val="single"/>
          <w:bdr w:val="single" w:color="auto" w:sz="4" w:space="0"/>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bdr w:val="single" w:color="auto" w:sz="4" w:space="0"/>
        </w:rPr>
        <w:t xml:space="preserve">                          </w:t>
      </w:r>
      <w:r>
        <w:rPr>
          <w:rFonts w:hint="eastAsia" w:ascii="仿宋" w:hAnsi="仿宋" w:eastAsia="仿宋" w:cs="仿宋"/>
          <w:color w:val="auto"/>
          <w:sz w:val="24"/>
          <w:szCs w:val="24"/>
          <w:highlight w:val="none"/>
          <w:bdr w:val="single" w:color="auto" w:sz="4" w:space="0"/>
        </w:rPr>
        <w:t xml:space="preserve">                     </w:t>
      </w:r>
      <w:r>
        <w:rPr>
          <w:rFonts w:hint="eastAsia" w:ascii="仿宋" w:hAnsi="仿宋" w:eastAsia="仿宋" w:cs="仿宋"/>
          <w:color w:val="auto"/>
          <w:sz w:val="24"/>
          <w:szCs w:val="24"/>
          <w:highlight w:val="none"/>
          <w:u w:val="single"/>
          <w:bdr w:val="single" w:color="auto" w:sz="4" w:space="0"/>
        </w:rPr>
        <w:t xml:space="preserve">                          </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4"/>
          <w:szCs w:val="24"/>
          <w:highlight w:val="none"/>
          <w:u w:val="single"/>
        </w:rPr>
        <w:t xml:space="preserve">               </w:t>
      </w:r>
    </w:p>
    <w:p>
      <w:pPr>
        <w:kinsoku/>
        <w:wordWrap/>
        <w:overflowPunct/>
        <w:bidi w:val="0"/>
        <w:spacing w:beforeAutospacing="0" w:line="440" w:lineRule="exact"/>
        <w:ind w:left="0" w:leftChars="0" w:right="0" w:firstLine="480" w:firstLineChars="200"/>
        <w:jc w:val="right"/>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br w:type="page"/>
      </w:r>
    </w:p>
    <w:p>
      <w:pPr>
        <w:widowControl/>
        <w:kinsoku/>
        <w:wordWrap/>
        <w:overflowPunct/>
        <w:bidi w:val="0"/>
        <w:spacing w:beforeAutospacing="0" w:line="440" w:lineRule="exact"/>
        <w:ind w:left="0" w:leftChars="0" w:right="0"/>
        <w:jc w:val="center"/>
        <w:outlineLvl w:val="0"/>
        <w:rPr>
          <w:rFonts w:hint="eastAsia" w:ascii="仿宋" w:hAnsi="仿宋" w:eastAsia="仿宋" w:cs="仿宋"/>
          <w:b/>
          <w:bCs/>
          <w:color w:val="auto"/>
          <w:kern w:val="2"/>
          <w:sz w:val="24"/>
          <w:szCs w:val="24"/>
          <w:highlight w:val="none"/>
          <w:lang w:val="en-US" w:eastAsia="zh-CN" w:bidi="ar-SA"/>
        </w:rPr>
      </w:pPr>
      <w:bookmarkStart w:id="51" w:name="_Toc16604"/>
      <w:r>
        <w:rPr>
          <w:rFonts w:hint="eastAsia" w:ascii="仿宋" w:hAnsi="仿宋" w:eastAsia="仿宋" w:cs="仿宋"/>
          <w:b/>
          <w:bCs/>
          <w:color w:val="auto"/>
          <w:kern w:val="2"/>
          <w:sz w:val="24"/>
          <w:szCs w:val="24"/>
          <w:highlight w:val="none"/>
          <w:lang w:val="en-US" w:eastAsia="zh-CN" w:bidi="ar-SA"/>
        </w:rPr>
        <w:t>第五部分  投标文件格式</w:t>
      </w:r>
      <w:bookmarkEnd w:id="51"/>
    </w:p>
    <w:p>
      <w:pPr>
        <w:widowControl/>
        <w:kinsoku/>
        <w:wordWrap/>
        <w:overflowPunct/>
        <w:bidi w:val="0"/>
        <w:spacing w:beforeAutospacing="0" w:line="440" w:lineRule="exact"/>
        <w:ind w:left="0" w:leftChars="0" w:right="0"/>
        <w:jc w:val="left"/>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center"/>
        <w:outlineLvl w:val="9"/>
        <w:rPr>
          <w:rFonts w:hint="eastAsia" w:ascii="仿宋" w:hAnsi="仿宋" w:eastAsia="仿宋" w:cs="仿宋"/>
          <w:color w:val="auto"/>
          <w:sz w:val="24"/>
          <w:szCs w:val="24"/>
          <w:highlight w:val="none"/>
        </w:rPr>
      </w:pPr>
      <w:bookmarkStart w:id="52" w:name="_Toc14986"/>
      <w:r>
        <w:rPr>
          <w:rFonts w:hint="eastAsia" w:ascii="仿宋" w:hAnsi="仿宋" w:eastAsia="仿宋" w:cs="仿宋"/>
          <w:color w:val="auto"/>
          <w:sz w:val="24"/>
          <w:szCs w:val="24"/>
          <w:highlight w:val="none"/>
        </w:rPr>
        <w:t>开标一览表</w:t>
      </w:r>
      <w:bookmarkEnd w:id="52"/>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项目编号：</w:t>
      </w:r>
    </w:p>
    <w:tbl>
      <w:tblPr>
        <w:tblStyle w:val="51"/>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9" w:type="dxa"/>
            <w:vAlign w:val="center"/>
          </w:tcPr>
          <w:p>
            <w:pPr>
              <w:keepNext w:val="0"/>
              <w:keepLines w:val="0"/>
              <w:suppressLineNumbers w:val="0"/>
              <w:kinsoku/>
              <w:wordWrap/>
              <w:overflowPunct/>
              <w:bidi w:val="0"/>
              <w:spacing w:before="0" w:beforeAutospacing="0" w:after="0" w:afterAutospacing="0" w:line="44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vAlign w:val="center"/>
          </w:tcPr>
          <w:p>
            <w:pPr>
              <w:keepNext w:val="0"/>
              <w:keepLines w:val="0"/>
              <w:suppressLineNumbers w:val="0"/>
              <w:kinsoku/>
              <w:wordWrap/>
              <w:overflowPunct/>
              <w:bidi w:val="0"/>
              <w:spacing w:before="0" w:beforeAutospacing="0" w:after="0" w:afterAutospacing="0" w:line="44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6801" w:type="dxa"/>
            <w:vAlign w:val="center"/>
          </w:tcPr>
          <w:p>
            <w:pPr>
              <w:keepNext w:val="0"/>
              <w:keepLines w:val="0"/>
              <w:suppressLineNumbers w:val="0"/>
              <w:kinsoku/>
              <w:wordWrap/>
              <w:overflowPunct/>
              <w:bidi w:val="0"/>
              <w:spacing w:before="0" w:beforeAutospacing="0" w:after="0" w:afterAutospacing="0" w:line="44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18"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6801"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418"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供货期</w:t>
            </w:r>
          </w:p>
        </w:tc>
        <w:tc>
          <w:tcPr>
            <w:tcW w:w="6801"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418"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801"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1418"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w:t>
            </w:r>
          </w:p>
        </w:tc>
        <w:tc>
          <w:tcPr>
            <w:tcW w:w="6801"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1418"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tc>
        <w:tc>
          <w:tcPr>
            <w:tcW w:w="6801"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p>
        </w:tc>
      </w:tr>
    </w:tbl>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1、投标总价应为各分项报价之和。报价须以元为单位，小数点后保留2位。</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2、投标报价包括投标人为实施本项目提供投标产品及服务内容所包括的全部含税价格的体现。</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3、投标人必须自行考虑本项目在实施期间的一切可能产生的费用。在合同执行过程中，采购人将不再另行支付与本项目相关的任何费用（非本项目要求的其它内容除外）。</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4、本表须按采购文件要求，单独封装、标识后提交。</w:t>
      </w:r>
      <w:r>
        <w:rPr>
          <w:rFonts w:hint="eastAsia" w:ascii="仿宋" w:hAnsi="仿宋" w:eastAsia="仿宋" w:cs="仿宋"/>
          <w:color w:val="auto"/>
          <w:sz w:val="24"/>
          <w:szCs w:val="24"/>
          <w:highlight w:val="none"/>
          <w:lang w:val="en-US" w:eastAsia="zh-CN"/>
        </w:rPr>
        <w:t>中小学</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授权代理人（签字盖章）：</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  年  月  日</w:t>
      </w:r>
    </w:p>
    <w:p>
      <w:pPr>
        <w:widowControl/>
        <w:kinsoku/>
        <w:wordWrap/>
        <w:overflowPunct/>
        <w:bidi w:val="0"/>
        <w:spacing w:beforeAutospacing="0" w:line="440" w:lineRule="exact"/>
        <w:ind w:left="0" w:leftChars="0" w:right="0"/>
        <w:jc w:val="left"/>
        <w:outlineLvl w:val="9"/>
        <w:rPr>
          <w:rFonts w:hint="eastAsia" w:ascii="仿宋" w:hAnsi="仿宋" w:eastAsia="仿宋" w:cs="仿宋"/>
          <w:color w:val="auto"/>
          <w:sz w:val="24"/>
          <w:szCs w:val="24"/>
          <w:highlight w:val="none"/>
          <w:lang w:val="zh-CN"/>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zh-CN"/>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br w:type="page"/>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（封面示例）</w:t>
      </w:r>
    </w:p>
    <w:p>
      <w:pPr>
        <w:kinsoku/>
        <w:wordWrap/>
        <w:overflowPunct/>
        <w:bidi w:val="0"/>
        <w:spacing w:beforeAutospacing="0" w:line="440" w:lineRule="exact"/>
        <w:ind w:left="0" w:leftChars="0" w:right="0"/>
        <w:jc w:val="right"/>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正本</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zh-CN"/>
        </w:rPr>
      </w:pPr>
    </w:p>
    <w:p>
      <w:pPr>
        <w:kinsoku/>
        <w:wordWrap/>
        <w:overflowPunct/>
        <w:bidi w:val="0"/>
        <w:spacing w:beforeAutospacing="0" w:line="440" w:lineRule="exact"/>
        <w:ind w:left="0" w:leftChars="0" w:right="0"/>
        <w:jc w:val="center"/>
        <w:outlineLvl w:val="9"/>
        <w:rPr>
          <w:rFonts w:hint="eastAsia" w:ascii="仿宋" w:hAnsi="仿宋" w:eastAsia="仿宋" w:cs="仿宋"/>
          <w:color w:val="auto"/>
          <w:sz w:val="24"/>
          <w:szCs w:val="24"/>
          <w:highlight w:val="none"/>
          <w:lang w:val="zh-CN"/>
        </w:rPr>
      </w:pPr>
      <w:bookmarkStart w:id="53" w:name="_Toc22576"/>
      <w:r>
        <w:rPr>
          <w:rFonts w:hint="eastAsia" w:ascii="仿宋" w:hAnsi="仿宋" w:eastAsia="仿宋" w:cs="仿宋"/>
          <w:color w:val="auto"/>
          <w:sz w:val="24"/>
          <w:szCs w:val="24"/>
          <w:highlight w:val="none"/>
          <w:lang w:val="zh-CN"/>
        </w:rPr>
        <w:t>投 标 文 件</w:t>
      </w:r>
      <w:bookmarkEnd w:id="53"/>
    </w:p>
    <w:p>
      <w:pPr>
        <w:kinsoku/>
        <w:wordWrap/>
        <w:overflowPunct/>
        <w:bidi w:val="0"/>
        <w:spacing w:beforeAutospacing="0" w:line="440" w:lineRule="exact"/>
        <w:ind w:left="0" w:leftChars="0" w:right="0"/>
        <w:jc w:val="center"/>
        <w:outlineLvl w:val="9"/>
        <w:rPr>
          <w:rFonts w:hint="eastAsia" w:ascii="仿宋" w:hAnsi="仿宋" w:eastAsia="仿宋" w:cs="仿宋"/>
          <w:color w:val="auto"/>
          <w:sz w:val="24"/>
          <w:szCs w:val="24"/>
          <w:highlight w:val="none"/>
          <w:lang w:val="zh-CN"/>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zh-CN"/>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zh-CN"/>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zh-CN"/>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zh-CN"/>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zh-CN"/>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项目名称：</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项目编号：</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投标人（盖公章）：×××公司</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法定代表人（签字或盖章）:</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授权代理人（签字）:</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地址：</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联系人：</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联系电话：</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编制时间：×年×月×日</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br w:type="page"/>
      </w:r>
    </w:p>
    <w:p>
      <w:pPr>
        <w:kinsoku/>
        <w:wordWrap/>
        <w:overflowPunct/>
        <w:bidi w:val="0"/>
        <w:spacing w:beforeAutospacing="0" w:line="440" w:lineRule="exact"/>
        <w:ind w:left="0" w:leftChars="0" w:right="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投标文件主要包括但不限于以下内容：</w:t>
      </w:r>
    </w:p>
    <w:p>
      <w:pPr>
        <w:kinsoku/>
        <w:wordWrap/>
        <w:overflowPunct/>
        <w:bidi w:val="0"/>
        <w:spacing w:beforeAutospacing="0" w:line="440" w:lineRule="exact"/>
        <w:ind w:left="0" w:leftChars="0" w:right="0" w:firstLine="482" w:firstLineChars="200"/>
        <w:outlineLvl w:val="9"/>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商务技术部分主要包括</w:t>
      </w:r>
      <w:r>
        <w:rPr>
          <w:rFonts w:hint="eastAsia" w:ascii="仿宋" w:hAnsi="仿宋" w:eastAsia="仿宋" w:cs="仿宋"/>
          <w:b/>
          <w:color w:val="auto"/>
          <w:sz w:val="24"/>
          <w:szCs w:val="24"/>
          <w:highlight w:val="none"/>
        </w:rPr>
        <w:t>但不限于以下内容：</w:t>
      </w:r>
    </w:p>
    <w:p>
      <w:pPr>
        <w:kinsoku/>
        <w:wordWrap/>
        <w:overflowPunct/>
        <w:bidi w:val="0"/>
        <w:spacing w:beforeAutospacing="0" w:line="440" w:lineRule="exact"/>
        <w:ind w:left="240" w:leftChars="0" w:right="0"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bCs/>
          <w:color w:val="auto"/>
          <w:kern w:val="0"/>
          <w:sz w:val="24"/>
          <w:szCs w:val="24"/>
          <w:highlight w:val="none"/>
        </w:rPr>
        <w:t>（1）</w:t>
      </w:r>
      <w:r>
        <w:rPr>
          <w:rFonts w:hint="eastAsia" w:ascii="仿宋" w:hAnsi="仿宋" w:eastAsia="仿宋" w:cs="仿宋"/>
          <w:color w:val="auto"/>
          <w:sz w:val="24"/>
          <w:szCs w:val="24"/>
          <w:highlight w:val="none"/>
        </w:rPr>
        <w:t>投</w:t>
      </w:r>
      <w:r>
        <w:rPr>
          <w:rFonts w:hint="eastAsia" w:ascii="仿宋" w:hAnsi="仿宋" w:eastAsia="仿宋" w:cs="仿宋"/>
          <w:color w:val="auto"/>
          <w:kern w:val="0"/>
          <w:sz w:val="24"/>
          <w:szCs w:val="24"/>
          <w:highlight w:val="none"/>
        </w:rPr>
        <w:t>标</w:t>
      </w:r>
      <w:r>
        <w:rPr>
          <w:rFonts w:hint="eastAsia" w:ascii="仿宋" w:hAnsi="仿宋" w:eastAsia="仿宋" w:cs="仿宋"/>
          <w:color w:val="auto"/>
          <w:sz w:val="24"/>
          <w:szCs w:val="24"/>
          <w:highlight w:val="none"/>
        </w:rPr>
        <w:t>人概况及企业综合实力[包括不限于：投标人概况表；依法纳税承诺；投标资格声明；参加政府采购活动前3年内在经营活动中没有重大违法记录的书面声明；信用中国网站（www.creditchina.gov.cn）、中国</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"http://www.caigou2003.com/" \t "_blank"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政府采购网</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（www.ccgp.gov.cn）、中国裁判文书网】网站的信用查询截图；</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文件要求的《中华人民共和国政府采购法》规定的资格条件证明文件复印件；</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文件采</w:t>
      </w:r>
      <w:r>
        <w:rPr>
          <w:rFonts w:hint="eastAsia" w:ascii="仿宋" w:hAnsi="仿宋" w:eastAsia="仿宋" w:cs="仿宋"/>
          <w:color w:val="auto"/>
          <w:kern w:val="0"/>
          <w:sz w:val="24"/>
          <w:szCs w:val="24"/>
          <w:highlight w:val="none"/>
        </w:rPr>
        <w:t>购人根据采购项目的特殊要求规定的特定条件证明文件复印件]；</w:t>
      </w:r>
    </w:p>
    <w:p>
      <w:pPr>
        <w:kinsoku/>
        <w:wordWrap/>
        <w:overflowPunct/>
        <w:bidi w:val="0"/>
        <w:spacing w:beforeAutospacing="0" w:line="440" w:lineRule="exact"/>
        <w:ind w:left="240" w:leftChars="0" w:right="0" w:hanging="240" w:hangingChars="100"/>
        <w:outlineLvl w:val="9"/>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（2）投标</w:t>
      </w:r>
      <w:r>
        <w:rPr>
          <w:rFonts w:hint="eastAsia" w:ascii="仿宋" w:hAnsi="仿宋" w:eastAsia="仿宋" w:cs="仿宋"/>
          <w:color w:val="auto"/>
          <w:kern w:val="0"/>
          <w:sz w:val="24"/>
          <w:szCs w:val="24"/>
          <w:highlight w:val="none"/>
          <w:lang w:val="en-US" w:eastAsia="zh-CN"/>
        </w:rPr>
        <w:t>函；</w:t>
      </w:r>
    </w:p>
    <w:p>
      <w:pPr>
        <w:kinsoku/>
        <w:wordWrap/>
        <w:overflowPunct/>
        <w:bidi w:val="0"/>
        <w:spacing w:beforeAutospacing="0" w:line="440" w:lineRule="exact"/>
        <w:ind w:left="240" w:leftChars="0" w:right="0"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（3）投标承诺书；</w:t>
      </w:r>
    </w:p>
    <w:p>
      <w:pPr>
        <w:kinsoku/>
        <w:wordWrap/>
        <w:overflowPunct/>
        <w:bidi w:val="0"/>
        <w:spacing w:beforeAutospacing="0" w:line="440" w:lineRule="exact"/>
        <w:ind w:left="240" w:leftChars="0" w:right="0"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（4）法定代表人身份证明书和法定代表人身份证（复印件）或者法定代表人授权委托书及被授权人身份证（复印件）；</w:t>
      </w:r>
    </w:p>
    <w:p>
      <w:pPr>
        <w:kinsoku/>
        <w:wordWrap/>
        <w:overflowPunct/>
        <w:bidi w:val="0"/>
        <w:spacing w:beforeAutospacing="0" w:line="440" w:lineRule="exact"/>
        <w:ind w:left="240" w:leftChars="0" w:right="0" w:hanging="240" w:hangingChars="1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（5）投标保证金缴纳凭证（复印件加盖单位公章）；近三年财务状况表；</w:t>
      </w:r>
    </w:p>
    <w:p>
      <w:pPr>
        <w:kinsoku/>
        <w:wordWrap/>
        <w:overflowPunct/>
        <w:autoSpaceDE w:val="0"/>
        <w:autoSpaceDN w:val="0"/>
        <w:bidi w:val="0"/>
        <w:adjustRightInd w:val="0"/>
        <w:spacing w:beforeAutospacing="0" w:line="440" w:lineRule="exact"/>
        <w:ind w:left="631" w:leftChars="0" w:right="0" w:rightChars="0" w:hanging="631" w:hangingChars="263"/>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（6</w:t>
      </w:r>
      <w:r>
        <w:rPr>
          <w:rFonts w:hint="eastAsia" w:ascii="仿宋" w:hAnsi="仿宋" w:eastAsia="仿宋" w:cs="仿宋"/>
          <w:color w:val="auto"/>
          <w:sz w:val="24"/>
          <w:szCs w:val="24"/>
          <w:highlight w:val="none"/>
          <w:lang w:val="zh-CN"/>
        </w:rPr>
        <w:t>）关于资格声明函</w:t>
      </w:r>
      <w:r>
        <w:rPr>
          <w:rFonts w:hint="eastAsia" w:ascii="仿宋" w:hAnsi="仿宋" w:eastAsia="仿宋" w:cs="仿宋"/>
          <w:color w:val="auto"/>
          <w:sz w:val="24"/>
          <w:szCs w:val="24"/>
          <w:highlight w:val="none"/>
        </w:rPr>
        <w:t>属于中小企业的相关证明资料： 1)《中小企业声明函》；2) 供应商工商行政注册地管理部门出具的小微企业证明文件；</w:t>
      </w:r>
    </w:p>
    <w:p>
      <w:pPr>
        <w:kinsoku/>
        <w:wordWrap/>
        <w:overflowPunct/>
        <w:autoSpaceDE w:val="0"/>
        <w:autoSpaceDN w:val="0"/>
        <w:bidi w:val="0"/>
        <w:adjustRightInd w:val="0"/>
        <w:spacing w:beforeAutospacing="0" w:line="440" w:lineRule="exact"/>
        <w:ind w:left="0" w:leftChars="0" w:right="0" w:firstLine="480" w:firstLineChars="200"/>
        <w:jc w:val="left"/>
        <w:outlineLvl w:val="9"/>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（7）</w:t>
      </w:r>
      <w:r>
        <w:rPr>
          <w:rFonts w:hint="eastAsia" w:ascii="仿宋" w:hAnsi="仿宋" w:eastAsia="仿宋" w:cs="仿宋"/>
          <w:color w:val="auto"/>
          <w:sz w:val="24"/>
          <w:szCs w:val="24"/>
          <w:highlight w:val="none"/>
          <w:lang w:val="zh-CN"/>
        </w:rPr>
        <w:t>投标人投标的优惠条件、</w:t>
      </w:r>
      <w:r>
        <w:rPr>
          <w:rFonts w:hint="eastAsia" w:ascii="仿宋" w:hAnsi="仿宋" w:eastAsia="仿宋" w:cs="仿宋"/>
          <w:color w:val="auto"/>
          <w:kern w:val="0"/>
          <w:sz w:val="24"/>
          <w:szCs w:val="24"/>
          <w:highlight w:val="none"/>
        </w:rPr>
        <w:t>质量承诺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进度承诺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服务承诺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维保承诺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sz w:val="24"/>
          <w:szCs w:val="24"/>
          <w:highlight w:val="none"/>
          <w:lang w:val="zh-CN"/>
        </w:rPr>
        <w:t>供货期间所提供的服务范围。</w:t>
      </w:r>
    </w:p>
    <w:p>
      <w:pPr>
        <w:kinsoku/>
        <w:wordWrap/>
        <w:overflowPunct/>
        <w:autoSpaceDE w:val="0"/>
        <w:autoSpaceDN w:val="0"/>
        <w:bidi w:val="0"/>
        <w:adjustRightInd w:val="0"/>
        <w:spacing w:beforeAutospacing="0" w:line="440" w:lineRule="exact"/>
        <w:ind w:left="0" w:leftChars="0" w:right="0" w:rightChars="0" w:firstLine="482"/>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val="zh-CN"/>
        </w:rPr>
        <w:t>）近三年的业绩（提供相关证明文件复印件）</w:t>
      </w:r>
    </w:p>
    <w:p>
      <w:pPr>
        <w:kinsoku/>
        <w:wordWrap/>
        <w:overflowPunct/>
        <w:autoSpaceDE w:val="0"/>
        <w:autoSpaceDN w:val="0"/>
        <w:bidi w:val="0"/>
        <w:adjustRightInd w:val="0"/>
        <w:spacing w:beforeAutospacing="0" w:line="440" w:lineRule="exact"/>
        <w:ind w:left="0" w:leftChars="0" w:right="0" w:rightChars="0" w:firstLine="482"/>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val="zh-CN"/>
        </w:rPr>
        <w:t>）投标单位（供应商）反商业贿赂承诺书</w:t>
      </w:r>
    </w:p>
    <w:p>
      <w:pPr>
        <w:kinsoku/>
        <w:wordWrap/>
        <w:overflowPunct/>
        <w:autoSpaceDE w:val="0"/>
        <w:autoSpaceDN w:val="0"/>
        <w:bidi w:val="0"/>
        <w:adjustRightInd w:val="0"/>
        <w:spacing w:beforeAutospacing="0" w:line="440" w:lineRule="exact"/>
        <w:ind w:left="0" w:leftChars="0" w:right="0"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投标产品执行的制造、合格标准；</w:t>
      </w:r>
      <w:r>
        <w:rPr>
          <w:rFonts w:hint="eastAsia" w:ascii="仿宋" w:hAnsi="仿宋" w:eastAsia="仿宋" w:cs="仿宋"/>
          <w:color w:val="auto"/>
          <w:kern w:val="0"/>
          <w:sz w:val="24"/>
          <w:szCs w:val="24"/>
          <w:highlight w:val="none"/>
        </w:rPr>
        <w:t>投入产品情况及相关材料；</w:t>
      </w:r>
      <w:r>
        <w:rPr>
          <w:rFonts w:hint="eastAsia" w:ascii="仿宋" w:hAnsi="仿宋" w:eastAsia="仿宋" w:cs="仿宋"/>
          <w:color w:val="auto"/>
          <w:sz w:val="24"/>
          <w:szCs w:val="24"/>
          <w:highlight w:val="none"/>
        </w:rPr>
        <w:t>投标产品的检测报告或合格证明材料（复印件）；投标产品性能、技术参数详述；</w:t>
      </w:r>
    </w:p>
    <w:p>
      <w:pPr>
        <w:kinsoku/>
        <w:wordWrap/>
        <w:overflowPunct/>
        <w:autoSpaceDE w:val="0"/>
        <w:autoSpaceDN w:val="0"/>
        <w:bidi w:val="0"/>
        <w:adjustRightInd w:val="0"/>
        <w:spacing w:beforeAutospacing="0" w:line="440" w:lineRule="exact"/>
        <w:ind w:left="0" w:leftChars="0" w:right="0" w:firstLine="480" w:firstLineChars="200"/>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）商务条款偏离表；技术条款偏离表；</w:t>
      </w:r>
    </w:p>
    <w:p>
      <w:pPr>
        <w:kinsoku/>
        <w:wordWrap/>
        <w:overflowPunct/>
        <w:autoSpaceDE w:val="0"/>
        <w:autoSpaceDN w:val="0"/>
        <w:bidi w:val="0"/>
        <w:adjustRightInd w:val="0"/>
        <w:spacing w:beforeAutospacing="0" w:line="440" w:lineRule="exact"/>
        <w:ind w:left="0" w:leftChars="0" w:right="0"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sz w:val="24"/>
          <w:szCs w:val="24"/>
          <w:highlight w:val="none"/>
        </w:rPr>
        <w:t>投标人认为有必要提供的其他资格证明文件和商务相关资料以及技术部分资料。</w:t>
      </w:r>
    </w:p>
    <w:p>
      <w:pPr>
        <w:kinsoku/>
        <w:wordWrap/>
        <w:overflowPunct/>
        <w:autoSpaceDE w:val="0"/>
        <w:autoSpaceDN w:val="0"/>
        <w:bidi w:val="0"/>
        <w:adjustRightInd w:val="0"/>
        <w:spacing w:beforeAutospacing="0" w:line="440" w:lineRule="exact"/>
        <w:ind w:left="0" w:leftChars="0" w:right="0" w:firstLine="482" w:firstLineChars="200"/>
        <w:jc w:val="left"/>
        <w:outlineLvl w:val="9"/>
        <w:rPr>
          <w:rFonts w:hint="eastAsia" w:ascii="仿宋" w:hAnsi="仿宋" w:eastAsia="仿宋" w:cs="仿宋"/>
          <w:bCs/>
          <w:color w:val="auto"/>
          <w:kern w:val="0"/>
          <w:sz w:val="24"/>
          <w:szCs w:val="24"/>
          <w:highlight w:val="none"/>
        </w:rPr>
      </w:pPr>
      <w:r>
        <w:rPr>
          <w:rFonts w:hint="eastAsia" w:ascii="仿宋" w:hAnsi="仿宋" w:eastAsia="仿宋" w:cs="仿宋"/>
          <w:b/>
          <w:bCs/>
          <w:color w:val="auto"/>
          <w:kern w:val="0"/>
          <w:sz w:val="24"/>
          <w:szCs w:val="24"/>
          <w:highlight w:val="none"/>
        </w:rPr>
        <w:t>经济部分主要包括</w:t>
      </w:r>
      <w:r>
        <w:rPr>
          <w:rFonts w:hint="eastAsia" w:ascii="仿宋" w:hAnsi="仿宋" w:eastAsia="仿宋" w:cs="仿宋"/>
          <w:b/>
          <w:color w:val="auto"/>
          <w:sz w:val="24"/>
          <w:szCs w:val="24"/>
          <w:highlight w:val="none"/>
        </w:rPr>
        <w:t>但不限于以下内容：</w:t>
      </w:r>
      <w:r>
        <w:rPr>
          <w:rFonts w:hint="eastAsia" w:ascii="仿宋" w:hAnsi="仿宋" w:eastAsia="仿宋" w:cs="仿宋"/>
          <w:bCs/>
          <w:color w:val="auto"/>
          <w:kern w:val="0"/>
          <w:sz w:val="24"/>
          <w:szCs w:val="24"/>
          <w:highlight w:val="none"/>
        </w:rPr>
        <w:tab/>
      </w:r>
    </w:p>
    <w:p>
      <w:pPr>
        <w:kinsoku/>
        <w:wordWrap/>
        <w:overflowPunct/>
        <w:autoSpaceDE w:val="0"/>
        <w:autoSpaceDN w:val="0"/>
        <w:bidi w:val="0"/>
        <w:adjustRightInd w:val="0"/>
        <w:spacing w:beforeAutospacing="0" w:line="440" w:lineRule="exact"/>
        <w:ind w:left="0" w:leftChars="0" w:right="0" w:firstLine="480" w:firstLineChars="200"/>
        <w:jc w:val="left"/>
        <w:outlineLvl w:val="9"/>
        <w:rPr>
          <w:rFonts w:hint="eastAsia" w:ascii="仿宋" w:hAnsi="仿宋" w:eastAsia="仿宋" w:cs="仿宋"/>
          <w:color w:val="auto"/>
          <w:sz w:val="24"/>
          <w:szCs w:val="24"/>
          <w:highlight w:val="none"/>
        </w:rPr>
      </w:pPr>
      <w:bookmarkStart w:id="54" w:name="_Toc18658"/>
      <w:r>
        <w:rPr>
          <w:rFonts w:hint="eastAsia" w:ascii="仿宋" w:hAnsi="仿宋" w:eastAsia="仿宋" w:cs="仿宋"/>
          <w:color w:val="auto"/>
          <w:sz w:val="24"/>
          <w:szCs w:val="24"/>
          <w:highlight w:val="none"/>
        </w:rPr>
        <w:t>（1）投标报价表；</w:t>
      </w:r>
      <w:bookmarkEnd w:id="54"/>
    </w:p>
    <w:p>
      <w:pPr>
        <w:kinsoku/>
        <w:wordWrap/>
        <w:overflowPunct/>
        <w:autoSpaceDE w:val="0"/>
        <w:autoSpaceDN w:val="0"/>
        <w:bidi w:val="0"/>
        <w:adjustRightInd w:val="0"/>
        <w:spacing w:beforeAutospacing="0" w:line="440" w:lineRule="exact"/>
        <w:ind w:left="0" w:leftChars="0" w:right="0" w:firstLine="480" w:firstLineChars="200"/>
        <w:jc w:val="left"/>
        <w:outlineLvl w:val="9"/>
        <w:rPr>
          <w:rFonts w:hint="eastAsia" w:ascii="仿宋" w:hAnsi="仿宋" w:eastAsia="仿宋" w:cs="仿宋"/>
          <w:color w:val="auto"/>
          <w:sz w:val="24"/>
          <w:szCs w:val="24"/>
          <w:highlight w:val="none"/>
        </w:rPr>
      </w:pPr>
      <w:bookmarkStart w:id="55" w:name="_Toc7374"/>
      <w:r>
        <w:rPr>
          <w:rFonts w:hint="eastAsia" w:ascii="仿宋" w:hAnsi="仿宋" w:eastAsia="仿宋" w:cs="仿宋"/>
          <w:color w:val="auto"/>
          <w:sz w:val="24"/>
          <w:szCs w:val="24"/>
          <w:highlight w:val="none"/>
        </w:rPr>
        <w:t>（2）明细报价；</w:t>
      </w:r>
      <w:bookmarkEnd w:id="55"/>
    </w:p>
    <w:p>
      <w:pPr>
        <w:kinsoku/>
        <w:wordWrap/>
        <w:overflowPunct/>
        <w:autoSpaceDE w:val="0"/>
        <w:autoSpaceDN w:val="0"/>
        <w:bidi w:val="0"/>
        <w:adjustRightInd w:val="0"/>
        <w:spacing w:beforeAutospacing="0" w:line="440" w:lineRule="exact"/>
        <w:ind w:left="0" w:leftChars="0" w:right="0" w:firstLine="480" w:firstLineChars="200"/>
        <w:jc w:val="left"/>
        <w:outlineLvl w:val="9"/>
        <w:rPr>
          <w:rFonts w:hint="eastAsia" w:ascii="仿宋" w:hAnsi="仿宋" w:eastAsia="仿宋" w:cs="仿宋"/>
          <w:color w:val="auto"/>
          <w:sz w:val="24"/>
          <w:szCs w:val="24"/>
          <w:highlight w:val="none"/>
        </w:rPr>
      </w:pPr>
      <w:bookmarkStart w:id="56" w:name="_Toc26158"/>
      <w:r>
        <w:rPr>
          <w:rFonts w:hint="eastAsia" w:ascii="仿宋" w:hAnsi="仿宋" w:eastAsia="仿宋" w:cs="仿宋"/>
          <w:color w:val="auto"/>
          <w:sz w:val="24"/>
          <w:szCs w:val="24"/>
          <w:highlight w:val="none"/>
        </w:rPr>
        <w:t>（3）报价说明；</w:t>
      </w:r>
      <w:bookmarkEnd w:id="56"/>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bookmarkStart w:id="57" w:name="_Toc21778"/>
      <w:r>
        <w:rPr>
          <w:rFonts w:hint="eastAsia" w:ascii="仿宋" w:hAnsi="仿宋" w:eastAsia="仿宋" w:cs="仿宋"/>
          <w:color w:val="auto"/>
          <w:sz w:val="24"/>
          <w:szCs w:val="24"/>
          <w:highlight w:val="none"/>
        </w:rPr>
        <w:t>（4）报价需要的其他资料。</w:t>
      </w:r>
      <w:bookmarkEnd w:id="57"/>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（注：投标人提供的投标文件应当使用</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文件所提供投标文件格式（表格可按照同样格式扩展）。未提供格式的，需要时由投标人用文字或者表格、图片等其它形式提供。）</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p>
    <w:p>
      <w:pPr>
        <w:kinsoku/>
        <w:wordWrap/>
        <w:overflowPunct/>
        <w:bidi w:val="0"/>
        <w:spacing w:beforeAutospacing="0" w:line="440" w:lineRule="exact"/>
        <w:ind w:left="0" w:leftChars="0" w:right="0"/>
        <w:jc w:val="center"/>
        <w:outlineLvl w:val="9"/>
        <w:rPr>
          <w:rFonts w:hint="eastAsia" w:ascii="仿宋" w:hAnsi="仿宋" w:eastAsia="仿宋" w:cs="仿宋"/>
          <w:color w:val="auto"/>
          <w:sz w:val="24"/>
          <w:szCs w:val="24"/>
          <w:highlight w:val="none"/>
        </w:rPr>
      </w:pPr>
      <w:bookmarkStart w:id="58" w:name="_Toc6154"/>
      <w:r>
        <w:rPr>
          <w:rFonts w:hint="eastAsia" w:ascii="仿宋" w:hAnsi="仿宋" w:eastAsia="仿宋" w:cs="仿宋"/>
          <w:color w:val="auto"/>
          <w:sz w:val="24"/>
          <w:szCs w:val="24"/>
          <w:highlight w:val="none"/>
        </w:rPr>
        <w:t>投标报价一览表</w:t>
      </w:r>
      <w:bookmarkEnd w:id="58"/>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项目编号：</w:t>
      </w:r>
    </w:p>
    <w:tbl>
      <w:tblPr>
        <w:tblStyle w:val="51"/>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09" w:type="dxa"/>
            <w:vAlign w:val="center"/>
          </w:tcPr>
          <w:p>
            <w:pPr>
              <w:keepNext w:val="0"/>
              <w:keepLines w:val="0"/>
              <w:suppressLineNumbers w:val="0"/>
              <w:kinsoku/>
              <w:wordWrap/>
              <w:overflowPunct/>
              <w:bidi w:val="0"/>
              <w:spacing w:before="0" w:beforeAutospacing="0" w:after="0" w:afterAutospacing="0" w:line="44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8" w:type="dxa"/>
            <w:vAlign w:val="center"/>
          </w:tcPr>
          <w:p>
            <w:pPr>
              <w:keepNext w:val="0"/>
              <w:keepLines w:val="0"/>
              <w:suppressLineNumbers w:val="0"/>
              <w:kinsoku/>
              <w:wordWrap/>
              <w:overflowPunct/>
              <w:bidi w:val="0"/>
              <w:spacing w:before="0" w:beforeAutospacing="0" w:after="0" w:afterAutospacing="0" w:line="44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p>
        </w:tc>
        <w:tc>
          <w:tcPr>
            <w:tcW w:w="6801" w:type="dxa"/>
            <w:vAlign w:val="center"/>
          </w:tcPr>
          <w:p>
            <w:pPr>
              <w:keepNext w:val="0"/>
              <w:keepLines w:val="0"/>
              <w:suppressLineNumbers w:val="0"/>
              <w:kinsoku/>
              <w:wordWrap/>
              <w:overflowPunct/>
              <w:bidi w:val="0"/>
              <w:spacing w:before="0" w:beforeAutospacing="0" w:after="0" w:afterAutospacing="0" w:line="44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18"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6801"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418"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w:t>
            </w:r>
          </w:p>
        </w:tc>
        <w:tc>
          <w:tcPr>
            <w:tcW w:w="6801"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418"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801"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418"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w:t>
            </w:r>
          </w:p>
        </w:tc>
        <w:tc>
          <w:tcPr>
            <w:tcW w:w="6801"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p>
        </w:tc>
        <w:tc>
          <w:tcPr>
            <w:tcW w:w="1418"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报价说明</w:t>
            </w:r>
          </w:p>
        </w:tc>
        <w:tc>
          <w:tcPr>
            <w:tcW w:w="6801" w:type="dxa"/>
            <w:vAlign w:val="center"/>
          </w:tcPr>
          <w:p>
            <w:pPr>
              <w:keepNext w:val="0"/>
              <w:keepLines w:val="0"/>
              <w:suppressLineNumbers w:val="0"/>
              <w:kinsoku/>
              <w:wordWrap/>
              <w:overflowPunct/>
              <w:bidi w:val="0"/>
              <w:spacing w:before="0" w:beforeAutospacing="0" w:after="0" w:afterAutospacing="0" w:line="440" w:lineRule="exact"/>
              <w:ind w:left="0" w:leftChars="0" w:right="0"/>
              <w:outlineLvl w:val="9"/>
              <w:rPr>
                <w:rFonts w:hint="eastAsia" w:ascii="仿宋" w:hAnsi="仿宋" w:eastAsia="仿宋" w:cs="仿宋"/>
                <w:color w:val="auto"/>
                <w:sz w:val="24"/>
                <w:szCs w:val="24"/>
                <w:highlight w:val="none"/>
              </w:rPr>
            </w:pPr>
          </w:p>
        </w:tc>
      </w:tr>
    </w:tbl>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1、投标总价应为各分项报价之和。报价须以元为单位，小数点后保留2位。</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2、投标报价包括投标人为实施本项目提供投标产品及服务内容所包括的全部含税价格的体现。</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3、投标人必须自行考虑本项目在实施期间的一切可能产生的费用。在合同执行过程中，招标人将不再另行支付与本项目相关的任何费用（非本项目要求的其它内容除外）。</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授权代理人（签字</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盖章）：</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  年  月  日</w:t>
      </w:r>
    </w:p>
    <w:p>
      <w:pPr>
        <w:kinsoku/>
        <w:wordWrap/>
        <w:overflowPunct/>
        <w:bidi w:val="0"/>
        <w:spacing w:beforeAutospacing="0" w:line="440" w:lineRule="exact"/>
        <w:ind w:left="0" w:leftChars="0" w:right="0" w:rightChars="0"/>
        <w:jc w:val="right"/>
        <w:textAlignment w:val="auto"/>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insoku/>
        <w:wordWrap/>
        <w:overflowPunct/>
        <w:bidi w:val="0"/>
        <w:spacing w:beforeAutospacing="0" w:line="44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bookmarkStart w:id="59" w:name="_Toc3627"/>
    </w:p>
    <w:p>
      <w:pPr>
        <w:kinsoku/>
        <w:wordWrap/>
        <w:overflowPunct/>
        <w:bidi w:val="0"/>
        <w:spacing w:beforeAutospacing="0" w:line="440" w:lineRule="exact"/>
        <w:ind w:left="0" w:leftChars="0" w:right="0"/>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明细报价单</w:t>
      </w:r>
      <w:bookmarkEnd w:id="59"/>
    </w:p>
    <w:p>
      <w:pPr>
        <w:pStyle w:val="2"/>
        <w:rPr>
          <w:rFonts w:hint="eastAsia" w:ascii="仿宋" w:hAnsi="仿宋" w:eastAsia="仿宋" w:cs="仿宋"/>
          <w:color w:val="auto"/>
          <w:sz w:val="24"/>
          <w:szCs w:val="24"/>
          <w:highlight w:val="none"/>
        </w:rPr>
      </w:pPr>
    </w:p>
    <w:p>
      <w:pPr>
        <w:rPr>
          <w:rFonts w:hint="eastAsia"/>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tbl>
      <w:tblPr>
        <w:tblStyle w:val="51"/>
        <w:tblpPr w:leftFromText="180" w:rightFromText="180" w:vertAnchor="page" w:horzAnchor="page" w:tblpX="1530" w:tblpY="2903"/>
        <w:tblOverlap w:val="never"/>
        <w:tblW w:w="9946" w:type="dxa"/>
        <w:tblInd w:w="0" w:type="dxa"/>
        <w:tblLayout w:type="fixed"/>
        <w:tblCellMar>
          <w:top w:w="0" w:type="dxa"/>
          <w:left w:w="108" w:type="dxa"/>
          <w:bottom w:w="0" w:type="dxa"/>
          <w:right w:w="108" w:type="dxa"/>
        </w:tblCellMar>
      </w:tblPr>
      <w:tblGrid>
        <w:gridCol w:w="929"/>
        <w:gridCol w:w="897"/>
        <w:gridCol w:w="848"/>
        <w:gridCol w:w="848"/>
        <w:gridCol w:w="1027"/>
        <w:gridCol w:w="1733"/>
        <w:gridCol w:w="1320"/>
        <w:gridCol w:w="1320"/>
        <w:gridCol w:w="1024"/>
      </w:tblGrid>
      <w:tr>
        <w:tblPrEx>
          <w:tblCellMar>
            <w:top w:w="0" w:type="dxa"/>
            <w:left w:w="108" w:type="dxa"/>
            <w:bottom w:w="0" w:type="dxa"/>
            <w:right w:w="108" w:type="dxa"/>
          </w:tblCellMar>
        </w:tblPrEx>
        <w:trPr>
          <w:trHeight w:val="9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产品名称</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厂家</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规格参数</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单价（元）</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合计</w:t>
            </w: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备注</w:t>
            </w:r>
          </w:p>
        </w:tc>
      </w:tr>
      <w:tr>
        <w:tblPrEx>
          <w:tblCellMar>
            <w:top w:w="0" w:type="dxa"/>
            <w:left w:w="108" w:type="dxa"/>
            <w:bottom w:w="0" w:type="dxa"/>
            <w:right w:w="108" w:type="dxa"/>
          </w:tblCellMar>
        </w:tblPrEx>
        <w:trPr>
          <w:trHeight w:val="562"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kern w:val="2"/>
                <w:sz w:val="24"/>
                <w:szCs w:val="24"/>
                <w:highlight w:val="none"/>
                <w:u w:val="none"/>
                <w:lang w:val="en-US" w:eastAsia="zh-CN" w:bidi="ar-SA"/>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kern w:val="2"/>
                <w:sz w:val="24"/>
                <w:szCs w:val="24"/>
                <w:highlight w:val="none"/>
                <w:u w:val="none"/>
                <w:lang w:val="en-US" w:eastAsia="zh-CN" w:bidi="ar-SA"/>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kern w:val="2"/>
                <w:sz w:val="24"/>
                <w:szCs w:val="24"/>
                <w:highlight w:val="none"/>
                <w:u w:val="none"/>
                <w:lang w:val="en-US" w:eastAsia="zh-CN" w:bidi="ar-SA"/>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4</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kern w:val="2"/>
                <w:sz w:val="24"/>
                <w:szCs w:val="24"/>
                <w:highlight w:val="none"/>
                <w:u w:val="none"/>
                <w:lang w:val="en-US" w:eastAsia="zh-CN" w:bidi="ar-SA"/>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5</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kern w:val="2"/>
                <w:sz w:val="24"/>
                <w:szCs w:val="24"/>
                <w:highlight w:val="none"/>
                <w:u w:val="none"/>
                <w:lang w:val="en-US" w:eastAsia="zh-CN" w:bidi="ar-SA"/>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6</w:t>
            </w:r>
          </w:p>
        </w:tc>
        <w:tc>
          <w:tcPr>
            <w:tcW w:w="8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kern w:val="2"/>
                <w:sz w:val="24"/>
                <w:szCs w:val="24"/>
                <w:highlight w:val="none"/>
                <w:u w:val="none"/>
                <w:lang w:val="en-US" w:eastAsia="zh-CN" w:bidi="ar-SA"/>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7</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kern w:val="2"/>
                <w:sz w:val="24"/>
                <w:szCs w:val="24"/>
                <w:highlight w:val="none"/>
                <w:u w:val="none"/>
                <w:lang w:val="en-US" w:eastAsia="zh-CN" w:bidi="ar-SA"/>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8</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kern w:val="2"/>
                <w:sz w:val="24"/>
                <w:szCs w:val="24"/>
                <w:highlight w:val="none"/>
                <w:u w:val="none"/>
                <w:lang w:val="en-US" w:eastAsia="zh-CN" w:bidi="ar-SA"/>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r>
      <w:tr>
        <w:tblPrEx>
          <w:tblCellMar>
            <w:top w:w="0" w:type="dxa"/>
            <w:left w:w="108" w:type="dxa"/>
            <w:bottom w:w="0" w:type="dxa"/>
            <w:right w:w="108" w:type="dxa"/>
          </w:tblCellMar>
        </w:tblPrEx>
        <w:trPr>
          <w:trHeight w:val="620" w:hRule="atLeast"/>
        </w:trPr>
        <w:tc>
          <w:tcPr>
            <w:tcW w:w="9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b/>
                <w:bCs/>
                <w:i w:val="0"/>
                <w:iCs w:val="0"/>
                <w:color w:val="auto"/>
                <w:kern w:val="0"/>
                <w:sz w:val="24"/>
                <w:szCs w:val="24"/>
                <w:highlight w:val="none"/>
                <w:u w:val="none"/>
                <w:lang w:val="en-US" w:eastAsia="zh-CN" w:bidi="ar"/>
              </w:rPr>
              <w:t>...</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b/>
                <w:bCs/>
                <w:i w:val="0"/>
                <w:iCs w:val="0"/>
                <w:color w:val="auto"/>
                <w:kern w:val="0"/>
                <w:sz w:val="24"/>
                <w:szCs w:val="24"/>
                <w:highlight w:val="none"/>
                <w:u w:val="none"/>
                <w:lang w:val="en-US" w:eastAsia="zh-CN" w:bidi="ar"/>
              </w:rPr>
              <w:t>...</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kinsoku/>
              <w:wordWrap/>
              <w:overflowPunct/>
              <w:bidi w:val="0"/>
              <w:spacing w:before="0" w:beforeAutospacing="0" w:after="0" w:afterAutospacing="0" w:line="440" w:lineRule="exact"/>
              <w:ind w:left="0" w:leftChars="0" w:right="0"/>
              <w:jc w:val="center"/>
              <w:textAlignment w:val="center"/>
              <w:outlineLvl w:val="9"/>
              <w:rPr>
                <w:rFonts w:hint="eastAsia" w:ascii="仿宋" w:hAnsi="仿宋" w:eastAsia="仿宋" w:cs="仿宋"/>
                <w:b/>
                <w:bCs/>
                <w:i w:val="0"/>
                <w:iCs w:val="0"/>
                <w:color w:val="auto"/>
                <w:kern w:val="0"/>
                <w:sz w:val="24"/>
                <w:szCs w:val="24"/>
                <w:highlight w:val="none"/>
                <w:u w:val="none"/>
                <w:lang w:val="en-US" w:eastAsia="zh-CN" w:bidi="ar"/>
              </w:rPr>
            </w:pPr>
          </w:p>
        </w:tc>
      </w:tr>
    </w:tbl>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注：本供货及服务范围如有任何漏项，但确实是采购人采购范围中应该有的，是满足技术规范及国家或行业有关标准要求所必须的，均应由投标人负责将漏项补齐并填报在对应分项的“其它”栏中，在备注栏中予以说明。合同签订后如发现仍有遗漏，仍由投标人无偿提供补齐。</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授权代理人（签字</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盖章）：</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  年  月  日</w: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br w:type="page"/>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jc w:val="center"/>
        <w:outlineLvl w:val="9"/>
        <w:rPr>
          <w:rFonts w:hint="eastAsia" w:ascii="仿宋" w:hAnsi="仿宋" w:eastAsia="仿宋" w:cs="仿宋"/>
          <w:color w:val="auto"/>
          <w:sz w:val="24"/>
          <w:szCs w:val="24"/>
          <w:highlight w:val="none"/>
        </w:rPr>
      </w:pPr>
      <w:bookmarkStart w:id="60" w:name="_Toc25825"/>
      <w:r>
        <w:rPr>
          <w:rFonts w:hint="eastAsia" w:ascii="仿宋" w:hAnsi="仿宋" w:eastAsia="仿宋" w:cs="仿宋"/>
          <w:color w:val="auto"/>
          <w:sz w:val="24"/>
          <w:szCs w:val="24"/>
          <w:highlight w:val="none"/>
        </w:rPr>
        <w:t>投  标  人  企  业  简  介</w:t>
      </w:r>
      <w:bookmarkEnd w:id="60"/>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bookmarkStart w:id="61" w:name="_Toc4836"/>
      <w:r>
        <w:rPr>
          <w:rFonts w:hint="eastAsia" w:ascii="仿宋" w:hAnsi="仿宋" w:eastAsia="仿宋" w:cs="仿宋"/>
          <w:color w:val="auto"/>
          <w:sz w:val="24"/>
          <w:szCs w:val="24"/>
          <w:highlight w:val="none"/>
        </w:rPr>
        <w:t>1、投标人(盖公章)：</w:t>
      </w:r>
      <w:bookmarkEnd w:id="61"/>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bookmarkStart w:id="62" w:name="_Toc6678"/>
      <w:r>
        <w:rPr>
          <w:rFonts w:hint="eastAsia" w:ascii="仿宋" w:hAnsi="仿宋" w:eastAsia="仿宋" w:cs="仿宋"/>
          <w:color w:val="auto"/>
          <w:sz w:val="24"/>
          <w:szCs w:val="24"/>
          <w:highlight w:val="none"/>
        </w:rPr>
        <w:t>2、投标单位地址：</w:t>
      </w:r>
      <w:bookmarkEnd w:id="62"/>
      <w:r>
        <w:rPr>
          <w:rFonts w:hint="eastAsia" w:ascii="仿宋" w:hAnsi="仿宋" w:eastAsia="仿宋" w:cs="仿宋"/>
          <w:color w:val="auto"/>
          <w:sz w:val="24"/>
          <w:szCs w:val="24"/>
          <w:highlight w:val="none"/>
        </w:rPr>
        <w:tab/>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bookmarkStart w:id="63" w:name="_Toc6584"/>
      <w:r>
        <w:rPr>
          <w:rFonts w:hint="eastAsia" w:ascii="仿宋" w:hAnsi="仿宋" w:eastAsia="仿宋" w:cs="仿宋"/>
          <w:color w:val="auto"/>
          <w:sz w:val="24"/>
          <w:szCs w:val="24"/>
          <w:highlight w:val="none"/>
        </w:rPr>
        <w:t>3、经营范围：</w:t>
      </w:r>
      <w:bookmarkEnd w:id="63"/>
      <w:r>
        <w:rPr>
          <w:rFonts w:hint="eastAsia" w:ascii="仿宋" w:hAnsi="仿宋" w:eastAsia="仿宋" w:cs="仿宋"/>
          <w:color w:val="auto"/>
          <w:sz w:val="24"/>
          <w:szCs w:val="24"/>
          <w:highlight w:val="none"/>
        </w:rPr>
        <w:tab/>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bookmarkStart w:id="64" w:name="_Toc16476"/>
      <w:r>
        <w:rPr>
          <w:rFonts w:hint="eastAsia" w:ascii="仿宋" w:hAnsi="仿宋" w:eastAsia="仿宋" w:cs="仿宋"/>
          <w:color w:val="auto"/>
          <w:sz w:val="24"/>
          <w:szCs w:val="24"/>
          <w:highlight w:val="none"/>
        </w:rPr>
        <w:t>4、投标人自我介绍：</w:t>
      </w:r>
      <w:bookmarkEnd w:id="64"/>
      <w:r>
        <w:rPr>
          <w:rFonts w:hint="eastAsia" w:ascii="仿宋" w:hAnsi="仿宋" w:eastAsia="仿宋" w:cs="仿宋"/>
          <w:color w:val="auto"/>
          <w:sz w:val="24"/>
          <w:szCs w:val="24"/>
          <w:highlight w:val="none"/>
        </w:rPr>
        <w:tab/>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insoku/>
        <w:wordWrap/>
        <w:overflowPunct/>
        <w:bidi w:val="0"/>
        <w:spacing w:beforeAutospacing="0" w:line="440" w:lineRule="exact"/>
        <w:ind w:left="0" w:leftChars="0" w:right="0"/>
        <w:jc w:val="center"/>
        <w:outlineLvl w:val="9"/>
        <w:rPr>
          <w:rFonts w:hint="eastAsia" w:ascii="仿宋" w:hAnsi="仿宋" w:eastAsia="仿宋" w:cs="仿宋"/>
          <w:b w:val="0"/>
          <w:bCs w:val="0"/>
          <w:color w:val="auto"/>
          <w:sz w:val="24"/>
          <w:szCs w:val="24"/>
          <w:highlight w:val="none"/>
        </w:rPr>
      </w:pPr>
      <w:bookmarkStart w:id="65" w:name="_Toc27716"/>
      <w:r>
        <w:rPr>
          <w:rFonts w:hint="eastAsia" w:ascii="仿宋" w:hAnsi="仿宋" w:eastAsia="仿宋" w:cs="仿宋"/>
          <w:b w:val="0"/>
          <w:bCs w:val="0"/>
          <w:color w:val="auto"/>
          <w:sz w:val="24"/>
          <w:szCs w:val="24"/>
          <w:highlight w:val="none"/>
        </w:rPr>
        <w:t>投标函</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致____________(采购人或采购代理机构)：</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根据________(项目名称)(项目编号：________)的投标邀请，________(姓名、职务)代表供应商________(供应商名称、地址)参加本项目招标的有关活动。据此函，作如下承诺：</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1.同意在本项目招标文件中规定的开标日起______天遵守本投标文件中的承诺，且在期满之前均具有约束力。</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2.具备政府采购相关法律法规规定的参加政府采购活动的供应商应当具备的条件：</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(5)参加此项采购活动前3年内，在经营活动中没有重大违法记录。</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3.具备本项目招标文件中规定的其他资格条件。</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4.提供供应商须知规定的全部投标文件，包括投标文件正本______份，副本______份，电子文档______份，开标一览表(投标报价表)______份。</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5.已详细审阅全部招标文件(包括招标文件澄清函)，理解供应商须知的所有条款。</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.接受招标文件中全部合同条款，且无任何异议；保证忠实地执行双方所签订的合同，并承担合同规定的责任和义务。</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.完全满足和响应招标文件中的各项商务和技术要求，若有偏差，已在投标文件中明确说明。</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.如果在开标后规定的投标有效期内撤回投标，贵方可不予退还我方的投标保证金。</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.愿意提供任何与投标有关的数据、情况和技术资料等。</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.我方已详细审核全部投标文件、参考资料及有关附件，确认无误。</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.对本次招标内容及与本项目有关的知识产权、技术资料、商业秘密及相关信息保密。</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.与采购人和采购代理机构无任何的隶属关系或者其他利害关系。</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insoku/>
        <w:wordWrap/>
        <w:overflowPunct/>
        <w:bidi w:val="0"/>
        <w:spacing w:beforeAutospacing="0" w:line="44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投标承诺书（一）</w:t>
      </w:r>
      <w:bookmarkEnd w:id="65"/>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我方收到并研究了贵方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（项目名称、项目编号）项目的</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文件，愿意按照</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文件规定的内容承担该项目的投标任务，严格执行我方所承诺的责任和义务。为此，我方郑重声明以下诸点，并负法律责任。</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1、我方按采购要求提交投标文件；我方愿按《中华人民共和国政府采购法》及其他有关法律、法规的规定，自觉履行自己的全部责任。</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2、我方同意在投标有效期内遵守本投标文件，在此期限期满前的任何时间，本投标文件一直对我们具有约束力；</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3、如果我方投标文件被接受，我方将按照</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文件的规定，我方保证将按招标要求和投标文件中的承诺按期、按质、按量交付使用方；</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4、如果我方</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，我方将在</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文件规定的时间内签订委托合同并按招标要求提供履约担保。如果我方违约，除投标保证金不予退还外，贵方有权终止我方成交并选择其它</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人。</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5、如果我方</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，我方将在</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z w:val="24"/>
          <w:szCs w:val="24"/>
          <w:highlight w:val="none"/>
        </w:rPr>
        <w:t>单位。</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6、一旦我方成交，我方愿意按</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要求承担招标代理服务费。</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7、贵方的中标通知书和本投标文件将构成约束双方的合同。</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8、如果我方未成交，贵方没有必要对我方做出任何解释和说明，我方将充分尊重和理解贵方的选择。</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9、我方的投标响应文件自提交投标文件截止之日起有效期为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lang w:eastAsia="zh-CN"/>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lang w:eastAsia="zh-CN"/>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授权代理人（签字</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盖章）：</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  年  月  日</w:t>
      </w:r>
    </w:p>
    <w:p>
      <w:pPr>
        <w:kinsoku/>
        <w:wordWrap/>
        <w:overflowPunct/>
        <w:bidi w:val="0"/>
        <w:spacing w:beforeAutospacing="0" w:line="440" w:lineRule="exact"/>
        <w:ind w:left="0" w:leftChars="0" w:right="0" w:rightChars="0"/>
        <w:jc w:val="right"/>
        <w:textAlignment w:val="auto"/>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ageBreakBefore/>
        <w:kinsoku/>
        <w:wordWrap/>
        <w:overflowPunct/>
        <w:autoSpaceDE w:val="0"/>
        <w:autoSpaceDN w:val="0"/>
        <w:bidi w:val="0"/>
        <w:adjustRightInd w:val="0"/>
        <w:spacing w:beforeAutospacing="0" w:line="440" w:lineRule="exact"/>
        <w:ind w:left="0" w:leftChars="0" w:right="0" w:rightChars="0" w:firstLine="482" w:firstLineChars="200"/>
        <w:jc w:val="center"/>
        <w:textAlignment w:val="auto"/>
        <w:outlineLvl w:val="9"/>
        <w:rPr>
          <w:rFonts w:hint="eastAsia" w:ascii="仿宋" w:hAnsi="仿宋" w:eastAsia="仿宋" w:cs="仿宋"/>
          <w:b/>
          <w:bCs/>
          <w:color w:val="auto"/>
          <w:sz w:val="24"/>
          <w:szCs w:val="24"/>
          <w:highlight w:val="none"/>
          <w:lang w:val="zh-CN"/>
        </w:rPr>
      </w:pPr>
      <w:bookmarkStart w:id="66" w:name="_Toc6082"/>
      <w:r>
        <w:rPr>
          <w:rFonts w:hint="eastAsia" w:ascii="仿宋" w:hAnsi="仿宋" w:eastAsia="仿宋" w:cs="仿宋"/>
          <w:b/>
          <w:bCs/>
          <w:color w:val="auto"/>
          <w:sz w:val="24"/>
          <w:szCs w:val="24"/>
          <w:highlight w:val="none"/>
          <w:lang w:val="zh-CN"/>
        </w:rPr>
        <w:t>法定代表人身份证明书</w:t>
      </w:r>
      <w:bookmarkEnd w:id="66"/>
    </w:p>
    <w:p>
      <w:pPr>
        <w:kinsoku/>
        <w:wordWrap/>
        <w:overflowPunct/>
        <w:bidi w:val="0"/>
        <w:spacing w:beforeAutospacing="0" w:line="440" w:lineRule="exact"/>
        <w:ind w:left="0" w:leftChars="0" w:right="0" w:rightChars="0" w:firstLine="720" w:firstLineChars="30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企业名称：</w:t>
      </w:r>
    </w:p>
    <w:p>
      <w:pPr>
        <w:kinsoku/>
        <w:wordWrap/>
        <w:overflowPunct/>
        <w:bidi w:val="0"/>
        <w:spacing w:beforeAutospacing="0" w:line="440" w:lineRule="exact"/>
        <w:ind w:left="0" w:leftChars="0" w:right="0" w:rightChars="0" w:firstLine="720" w:firstLineChars="30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企业类型：</w:t>
      </w:r>
    </w:p>
    <w:p>
      <w:pPr>
        <w:kinsoku/>
        <w:wordWrap/>
        <w:overflowPunct/>
        <w:bidi w:val="0"/>
        <w:spacing w:beforeAutospacing="0" w:line="440" w:lineRule="exact"/>
        <w:ind w:left="0" w:leftChars="0" w:right="0" w:rightChars="0" w:firstLine="720" w:firstLineChars="30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p>
    <w:p>
      <w:pPr>
        <w:kinsoku/>
        <w:wordWrap/>
        <w:overflowPunct/>
        <w:bidi w:val="0"/>
        <w:spacing w:beforeAutospacing="0" w:line="440" w:lineRule="exact"/>
        <w:ind w:left="0" w:leftChars="0" w:right="0" w:rightChars="0" w:firstLine="720" w:firstLineChars="30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营业期限：</w:t>
      </w:r>
    </w:p>
    <w:p>
      <w:pPr>
        <w:kinsoku/>
        <w:wordWrap/>
        <w:overflowPunct/>
        <w:bidi w:val="0"/>
        <w:spacing w:beforeAutospacing="0" w:line="440" w:lineRule="exact"/>
        <w:ind w:left="0" w:leftChars="0" w:right="0" w:rightChars="0" w:firstLine="720" w:firstLineChars="30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成立时间：</w:t>
      </w:r>
    </w:p>
    <w:p>
      <w:pPr>
        <w:kinsoku/>
        <w:wordWrap/>
        <w:overflowPunct/>
        <w:bidi w:val="0"/>
        <w:spacing w:beforeAutospacing="0" w:line="440" w:lineRule="exact"/>
        <w:ind w:left="0" w:leftChars="0" w:right="0" w:rightChars="0" w:firstLine="720" w:firstLineChars="300"/>
        <w:textAlignment w:val="auto"/>
        <w:outlineLvl w:val="9"/>
        <w:rPr>
          <w:rFonts w:hint="eastAsia" w:ascii="仿宋" w:hAnsi="仿宋" w:eastAsia="仿宋" w:cs="仿宋"/>
          <w:color w:val="auto"/>
          <w:sz w:val="24"/>
          <w:szCs w:val="24"/>
          <w:highlight w:val="none"/>
          <w:u w:val="single"/>
        </w:rPr>
      </w:pPr>
    </w:p>
    <w:p>
      <w:pPr>
        <w:kinsoku/>
        <w:wordWrap/>
        <w:overflowPunct/>
        <w:bidi w:val="0"/>
        <w:spacing w:beforeAutospacing="0" w:line="440" w:lineRule="exact"/>
        <w:ind w:left="0" w:leftChars="0" w:right="0" w:rightChars="0" w:firstLine="480" w:firstLineChars="20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    性别：   年龄：  职务：</w:t>
      </w:r>
    </w:p>
    <w:p>
      <w:pPr>
        <w:kinsoku/>
        <w:wordWrap/>
        <w:overflowPunct/>
        <w:bidi w:val="0"/>
        <w:spacing w:beforeAutospacing="0" w:line="440" w:lineRule="exact"/>
        <w:ind w:left="0" w:leftChars="0" w:right="0" w:righ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系 </w:t>
      </w:r>
      <w:r>
        <w:rPr>
          <w:rFonts w:hint="eastAsia" w:ascii="仿宋" w:hAnsi="仿宋" w:eastAsia="仿宋" w:cs="仿宋"/>
          <w:color w:val="auto"/>
          <w:sz w:val="24"/>
          <w:szCs w:val="24"/>
          <w:highlight w:val="none"/>
          <w:u w:val="single"/>
        </w:rPr>
        <w:t xml:space="preserve">         （投标人名称）               </w:t>
      </w:r>
      <w:r>
        <w:rPr>
          <w:rFonts w:hint="eastAsia" w:ascii="仿宋" w:hAnsi="仿宋" w:eastAsia="仿宋" w:cs="仿宋"/>
          <w:color w:val="auto"/>
          <w:sz w:val="24"/>
          <w:szCs w:val="24"/>
          <w:highlight w:val="none"/>
        </w:rPr>
        <w:t>的法定代表人。</w:t>
      </w:r>
    </w:p>
    <w:p>
      <w:pPr>
        <w:kinsoku/>
        <w:wordWrap/>
        <w:overflowPunct/>
        <w:bidi w:val="0"/>
        <w:spacing w:beforeAutospacing="0" w:line="440" w:lineRule="exact"/>
        <w:ind w:left="0" w:leftChars="0" w:right="0" w:rightChars="0"/>
        <w:textAlignment w:val="auto"/>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pStyle w:val="2"/>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3089275</wp:posOffset>
                </wp:positionH>
                <wp:positionV relativeFrom="paragraph">
                  <wp:posOffset>191135</wp:posOffset>
                </wp:positionV>
                <wp:extent cx="2971800" cy="1895475"/>
                <wp:effectExtent l="4445" t="4445" r="14605" b="5080"/>
                <wp:wrapNone/>
                <wp:docPr id="7"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3.25pt;margin-top:15.05pt;height:149.25pt;width:234pt;z-index:251666432;mso-width-relative:page;mso-height-relative:page;" fillcolor="#FFFFFF" filled="t" stroked="t" coordsize="21600,21600" o:gfxdata="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XeyVzaAAAACgEAAA8AAAAAAAAA&#10;AQAgAAAAIgAAAGRycy9kb3ducmV2LnhtbFBLAQIUABQAAAAIAIdO4kAmtitC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-46355</wp:posOffset>
                </wp:positionH>
                <wp:positionV relativeFrom="paragraph">
                  <wp:posOffset>172720</wp:posOffset>
                </wp:positionV>
                <wp:extent cx="2971800" cy="1895475"/>
                <wp:effectExtent l="4445" t="4445" r="14605" b="5080"/>
                <wp:wrapNone/>
                <wp:docPr id="6"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3.65pt;margin-top:13.6pt;height:149.25pt;width:234pt;z-index:251665408;mso-width-relative:page;mso-height-relative:page;" fillcolor="#FFFFFF" filled="t" stroked="t" coordsize="21600,21600" o:gfxdata="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DTr9jaAAAACQEAAA8AAAAAAAAA&#10;AQAgAAAAIgAAAGRycy9kb3ducmV2LnhtbFBLAQIUABQAAAAIAIdO4kAZu1EL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pStyle w:val="2"/>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pStyle w:val="2"/>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textAlignment w:val="auto"/>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textAlignment w:val="auto"/>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textAlignment w:val="auto"/>
        <w:outlineLvl w:val="9"/>
        <w:rPr>
          <w:rFonts w:hint="eastAsia" w:ascii="仿宋" w:hAnsi="仿宋" w:eastAsia="仿宋" w:cs="仿宋"/>
          <w:color w:val="auto"/>
          <w:sz w:val="24"/>
          <w:szCs w:val="24"/>
          <w:highlight w:val="none"/>
        </w:rPr>
      </w:pPr>
    </w:p>
    <w:p>
      <w:pPr>
        <w:tabs>
          <w:tab w:val="left" w:pos="1648"/>
        </w:tabs>
        <w:kinsoku/>
        <w:wordWrap/>
        <w:overflowPunct/>
        <w:bidi w:val="0"/>
        <w:spacing w:beforeAutospacing="0" w:line="440" w:lineRule="exact"/>
        <w:ind w:left="0" w:leftChars="0" w:right="0" w:rightChars="0"/>
        <w:textAlignment w:val="auto"/>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textAlignment w:val="auto"/>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授权代理人（签字</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盖章）：</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  年  月  日</w:t>
      </w:r>
    </w:p>
    <w:p>
      <w:pPr>
        <w:kinsoku/>
        <w:wordWrap/>
        <w:overflowPunct/>
        <w:bidi w:val="0"/>
        <w:spacing w:beforeAutospacing="0" w:line="440" w:lineRule="exact"/>
        <w:ind w:left="0" w:leftChars="0" w:right="0"/>
        <w:rPr>
          <w:rFonts w:hint="eastAsia" w:ascii="仿宋" w:hAnsi="仿宋" w:eastAsia="仿宋" w:cs="仿宋"/>
          <w:b/>
          <w:color w:val="auto"/>
          <w:sz w:val="24"/>
          <w:szCs w:val="24"/>
          <w:highlight w:val="none"/>
        </w:rPr>
      </w:pPr>
      <w:bookmarkStart w:id="67" w:name="_Toc7067"/>
      <w:r>
        <w:rPr>
          <w:rFonts w:hint="eastAsia" w:ascii="仿宋" w:hAnsi="仿宋" w:eastAsia="仿宋" w:cs="仿宋"/>
          <w:b/>
          <w:color w:val="auto"/>
          <w:sz w:val="24"/>
          <w:szCs w:val="24"/>
          <w:highlight w:val="none"/>
        </w:rPr>
        <w:br w:type="page"/>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法人代表授权书格式</w:t>
      </w:r>
      <w:bookmarkEnd w:id="67"/>
    </w:p>
    <w:p>
      <w:pPr>
        <w:kinsoku/>
        <w:wordWrap/>
        <w:overflowPunct/>
        <w:bidi w:val="0"/>
        <w:spacing w:beforeAutospacing="0" w:line="440" w:lineRule="exact"/>
        <w:ind w:left="0" w:leftChars="0" w:right="0"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本授权书声明：注册于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（地区的名称）的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（公司名称），现授权委托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为我的代理人，以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（投标人名称）的名义参加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（项目名称和项目编号）采购项目的投标活动。代理人在参加整个招标投标活动所签署的一切文件和处理与之相关的一切事物，我均予承认。</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   性别：  年龄：</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部  门：   职务：</w: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AGWmR2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SZXpeU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D5ZKyn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授权代理人（签字盖章）：</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  年  月  日</w:t>
      </w:r>
    </w:p>
    <w:p>
      <w:pPr>
        <w:kinsoku/>
        <w:wordWrap/>
        <w:overflowPunct/>
        <w:bidi w:val="0"/>
        <w:spacing w:beforeAutospacing="0" w:line="440" w:lineRule="exact"/>
        <w:ind w:left="0" w:leftChars="0" w:right="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rPr>
      </w:pPr>
      <w:bookmarkStart w:id="68" w:name="_Toc15073"/>
      <w:bookmarkStart w:id="69" w:name="_Toc294206743"/>
      <w:bookmarkStart w:id="70" w:name="_Toc294186060"/>
      <w:bookmarkStart w:id="71" w:name="_Toc12308"/>
      <w:r>
        <w:rPr>
          <w:rFonts w:hint="eastAsia" w:ascii="仿宋" w:hAnsi="仿宋" w:eastAsia="仿宋" w:cs="仿宋"/>
          <w:b/>
          <w:color w:val="auto"/>
          <w:sz w:val="24"/>
          <w:szCs w:val="24"/>
          <w:highlight w:val="none"/>
        </w:rPr>
        <w:t>近三年的业绩</w:t>
      </w:r>
      <w:bookmarkEnd w:id="68"/>
    </w:p>
    <w:p>
      <w:pPr>
        <w:kinsoku/>
        <w:wordWrap/>
        <w:overflowPunct/>
        <w:bidi w:val="0"/>
        <w:spacing w:beforeAutospacing="0" w:line="440" w:lineRule="exact"/>
        <w:ind w:left="0" w:leftChars="0" w:right="0" w:rightChars="0"/>
        <w:textAlignment w:val="auto"/>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rPr>
        <w:t>　　　　　　　　　　　</w:t>
      </w:r>
    </w:p>
    <w:tbl>
      <w:tblPr>
        <w:tblStyle w:val="51"/>
        <w:tblW w:w="901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2197"/>
        <w:gridCol w:w="1936"/>
        <w:gridCol w:w="1628"/>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503" w:type="dxa"/>
            <w:tcBorders>
              <w:top w:val="single" w:color="auto" w:sz="4" w:space="0"/>
              <w:left w:val="single" w:color="auto" w:sz="4" w:space="0"/>
              <w:bottom w:val="single" w:color="auto" w:sz="4" w:space="0"/>
              <w:right w:val="single" w:color="auto" w:sz="4" w:space="0"/>
            </w:tcBorders>
            <w:vAlign w:val="center"/>
          </w:tcPr>
          <w:p>
            <w:pPr>
              <w:pStyle w:val="397"/>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outlineLvl w:val="9"/>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地　　区</w:t>
            </w:r>
          </w:p>
        </w:tc>
        <w:tc>
          <w:tcPr>
            <w:tcW w:w="2197" w:type="dxa"/>
            <w:tcBorders>
              <w:top w:val="single" w:color="auto" w:sz="4" w:space="0"/>
              <w:left w:val="single" w:color="auto" w:sz="4" w:space="0"/>
              <w:bottom w:val="single" w:color="auto" w:sz="4" w:space="0"/>
              <w:right w:val="single" w:color="auto" w:sz="4" w:space="0"/>
            </w:tcBorders>
            <w:vAlign w:val="center"/>
          </w:tcPr>
          <w:p>
            <w:pPr>
              <w:pStyle w:val="397"/>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outlineLvl w:val="9"/>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产品名称</w:t>
            </w:r>
          </w:p>
        </w:tc>
        <w:tc>
          <w:tcPr>
            <w:tcW w:w="1936" w:type="dxa"/>
            <w:tcBorders>
              <w:top w:val="single" w:color="auto" w:sz="4" w:space="0"/>
              <w:left w:val="single" w:color="auto" w:sz="4" w:space="0"/>
              <w:bottom w:val="single" w:color="auto" w:sz="4" w:space="0"/>
              <w:right w:val="single" w:color="auto" w:sz="4" w:space="0"/>
            </w:tcBorders>
            <w:vAlign w:val="center"/>
          </w:tcPr>
          <w:p>
            <w:pPr>
              <w:pStyle w:val="397"/>
              <w:keepNext w:val="0"/>
              <w:keepLines w:val="0"/>
              <w:suppressLineNumbers w:val="0"/>
              <w:kinsoku/>
              <w:wordWrap/>
              <w:overflowPunct/>
              <w:bidi w:val="0"/>
              <w:spacing w:before="0" w:beforeAutospacing="0" w:after="0" w:afterAutospacing="0" w:line="440" w:lineRule="exact"/>
              <w:ind w:left="0" w:leftChars="0" w:right="0" w:rightChars="0" w:firstLine="720" w:firstLineChars="300"/>
              <w:jc w:val="center"/>
              <w:textAlignment w:val="auto"/>
              <w:outlineLvl w:val="9"/>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类型</w:t>
            </w:r>
          </w:p>
        </w:tc>
        <w:tc>
          <w:tcPr>
            <w:tcW w:w="1628" w:type="dxa"/>
            <w:tcBorders>
              <w:top w:val="single" w:color="auto" w:sz="4" w:space="0"/>
              <w:left w:val="single" w:color="auto" w:sz="4" w:space="0"/>
              <w:bottom w:val="single" w:color="auto" w:sz="4" w:space="0"/>
              <w:right w:val="single" w:color="auto" w:sz="4" w:space="0"/>
            </w:tcBorders>
            <w:vAlign w:val="center"/>
          </w:tcPr>
          <w:p>
            <w:pPr>
              <w:pStyle w:val="397"/>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outlineLvl w:val="9"/>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 量</w:t>
            </w:r>
          </w:p>
        </w:tc>
        <w:tc>
          <w:tcPr>
            <w:tcW w:w="1753" w:type="dxa"/>
            <w:tcBorders>
              <w:top w:val="single" w:color="auto" w:sz="4" w:space="0"/>
              <w:left w:val="single" w:color="auto" w:sz="4" w:space="0"/>
              <w:bottom w:val="single" w:color="auto" w:sz="4" w:space="0"/>
              <w:right w:val="single" w:color="auto" w:sz="4" w:space="0"/>
            </w:tcBorders>
            <w:vAlign w:val="center"/>
          </w:tcPr>
          <w:p>
            <w:pPr>
              <w:pStyle w:val="397"/>
              <w:keepNext w:val="0"/>
              <w:keepLines w:val="0"/>
              <w:suppressLineNumbers w:val="0"/>
              <w:kinsoku/>
              <w:wordWrap/>
              <w:overflowPunct/>
              <w:bidi w:val="0"/>
              <w:spacing w:before="0" w:beforeAutospacing="0" w:after="0" w:afterAutospacing="0" w:line="440" w:lineRule="exact"/>
              <w:ind w:left="0" w:leftChars="0" w:right="0" w:rightChars="0"/>
              <w:jc w:val="center"/>
              <w:textAlignment w:val="auto"/>
              <w:outlineLvl w:val="9"/>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03"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c>
          <w:tcPr>
            <w:tcW w:w="2197"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03"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c>
          <w:tcPr>
            <w:tcW w:w="2197"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03"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c>
          <w:tcPr>
            <w:tcW w:w="2197"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03"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c>
          <w:tcPr>
            <w:tcW w:w="2197"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c>
          <w:tcPr>
            <w:tcW w:w="1628"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c>
          <w:tcPr>
            <w:tcW w:w="1753" w:type="dxa"/>
            <w:tcBorders>
              <w:top w:val="single" w:color="auto" w:sz="4" w:space="0"/>
              <w:left w:val="single" w:color="auto" w:sz="4" w:space="0"/>
              <w:bottom w:val="single" w:color="auto" w:sz="4" w:space="0"/>
              <w:right w:val="single" w:color="auto" w:sz="4" w:space="0"/>
            </w:tcBorders>
          </w:tcPr>
          <w:p>
            <w:pPr>
              <w:keepNext w:val="0"/>
              <w:keepLines w:val="0"/>
              <w:suppressLineNumbers w:val="0"/>
              <w:kinsoku/>
              <w:wordWrap/>
              <w:overflowPunct/>
              <w:bidi w:val="0"/>
              <w:spacing w:before="0" w:beforeAutospacing="0" w:after="0" w:afterAutospacing="0" w:line="440" w:lineRule="exact"/>
              <w:ind w:left="0" w:leftChars="0" w:right="0" w:rightChars="0"/>
              <w:textAlignment w:val="auto"/>
              <w:outlineLvl w:val="9"/>
              <w:rPr>
                <w:rFonts w:hint="eastAsia" w:ascii="仿宋" w:hAnsi="仿宋" w:eastAsia="仿宋" w:cs="仿宋"/>
                <w:color w:val="auto"/>
                <w:sz w:val="24"/>
                <w:szCs w:val="24"/>
                <w:highlight w:val="none"/>
              </w:rPr>
            </w:pPr>
          </w:p>
        </w:tc>
      </w:tr>
    </w:tbl>
    <w:p>
      <w:pPr>
        <w:kinsoku/>
        <w:wordWrap/>
        <w:overflowPunct/>
        <w:bidi w:val="0"/>
        <w:spacing w:beforeAutospacing="0" w:line="440" w:lineRule="exact"/>
        <w:ind w:left="0" w:leftChars="0" w:right="0" w:rightChars="0"/>
        <w:textAlignment w:val="auto"/>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授权代理人（签字盖章）：</w:t>
      </w:r>
    </w:p>
    <w:p>
      <w:pPr>
        <w:kinsoku/>
        <w:wordWrap/>
        <w:overflowPunct/>
        <w:bidi w:val="0"/>
        <w:spacing w:beforeAutospacing="0" w:line="440" w:lineRule="exact"/>
        <w:ind w:left="0" w:leftChars="0" w:right="0" w:rightChars="0" w:firstLine="48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  年  月  日</w:t>
      </w:r>
    </w:p>
    <w:p>
      <w:pPr>
        <w:pStyle w:val="2"/>
        <w:kinsoku/>
        <w:wordWrap/>
        <w:overflowPunct/>
        <w:bidi w:val="0"/>
        <w:spacing w:beforeAutospacing="0" w:line="440" w:lineRule="exact"/>
        <w:ind w:left="0" w:leftChars="0" w:right="0" w:firstLine="48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注：须附投标人需提供中标通知书（</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通知书）、采购合同或协议（含首页、采购设备品牌型号页、配置清单、售后服务及数量页、签字盖章页）复印件，否则业绩不予认可。等证明材料。</w:t>
      </w:r>
    </w:p>
    <w:bookmarkEnd w:id="69"/>
    <w:bookmarkEnd w:id="70"/>
    <w:p>
      <w:pPr>
        <w:kinsoku/>
        <w:wordWrap/>
        <w:overflowPunct/>
        <w:bidi w:val="0"/>
        <w:spacing w:beforeAutospacing="0" w:line="440" w:lineRule="exact"/>
        <w:ind w:left="0" w:leftChars="0" w:right="0" w:rightChars="0"/>
        <w:textAlignment w:val="auto"/>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kinsoku/>
        <w:wordWrap/>
        <w:overflowPunct/>
        <w:bidi w:val="0"/>
        <w:adjustRightInd w:val="0"/>
        <w:snapToGrid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属于中小企业的相关证明资料</w:t>
      </w:r>
      <w:bookmarkEnd w:id="71"/>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中小企业声明函</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rightChars="0" w:firstLine="504"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本公司郑重声明，根据《政府采购促进中小企业发展暂行办法》（财库[2011]181号）的规定，本公司为（请填写：中型、小型、微型）企业。即，本公司同时满足以下条件：</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rightChars="0" w:firstLine="504"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1.根据《工业和信息化部、国家统计局、国家发展和改革委员会、财政部关于印发中小企业划型标准规定的通知》（工信部联企业[2011]300号）规定的划分标准，本公司为（请填写：中型、小型、微型）企业。</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rightChars="0" w:firstLine="504"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2.本公司参加单位的 项目采购活动提供本企业制造的货物，由本企业承担工程、提供服务，或者提供其他（请填写：中型、小型、微型）企业制造的货物。本条所称货物不包括使用大型企业注册商标的货物。</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rightChars="0" w:firstLine="504"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本公司对上述声明的真实性负责。如有虚假，将依法承担相应责任。</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rightChars="0" w:firstLine="504" w:firstLineChars="200"/>
        <w:jc w:val="center"/>
        <w:textAlignment w:val="auto"/>
        <w:outlineLvl w:val="9"/>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投标人名称（盖单位章）： </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rightChars="0" w:firstLine="504" w:firstLineChars="20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 xml:space="preserve">             日期：</w:t>
      </w:r>
      <w:r>
        <w:rPr>
          <w:rFonts w:hint="eastAsia" w:ascii="仿宋" w:hAnsi="仿宋" w:eastAsia="仿宋" w:cs="仿宋"/>
          <w:color w:val="auto"/>
          <w:sz w:val="24"/>
          <w:szCs w:val="24"/>
          <w:highlight w:val="none"/>
        </w:rPr>
        <w:t>年月日</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rightChars="0" w:firstLine="600" w:firstLineChars="2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说明：1、填写前请认真阅读</w:t>
      </w:r>
      <w:r>
        <w:rPr>
          <w:rFonts w:hint="eastAsia" w:ascii="仿宋" w:hAnsi="仿宋" w:eastAsia="仿宋" w:cs="仿宋"/>
          <w:color w:val="auto"/>
          <w:spacing w:val="6"/>
          <w:sz w:val="24"/>
          <w:szCs w:val="24"/>
          <w:highlight w:val="none"/>
        </w:rPr>
        <w:t>《工业和信息化部、国家统计局、国家发展和改革委员会、财政部关于印发中小企业划型标准规定的通知》（工信部联企业[2011]300号）和《财政部工业和信息化部</w:t>
      </w:r>
      <w:r>
        <w:rPr>
          <w:rFonts w:hint="eastAsia" w:ascii="仿宋" w:hAnsi="仿宋" w:eastAsia="仿宋" w:cs="仿宋"/>
          <w:bCs/>
          <w:color w:val="auto"/>
          <w:sz w:val="24"/>
          <w:szCs w:val="24"/>
          <w:highlight w:val="none"/>
        </w:rPr>
        <w:t>关于印发＜政府采购促进中小企业发展暂行办法＞的通知》(</w:t>
      </w:r>
      <w:r>
        <w:rPr>
          <w:rFonts w:hint="eastAsia" w:ascii="仿宋" w:hAnsi="仿宋" w:eastAsia="仿宋" w:cs="仿宋"/>
          <w:color w:val="auto"/>
          <w:sz w:val="24"/>
          <w:szCs w:val="24"/>
          <w:highlight w:val="none"/>
        </w:rPr>
        <w:t>财库[2011]181号)相关规定。</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rightChars="0" w:firstLine="600" w:firstLineChars="2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2、中小企业部分提供其他中小企业制造货物的应另附说明，并与后面的报价一栏表保持一致。</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rightChars="0" w:firstLine="600" w:firstLineChars="2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3、未按上述要求提供、填写的，评审时不予以考虑。</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rPr>
      </w:pP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中小企业证明材料</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rightChars="0" w:firstLine="600" w:firstLineChars="2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1.投标人工商行政注册地管理部门出具的小微企业证明材料；</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rightChars="0" w:firstLine="600" w:firstLineChars="2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2.如属于监狱和戒毒企业，需提供由省级以上监狱管理局、戒毒管理局（含新疆生产建设兵团）出具的属于监狱企业的证明文件.</w:t>
      </w:r>
    </w:p>
    <w:p>
      <w:pPr>
        <w:pBdr>
          <w:top w:val="single" w:color="auto" w:sz="4" w:space="0"/>
          <w:left w:val="single" w:color="auto" w:sz="4" w:space="0"/>
          <w:bottom w:val="single" w:color="auto" w:sz="4" w:space="0"/>
          <w:right w:val="single" w:color="auto" w:sz="4" w:space="0"/>
        </w:pBdr>
        <w:kinsoku/>
        <w:wordWrap/>
        <w:overflowPunct/>
        <w:bidi w:val="0"/>
        <w:adjustRightInd w:val="0"/>
        <w:snapToGrid w:val="0"/>
        <w:spacing w:beforeAutospacing="0" w:line="440" w:lineRule="exact"/>
        <w:ind w:left="0" w:leftChars="0" w:right="0" w:rightChars="0" w:firstLine="600" w:firstLineChars="2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3.证明材料加盖投标人公章。</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jc w:val="center"/>
        <w:rPr>
          <w:rFonts w:hint="eastAsia" w:ascii="仿宋" w:hAnsi="仿宋" w:eastAsia="仿宋" w:cs="仿宋"/>
          <w:b/>
          <w:color w:val="auto"/>
          <w:sz w:val="24"/>
          <w:szCs w:val="24"/>
          <w:highlight w:val="none"/>
        </w:rPr>
      </w:pPr>
      <w:bookmarkStart w:id="72" w:name="_Toc10735"/>
      <w:r>
        <w:rPr>
          <w:rFonts w:hint="eastAsia" w:ascii="仿宋" w:hAnsi="仿宋" w:eastAsia="仿宋" w:cs="仿宋"/>
          <w:b/>
          <w:color w:val="auto"/>
          <w:sz w:val="24"/>
          <w:szCs w:val="24"/>
          <w:highlight w:val="none"/>
        </w:rPr>
        <w:t>质量认证（有关部门出具的合格证）</w:t>
      </w:r>
      <w:bookmarkEnd w:id="72"/>
    </w:p>
    <w:p>
      <w:pPr>
        <w:numPr>
          <w:ilvl w:val="0"/>
          <w:numId w:val="24"/>
        </w:numPr>
        <w:kinsoku/>
        <w:wordWrap/>
        <w:overflowPunct/>
        <w:bidi w:val="0"/>
        <w:spacing w:beforeAutospacing="0" w:line="440" w:lineRule="exact"/>
        <w:ind w:left="0" w:leftChars="0" w:right="0" w:right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有关投标产品的合格证复印件（加盖公章）</w:t>
      </w:r>
    </w:p>
    <w:p>
      <w:pPr>
        <w:pStyle w:val="2"/>
        <w:widowControl w:val="0"/>
        <w:numPr>
          <w:ilvl w:val="0"/>
          <w:numId w:val="0"/>
        </w:numPr>
        <w:kinsoku/>
        <w:wordWrap/>
        <w:overflowPunct/>
        <w:bidi w:val="0"/>
        <w:spacing w:beforeAutospacing="0" w:line="440" w:lineRule="exact"/>
        <w:ind w:left="0" w:leftChars="0" w:right="0"/>
        <w:jc w:val="both"/>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rPr>
      </w:pPr>
      <w:bookmarkStart w:id="73" w:name="_Toc30840"/>
      <w:r>
        <w:rPr>
          <w:rFonts w:hint="eastAsia" w:ascii="仿宋" w:hAnsi="仿宋" w:eastAsia="仿宋" w:cs="仿宋"/>
          <w:b/>
          <w:color w:val="auto"/>
          <w:sz w:val="24"/>
          <w:szCs w:val="24"/>
          <w:highlight w:val="none"/>
        </w:rPr>
        <w:t>关于资格的声明函</w:t>
      </w:r>
      <w:bookmarkEnd w:id="73"/>
    </w:p>
    <w:p>
      <w:pPr>
        <w:kinsoku/>
        <w:wordWrap/>
        <w:overflowPunct/>
        <w:topLinePunct/>
        <w:bidi w:val="0"/>
        <w:spacing w:beforeAutospacing="0" w:line="440" w:lineRule="exact"/>
        <w:ind w:left="0" w:leftChars="0" w:right="0" w:rightChars="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（招标代理机构）</w:t>
      </w:r>
    </w:p>
    <w:p>
      <w:pPr>
        <w:kinsoku/>
        <w:wordWrap/>
        <w:overflowPunct/>
        <w:topLinePunct/>
        <w:bidi w:val="0"/>
        <w:spacing w:beforeAutospacing="0" w:line="440" w:lineRule="exact"/>
        <w:ind w:left="0" w:leftChars="0"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关于贵方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（招标编号）招标公告关于“</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”的招标项目，本签字人愿意参加投标，并有能力完成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 ，并保证我单位与采购人无政府采购实施条例第九条应回避的关系，在投标报名及投标全过程中提供的企业证明文件、证件、签章及有关附件等资料的原件及复印件是真实、有效的，无伪造、编造、变造、篡改和隐瞒等虚假内容，且复印件与原件一致，若提供虚假内容，我单位将承担全部责任，并承担由此造成的全部损失。</w:t>
      </w:r>
    </w:p>
    <w:p>
      <w:pPr>
        <w:kinsoku/>
        <w:wordWrap/>
        <w:overflowPunct/>
        <w:topLinePunct/>
        <w:bidi w:val="0"/>
        <w:spacing w:beforeAutospacing="0" w:line="440" w:lineRule="exact"/>
        <w:ind w:left="0" w:leftChars="0" w:right="0" w:rightChars="0" w:firstLine="480" w:firstLineChars="200"/>
        <w:textAlignment w:val="auto"/>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bookmarkStart w:id="74" w:name="_Toc11196"/>
      <w:r>
        <w:rPr>
          <w:rFonts w:hint="eastAsia" w:ascii="仿宋" w:hAnsi="仿宋" w:eastAsia="仿宋" w:cs="仿宋"/>
          <w:color w:val="auto"/>
          <w:sz w:val="24"/>
          <w:szCs w:val="24"/>
          <w:highlight w:val="none"/>
        </w:rPr>
        <w:t>投标人（盖章）：</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授权代理人（签字盖章）：</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  年  月  日</w:t>
      </w: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缴纳投标保证金证明的复印件</w:t>
      </w:r>
      <w:bookmarkEnd w:id="74"/>
    </w:p>
    <w:p>
      <w:pPr>
        <w:kinsoku/>
        <w:wordWrap/>
        <w:overflowPunct/>
        <w:bidi w:val="0"/>
        <w:spacing w:beforeAutospacing="0" w:line="440" w:lineRule="exact"/>
        <w:ind w:left="0" w:leftChars="0" w:right="0" w:rightChars="0"/>
        <w:textAlignment w:val="auto"/>
        <w:outlineLvl w:val="9"/>
        <w:rPr>
          <w:rFonts w:hint="eastAsia" w:ascii="仿宋" w:hAnsi="仿宋" w:eastAsia="仿宋" w:cs="仿宋"/>
          <w:color w:val="auto"/>
          <w:sz w:val="24"/>
          <w:szCs w:val="24"/>
          <w:highlight w:val="none"/>
        </w:rPr>
      </w:pPr>
    </w:p>
    <w:p>
      <w:pPr>
        <w:kinsoku/>
        <w:wordWrap/>
        <w:overflowPunct/>
        <w:bidi w:val="0"/>
        <w:spacing w:beforeAutospacing="0" w:line="440" w:lineRule="exact"/>
        <w:ind w:left="0" w:leftChars="0" w:right="0" w:rightChars="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此处应附缴纳投标保证金证明的复印件（加盖公章）</w:t>
      </w:r>
    </w:p>
    <w:p>
      <w:pPr>
        <w:kinsoku/>
        <w:wordWrap/>
        <w:overflowPunct/>
        <w:bidi w:val="0"/>
        <w:adjustRightInd w:val="0"/>
        <w:snapToGrid w:val="0"/>
        <w:spacing w:beforeAutospacing="0" w:line="440" w:lineRule="exact"/>
        <w:ind w:left="0" w:leftChars="0" w:right="0" w:rightChars="0"/>
        <w:textAlignment w:val="auto"/>
        <w:outlineLvl w:val="9"/>
        <w:rPr>
          <w:rFonts w:hint="eastAsia" w:ascii="仿宋" w:hAnsi="仿宋" w:eastAsia="仿宋" w:cs="仿宋"/>
          <w:bCs/>
          <w:color w:val="auto"/>
          <w:sz w:val="24"/>
          <w:szCs w:val="24"/>
          <w:highlight w:val="none"/>
        </w:rPr>
      </w:pPr>
    </w:p>
    <w:p>
      <w:pPr>
        <w:kinsoku/>
        <w:wordWrap/>
        <w:overflowPunct/>
        <w:bidi w:val="0"/>
        <w:adjustRightInd w:val="0"/>
        <w:snapToGrid w:val="0"/>
        <w:spacing w:beforeAutospacing="0" w:line="440" w:lineRule="exact"/>
        <w:ind w:left="0" w:leftChars="0" w:right="0" w:rightChars="0"/>
        <w:jc w:val="center"/>
        <w:textAlignment w:val="auto"/>
        <w:outlineLvl w:val="9"/>
        <w:rPr>
          <w:rFonts w:hint="eastAsia" w:ascii="仿宋" w:hAnsi="仿宋" w:eastAsia="仿宋" w:cs="仿宋"/>
          <w:bCs/>
          <w:color w:val="auto"/>
          <w:sz w:val="24"/>
          <w:szCs w:val="24"/>
          <w:highlight w:val="none"/>
        </w:rPr>
      </w:pPr>
    </w:p>
    <w:p>
      <w:pPr>
        <w:kinsoku/>
        <w:wordWrap/>
        <w:overflowPunct/>
        <w:bidi w:val="0"/>
        <w:adjustRightInd w:val="0"/>
        <w:snapToGrid w:val="0"/>
        <w:spacing w:beforeAutospacing="0" w:line="440" w:lineRule="exact"/>
        <w:ind w:left="0" w:leftChars="0" w:right="0" w:rightChars="0"/>
        <w:jc w:val="center"/>
        <w:textAlignment w:val="auto"/>
        <w:outlineLvl w:val="9"/>
        <w:rPr>
          <w:rFonts w:hint="eastAsia" w:ascii="仿宋" w:hAnsi="仿宋" w:eastAsia="仿宋" w:cs="仿宋"/>
          <w:bCs/>
          <w:color w:val="auto"/>
          <w:sz w:val="24"/>
          <w:szCs w:val="24"/>
          <w:highlight w:val="none"/>
        </w:rPr>
      </w:pPr>
    </w:p>
    <w:p>
      <w:pPr>
        <w:kinsoku/>
        <w:wordWrap/>
        <w:overflowPunct/>
        <w:bidi w:val="0"/>
        <w:adjustRightInd w:val="0"/>
        <w:snapToGrid w:val="0"/>
        <w:spacing w:beforeAutospacing="0" w:line="440" w:lineRule="exact"/>
        <w:ind w:left="0" w:leftChars="0" w:right="0" w:rightChars="0"/>
        <w:jc w:val="center"/>
        <w:textAlignment w:val="auto"/>
        <w:outlineLvl w:val="9"/>
        <w:rPr>
          <w:rFonts w:hint="eastAsia" w:ascii="仿宋" w:hAnsi="仿宋" w:eastAsia="仿宋" w:cs="仿宋"/>
          <w:bCs/>
          <w:color w:val="auto"/>
          <w:sz w:val="24"/>
          <w:szCs w:val="24"/>
          <w:highlight w:val="none"/>
        </w:rPr>
      </w:pPr>
    </w:p>
    <w:p>
      <w:pPr>
        <w:kinsoku/>
        <w:wordWrap/>
        <w:overflowPunct/>
        <w:bidi w:val="0"/>
        <w:adjustRightInd w:val="0"/>
        <w:snapToGrid w:val="0"/>
        <w:spacing w:beforeAutospacing="0" w:line="440" w:lineRule="exact"/>
        <w:ind w:left="0" w:leftChars="0" w:right="0" w:rightChars="0"/>
        <w:jc w:val="center"/>
        <w:textAlignment w:val="auto"/>
        <w:outlineLvl w:val="9"/>
        <w:rPr>
          <w:rFonts w:hint="eastAsia" w:ascii="仿宋" w:hAnsi="仿宋" w:eastAsia="仿宋" w:cs="仿宋"/>
          <w:bCs/>
          <w:color w:val="auto"/>
          <w:sz w:val="24"/>
          <w:szCs w:val="24"/>
          <w:highlight w:val="none"/>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eastAsia="zh-CN"/>
        </w:rPr>
        <w:t>商务条款偏离表</w:t>
      </w:r>
    </w:p>
    <w:p>
      <w:pPr>
        <w:keepNext w:val="0"/>
        <w:keepLines w:val="0"/>
        <w:widowControl w:val="0"/>
        <w:suppressLineNumbers w:val="0"/>
        <w:shd w:val="clear" w:fill="FFFFFF"/>
        <w:kinsoku/>
        <w:wordWrap/>
        <w:overflowPunct/>
        <w:bidi w:val="0"/>
        <w:spacing w:beforeAutospacing="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p>
      <w:pPr>
        <w:keepNext w:val="0"/>
        <w:keepLines w:val="0"/>
        <w:widowControl w:val="0"/>
        <w:suppressLineNumbers w:val="0"/>
        <w:shd w:val="clear" w:fill="FFFFFF"/>
        <w:kinsoku/>
        <w:wordWrap/>
        <w:overflowPunct/>
        <w:bidi w:val="0"/>
        <w:spacing w:beforeAutospacing="0" w:afterAutospacing="0" w:line="440" w:lineRule="exact"/>
        <w:ind w:left="0" w:leftChars="0" w:right="0" w:firstLine="480" w:firstLineChars="200"/>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2"/>
          <w:sz w:val="24"/>
          <w:szCs w:val="24"/>
          <w:highlight w:val="none"/>
          <w:shd w:val="clear" w:fill="FFFFFF"/>
          <w:lang w:val="en-US" w:eastAsia="zh-CN" w:bidi="ar"/>
        </w:rPr>
        <w:t>项目名称：                                 项目编号：</w:t>
      </w:r>
    </w:p>
    <w:tbl>
      <w:tblPr>
        <w:tblStyle w:val="51"/>
        <w:tblW w:w="8955" w:type="dxa"/>
        <w:tblInd w:w="468" w:type="dxa"/>
        <w:shd w:val="clear" w:color="auto" w:fill="auto"/>
        <w:tblLayout w:type="fixed"/>
        <w:tblCellMar>
          <w:top w:w="0" w:type="dxa"/>
          <w:left w:w="108" w:type="dxa"/>
          <w:bottom w:w="0" w:type="dxa"/>
          <w:right w:w="108" w:type="dxa"/>
        </w:tblCellMar>
      </w:tblPr>
      <w:tblGrid>
        <w:gridCol w:w="900"/>
        <w:gridCol w:w="1725"/>
        <w:gridCol w:w="1941"/>
        <w:gridCol w:w="2050"/>
        <w:gridCol w:w="2338"/>
      </w:tblGrid>
      <w:tr>
        <w:tblPrEx>
          <w:shd w:val="clear" w:color="auto" w:fill="auto"/>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2"/>
                <w:sz w:val="24"/>
                <w:szCs w:val="24"/>
                <w:highlight w:val="none"/>
                <w:shd w:val="clear" w:fill="FFFFFF"/>
                <w:lang w:val="en-US" w:eastAsia="zh-CN" w:bidi="ar"/>
              </w:rPr>
              <w:t>序号</w:t>
            </w:r>
          </w:p>
        </w:tc>
        <w:tc>
          <w:tcPr>
            <w:tcW w:w="172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2"/>
                <w:sz w:val="24"/>
                <w:szCs w:val="24"/>
                <w:highlight w:val="none"/>
                <w:shd w:val="clear" w:fill="FFFFFF"/>
                <w:lang w:val="en-US" w:eastAsia="zh-CN" w:bidi="ar"/>
              </w:rPr>
              <w:t>条款序号</w:t>
            </w:r>
          </w:p>
        </w:tc>
        <w:tc>
          <w:tcPr>
            <w:tcW w:w="1941"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2"/>
                <w:sz w:val="24"/>
                <w:szCs w:val="24"/>
                <w:highlight w:val="none"/>
                <w:shd w:val="clear" w:fill="FFFFFF"/>
                <w:lang w:val="en-US" w:eastAsia="zh-CN" w:bidi="ar"/>
              </w:rPr>
              <w:t>采购条款</w:t>
            </w:r>
          </w:p>
        </w:tc>
        <w:tc>
          <w:tcPr>
            <w:tcW w:w="20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2"/>
                <w:sz w:val="24"/>
                <w:szCs w:val="24"/>
                <w:highlight w:val="none"/>
                <w:shd w:val="clear" w:fill="FFFFFF"/>
                <w:lang w:val="en-US" w:eastAsia="zh-CN" w:bidi="ar"/>
              </w:rPr>
              <w:t>投标条款</w:t>
            </w:r>
          </w:p>
        </w:tc>
        <w:tc>
          <w:tcPr>
            <w:tcW w:w="233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2"/>
                <w:sz w:val="24"/>
                <w:szCs w:val="24"/>
                <w:highlight w:val="none"/>
                <w:shd w:val="clear" w:fill="FFFFFF"/>
                <w:lang w:val="en-US" w:eastAsia="zh-CN" w:bidi="ar"/>
              </w:rPr>
              <w:t>备   注</w:t>
            </w: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c>
          <w:tcPr>
            <w:tcW w:w="172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c>
          <w:tcPr>
            <w:tcW w:w="1941"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c>
          <w:tcPr>
            <w:tcW w:w="20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c>
          <w:tcPr>
            <w:tcW w:w="233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c>
          <w:tcPr>
            <w:tcW w:w="172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c>
          <w:tcPr>
            <w:tcW w:w="1941"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c>
          <w:tcPr>
            <w:tcW w:w="20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c>
          <w:tcPr>
            <w:tcW w:w="233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c>
          <w:tcPr>
            <w:tcW w:w="172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c>
          <w:tcPr>
            <w:tcW w:w="1941"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c>
          <w:tcPr>
            <w:tcW w:w="205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c>
          <w:tcPr>
            <w:tcW w:w="2338"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r>
    </w:tbl>
    <w:p>
      <w:pPr>
        <w:keepNext w:val="0"/>
        <w:keepLines w:val="0"/>
        <w:widowControl w:val="0"/>
        <w:suppressLineNumbers w:val="0"/>
        <w:shd w:val="clear" w:fill="FFFFFF"/>
        <w:kinsoku/>
        <w:wordWrap/>
        <w:overflowPunct/>
        <w:bidi w:val="0"/>
        <w:spacing w:beforeAutospacing="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p>
      <w:pPr>
        <w:pStyle w:val="45"/>
        <w:keepNext w:val="0"/>
        <w:keepLines w:val="0"/>
        <w:widowControl w:val="0"/>
        <w:suppressLineNumbers w:val="0"/>
        <w:shd w:val="clear" w:fill="FFFFFF"/>
        <w:kinsoku/>
        <w:wordWrap/>
        <w:overflowPunct/>
        <w:autoSpaceDE w:val="0"/>
        <w:autoSpaceDN w:val="0"/>
        <w:bidi w:val="0"/>
        <w:adjustRightInd w:val="0"/>
        <w:snapToGrid w:val="0"/>
        <w:spacing w:before="0" w:beforeAutospacing="0" w:after="0" w:afterAutospacing="0" w:line="440" w:lineRule="exact"/>
        <w:ind w:left="0" w:leftChars="0" w:right="0"/>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0"/>
          <w:sz w:val="24"/>
          <w:szCs w:val="24"/>
          <w:highlight w:val="none"/>
          <w:shd w:val="clear" w:fill="FFFFFF"/>
          <w:lang w:val="en-US" w:eastAsia="zh-CN" w:bidi="ar"/>
        </w:rPr>
        <w:t>投标人（盖公章）：</w:t>
      </w:r>
    </w:p>
    <w:p>
      <w:pPr>
        <w:keepNext w:val="0"/>
        <w:keepLines w:val="0"/>
        <w:widowControl w:val="0"/>
        <w:suppressLineNumbers w:val="0"/>
        <w:shd w:val="clear" w:fill="FFFFFF"/>
        <w:kinsoku/>
        <w:wordWrap/>
        <w:overflowPunct/>
        <w:bidi w:val="0"/>
        <w:spacing w:beforeAutospacing="0" w:afterAutospacing="0" w:line="440" w:lineRule="exact"/>
        <w:ind w:left="0" w:leftChars="0" w:right="0"/>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2"/>
          <w:sz w:val="24"/>
          <w:szCs w:val="24"/>
          <w:highlight w:val="none"/>
          <w:shd w:val="clear" w:fill="FFFFFF"/>
          <w:lang w:val="en-US" w:eastAsia="zh-CN" w:bidi="ar"/>
        </w:rPr>
        <w:t>法定代表人或授权代理人（签字或盖章）：</w:t>
      </w:r>
    </w:p>
    <w:p>
      <w:pPr>
        <w:keepNext w:val="0"/>
        <w:keepLines w:val="0"/>
        <w:widowControl w:val="0"/>
        <w:suppressLineNumbers w:val="0"/>
        <w:shd w:val="clear" w:fill="FFFFFF"/>
        <w:kinsoku/>
        <w:wordWrap/>
        <w:overflowPunct/>
        <w:bidi w:val="0"/>
        <w:adjustRightInd w:val="0"/>
        <w:snapToGrid w:val="0"/>
        <w:spacing w:beforeAutospacing="0" w:afterAutospacing="0" w:line="440" w:lineRule="exact"/>
        <w:ind w:left="0" w:leftChars="0" w:right="0"/>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2"/>
          <w:sz w:val="24"/>
          <w:szCs w:val="24"/>
          <w:highlight w:val="none"/>
          <w:shd w:val="clear" w:fill="FFFFFF"/>
          <w:lang w:val="en-US" w:eastAsia="zh-CN" w:bidi="ar"/>
        </w:rPr>
        <w:t>日期：  年  月  日</w:t>
      </w:r>
    </w:p>
    <w:p>
      <w:pPr>
        <w:keepNext w:val="0"/>
        <w:keepLines w:val="0"/>
        <w:widowControl w:val="0"/>
        <w:suppressLineNumbers w:val="0"/>
        <w:shd w:val="clear" w:fill="FFFFFF"/>
        <w:kinsoku/>
        <w:wordWrap/>
        <w:overflowPunct/>
        <w:bidi w:val="0"/>
        <w:spacing w:beforeAutospacing="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p>
      <w:pPr>
        <w:pStyle w:val="2"/>
        <w:kinsoku/>
        <w:wordWrap/>
        <w:overflowPunct/>
        <w:bidi w:val="0"/>
        <w:spacing w:beforeAutospacing="0" w:line="440" w:lineRule="exact"/>
        <w:ind w:left="0" w:leftChars="0" w:right="0"/>
        <w:rPr>
          <w:rFonts w:hint="eastAsia" w:ascii="仿宋" w:hAnsi="仿宋" w:eastAsia="仿宋" w:cs="仿宋"/>
          <w:color w:val="auto"/>
          <w:sz w:val="24"/>
          <w:szCs w:val="24"/>
          <w:highlight w:val="none"/>
          <w:shd w:val="clear" w:fill="FFFFFF"/>
          <w:lang w:val="en-US"/>
        </w:rPr>
      </w:pPr>
    </w:p>
    <w:p>
      <w:pPr>
        <w:kinsoku/>
        <w:wordWrap/>
        <w:overflowPunct/>
        <w:bidi w:val="0"/>
        <w:spacing w:beforeAutospacing="0" w:line="440" w:lineRule="exact"/>
        <w:ind w:left="0" w:leftChars="0" w:right="0"/>
        <w:rPr>
          <w:rFonts w:hint="eastAsia" w:ascii="仿宋" w:hAnsi="仿宋" w:eastAsia="仿宋" w:cs="仿宋"/>
          <w:color w:val="auto"/>
          <w:sz w:val="24"/>
          <w:szCs w:val="24"/>
          <w:highlight w:val="none"/>
          <w:lang w:val="en-US"/>
        </w:rPr>
      </w:pPr>
    </w:p>
    <w:p>
      <w:pPr>
        <w:kinsoku/>
        <w:wordWrap/>
        <w:overflowPunct/>
        <w:bidi w:val="0"/>
        <w:spacing w:beforeAutospacing="0" w:line="440" w:lineRule="exact"/>
        <w:ind w:left="0" w:leftChars="0" w:right="0" w:rightChars="0"/>
        <w:jc w:val="center"/>
        <w:textAlignment w:val="auto"/>
        <w:outlineLvl w:val="9"/>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eastAsia="zh-CN"/>
        </w:rPr>
        <w:t>技术偏离表</w:t>
      </w:r>
    </w:p>
    <w:p>
      <w:pPr>
        <w:keepNext w:val="0"/>
        <w:keepLines w:val="0"/>
        <w:widowControl w:val="0"/>
        <w:suppressLineNumbers w:val="0"/>
        <w:shd w:val="clear" w:fill="FFFFFF"/>
        <w:kinsoku/>
        <w:wordWrap/>
        <w:overflowPunct/>
        <w:bidi w:val="0"/>
        <w:spacing w:beforeAutospacing="0" w:afterAutospacing="0" w:line="440" w:lineRule="exact"/>
        <w:ind w:left="0" w:leftChars="0" w:right="0" w:firstLine="120" w:firstLineChars="50"/>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2"/>
          <w:sz w:val="24"/>
          <w:szCs w:val="24"/>
          <w:highlight w:val="none"/>
          <w:shd w:val="clear" w:fill="FFFFFF"/>
          <w:lang w:val="en-US" w:eastAsia="zh-CN" w:bidi="ar"/>
        </w:rPr>
        <w:t>项目名称：                                   项目编号：</w:t>
      </w:r>
    </w:p>
    <w:tbl>
      <w:tblPr>
        <w:tblStyle w:val="51"/>
        <w:tblW w:w="9210" w:type="dxa"/>
        <w:jc w:val="center"/>
        <w:shd w:val="clear" w:color="auto" w:fill="auto"/>
        <w:tblLayout w:type="fixed"/>
        <w:tblCellMar>
          <w:top w:w="0" w:type="dxa"/>
          <w:left w:w="108" w:type="dxa"/>
          <w:bottom w:w="0" w:type="dxa"/>
          <w:right w:w="108" w:type="dxa"/>
        </w:tblCellMar>
      </w:tblPr>
      <w:tblGrid>
        <w:gridCol w:w="1179"/>
        <w:gridCol w:w="1654"/>
        <w:gridCol w:w="2126"/>
        <w:gridCol w:w="2125"/>
        <w:gridCol w:w="2125"/>
      </w:tblGrid>
      <w:tr>
        <w:tblPrEx>
          <w:shd w:val="clear" w:color="auto" w:fill="auto"/>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2"/>
                <w:sz w:val="24"/>
                <w:szCs w:val="24"/>
                <w:highlight w:val="none"/>
                <w:shd w:val="clear" w:fill="FFFFFF"/>
                <w:lang w:val="en-US" w:eastAsia="zh-CN" w:bidi="ar"/>
              </w:rPr>
              <w:t>序 号</w:t>
            </w:r>
          </w:p>
        </w:tc>
        <w:tc>
          <w:tcPr>
            <w:tcW w:w="1655"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2"/>
                <w:sz w:val="24"/>
                <w:szCs w:val="24"/>
                <w:highlight w:val="none"/>
                <w:shd w:val="clear" w:fill="FFFFFF"/>
                <w:lang w:val="en-US" w:eastAsia="zh-CN" w:bidi="ar"/>
              </w:rPr>
              <w:t>采购需求</w:t>
            </w:r>
          </w:p>
        </w:tc>
        <w:tc>
          <w:tcPr>
            <w:tcW w:w="212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2"/>
                <w:sz w:val="24"/>
                <w:szCs w:val="24"/>
                <w:highlight w:val="none"/>
                <w:shd w:val="clear" w:fill="FFFFFF"/>
                <w:lang w:val="en-US" w:eastAsia="zh-CN" w:bidi="ar"/>
              </w:rPr>
              <w:t>采购要求</w:t>
            </w:r>
          </w:p>
        </w:tc>
        <w:tc>
          <w:tcPr>
            <w:tcW w:w="212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2"/>
                <w:sz w:val="24"/>
                <w:szCs w:val="24"/>
                <w:highlight w:val="none"/>
                <w:shd w:val="clear" w:fill="FFFFFF"/>
                <w:lang w:val="en-US" w:eastAsia="zh-CN" w:bidi="ar"/>
              </w:rPr>
              <w:t>投标响应</w:t>
            </w:r>
          </w:p>
        </w:tc>
        <w:tc>
          <w:tcPr>
            <w:tcW w:w="212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2"/>
                <w:sz w:val="24"/>
                <w:szCs w:val="24"/>
                <w:highlight w:val="none"/>
                <w:shd w:val="clear" w:fill="FFFFFF"/>
                <w:lang w:val="en-US" w:eastAsia="zh-CN" w:bidi="ar"/>
              </w:rPr>
              <w:t>备注</w:t>
            </w: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2"/>
                <w:sz w:val="24"/>
                <w:szCs w:val="24"/>
                <w:highlight w:val="none"/>
                <w:shd w:val="clear" w:fill="FFFFFF"/>
                <w:lang w:val="en-US" w:eastAsia="zh-CN" w:bidi="ar"/>
              </w:rPr>
              <w:t>1</w:t>
            </w:r>
          </w:p>
        </w:tc>
        <w:tc>
          <w:tcPr>
            <w:tcW w:w="165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jc w:val="left"/>
              <w:rPr>
                <w:rFonts w:hint="eastAsia" w:ascii="仿宋" w:hAnsi="仿宋" w:eastAsia="仿宋" w:cs="仿宋"/>
                <w:color w:val="auto"/>
                <w:sz w:val="24"/>
                <w:szCs w:val="24"/>
                <w:highlight w:val="none"/>
                <w:shd w:val="clear" w:fill="FFFFFF"/>
                <w:lang w:val="en-US"/>
              </w:rPr>
            </w:pPr>
          </w:p>
        </w:tc>
        <w:tc>
          <w:tcPr>
            <w:tcW w:w="212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c>
          <w:tcPr>
            <w:tcW w:w="212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c>
          <w:tcPr>
            <w:tcW w:w="212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2"/>
                <w:sz w:val="24"/>
                <w:szCs w:val="24"/>
                <w:highlight w:val="none"/>
                <w:shd w:val="clear" w:fill="FFFFFF"/>
                <w:lang w:val="en-US" w:eastAsia="zh-CN" w:bidi="ar"/>
              </w:rPr>
              <w:t>2</w:t>
            </w:r>
          </w:p>
        </w:tc>
        <w:tc>
          <w:tcPr>
            <w:tcW w:w="165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jc w:val="left"/>
              <w:rPr>
                <w:rFonts w:hint="eastAsia" w:ascii="仿宋" w:hAnsi="仿宋" w:eastAsia="仿宋" w:cs="仿宋"/>
                <w:color w:val="auto"/>
                <w:sz w:val="24"/>
                <w:szCs w:val="24"/>
                <w:highlight w:val="none"/>
                <w:shd w:val="clear" w:fill="FFFFFF"/>
                <w:lang w:val="en-US"/>
              </w:rPr>
            </w:pPr>
          </w:p>
        </w:tc>
        <w:tc>
          <w:tcPr>
            <w:tcW w:w="212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c>
          <w:tcPr>
            <w:tcW w:w="212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c>
          <w:tcPr>
            <w:tcW w:w="212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2"/>
                <w:sz w:val="24"/>
                <w:szCs w:val="24"/>
                <w:highlight w:val="none"/>
                <w:shd w:val="clear" w:fill="FFFFFF"/>
                <w:lang w:val="en-US" w:eastAsia="zh-CN" w:bidi="ar"/>
              </w:rPr>
              <w:t>...</w:t>
            </w:r>
          </w:p>
        </w:tc>
        <w:tc>
          <w:tcPr>
            <w:tcW w:w="1655"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jc w:val="left"/>
              <w:rPr>
                <w:rFonts w:hint="eastAsia" w:ascii="仿宋" w:hAnsi="仿宋" w:eastAsia="仿宋" w:cs="仿宋"/>
                <w:color w:val="auto"/>
                <w:sz w:val="24"/>
                <w:szCs w:val="24"/>
                <w:highlight w:val="none"/>
                <w:shd w:val="clear" w:fill="FFFFFF"/>
                <w:lang w:val="en-US"/>
              </w:rPr>
            </w:pPr>
          </w:p>
        </w:tc>
        <w:tc>
          <w:tcPr>
            <w:tcW w:w="2127"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c>
          <w:tcPr>
            <w:tcW w:w="212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c>
          <w:tcPr>
            <w:tcW w:w="2126"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hd w:val="clear" w:fill="FFFFFF"/>
              <w:kinsoku/>
              <w:wordWrap/>
              <w:overflowPunct/>
              <w:bidi w:val="0"/>
              <w:spacing w:before="0" w:beforeAutospacing="0" w:after="0" w:afterAutospacing="0" w:line="440" w:lineRule="exact"/>
              <w:ind w:left="0" w:leftChars="0" w:right="0" w:firstLine="99"/>
              <w:jc w:val="left"/>
              <w:rPr>
                <w:rFonts w:hint="eastAsia" w:ascii="仿宋" w:hAnsi="仿宋" w:eastAsia="仿宋" w:cs="仿宋"/>
                <w:color w:val="auto"/>
                <w:sz w:val="24"/>
                <w:szCs w:val="24"/>
                <w:highlight w:val="none"/>
                <w:shd w:val="clear" w:fill="FFFFFF"/>
                <w:lang w:val="en-US"/>
              </w:rPr>
            </w:pPr>
          </w:p>
        </w:tc>
      </w:tr>
    </w:tbl>
    <w:p>
      <w:pPr>
        <w:keepNext w:val="0"/>
        <w:keepLines w:val="0"/>
        <w:widowControl w:val="0"/>
        <w:suppressLineNumbers w:val="0"/>
        <w:shd w:val="clear" w:fill="FFFFFF"/>
        <w:kinsoku/>
        <w:wordWrap/>
        <w:overflowPunct/>
        <w:bidi w:val="0"/>
        <w:spacing w:beforeAutospacing="0" w:afterAutospacing="0" w:line="440" w:lineRule="exact"/>
        <w:ind w:left="0" w:leftChars="0" w:right="0"/>
        <w:jc w:val="left"/>
        <w:rPr>
          <w:rFonts w:hint="eastAsia" w:ascii="仿宋" w:hAnsi="仿宋" w:eastAsia="仿宋" w:cs="仿宋"/>
          <w:color w:val="auto"/>
          <w:sz w:val="24"/>
          <w:szCs w:val="24"/>
          <w:highlight w:val="none"/>
          <w:shd w:val="clear" w:fill="FFFFFF"/>
          <w:lang w:val="en-US"/>
        </w:rPr>
      </w:pPr>
    </w:p>
    <w:p>
      <w:pPr>
        <w:pStyle w:val="45"/>
        <w:keepNext w:val="0"/>
        <w:keepLines w:val="0"/>
        <w:widowControl w:val="0"/>
        <w:suppressLineNumbers w:val="0"/>
        <w:shd w:val="clear" w:fill="FFFFFF"/>
        <w:kinsoku/>
        <w:wordWrap/>
        <w:overflowPunct/>
        <w:autoSpaceDE w:val="0"/>
        <w:autoSpaceDN w:val="0"/>
        <w:bidi w:val="0"/>
        <w:adjustRightInd w:val="0"/>
        <w:snapToGrid w:val="0"/>
        <w:spacing w:before="0" w:beforeAutospacing="0" w:after="0" w:afterAutospacing="0" w:line="440" w:lineRule="exact"/>
        <w:ind w:left="0" w:leftChars="0" w:right="0"/>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0"/>
          <w:sz w:val="24"/>
          <w:szCs w:val="24"/>
          <w:highlight w:val="none"/>
          <w:shd w:val="clear" w:fill="FFFFFF"/>
          <w:lang w:val="en-US" w:eastAsia="zh-CN" w:bidi="ar"/>
        </w:rPr>
        <w:t>投标人（盖公章）：</w:t>
      </w:r>
    </w:p>
    <w:p>
      <w:pPr>
        <w:keepNext w:val="0"/>
        <w:keepLines w:val="0"/>
        <w:widowControl w:val="0"/>
        <w:suppressLineNumbers w:val="0"/>
        <w:shd w:val="clear" w:fill="FFFFFF"/>
        <w:kinsoku/>
        <w:wordWrap/>
        <w:overflowPunct/>
        <w:bidi w:val="0"/>
        <w:spacing w:beforeAutospacing="0" w:afterAutospacing="0" w:line="440" w:lineRule="exact"/>
        <w:ind w:left="0" w:leftChars="0" w:right="0"/>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2"/>
          <w:sz w:val="24"/>
          <w:szCs w:val="24"/>
          <w:highlight w:val="none"/>
          <w:shd w:val="clear" w:fill="FFFFFF"/>
          <w:lang w:val="en-US" w:eastAsia="zh-CN" w:bidi="ar"/>
        </w:rPr>
        <w:t>法定代表人或授权代理人（签字或盖章）：</w:t>
      </w:r>
    </w:p>
    <w:p>
      <w:pPr>
        <w:keepNext w:val="0"/>
        <w:keepLines w:val="0"/>
        <w:widowControl w:val="0"/>
        <w:suppressLineNumbers w:val="0"/>
        <w:shd w:val="clear" w:fill="FFFFFF"/>
        <w:kinsoku/>
        <w:wordWrap/>
        <w:overflowPunct/>
        <w:bidi w:val="0"/>
        <w:spacing w:beforeAutospacing="0" w:afterAutospacing="0" w:line="440" w:lineRule="exact"/>
        <w:ind w:left="0" w:leftChars="0" w:right="0"/>
        <w:jc w:val="left"/>
        <w:rPr>
          <w:rFonts w:hint="eastAsia" w:ascii="仿宋" w:hAnsi="仿宋" w:eastAsia="仿宋" w:cs="仿宋"/>
          <w:color w:val="auto"/>
          <w:sz w:val="24"/>
          <w:szCs w:val="24"/>
          <w:highlight w:val="none"/>
          <w:shd w:val="clear" w:fill="FFFFFF"/>
          <w:lang w:val="en-US"/>
        </w:rPr>
      </w:pPr>
      <w:r>
        <w:rPr>
          <w:rFonts w:hint="eastAsia" w:ascii="仿宋" w:hAnsi="仿宋" w:eastAsia="仿宋" w:cs="仿宋"/>
          <w:color w:val="auto"/>
          <w:kern w:val="2"/>
          <w:sz w:val="24"/>
          <w:szCs w:val="24"/>
          <w:highlight w:val="none"/>
          <w:shd w:val="clear" w:fill="FFFFFF"/>
          <w:lang w:val="en-US" w:eastAsia="zh-CN" w:bidi="ar"/>
        </w:rPr>
        <w:t>日期：  年  月  日</w:t>
      </w:r>
    </w:p>
    <w:p>
      <w:pPr>
        <w:keepNext w:val="0"/>
        <w:keepLines w:val="0"/>
        <w:widowControl/>
        <w:suppressLineNumbers w:val="0"/>
        <w:kinsoku/>
        <w:wordWrap/>
        <w:overflowPunct/>
        <w:bidi w:val="0"/>
        <w:spacing w:beforeAutospacing="0" w:afterAutospacing="0" w:line="440" w:lineRule="exact"/>
        <w:ind w:left="0" w:leftChars="0" w:right="0"/>
        <w:jc w:val="left"/>
        <w:rPr>
          <w:rFonts w:hint="eastAsia" w:ascii="仿宋" w:hAnsi="仿宋" w:eastAsia="仿宋" w:cs="仿宋"/>
          <w:color w:val="auto"/>
          <w:sz w:val="24"/>
          <w:szCs w:val="24"/>
          <w:highlight w:val="none"/>
        </w:rPr>
      </w:pPr>
    </w:p>
    <w:sectPr>
      <w:headerReference r:id="rId4" w:type="first"/>
      <w:footerReference r:id="rId6" w:type="first"/>
      <w:headerReference r:id="rId3" w:type="default"/>
      <w:footerReference r:id="rId5" w:type="default"/>
      <w:pgSz w:w="11906" w:h="16838"/>
      <w:pgMar w:top="1474" w:right="1457" w:bottom="1247" w:left="174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ind w:firstLine="480"/>
      <w:jc w:val="left"/>
      <w:rPr>
        <w:rFonts w:ascii="宋体"/>
        <w:kern w:val="0"/>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rPr>
                              <w:rStyle w:val="57"/>
                            </w:rPr>
                          </w:pPr>
                          <w:r>
                            <w:fldChar w:fldCharType="begin"/>
                          </w:r>
                          <w:r>
                            <w:rPr>
                              <w:rStyle w:val="57"/>
                            </w:rPr>
                            <w:instrText xml:space="preserve">PAGE  </w:instrText>
                          </w:r>
                          <w:r>
                            <w:fldChar w:fldCharType="separate"/>
                          </w:r>
                          <w:r>
                            <w:rPr>
                              <w:rStyle w:val="57"/>
                            </w:rPr>
                            <w:t>74</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5PnvetgBAACwAwAADgAAAAAAAAABACAA&#10;AAAfAQAAZHJzL2Uyb0RvYy54bWxQSwUGAAAAAAYABgBZAQAAaQUAAAAA&#10;">
              <v:fill on="f" focussize="0,0"/>
              <v:stroke on="f" weight="0.5pt"/>
              <v:imagedata o:title=""/>
              <o:lock v:ext="edit" aspectratio="f"/>
              <v:textbox inset="0mm,0mm,0mm,0mm" style="mso-fit-shape-to-text:t;">
                <w:txbxContent>
                  <w:p>
                    <w:pPr>
                      <w:pStyle w:val="34"/>
                      <w:rPr>
                        <w:rStyle w:val="57"/>
                      </w:rPr>
                    </w:pPr>
                    <w:r>
                      <w:fldChar w:fldCharType="begin"/>
                    </w:r>
                    <w:r>
                      <w:rPr>
                        <w:rStyle w:val="57"/>
                      </w:rPr>
                      <w:instrText xml:space="preserve">PAGE  </w:instrText>
                    </w:r>
                    <w:r>
                      <w:fldChar w:fldCharType="separate"/>
                    </w:r>
                    <w:r>
                      <w:rPr>
                        <w:rStyle w:val="57"/>
                      </w:rP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p>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2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snapToGrid w:val="0"/>
                            <w:rPr>
                              <w:sz w:val="18"/>
                            </w:rPr>
                          </w:pPr>
                          <w:r>
                            <w:fldChar w:fldCharType="begin"/>
                          </w:r>
                          <w:r>
                            <w:instrText xml:space="preserve"> PAGE  \* MERGEFORMAT </w:instrText>
                          </w:r>
                          <w:r>
                            <w:fldChar w:fldCharType="separate"/>
                          </w:r>
                          <w:r>
                            <w:rPr>
                              <w:sz w:val="18"/>
                            </w:rPr>
                            <w:t>73</w:t>
                          </w:r>
                          <w:r>
                            <w:rPr>
                              <w:sz w:val="18"/>
                            </w:rP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V+SdAAAAADAQAADwAAAAAAAAABACAA&#10;AAAiAAAAZHJzL2Rvd25yZXYueG1sUEsBAhQAFAAAAAgAh07iQOyq/o7cAQAArwMAAA4AAAAAAAAA&#10;AQAgAAAAHwEAAGRycy9lMm9Eb2MueG1sUEsFBgAAAAAGAAYAWQEAAG0FA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73</w:t>
                    </w:r>
                    <w:r>
                      <w:rPr>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JE3AGt4BAACyAwAADgAAAAAA&#10;AAABACAAAAAfAQAAZHJzL2Uyb0RvYy54bWxQSwUGAAAAAAYABgBZAQAAbw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nThickSmallGap" w:color="auto" w:sz="12" w:space="1"/>
      </w:pBdr>
      <w:ind w:firstLine="360"/>
      <w:jc w:val="both"/>
      <w:rPr>
        <w:rFonts w:ascii="宋体"/>
        <w:kern w:val="0"/>
        <w:sz w:val="20"/>
      </w:rPr>
    </w:pPr>
    <w:r>
      <w:rPr>
        <w:rFonts w:hint="eastAsia" w:ascii="宋体" w:hAnsi="宋体" w:cs="宋体"/>
        <w:sz w:val="18"/>
        <w:szCs w:val="18"/>
      </w:rPr>
      <w:drawing>
        <wp:inline distT="0" distB="0" distL="114300" distR="114300">
          <wp:extent cx="456565" cy="436245"/>
          <wp:effectExtent l="0" t="0" r="635" b="1905"/>
          <wp:docPr id="11" name="图片 1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1"/>
                  <pic:cNvPicPr>
                    <a:picLocks noChangeAspect="1"/>
                  </pic:cNvPicPr>
                </pic:nvPicPr>
                <pic:blipFill>
                  <a:blip r:embed="rId1"/>
                  <a:stretch>
                    <a:fillRect/>
                  </a:stretch>
                </pic:blipFill>
                <pic:spPr>
                  <a:xfrm>
                    <a:off x="0" y="0"/>
                    <a:ext cx="456565" cy="436245"/>
                  </a:xfrm>
                  <a:prstGeom prst="rect">
                    <a:avLst/>
                  </a:prstGeom>
                </pic:spPr>
              </pic:pic>
            </a:graphicData>
          </a:graphic>
        </wp:inline>
      </w:drawing>
    </w:r>
    <w:r>
      <w:rPr>
        <w:rFonts w:hint="eastAsia" w:ascii="宋体" w:hAnsi="宋体" w:cs="宋体"/>
        <w:sz w:val="18"/>
        <w:szCs w:val="18"/>
        <w:lang w:val="en-US" w:eastAsia="zh-CN"/>
      </w:rPr>
      <w:t xml:space="preserve">            </w:t>
    </w:r>
    <w:r>
      <w:rPr>
        <w:rFonts w:hint="eastAsia"/>
        <w:sz w:val="22"/>
        <w:szCs w:val="28"/>
        <w:lang w:val="en-US" w:eastAsia="zh-CN"/>
      </w:rPr>
      <w:t>乌鲁木齐市友谊医院康复、理疗设备采购项目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nThickSmallGap" w:color="auto" w:sz="12" w:space="1"/>
      </w:pBdr>
      <w:ind w:firstLine="360"/>
      <w:jc w:val="both"/>
      <w:rPr>
        <w:rFonts w:hint="eastAsia"/>
        <w:sz w:val="22"/>
        <w:szCs w:val="28"/>
        <w:lang w:val="en-US" w:eastAsia="zh-CN"/>
      </w:rPr>
    </w:pPr>
    <w:r>
      <w:rPr>
        <w:rFonts w:hint="eastAsia" w:ascii="宋体" w:hAnsi="宋体" w:cs="宋体"/>
        <w:sz w:val="18"/>
        <w:szCs w:val="18"/>
      </w:rPr>
      <w:drawing>
        <wp:inline distT="0" distB="0" distL="114300" distR="114300">
          <wp:extent cx="456565" cy="436245"/>
          <wp:effectExtent l="0" t="0" r="635" b="1905"/>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1"/>
                  <a:stretch>
                    <a:fillRect/>
                  </a:stretch>
                </pic:blipFill>
                <pic:spPr>
                  <a:xfrm>
                    <a:off x="0" y="0"/>
                    <a:ext cx="456565" cy="436245"/>
                  </a:xfrm>
                  <a:prstGeom prst="rect">
                    <a:avLst/>
                  </a:prstGeom>
                </pic:spPr>
              </pic:pic>
            </a:graphicData>
          </a:graphic>
        </wp:inline>
      </w:drawing>
    </w:r>
    <w:r>
      <w:rPr>
        <w:rFonts w:hint="eastAsia" w:ascii="宋体" w:hAnsi="宋体" w:cs="宋体"/>
        <w:sz w:val="18"/>
        <w:szCs w:val="18"/>
        <w:lang w:val="en-US" w:eastAsia="zh-CN"/>
      </w:rPr>
      <w:t xml:space="preserve">               </w:t>
    </w:r>
    <w:r>
      <w:rPr>
        <w:rFonts w:hint="eastAsia"/>
        <w:sz w:val="22"/>
        <w:szCs w:val="28"/>
        <w:lang w:val="en-US" w:eastAsia="zh-CN"/>
      </w:rPr>
      <w:t>乌鲁木齐市友谊医院康复、理疗设备采购项目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2CFDB"/>
    <w:multiLevelType w:val="singleLevel"/>
    <w:tmpl w:val="9602CFDB"/>
    <w:lvl w:ilvl="0" w:tentative="0">
      <w:start w:val="1"/>
      <w:numFmt w:val="decimal"/>
      <w:suff w:val="nothing"/>
      <w:lvlText w:val="%1．"/>
      <w:lvlJc w:val="left"/>
      <w:pPr>
        <w:ind w:left="0" w:firstLine="400"/>
      </w:pPr>
      <w:rPr>
        <w:rFonts w:hint="default"/>
      </w:rPr>
    </w:lvl>
  </w:abstractNum>
  <w:abstractNum w:abstractNumId="1">
    <w:nsid w:val="9700EEA9"/>
    <w:multiLevelType w:val="singleLevel"/>
    <w:tmpl w:val="9700EEA9"/>
    <w:lvl w:ilvl="0" w:tentative="0">
      <w:start w:val="10"/>
      <w:numFmt w:val="decimal"/>
      <w:suff w:val="nothing"/>
      <w:lvlText w:val="%1、"/>
      <w:lvlJc w:val="left"/>
    </w:lvl>
  </w:abstractNum>
  <w:abstractNum w:abstractNumId="2">
    <w:nsid w:val="B4F6A379"/>
    <w:multiLevelType w:val="singleLevel"/>
    <w:tmpl w:val="B4F6A379"/>
    <w:lvl w:ilvl="0" w:tentative="0">
      <w:start w:val="1"/>
      <w:numFmt w:val="chineseCounting"/>
      <w:suff w:val="nothing"/>
      <w:lvlText w:val="%1、"/>
      <w:lvlJc w:val="left"/>
      <w:rPr>
        <w:rFonts w:hint="eastAsia"/>
      </w:rPr>
    </w:lvl>
  </w:abstractNum>
  <w:abstractNum w:abstractNumId="3">
    <w:nsid w:val="C358890D"/>
    <w:multiLevelType w:val="singleLevel"/>
    <w:tmpl w:val="C358890D"/>
    <w:lvl w:ilvl="0" w:tentative="0">
      <w:start w:val="6"/>
      <w:numFmt w:val="decimal"/>
      <w:lvlText w:val="%1."/>
      <w:lvlJc w:val="left"/>
      <w:pPr>
        <w:tabs>
          <w:tab w:val="left" w:pos="312"/>
        </w:tabs>
      </w:pPr>
    </w:lvl>
  </w:abstractNum>
  <w:abstractNum w:abstractNumId="4">
    <w:nsid w:val="D6587E56"/>
    <w:multiLevelType w:val="singleLevel"/>
    <w:tmpl w:val="D6587E56"/>
    <w:lvl w:ilvl="0" w:tentative="0">
      <w:start w:val="2"/>
      <w:numFmt w:val="decimal"/>
      <w:suff w:val="nothing"/>
      <w:lvlText w:val="%1、"/>
      <w:lvlJc w:val="left"/>
    </w:lvl>
  </w:abstractNum>
  <w:abstractNum w:abstractNumId="5">
    <w:nsid w:val="D71F9DA1"/>
    <w:multiLevelType w:val="singleLevel"/>
    <w:tmpl w:val="D71F9DA1"/>
    <w:lvl w:ilvl="0" w:tentative="0">
      <w:start w:val="1"/>
      <w:numFmt w:val="decimal"/>
      <w:lvlText w:val="%1."/>
      <w:lvlJc w:val="left"/>
      <w:pPr>
        <w:tabs>
          <w:tab w:val="left" w:pos="312"/>
        </w:tabs>
      </w:pPr>
    </w:lvl>
  </w:abstractNum>
  <w:abstractNum w:abstractNumId="6">
    <w:nsid w:val="FFFFFF7E"/>
    <w:multiLevelType w:val="singleLevel"/>
    <w:tmpl w:val="FFFFFF7E"/>
    <w:lvl w:ilvl="0" w:tentative="0">
      <w:start w:val="1"/>
      <w:numFmt w:val="decimal"/>
      <w:pStyle w:val="22"/>
      <w:lvlText w:val="%1."/>
      <w:lvlJc w:val="left"/>
      <w:pPr>
        <w:tabs>
          <w:tab w:val="left" w:pos="1200"/>
        </w:tabs>
        <w:ind w:left="1200" w:hanging="360"/>
      </w:pPr>
    </w:lvl>
  </w:abstractNum>
  <w:abstractNum w:abstractNumId="7">
    <w:nsid w:val="0DB639E9"/>
    <w:multiLevelType w:val="multilevel"/>
    <w:tmpl w:val="0DB639E9"/>
    <w:lvl w:ilvl="0" w:tentative="0">
      <w:start w:val="1"/>
      <w:numFmt w:val="decimal"/>
      <w:pStyle w:val="161"/>
      <w:lvlText w:val="%1"/>
      <w:lvlJc w:val="left"/>
      <w:pPr>
        <w:tabs>
          <w:tab w:val="left" w:pos="360"/>
        </w:tabs>
        <w:ind w:left="0" w:firstLine="0"/>
      </w:pPr>
    </w:lvl>
    <w:lvl w:ilvl="1" w:tentative="0">
      <w:start w:val="1"/>
      <w:numFmt w:val="decimal"/>
      <w:pStyle w:val="36"/>
      <w:isLgl/>
      <w:lvlText w:val="%1.%2"/>
      <w:lvlJc w:val="left"/>
      <w:pPr>
        <w:tabs>
          <w:tab w:val="left" w:pos="720"/>
        </w:tabs>
        <w:ind w:left="0" w:firstLine="0"/>
      </w:pPr>
    </w:lvl>
    <w:lvl w:ilvl="2" w:tentative="0">
      <w:start w:val="1"/>
      <w:numFmt w:val="decimal"/>
      <w:isLgl/>
      <w:lvlText w:val="%1.%2.%3"/>
      <w:lvlJc w:val="left"/>
      <w:pPr>
        <w:tabs>
          <w:tab w:val="left" w:pos="1440"/>
        </w:tabs>
        <w:ind w:left="0" w:firstLine="0"/>
      </w:pPr>
    </w:lvl>
    <w:lvl w:ilvl="3" w:tentative="0">
      <w:start w:val="1"/>
      <w:numFmt w:val="decimal"/>
      <w:isLgl/>
      <w:lvlText w:val="%1.%2.%3.%4"/>
      <w:lvlJc w:val="left"/>
      <w:pPr>
        <w:tabs>
          <w:tab w:val="left" w:pos="1800"/>
        </w:tabs>
        <w:ind w:left="0" w:firstLine="0"/>
      </w:pPr>
    </w:lvl>
    <w:lvl w:ilvl="4" w:tentative="0">
      <w:start w:val="1"/>
      <w:numFmt w:val="decimal"/>
      <w:isLgl/>
      <w:lvlText w:val="%1.%2.%3.%4.%5"/>
      <w:lvlJc w:val="left"/>
      <w:pPr>
        <w:tabs>
          <w:tab w:val="left" w:pos="570"/>
        </w:tabs>
        <w:ind w:left="570" w:hanging="570"/>
      </w:pPr>
    </w:lvl>
    <w:lvl w:ilvl="5" w:tentative="0">
      <w:start w:val="1"/>
      <w:numFmt w:val="decimal"/>
      <w:isLgl/>
      <w:lvlText w:val="%1.%2.%3.%4.%5.%6"/>
      <w:lvlJc w:val="left"/>
      <w:pPr>
        <w:tabs>
          <w:tab w:val="left" w:pos="570"/>
        </w:tabs>
        <w:ind w:left="570" w:hanging="570"/>
      </w:pPr>
    </w:lvl>
    <w:lvl w:ilvl="6" w:tentative="0">
      <w:start w:val="1"/>
      <w:numFmt w:val="decimal"/>
      <w:isLgl/>
      <w:lvlText w:val="%1.%2.%3.%4.%5.%6.%7"/>
      <w:lvlJc w:val="left"/>
      <w:pPr>
        <w:tabs>
          <w:tab w:val="left" w:pos="570"/>
        </w:tabs>
        <w:ind w:left="570" w:hanging="570"/>
      </w:pPr>
    </w:lvl>
    <w:lvl w:ilvl="7" w:tentative="0">
      <w:start w:val="1"/>
      <w:numFmt w:val="decimal"/>
      <w:isLgl/>
      <w:lvlText w:val="%1.%2.%3.%4.%5.%6.%7.%8"/>
      <w:lvlJc w:val="left"/>
      <w:pPr>
        <w:tabs>
          <w:tab w:val="left" w:pos="570"/>
        </w:tabs>
        <w:ind w:left="570" w:hanging="570"/>
      </w:pPr>
    </w:lvl>
    <w:lvl w:ilvl="8" w:tentative="0">
      <w:start w:val="1"/>
      <w:numFmt w:val="decimal"/>
      <w:isLgl/>
      <w:lvlText w:val="%1.%2.%3.%4.%5.%6.%7.%8.%9"/>
      <w:lvlJc w:val="left"/>
      <w:pPr>
        <w:tabs>
          <w:tab w:val="left" w:pos="570"/>
        </w:tabs>
        <w:ind w:left="570" w:hanging="570"/>
      </w:pPr>
    </w:lvl>
  </w:abstractNum>
  <w:abstractNum w:abstractNumId="8">
    <w:nsid w:val="10635673"/>
    <w:multiLevelType w:val="multilevel"/>
    <w:tmpl w:val="10635673"/>
    <w:lvl w:ilvl="0" w:tentative="0">
      <w:start w:val="1"/>
      <w:numFmt w:val="decimal"/>
      <w:pStyle w:val="44"/>
      <w:lvlText w:val="%1."/>
      <w:lvlJc w:val="left"/>
      <w:pPr>
        <w:tabs>
          <w:tab w:val="left" w:pos="1000"/>
        </w:tabs>
        <w:ind w:left="1000" w:hanging="36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9">
    <w:nsid w:val="171359DD"/>
    <w:multiLevelType w:val="multilevel"/>
    <w:tmpl w:val="171359D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24"/>
      <w:lvlText w:val=""/>
      <w:lvlJc w:val="left"/>
      <w:pPr>
        <w:tabs>
          <w:tab w:val="left" w:pos="3780"/>
        </w:tabs>
        <w:ind w:left="3780" w:hanging="420"/>
      </w:pPr>
      <w:rPr>
        <w:rFonts w:hint="default" w:ascii="Wingdings" w:hAnsi="Wingdings"/>
      </w:rPr>
    </w:lvl>
  </w:abstractNum>
  <w:abstractNum w:abstractNumId="10">
    <w:nsid w:val="17486058"/>
    <w:multiLevelType w:val="multilevel"/>
    <w:tmpl w:val="17486058"/>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pStyle w:val="291"/>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1F1468F9"/>
    <w:multiLevelType w:val="multilevel"/>
    <w:tmpl w:val="1F1468F9"/>
    <w:lvl w:ilvl="0" w:tentative="0">
      <w:start w:val="1"/>
      <w:numFmt w:val="japaneseCounting"/>
      <w:pStyle w:val="210"/>
      <w:lvlText w:val="%1、"/>
      <w:lvlJc w:val="left"/>
      <w:pPr>
        <w:tabs>
          <w:tab w:val="left" w:pos="1360"/>
        </w:tabs>
        <w:ind w:left="1360" w:hanging="720"/>
      </w:pPr>
      <w:rPr>
        <w:rFonts w:hint="default"/>
      </w:rPr>
    </w:lvl>
    <w:lvl w:ilvl="1" w:tentative="0">
      <w:start w:val="1"/>
      <w:numFmt w:val="lowerLetter"/>
      <w:pStyle w:val="217"/>
      <w:lvlText w:val="%2)"/>
      <w:lvlJc w:val="left"/>
      <w:pPr>
        <w:tabs>
          <w:tab w:val="left" w:pos="1480"/>
        </w:tabs>
        <w:ind w:left="1480" w:hanging="420"/>
      </w:pPr>
    </w:lvl>
    <w:lvl w:ilvl="2" w:tentative="0">
      <w:start w:val="1"/>
      <w:numFmt w:val="lowerRoman"/>
      <w:pStyle w:val="207"/>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12">
    <w:nsid w:val="211C7829"/>
    <w:multiLevelType w:val="multilevel"/>
    <w:tmpl w:val="211C7829"/>
    <w:lvl w:ilvl="0" w:tentative="0">
      <w:start w:val="1"/>
      <w:numFmt w:val="decimal"/>
      <w:lvlText w:val="%1、"/>
      <w:lvlJc w:val="left"/>
      <w:pPr>
        <w:tabs>
          <w:tab w:val="left" w:pos="360"/>
        </w:tabs>
        <w:ind w:left="360" w:hanging="360"/>
      </w:pPr>
      <w:rPr>
        <w:rFonts w:hint="eastAsia" w:ascii="Times New Roman"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6845082"/>
    <w:multiLevelType w:val="multilevel"/>
    <w:tmpl w:val="26845082"/>
    <w:lvl w:ilvl="0" w:tentative="0">
      <w:start w:val="1"/>
      <w:numFmt w:val="decimal"/>
      <w:pStyle w:val="220"/>
      <w:lvlText w:val="%1."/>
      <w:lvlJc w:val="left"/>
      <w:pPr>
        <w:ind w:left="420" w:hanging="420"/>
      </w:pPr>
    </w:lvl>
    <w:lvl w:ilvl="1" w:tentative="0">
      <w:start w:val="1"/>
      <w:numFmt w:val="decimal"/>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DB9C813"/>
    <w:multiLevelType w:val="singleLevel"/>
    <w:tmpl w:val="2DB9C813"/>
    <w:lvl w:ilvl="0" w:tentative="0">
      <w:start w:val="3"/>
      <w:numFmt w:val="chineseCounting"/>
      <w:suff w:val="space"/>
      <w:lvlText w:val="第%1章"/>
      <w:lvlJc w:val="left"/>
      <w:rPr>
        <w:rFonts w:hint="eastAsia"/>
      </w:rPr>
    </w:lvl>
  </w:abstractNum>
  <w:abstractNum w:abstractNumId="15">
    <w:nsid w:val="40277124"/>
    <w:multiLevelType w:val="singleLevel"/>
    <w:tmpl w:val="40277124"/>
    <w:lvl w:ilvl="0" w:tentative="0">
      <w:start w:val="1"/>
      <w:numFmt w:val="decimal"/>
      <w:suff w:val="nothing"/>
      <w:lvlText w:val="%1、"/>
      <w:lvlJc w:val="left"/>
    </w:lvl>
  </w:abstractNum>
  <w:abstractNum w:abstractNumId="16">
    <w:nsid w:val="450D9FEF"/>
    <w:multiLevelType w:val="singleLevel"/>
    <w:tmpl w:val="450D9FEF"/>
    <w:lvl w:ilvl="0" w:tentative="0">
      <w:start w:val="1"/>
      <w:numFmt w:val="decimal"/>
      <w:suff w:val="nothing"/>
      <w:lvlText w:val="%1、"/>
      <w:lvlJc w:val="left"/>
    </w:lvl>
  </w:abstractNum>
  <w:abstractNum w:abstractNumId="17">
    <w:nsid w:val="5A33DCAB"/>
    <w:multiLevelType w:val="singleLevel"/>
    <w:tmpl w:val="5A33DCAB"/>
    <w:lvl w:ilvl="0" w:tentative="0">
      <w:start w:val="1"/>
      <w:numFmt w:val="decimal"/>
      <w:suff w:val="nothing"/>
      <w:lvlText w:val="%1、"/>
      <w:lvlJc w:val="left"/>
    </w:lvl>
  </w:abstractNum>
  <w:abstractNum w:abstractNumId="18">
    <w:nsid w:val="690F2A5C"/>
    <w:multiLevelType w:val="singleLevel"/>
    <w:tmpl w:val="690F2A5C"/>
    <w:lvl w:ilvl="0" w:tentative="0">
      <w:start w:val="2"/>
      <w:numFmt w:val="decimal"/>
      <w:suff w:val="nothing"/>
      <w:lvlText w:val="%1、"/>
      <w:lvlJc w:val="left"/>
    </w:lvl>
  </w:abstractNum>
  <w:abstractNum w:abstractNumId="19">
    <w:nsid w:val="6A9A5F31"/>
    <w:multiLevelType w:val="multilevel"/>
    <w:tmpl w:val="6A9A5F31"/>
    <w:lvl w:ilvl="0" w:tentative="0">
      <w:start w:val="1"/>
      <w:numFmt w:val="decimal"/>
      <w:pStyle w:val="329"/>
      <w:lvlText w:val="%1."/>
      <w:lvlJc w:val="left"/>
      <w:pPr>
        <w:tabs>
          <w:tab w:val="left" w:pos="1000"/>
        </w:tabs>
        <w:ind w:left="1000" w:hanging="36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pStyle w:val="183"/>
      <w:lvlText w:val="%9."/>
      <w:lvlJc w:val="right"/>
      <w:pPr>
        <w:tabs>
          <w:tab w:val="left" w:pos="4420"/>
        </w:tabs>
        <w:ind w:left="4420" w:hanging="420"/>
      </w:pPr>
    </w:lvl>
  </w:abstractNum>
  <w:abstractNum w:abstractNumId="20">
    <w:nsid w:val="6D9F4248"/>
    <w:multiLevelType w:val="singleLevel"/>
    <w:tmpl w:val="6D9F4248"/>
    <w:lvl w:ilvl="0" w:tentative="0">
      <w:start w:val="1"/>
      <w:numFmt w:val="decimal"/>
      <w:pStyle w:val="364"/>
      <w:lvlText w:val="%1）"/>
      <w:lvlJc w:val="left"/>
      <w:pPr>
        <w:tabs>
          <w:tab w:val="left" w:pos="1050"/>
        </w:tabs>
        <w:ind w:left="1050" w:hanging="450"/>
      </w:pPr>
      <w:rPr>
        <w:rFonts w:hint="eastAsia"/>
      </w:rPr>
    </w:lvl>
  </w:abstractNum>
  <w:abstractNum w:abstractNumId="21">
    <w:nsid w:val="71B90AF5"/>
    <w:multiLevelType w:val="multilevel"/>
    <w:tmpl w:val="71B90AF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F55C18"/>
    <w:multiLevelType w:val="singleLevel"/>
    <w:tmpl w:val="74F55C18"/>
    <w:lvl w:ilvl="0" w:tentative="0">
      <w:start w:val="1"/>
      <w:numFmt w:val="decimal"/>
      <w:suff w:val="nothing"/>
      <w:lvlText w:val="%1、"/>
      <w:lvlJc w:val="left"/>
    </w:lvl>
  </w:abstractNum>
  <w:abstractNum w:abstractNumId="23">
    <w:nsid w:val="76635D3F"/>
    <w:multiLevelType w:val="singleLevel"/>
    <w:tmpl w:val="76635D3F"/>
    <w:lvl w:ilvl="0" w:tentative="0">
      <w:start w:val="2"/>
      <w:numFmt w:val="decimal"/>
      <w:suff w:val="space"/>
      <w:lvlText w:val="%1、"/>
      <w:lvlJc w:val="left"/>
    </w:lvl>
  </w:abstractNum>
  <w:num w:numId="1">
    <w:abstractNumId w:val="6"/>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9"/>
  </w:num>
  <w:num w:numId="6">
    <w:abstractNumId w:val="11"/>
  </w:num>
  <w:num w:numId="7">
    <w:abstractNumId w:val="13"/>
  </w:num>
  <w:num w:numId="8">
    <w:abstractNumId w:val="10"/>
  </w:num>
  <w:num w:numId="9">
    <w:abstractNumId w:val="20"/>
  </w:num>
  <w:num w:numId="10">
    <w:abstractNumId w:val="23"/>
  </w:num>
  <w:num w:numId="11">
    <w:abstractNumId w:val="0"/>
  </w:num>
  <w:num w:numId="12">
    <w:abstractNumId w:val="14"/>
  </w:num>
  <w:num w:numId="13">
    <w:abstractNumId w:val="18"/>
  </w:num>
  <w:num w:numId="14">
    <w:abstractNumId w:val="21"/>
  </w:num>
  <w:num w:numId="15">
    <w:abstractNumId w:val="16"/>
  </w:num>
  <w:num w:numId="16">
    <w:abstractNumId w:val="4"/>
  </w:num>
  <w:num w:numId="17">
    <w:abstractNumId w:val="22"/>
  </w:num>
  <w:num w:numId="18">
    <w:abstractNumId w:val="2"/>
  </w:num>
  <w:num w:numId="19">
    <w:abstractNumId w:val="5"/>
  </w:num>
  <w:num w:numId="20">
    <w:abstractNumId w:val="3"/>
  </w:num>
  <w:num w:numId="21">
    <w:abstractNumId w:val="15"/>
  </w:num>
  <w:num w:numId="22">
    <w:abstractNumId w:val="1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FCD"/>
    <w:rsid w:val="00000AEA"/>
    <w:rsid w:val="00000DDA"/>
    <w:rsid w:val="00003DF0"/>
    <w:rsid w:val="000102F3"/>
    <w:rsid w:val="000134DD"/>
    <w:rsid w:val="000136D3"/>
    <w:rsid w:val="00014327"/>
    <w:rsid w:val="00015D1E"/>
    <w:rsid w:val="000167E6"/>
    <w:rsid w:val="00020F60"/>
    <w:rsid w:val="00022A20"/>
    <w:rsid w:val="00022D26"/>
    <w:rsid w:val="00024560"/>
    <w:rsid w:val="00030505"/>
    <w:rsid w:val="0003278E"/>
    <w:rsid w:val="00034A43"/>
    <w:rsid w:val="000352C5"/>
    <w:rsid w:val="00035885"/>
    <w:rsid w:val="00036222"/>
    <w:rsid w:val="00043900"/>
    <w:rsid w:val="000449B9"/>
    <w:rsid w:val="00044D2B"/>
    <w:rsid w:val="00047A39"/>
    <w:rsid w:val="000546D5"/>
    <w:rsid w:val="00056544"/>
    <w:rsid w:val="000612C4"/>
    <w:rsid w:val="0006152D"/>
    <w:rsid w:val="000625F2"/>
    <w:rsid w:val="0006428E"/>
    <w:rsid w:val="000656E6"/>
    <w:rsid w:val="000705D3"/>
    <w:rsid w:val="0007163E"/>
    <w:rsid w:val="00075AD1"/>
    <w:rsid w:val="00076211"/>
    <w:rsid w:val="00086AC1"/>
    <w:rsid w:val="00092CBF"/>
    <w:rsid w:val="000A0583"/>
    <w:rsid w:val="000A06AE"/>
    <w:rsid w:val="000A102D"/>
    <w:rsid w:val="000A22E2"/>
    <w:rsid w:val="000A41BE"/>
    <w:rsid w:val="000B11EF"/>
    <w:rsid w:val="000C56DE"/>
    <w:rsid w:val="000D1E04"/>
    <w:rsid w:val="000D3357"/>
    <w:rsid w:val="000D368C"/>
    <w:rsid w:val="000E11DE"/>
    <w:rsid w:val="000E4367"/>
    <w:rsid w:val="000E4CCF"/>
    <w:rsid w:val="000E4D22"/>
    <w:rsid w:val="000E4DA1"/>
    <w:rsid w:val="000E5E87"/>
    <w:rsid w:val="000E7DF6"/>
    <w:rsid w:val="000F0F00"/>
    <w:rsid w:val="000F5E09"/>
    <w:rsid w:val="000F6DD6"/>
    <w:rsid w:val="001003EC"/>
    <w:rsid w:val="00102E7D"/>
    <w:rsid w:val="001048A5"/>
    <w:rsid w:val="00105061"/>
    <w:rsid w:val="001073BD"/>
    <w:rsid w:val="00112CFC"/>
    <w:rsid w:val="00122E6E"/>
    <w:rsid w:val="00125224"/>
    <w:rsid w:val="00126CDC"/>
    <w:rsid w:val="001304E5"/>
    <w:rsid w:val="0013418A"/>
    <w:rsid w:val="00136683"/>
    <w:rsid w:val="00136B1C"/>
    <w:rsid w:val="001405FB"/>
    <w:rsid w:val="00140736"/>
    <w:rsid w:val="001479B2"/>
    <w:rsid w:val="00150B0B"/>
    <w:rsid w:val="0015792D"/>
    <w:rsid w:val="001615CB"/>
    <w:rsid w:val="00165B27"/>
    <w:rsid w:val="00166AAC"/>
    <w:rsid w:val="00167545"/>
    <w:rsid w:val="00170F86"/>
    <w:rsid w:val="001739F4"/>
    <w:rsid w:val="00191086"/>
    <w:rsid w:val="001929EC"/>
    <w:rsid w:val="001944BA"/>
    <w:rsid w:val="00195435"/>
    <w:rsid w:val="001A3269"/>
    <w:rsid w:val="001A432C"/>
    <w:rsid w:val="001B0FD7"/>
    <w:rsid w:val="001B26E8"/>
    <w:rsid w:val="001B3765"/>
    <w:rsid w:val="001B523D"/>
    <w:rsid w:val="001B5C95"/>
    <w:rsid w:val="001C00B2"/>
    <w:rsid w:val="001C03B4"/>
    <w:rsid w:val="001C244E"/>
    <w:rsid w:val="001C42FE"/>
    <w:rsid w:val="001C553D"/>
    <w:rsid w:val="001C5C1A"/>
    <w:rsid w:val="001C6827"/>
    <w:rsid w:val="001E1023"/>
    <w:rsid w:val="001E4953"/>
    <w:rsid w:val="001E7482"/>
    <w:rsid w:val="001F7BE4"/>
    <w:rsid w:val="00200216"/>
    <w:rsid w:val="00200317"/>
    <w:rsid w:val="00203A5E"/>
    <w:rsid w:val="00204228"/>
    <w:rsid w:val="00211E9C"/>
    <w:rsid w:val="00212250"/>
    <w:rsid w:val="00216CED"/>
    <w:rsid w:val="002171EC"/>
    <w:rsid w:val="00217849"/>
    <w:rsid w:val="002207F9"/>
    <w:rsid w:val="00227536"/>
    <w:rsid w:val="00230CA6"/>
    <w:rsid w:val="00235122"/>
    <w:rsid w:val="0023520A"/>
    <w:rsid w:val="00241E50"/>
    <w:rsid w:val="00243DA6"/>
    <w:rsid w:val="00245676"/>
    <w:rsid w:val="00245EF3"/>
    <w:rsid w:val="00247CF6"/>
    <w:rsid w:val="00251FBF"/>
    <w:rsid w:val="0025215D"/>
    <w:rsid w:val="0025498D"/>
    <w:rsid w:val="0026102C"/>
    <w:rsid w:val="00264A32"/>
    <w:rsid w:val="00264F51"/>
    <w:rsid w:val="00271EAD"/>
    <w:rsid w:val="00273E2E"/>
    <w:rsid w:val="0027419C"/>
    <w:rsid w:val="00281F9F"/>
    <w:rsid w:val="0028293E"/>
    <w:rsid w:val="00283C51"/>
    <w:rsid w:val="00290391"/>
    <w:rsid w:val="0029194B"/>
    <w:rsid w:val="00292185"/>
    <w:rsid w:val="0029293F"/>
    <w:rsid w:val="00292DB0"/>
    <w:rsid w:val="002A0E05"/>
    <w:rsid w:val="002A1A24"/>
    <w:rsid w:val="002A4B2D"/>
    <w:rsid w:val="002A53F6"/>
    <w:rsid w:val="002A56D7"/>
    <w:rsid w:val="002A58FF"/>
    <w:rsid w:val="002C2E0E"/>
    <w:rsid w:val="002C5179"/>
    <w:rsid w:val="002C52A3"/>
    <w:rsid w:val="002C56BE"/>
    <w:rsid w:val="002C5E72"/>
    <w:rsid w:val="002C768C"/>
    <w:rsid w:val="002D1385"/>
    <w:rsid w:val="002D16D4"/>
    <w:rsid w:val="002D23E7"/>
    <w:rsid w:val="002D4B10"/>
    <w:rsid w:val="002D546F"/>
    <w:rsid w:val="002E038E"/>
    <w:rsid w:val="002E255C"/>
    <w:rsid w:val="002E40F4"/>
    <w:rsid w:val="002E42C0"/>
    <w:rsid w:val="002E519F"/>
    <w:rsid w:val="002E5283"/>
    <w:rsid w:val="002F084A"/>
    <w:rsid w:val="002F6610"/>
    <w:rsid w:val="002F6FB9"/>
    <w:rsid w:val="002F7BF0"/>
    <w:rsid w:val="003023DD"/>
    <w:rsid w:val="003042C5"/>
    <w:rsid w:val="00334591"/>
    <w:rsid w:val="003351A8"/>
    <w:rsid w:val="00335618"/>
    <w:rsid w:val="00336405"/>
    <w:rsid w:val="00341F88"/>
    <w:rsid w:val="003426A9"/>
    <w:rsid w:val="0034295F"/>
    <w:rsid w:val="00342B32"/>
    <w:rsid w:val="00344970"/>
    <w:rsid w:val="00346BCF"/>
    <w:rsid w:val="0034724F"/>
    <w:rsid w:val="00347CD0"/>
    <w:rsid w:val="0035602D"/>
    <w:rsid w:val="00361CF9"/>
    <w:rsid w:val="003629E4"/>
    <w:rsid w:val="0036410A"/>
    <w:rsid w:val="003707C8"/>
    <w:rsid w:val="00375776"/>
    <w:rsid w:val="00376997"/>
    <w:rsid w:val="00376BEC"/>
    <w:rsid w:val="00382375"/>
    <w:rsid w:val="00382B8A"/>
    <w:rsid w:val="003834AF"/>
    <w:rsid w:val="00383817"/>
    <w:rsid w:val="0038713F"/>
    <w:rsid w:val="00393790"/>
    <w:rsid w:val="003A41CB"/>
    <w:rsid w:val="003B0DCE"/>
    <w:rsid w:val="003B1831"/>
    <w:rsid w:val="003B38A8"/>
    <w:rsid w:val="003B3B19"/>
    <w:rsid w:val="003B69B0"/>
    <w:rsid w:val="003C16B9"/>
    <w:rsid w:val="003C1FA9"/>
    <w:rsid w:val="003C2723"/>
    <w:rsid w:val="003C555C"/>
    <w:rsid w:val="003C5C65"/>
    <w:rsid w:val="003C759F"/>
    <w:rsid w:val="003C7FDE"/>
    <w:rsid w:val="003D0E6D"/>
    <w:rsid w:val="003D2FC1"/>
    <w:rsid w:val="003E3071"/>
    <w:rsid w:val="003E3DAC"/>
    <w:rsid w:val="003E3F41"/>
    <w:rsid w:val="003E55C2"/>
    <w:rsid w:val="003F71ED"/>
    <w:rsid w:val="003F7D41"/>
    <w:rsid w:val="004004EA"/>
    <w:rsid w:val="0040075F"/>
    <w:rsid w:val="0040537A"/>
    <w:rsid w:val="0040696B"/>
    <w:rsid w:val="0041036E"/>
    <w:rsid w:val="00413A28"/>
    <w:rsid w:val="004201C2"/>
    <w:rsid w:val="00421DE0"/>
    <w:rsid w:val="00422ECF"/>
    <w:rsid w:val="004250E5"/>
    <w:rsid w:val="004307DA"/>
    <w:rsid w:val="00436CD1"/>
    <w:rsid w:val="0043799B"/>
    <w:rsid w:val="00443853"/>
    <w:rsid w:val="00451AC1"/>
    <w:rsid w:val="004572F7"/>
    <w:rsid w:val="004577E0"/>
    <w:rsid w:val="00460766"/>
    <w:rsid w:val="00465C92"/>
    <w:rsid w:val="00466CDE"/>
    <w:rsid w:val="00467BCB"/>
    <w:rsid w:val="00472DCE"/>
    <w:rsid w:val="0047332B"/>
    <w:rsid w:val="004777C0"/>
    <w:rsid w:val="00490378"/>
    <w:rsid w:val="00490EB6"/>
    <w:rsid w:val="00491671"/>
    <w:rsid w:val="004917A2"/>
    <w:rsid w:val="0049544D"/>
    <w:rsid w:val="004A389E"/>
    <w:rsid w:val="004A40E2"/>
    <w:rsid w:val="004A5EE5"/>
    <w:rsid w:val="004B4757"/>
    <w:rsid w:val="004B4F30"/>
    <w:rsid w:val="004B4F5D"/>
    <w:rsid w:val="004B5B6A"/>
    <w:rsid w:val="004B7B78"/>
    <w:rsid w:val="004C1170"/>
    <w:rsid w:val="004C11A4"/>
    <w:rsid w:val="004C209B"/>
    <w:rsid w:val="004C278A"/>
    <w:rsid w:val="004C522A"/>
    <w:rsid w:val="004C6AE5"/>
    <w:rsid w:val="004D3651"/>
    <w:rsid w:val="004D6CBC"/>
    <w:rsid w:val="004D7DA3"/>
    <w:rsid w:val="004E615D"/>
    <w:rsid w:val="004E6914"/>
    <w:rsid w:val="004F0562"/>
    <w:rsid w:val="004F1888"/>
    <w:rsid w:val="004F7549"/>
    <w:rsid w:val="004F7E5B"/>
    <w:rsid w:val="00500D26"/>
    <w:rsid w:val="005024CA"/>
    <w:rsid w:val="005047D8"/>
    <w:rsid w:val="00512955"/>
    <w:rsid w:val="00512B57"/>
    <w:rsid w:val="00514B7C"/>
    <w:rsid w:val="005168A2"/>
    <w:rsid w:val="00517FFA"/>
    <w:rsid w:val="00520252"/>
    <w:rsid w:val="00521633"/>
    <w:rsid w:val="00526058"/>
    <w:rsid w:val="00532C70"/>
    <w:rsid w:val="005332A3"/>
    <w:rsid w:val="00533AD3"/>
    <w:rsid w:val="00534579"/>
    <w:rsid w:val="00534DB3"/>
    <w:rsid w:val="005364E1"/>
    <w:rsid w:val="005404AB"/>
    <w:rsid w:val="00540FFD"/>
    <w:rsid w:val="00541FC4"/>
    <w:rsid w:val="00551AE8"/>
    <w:rsid w:val="005534F2"/>
    <w:rsid w:val="005549B3"/>
    <w:rsid w:val="00555E57"/>
    <w:rsid w:val="00561655"/>
    <w:rsid w:val="0056293B"/>
    <w:rsid w:val="00562BE0"/>
    <w:rsid w:val="00563232"/>
    <w:rsid w:val="00565621"/>
    <w:rsid w:val="00566F13"/>
    <w:rsid w:val="0056796B"/>
    <w:rsid w:val="00570F8D"/>
    <w:rsid w:val="00571CC4"/>
    <w:rsid w:val="00573964"/>
    <w:rsid w:val="00576987"/>
    <w:rsid w:val="00580C33"/>
    <w:rsid w:val="00580C50"/>
    <w:rsid w:val="00581369"/>
    <w:rsid w:val="00583843"/>
    <w:rsid w:val="00585770"/>
    <w:rsid w:val="00590B02"/>
    <w:rsid w:val="00590EAD"/>
    <w:rsid w:val="00594C11"/>
    <w:rsid w:val="0059502F"/>
    <w:rsid w:val="005A6E37"/>
    <w:rsid w:val="005B0E24"/>
    <w:rsid w:val="005B3B7D"/>
    <w:rsid w:val="005B7DE3"/>
    <w:rsid w:val="005C0200"/>
    <w:rsid w:val="005C6264"/>
    <w:rsid w:val="005C7FD4"/>
    <w:rsid w:val="005D15C4"/>
    <w:rsid w:val="005D2471"/>
    <w:rsid w:val="005D28D5"/>
    <w:rsid w:val="005E0521"/>
    <w:rsid w:val="005E3E88"/>
    <w:rsid w:val="005E3EA9"/>
    <w:rsid w:val="005E4FF6"/>
    <w:rsid w:val="005F056E"/>
    <w:rsid w:val="005F1F99"/>
    <w:rsid w:val="005F5405"/>
    <w:rsid w:val="005F6E83"/>
    <w:rsid w:val="006034DD"/>
    <w:rsid w:val="00610574"/>
    <w:rsid w:val="00610D13"/>
    <w:rsid w:val="006132FB"/>
    <w:rsid w:val="00616421"/>
    <w:rsid w:val="00617BFD"/>
    <w:rsid w:val="006212F7"/>
    <w:rsid w:val="006246B9"/>
    <w:rsid w:val="006254B1"/>
    <w:rsid w:val="0062599E"/>
    <w:rsid w:val="00625E54"/>
    <w:rsid w:val="006266E2"/>
    <w:rsid w:val="00630AF0"/>
    <w:rsid w:val="00634877"/>
    <w:rsid w:val="006443CE"/>
    <w:rsid w:val="00645328"/>
    <w:rsid w:val="006457D0"/>
    <w:rsid w:val="00646FC1"/>
    <w:rsid w:val="0064780F"/>
    <w:rsid w:val="006505B8"/>
    <w:rsid w:val="00660F16"/>
    <w:rsid w:val="006620AF"/>
    <w:rsid w:val="00664F0C"/>
    <w:rsid w:val="006668B6"/>
    <w:rsid w:val="00670A57"/>
    <w:rsid w:val="00670AE4"/>
    <w:rsid w:val="006721C0"/>
    <w:rsid w:val="0067363E"/>
    <w:rsid w:val="00673B9A"/>
    <w:rsid w:val="00675331"/>
    <w:rsid w:val="00676E72"/>
    <w:rsid w:val="00683023"/>
    <w:rsid w:val="0069131F"/>
    <w:rsid w:val="006919B2"/>
    <w:rsid w:val="006926A8"/>
    <w:rsid w:val="00694755"/>
    <w:rsid w:val="006A30E5"/>
    <w:rsid w:val="006A502F"/>
    <w:rsid w:val="006B121E"/>
    <w:rsid w:val="006B18E7"/>
    <w:rsid w:val="006B2B21"/>
    <w:rsid w:val="006B36F6"/>
    <w:rsid w:val="006C1C88"/>
    <w:rsid w:val="006C6E9D"/>
    <w:rsid w:val="006D0F48"/>
    <w:rsid w:val="006D1905"/>
    <w:rsid w:val="006D2865"/>
    <w:rsid w:val="006D5447"/>
    <w:rsid w:val="006D6482"/>
    <w:rsid w:val="006D6CF4"/>
    <w:rsid w:val="006D7196"/>
    <w:rsid w:val="006D7565"/>
    <w:rsid w:val="006E08B3"/>
    <w:rsid w:val="006F267E"/>
    <w:rsid w:val="006F5E01"/>
    <w:rsid w:val="00701ED3"/>
    <w:rsid w:val="00702269"/>
    <w:rsid w:val="007022CE"/>
    <w:rsid w:val="00702F4D"/>
    <w:rsid w:val="0071327B"/>
    <w:rsid w:val="00716D64"/>
    <w:rsid w:val="00717ABF"/>
    <w:rsid w:val="00720121"/>
    <w:rsid w:val="00720758"/>
    <w:rsid w:val="00722EA2"/>
    <w:rsid w:val="007373C0"/>
    <w:rsid w:val="00737833"/>
    <w:rsid w:val="00740BC7"/>
    <w:rsid w:val="00741A91"/>
    <w:rsid w:val="007422A3"/>
    <w:rsid w:val="007446BA"/>
    <w:rsid w:val="00747D7F"/>
    <w:rsid w:val="00754010"/>
    <w:rsid w:val="00756FAE"/>
    <w:rsid w:val="00757CDD"/>
    <w:rsid w:val="00764E5E"/>
    <w:rsid w:val="00766F7C"/>
    <w:rsid w:val="00770DEC"/>
    <w:rsid w:val="00771411"/>
    <w:rsid w:val="0077384C"/>
    <w:rsid w:val="007771AB"/>
    <w:rsid w:val="007814CD"/>
    <w:rsid w:val="0078669A"/>
    <w:rsid w:val="0079167A"/>
    <w:rsid w:val="007942B8"/>
    <w:rsid w:val="00795068"/>
    <w:rsid w:val="007954DF"/>
    <w:rsid w:val="00795BA6"/>
    <w:rsid w:val="00797539"/>
    <w:rsid w:val="007A00B2"/>
    <w:rsid w:val="007A15F9"/>
    <w:rsid w:val="007A3609"/>
    <w:rsid w:val="007A5C8E"/>
    <w:rsid w:val="007A6ADC"/>
    <w:rsid w:val="007A7A17"/>
    <w:rsid w:val="007B34C7"/>
    <w:rsid w:val="007B4BD3"/>
    <w:rsid w:val="007B725C"/>
    <w:rsid w:val="007C2B26"/>
    <w:rsid w:val="007C52E1"/>
    <w:rsid w:val="007C55EA"/>
    <w:rsid w:val="007C5E07"/>
    <w:rsid w:val="007C62DA"/>
    <w:rsid w:val="007D13E2"/>
    <w:rsid w:val="007D2215"/>
    <w:rsid w:val="007D32C3"/>
    <w:rsid w:val="007D686C"/>
    <w:rsid w:val="007E00DD"/>
    <w:rsid w:val="007E72A9"/>
    <w:rsid w:val="007E7600"/>
    <w:rsid w:val="007F391D"/>
    <w:rsid w:val="007F3B0C"/>
    <w:rsid w:val="007F4559"/>
    <w:rsid w:val="007F4862"/>
    <w:rsid w:val="007F5877"/>
    <w:rsid w:val="007F6F11"/>
    <w:rsid w:val="007F7114"/>
    <w:rsid w:val="007F7139"/>
    <w:rsid w:val="007F71DA"/>
    <w:rsid w:val="0080278D"/>
    <w:rsid w:val="00807932"/>
    <w:rsid w:val="00810D53"/>
    <w:rsid w:val="00816388"/>
    <w:rsid w:val="00817EAB"/>
    <w:rsid w:val="0082048A"/>
    <w:rsid w:val="00830F55"/>
    <w:rsid w:val="00835EDC"/>
    <w:rsid w:val="008413AC"/>
    <w:rsid w:val="00845198"/>
    <w:rsid w:val="0084746C"/>
    <w:rsid w:val="00847BFC"/>
    <w:rsid w:val="00851B27"/>
    <w:rsid w:val="00856503"/>
    <w:rsid w:val="00857A41"/>
    <w:rsid w:val="008601D6"/>
    <w:rsid w:val="00870424"/>
    <w:rsid w:val="0087583B"/>
    <w:rsid w:val="00876777"/>
    <w:rsid w:val="00883400"/>
    <w:rsid w:val="00883CCD"/>
    <w:rsid w:val="00885B3C"/>
    <w:rsid w:val="00885B7C"/>
    <w:rsid w:val="0088652F"/>
    <w:rsid w:val="00891216"/>
    <w:rsid w:val="00893BFB"/>
    <w:rsid w:val="00893F42"/>
    <w:rsid w:val="008941CB"/>
    <w:rsid w:val="00894C19"/>
    <w:rsid w:val="008952CE"/>
    <w:rsid w:val="008A041A"/>
    <w:rsid w:val="008A2299"/>
    <w:rsid w:val="008A38D7"/>
    <w:rsid w:val="008A4C64"/>
    <w:rsid w:val="008B110B"/>
    <w:rsid w:val="008B2F2D"/>
    <w:rsid w:val="008B426E"/>
    <w:rsid w:val="008C30D3"/>
    <w:rsid w:val="008D317E"/>
    <w:rsid w:val="008D71BD"/>
    <w:rsid w:val="008E2A4B"/>
    <w:rsid w:val="008E6152"/>
    <w:rsid w:val="008E65F7"/>
    <w:rsid w:val="008F43DC"/>
    <w:rsid w:val="008F4A93"/>
    <w:rsid w:val="008F6F81"/>
    <w:rsid w:val="009005ED"/>
    <w:rsid w:val="0090616A"/>
    <w:rsid w:val="00911664"/>
    <w:rsid w:val="00917B95"/>
    <w:rsid w:val="009210CF"/>
    <w:rsid w:val="00923682"/>
    <w:rsid w:val="0092654C"/>
    <w:rsid w:val="00930768"/>
    <w:rsid w:val="0093109B"/>
    <w:rsid w:val="00932B76"/>
    <w:rsid w:val="00934356"/>
    <w:rsid w:val="00935971"/>
    <w:rsid w:val="00941969"/>
    <w:rsid w:val="009540EE"/>
    <w:rsid w:val="00955B82"/>
    <w:rsid w:val="00960765"/>
    <w:rsid w:val="00960C00"/>
    <w:rsid w:val="00961CEE"/>
    <w:rsid w:val="00961F1A"/>
    <w:rsid w:val="00964B8C"/>
    <w:rsid w:val="00964C41"/>
    <w:rsid w:val="00965466"/>
    <w:rsid w:val="00965488"/>
    <w:rsid w:val="00966114"/>
    <w:rsid w:val="00970299"/>
    <w:rsid w:val="00970622"/>
    <w:rsid w:val="00971F3C"/>
    <w:rsid w:val="0097270E"/>
    <w:rsid w:val="0097295B"/>
    <w:rsid w:val="00974886"/>
    <w:rsid w:val="0097524E"/>
    <w:rsid w:val="00980606"/>
    <w:rsid w:val="009809B2"/>
    <w:rsid w:val="00985DF9"/>
    <w:rsid w:val="00993F87"/>
    <w:rsid w:val="009953F0"/>
    <w:rsid w:val="00995BB7"/>
    <w:rsid w:val="00997269"/>
    <w:rsid w:val="009A03F2"/>
    <w:rsid w:val="009B573A"/>
    <w:rsid w:val="009C35B0"/>
    <w:rsid w:val="009D0F53"/>
    <w:rsid w:val="009D2478"/>
    <w:rsid w:val="009D5546"/>
    <w:rsid w:val="009E1923"/>
    <w:rsid w:val="009E4564"/>
    <w:rsid w:val="009E4AA0"/>
    <w:rsid w:val="009E505E"/>
    <w:rsid w:val="00A0033A"/>
    <w:rsid w:val="00A01127"/>
    <w:rsid w:val="00A040F7"/>
    <w:rsid w:val="00A04136"/>
    <w:rsid w:val="00A05775"/>
    <w:rsid w:val="00A05BFE"/>
    <w:rsid w:val="00A05DE9"/>
    <w:rsid w:val="00A1208F"/>
    <w:rsid w:val="00A150B4"/>
    <w:rsid w:val="00A15FB3"/>
    <w:rsid w:val="00A22FDE"/>
    <w:rsid w:val="00A24349"/>
    <w:rsid w:val="00A266B4"/>
    <w:rsid w:val="00A363C0"/>
    <w:rsid w:val="00A40E43"/>
    <w:rsid w:val="00A41258"/>
    <w:rsid w:val="00A41DA0"/>
    <w:rsid w:val="00A435BD"/>
    <w:rsid w:val="00A44C17"/>
    <w:rsid w:val="00A47A4E"/>
    <w:rsid w:val="00A54B2B"/>
    <w:rsid w:val="00A57223"/>
    <w:rsid w:val="00A574B7"/>
    <w:rsid w:val="00A61A22"/>
    <w:rsid w:val="00A64F2E"/>
    <w:rsid w:val="00A6590F"/>
    <w:rsid w:val="00A66B5D"/>
    <w:rsid w:val="00A67661"/>
    <w:rsid w:val="00A70A19"/>
    <w:rsid w:val="00A70BDC"/>
    <w:rsid w:val="00A7288C"/>
    <w:rsid w:val="00A73B00"/>
    <w:rsid w:val="00A80A75"/>
    <w:rsid w:val="00A8119B"/>
    <w:rsid w:val="00A82AFE"/>
    <w:rsid w:val="00A84755"/>
    <w:rsid w:val="00A84912"/>
    <w:rsid w:val="00A84D56"/>
    <w:rsid w:val="00A863E1"/>
    <w:rsid w:val="00A86EF4"/>
    <w:rsid w:val="00A87D4D"/>
    <w:rsid w:val="00A906A1"/>
    <w:rsid w:val="00A949F2"/>
    <w:rsid w:val="00AA4907"/>
    <w:rsid w:val="00AA4C88"/>
    <w:rsid w:val="00AA698B"/>
    <w:rsid w:val="00AB1B73"/>
    <w:rsid w:val="00AB2B68"/>
    <w:rsid w:val="00AB5BC7"/>
    <w:rsid w:val="00AB734E"/>
    <w:rsid w:val="00AB764C"/>
    <w:rsid w:val="00AC0293"/>
    <w:rsid w:val="00AC0C3C"/>
    <w:rsid w:val="00AC1DF7"/>
    <w:rsid w:val="00AC30FA"/>
    <w:rsid w:val="00AC55ED"/>
    <w:rsid w:val="00AD2362"/>
    <w:rsid w:val="00AD3B93"/>
    <w:rsid w:val="00AD3C57"/>
    <w:rsid w:val="00AD59A6"/>
    <w:rsid w:val="00AF3D22"/>
    <w:rsid w:val="00AF7C7E"/>
    <w:rsid w:val="00B01220"/>
    <w:rsid w:val="00B01BE4"/>
    <w:rsid w:val="00B03AD3"/>
    <w:rsid w:val="00B07097"/>
    <w:rsid w:val="00B100D9"/>
    <w:rsid w:val="00B1264A"/>
    <w:rsid w:val="00B13213"/>
    <w:rsid w:val="00B13B9C"/>
    <w:rsid w:val="00B16A30"/>
    <w:rsid w:val="00B220DF"/>
    <w:rsid w:val="00B23411"/>
    <w:rsid w:val="00B25BAE"/>
    <w:rsid w:val="00B269C9"/>
    <w:rsid w:val="00B2770C"/>
    <w:rsid w:val="00B30663"/>
    <w:rsid w:val="00B31017"/>
    <w:rsid w:val="00B367E1"/>
    <w:rsid w:val="00B36D03"/>
    <w:rsid w:val="00B41DAF"/>
    <w:rsid w:val="00B41EFC"/>
    <w:rsid w:val="00B43A3C"/>
    <w:rsid w:val="00B50C39"/>
    <w:rsid w:val="00B51C11"/>
    <w:rsid w:val="00B548E6"/>
    <w:rsid w:val="00B57963"/>
    <w:rsid w:val="00B6165F"/>
    <w:rsid w:val="00B61B6B"/>
    <w:rsid w:val="00B622C7"/>
    <w:rsid w:val="00B636EF"/>
    <w:rsid w:val="00B647AB"/>
    <w:rsid w:val="00B6739D"/>
    <w:rsid w:val="00B674A8"/>
    <w:rsid w:val="00B7207A"/>
    <w:rsid w:val="00B72FFF"/>
    <w:rsid w:val="00B76B4F"/>
    <w:rsid w:val="00B80428"/>
    <w:rsid w:val="00B829FF"/>
    <w:rsid w:val="00B82DBD"/>
    <w:rsid w:val="00B82F3A"/>
    <w:rsid w:val="00B85161"/>
    <w:rsid w:val="00B8519C"/>
    <w:rsid w:val="00B90C52"/>
    <w:rsid w:val="00B91888"/>
    <w:rsid w:val="00B91A85"/>
    <w:rsid w:val="00BA146E"/>
    <w:rsid w:val="00BA29A1"/>
    <w:rsid w:val="00BA3078"/>
    <w:rsid w:val="00BA7116"/>
    <w:rsid w:val="00BA7214"/>
    <w:rsid w:val="00BB2C27"/>
    <w:rsid w:val="00BB2CA4"/>
    <w:rsid w:val="00BB557F"/>
    <w:rsid w:val="00BB74D8"/>
    <w:rsid w:val="00BC0687"/>
    <w:rsid w:val="00BC19D9"/>
    <w:rsid w:val="00BC1A74"/>
    <w:rsid w:val="00BC417B"/>
    <w:rsid w:val="00BC42E0"/>
    <w:rsid w:val="00BD54AF"/>
    <w:rsid w:val="00BE5B8F"/>
    <w:rsid w:val="00BF00A6"/>
    <w:rsid w:val="00BF04FF"/>
    <w:rsid w:val="00BF0E3B"/>
    <w:rsid w:val="00BF1518"/>
    <w:rsid w:val="00BF183B"/>
    <w:rsid w:val="00BF4434"/>
    <w:rsid w:val="00C00684"/>
    <w:rsid w:val="00C029C2"/>
    <w:rsid w:val="00C0690B"/>
    <w:rsid w:val="00C12996"/>
    <w:rsid w:val="00C12CF2"/>
    <w:rsid w:val="00C1414E"/>
    <w:rsid w:val="00C14198"/>
    <w:rsid w:val="00C30F9C"/>
    <w:rsid w:val="00C32C62"/>
    <w:rsid w:val="00C330B0"/>
    <w:rsid w:val="00C343B9"/>
    <w:rsid w:val="00C3511C"/>
    <w:rsid w:val="00C377BD"/>
    <w:rsid w:val="00C37B28"/>
    <w:rsid w:val="00C44F36"/>
    <w:rsid w:val="00C44FC5"/>
    <w:rsid w:val="00C46028"/>
    <w:rsid w:val="00C460FC"/>
    <w:rsid w:val="00C50DB0"/>
    <w:rsid w:val="00C50EC9"/>
    <w:rsid w:val="00C529A7"/>
    <w:rsid w:val="00C53F37"/>
    <w:rsid w:val="00C54814"/>
    <w:rsid w:val="00C57F06"/>
    <w:rsid w:val="00C61748"/>
    <w:rsid w:val="00C61FA3"/>
    <w:rsid w:val="00C6206A"/>
    <w:rsid w:val="00C62BEC"/>
    <w:rsid w:val="00C7052C"/>
    <w:rsid w:val="00C70581"/>
    <w:rsid w:val="00C7121C"/>
    <w:rsid w:val="00C73C7E"/>
    <w:rsid w:val="00C7634A"/>
    <w:rsid w:val="00C76FA8"/>
    <w:rsid w:val="00C77AEB"/>
    <w:rsid w:val="00C8055E"/>
    <w:rsid w:val="00C826C2"/>
    <w:rsid w:val="00C83197"/>
    <w:rsid w:val="00C91A7B"/>
    <w:rsid w:val="00C9253B"/>
    <w:rsid w:val="00C9318B"/>
    <w:rsid w:val="00C93278"/>
    <w:rsid w:val="00C9367C"/>
    <w:rsid w:val="00C9467F"/>
    <w:rsid w:val="00C96277"/>
    <w:rsid w:val="00CA1091"/>
    <w:rsid w:val="00CA1C39"/>
    <w:rsid w:val="00CA2668"/>
    <w:rsid w:val="00CA2CC5"/>
    <w:rsid w:val="00CA47A9"/>
    <w:rsid w:val="00CA7A04"/>
    <w:rsid w:val="00CB1BF6"/>
    <w:rsid w:val="00CB2833"/>
    <w:rsid w:val="00CB3496"/>
    <w:rsid w:val="00CB41B1"/>
    <w:rsid w:val="00CB66E6"/>
    <w:rsid w:val="00CB690D"/>
    <w:rsid w:val="00CB74B0"/>
    <w:rsid w:val="00CC359A"/>
    <w:rsid w:val="00CC372B"/>
    <w:rsid w:val="00CC44A2"/>
    <w:rsid w:val="00CC5794"/>
    <w:rsid w:val="00CC6952"/>
    <w:rsid w:val="00CC733D"/>
    <w:rsid w:val="00CC786E"/>
    <w:rsid w:val="00CD0CF2"/>
    <w:rsid w:val="00CD51D0"/>
    <w:rsid w:val="00CD7809"/>
    <w:rsid w:val="00CE3FA2"/>
    <w:rsid w:val="00CE46AB"/>
    <w:rsid w:val="00CE4996"/>
    <w:rsid w:val="00CE53D0"/>
    <w:rsid w:val="00CE651E"/>
    <w:rsid w:val="00CE6B38"/>
    <w:rsid w:val="00CF2C00"/>
    <w:rsid w:val="00CF746D"/>
    <w:rsid w:val="00D034D5"/>
    <w:rsid w:val="00D17C38"/>
    <w:rsid w:val="00D22E91"/>
    <w:rsid w:val="00D22FD6"/>
    <w:rsid w:val="00D25D49"/>
    <w:rsid w:val="00D315FE"/>
    <w:rsid w:val="00D33800"/>
    <w:rsid w:val="00D36B96"/>
    <w:rsid w:val="00D40C5D"/>
    <w:rsid w:val="00D473C2"/>
    <w:rsid w:val="00D52167"/>
    <w:rsid w:val="00D52673"/>
    <w:rsid w:val="00D52A88"/>
    <w:rsid w:val="00D533F2"/>
    <w:rsid w:val="00D565B2"/>
    <w:rsid w:val="00D57BB3"/>
    <w:rsid w:val="00D64159"/>
    <w:rsid w:val="00D65E20"/>
    <w:rsid w:val="00D66C4F"/>
    <w:rsid w:val="00D70994"/>
    <w:rsid w:val="00D71E82"/>
    <w:rsid w:val="00D8376F"/>
    <w:rsid w:val="00D870E4"/>
    <w:rsid w:val="00D92759"/>
    <w:rsid w:val="00D975AC"/>
    <w:rsid w:val="00DA0A93"/>
    <w:rsid w:val="00DA47F5"/>
    <w:rsid w:val="00DB040D"/>
    <w:rsid w:val="00DB36E2"/>
    <w:rsid w:val="00DB4070"/>
    <w:rsid w:val="00DB7C22"/>
    <w:rsid w:val="00DC0E1D"/>
    <w:rsid w:val="00DC1DC6"/>
    <w:rsid w:val="00DC3CCD"/>
    <w:rsid w:val="00DC58F7"/>
    <w:rsid w:val="00DD0A8D"/>
    <w:rsid w:val="00DD2142"/>
    <w:rsid w:val="00DD23B8"/>
    <w:rsid w:val="00DD27EB"/>
    <w:rsid w:val="00DD2C47"/>
    <w:rsid w:val="00DD3EBB"/>
    <w:rsid w:val="00DE1178"/>
    <w:rsid w:val="00DE3B0B"/>
    <w:rsid w:val="00DE5F9B"/>
    <w:rsid w:val="00DF08DE"/>
    <w:rsid w:val="00DF2E1C"/>
    <w:rsid w:val="00DF3540"/>
    <w:rsid w:val="00DF778F"/>
    <w:rsid w:val="00E00C89"/>
    <w:rsid w:val="00E02C6C"/>
    <w:rsid w:val="00E03BC6"/>
    <w:rsid w:val="00E063AE"/>
    <w:rsid w:val="00E11914"/>
    <w:rsid w:val="00E11E6F"/>
    <w:rsid w:val="00E126DC"/>
    <w:rsid w:val="00E1278F"/>
    <w:rsid w:val="00E15292"/>
    <w:rsid w:val="00E168DA"/>
    <w:rsid w:val="00E17A7E"/>
    <w:rsid w:val="00E23450"/>
    <w:rsid w:val="00E34FCD"/>
    <w:rsid w:val="00E3558F"/>
    <w:rsid w:val="00E359DC"/>
    <w:rsid w:val="00E36D47"/>
    <w:rsid w:val="00E37A23"/>
    <w:rsid w:val="00E43A77"/>
    <w:rsid w:val="00E45FF7"/>
    <w:rsid w:val="00E50392"/>
    <w:rsid w:val="00E50A7E"/>
    <w:rsid w:val="00E51A9B"/>
    <w:rsid w:val="00E51D6C"/>
    <w:rsid w:val="00E558A5"/>
    <w:rsid w:val="00E572C4"/>
    <w:rsid w:val="00E6683C"/>
    <w:rsid w:val="00E74A2A"/>
    <w:rsid w:val="00E7625B"/>
    <w:rsid w:val="00E83DCC"/>
    <w:rsid w:val="00E85174"/>
    <w:rsid w:val="00E92DAE"/>
    <w:rsid w:val="00E93BA6"/>
    <w:rsid w:val="00E97D7F"/>
    <w:rsid w:val="00EA1B66"/>
    <w:rsid w:val="00EA2425"/>
    <w:rsid w:val="00EA2BDD"/>
    <w:rsid w:val="00EA5E8D"/>
    <w:rsid w:val="00EB1B58"/>
    <w:rsid w:val="00EB27A6"/>
    <w:rsid w:val="00EB335A"/>
    <w:rsid w:val="00EB34B8"/>
    <w:rsid w:val="00EB6208"/>
    <w:rsid w:val="00EB76A8"/>
    <w:rsid w:val="00EB7B14"/>
    <w:rsid w:val="00EC749E"/>
    <w:rsid w:val="00EC7841"/>
    <w:rsid w:val="00ED0AEE"/>
    <w:rsid w:val="00ED30BC"/>
    <w:rsid w:val="00ED4158"/>
    <w:rsid w:val="00ED5C9D"/>
    <w:rsid w:val="00ED6D53"/>
    <w:rsid w:val="00EF2474"/>
    <w:rsid w:val="00EF28EF"/>
    <w:rsid w:val="00EF36E1"/>
    <w:rsid w:val="00EF3F5A"/>
    <w:rsid w:val="00EF42B2"/>
    <w:rsid w:val="00F06ED6"/>
    <w:rsid w:val="00F079DD"/>
    <w:rsid w:val="00F109AE"/>
    <w:rsid w:val="00F10CC1"/>
    <w:rsid w:val="00F12B25"/>
    <w:rsid w:val="00F155B4"/>
    <w:rsid w:val="00F15F87"/>
    <w:rsid w:val="00F16F41"/>
    <w:rsid w:val="00F2048D"/>
    <w:rsid w:val="00F25837"/>
    <w:rsid w:val="00F25BF7"/>
    <w:rsid w:val="00F32612"/>
    <w:rsid w:val="00F33776"/>
    <w:rsid w:val="00F37180"/>
    <w:rsid w:val="00F42432"/>
    <w:rsid w:val="00F43CFD"/>
    <w:rsid w:val="00F458A2"/>
    <w:rsid w:val="00F52281"/>
    <w:rsid w:val="00F64445"/>
    <w:rsid w:val="00F65CCF"/>
    <w:rsid w:val="00F6704C"/>
    <w:rsid w:val="00F71ACC"/>
    <w:rsid w:val="00F7287D"/>
    <w:rsid w:val="00F83254"/>
    <w:rsid w:val="00F90EE2"/>
    <w:rsid w:val="00F91D16"/>
    <w:rsid w:val="00F95A79"/>
    <w:rsid w:val="00F961E6"/>
    <w:rsid w:val="00FA0B49"/>
    <w:rsid w:val="00FA2214"/>
    <w:rsid w:val="00FA2A21"/>
    <w:rsid w:val="00FA31E4"/>
    <w:rsid w:val="00FA3547"/>
    <w:rsid w:val="00FA73D6"/>
    <w:rsid w:val="00FB20E9"/>
    <w:rsid w:val="00FB2CEF"/>
    <w:rsid w:val="00FB7981"/>
    <w:rsid w:val="00FC0D0D"/>
    <w:rsid w:val="00FC22F7"/>
    <w:rsid w:val="00FC69EA"/>
    <w:rsid w:val="00FC7A43"/>
    <w:rsid w:val="00FD2C49"/>
    <w:rsid w:val="00FD2E32"/>
    <w:rsid w:val="00FD36C5"/>
    <w:rsid w:val="00FD7644"/>
    <w:rsid w:val="00FD7CBA"/>
    <w:rsid w:val="00FE0BB0"/>
    <w:rsid w:val="00FE38E6"/>
    <w:rsid w:val="00FF0B2D"/>
    <w:rsid w:val="0107000F"/>
    <w:rsid w:val="01CC4DE7"/>
    <w:rsid w:val="026D4E26"/>
    <w:rsid w:val="02A92A79"/>
    <w:rsid w:val="03C33200"/>
    <w:rsid w:val="03EC5701"/>
    <w:rsid w:val="04C27C98"/>
    <w:rsid w:val="04E60AB3"/>
    <w:rsid w:val="04F91BFF"/>
    <w:rsid w:val="04FC7BC9"/>
    <w:rsid w:val="05A92F49"/>
    <w:rsid w:val="064A280D"/>
    <w:rsid w:val="06C92DA5"/>
    <w:rsid w:val="07A20FE4"/>
    <w:rsid w:val="08652EDE"/>
    <w:rsid w:val="0A290583"/>
    <w:rsid w:val="0A7259C6"/>
    <w:rsid w:val="0AAE4AE9"/>
    <w:rsid w:val="0BB72938"/>
    <w:rsid w:val="0BB95138"/>
    <w:rsid w:val="0BE83AA0"/>
    <w:rsid w:val="0C515952"/>
    <w:rsid w:val="0C5D7558"/>
    <w:rsid w:val="0C8B0472"/>
    <w:rsid w:val="0D9E3D3D"/>
    <w:rsid w:val="0DF040F7"/>
    <w:rsid w:val="0EDC52DC"/>
    <w:rsid w:val="0F2B556D"/>
    <w:rsid w:val="114D729E"/>
    <w:rsid w:val="117E083E"/>
    <w:rsid w:val="13DA26B3"/>
    <w:rsid w:val="13F44E24"/>
    <w:rsid w:val="1439311D"/>
    <w:rsid w:val="146B27EE"/>
    <w:rsid w:val="14E87C5B"/>
    <w:rsid w:val="15016D6F"/>
    <w:rsid w:val="15FE100F"/>
    <w:rsid w:val="160D2E2D"/>
    <w:rsid w:val="170C2FA8"/>
    <w:rsid w:val="172D56AC"/>
    <w:rsid w:val="174F4DAE"/>
    <w:rsid w:val="17FA1625"/>
    <w:rsid w:val="183F68B3"/>
    <w:rsid w:val="18B7158F"/>
    <w:rsid w:val="19646885"/>
    <w:rsid w:val="198A52C8"/>
    <w:rsid w:val="1A312889"/>
    <w:rsid w:val="1A5430FD"/>
    <w:rsid w:val="1B6D4BF7"/>
    <w:rsid w:val="1CDC17BD"/>
    <w:rsid w:val="1E554701"/>
    <w:rsid w:val="1EC677CA"/>
    <w:rsid w:val="1F3000C7"/>
    <w:rsid w:val="215A7D54"/>
    <w:rsid w:val="26560327"/>
    <w:rsid w:val="26B63C78"/>
    <w:rsid w:val="275058EB"/>
    <w:rsid w:val="285E17C7"/>
    <w:rsid w:val="287731A2"/>
    <w:rsid w:val="28A81925"/>
    <w:rsid w:val="29961D8A"/>
    <w:rsid w:val="2A4E7C51"/>
    <w:rsid w:val="2A8A732C"/>
    <w:rsid w:val="2BBD6398"/>
    <w:rsid w:val="2D5F0A48"/>
    <w:rsid w:val="2DB256F9"/>
    <w:rsid w:val="2E357B2E"/>
    <w:rsid w:val="2E995ECC"/>
    <w:rsid w:val="2EBC10D1"/>
    <w:rsid w:val="2F483DFA"/>
    <w:rsid w:val="2F6628B1"/>
    <w:rsid w:val="2F6D304C"/>
    <w:rsid w:val="309E2809"/>
    <w:rsid w:val="30CF12A6"/>
    <w:rsid w:val="329A06DA"/>
    <w:rsid w:val="33ED1360"/>
    <w:rsid w:val="34EA4FB4"/>
    <w:rsid w:val="34F768F8"/>
    <w:rsid w:val="356345BC"/>
    <w:rsid w:val="356A334D"/>
    <w:rsid w:val="36573B47"/>
    <w:rsid w:val="37B41AB0"/>
    <w:rsid w:val="37B93FC6"/>
    <w:rsid w:val="384F1543"/>
    <w:rsid w:val="386971DF"/>
    <w:rsid w:val="387D7A2E"/>
    <w:rsid w:val="397D305E"/>
    <w:rsid w:val="39BF3D88"/>
    <w:rsid w:val="3AAE39D9"/>
    <w:rsid w:val="3AC06FC9"/>
    <w:rsid w:val="3AE44EB8"/>
    <w:rsid w:val="3B032217"/>
    <w:rsid w:val="3BE8072D"/>
    <w:rsid w:val="3CC65832"/>
    <w:rsid w:val="3D6D2828"/>
    <w:rsid w:val="3D9D19C7"/>
    <w:rsid w:val="3E7A4107"/>
    <w:rsid w:val="3EAE3388"/>
    <w:rsid w:val="3F430F65"/>
    <w:rsid w:val="3F905757"/>
    <w:rsid w:val="402368D7"/>
    <w:rsid w:val="41053798"/>
    <w:rsid w:val="410604BD"/>
    <w:rsid w:val="417A41E3"/>
    <w:rsid w:val="42BE475E"/>
    <w:rsid w:val="43684640"/>
    <w:rsid w:val="438155C0"/>
    <w:rsid w:val="4396088C"/>
    <w:rsid w:val="447F107A"/>
    <w:rsid w:val="44EA1FB1"/>
    <w:rsid w:val="4529576A"/>
    <w:rsid w:val="45815C74"/>
    <w:rsid w:val="46AB5221"/>
    <w:rsid w:val="46FA4F87"/>
    <w:rsid w:val="472D2E3A"/>
    <w:rsid w:val="48DA7033"/>
    <w:rsid w:val="49CD5D7F"/>
    <w:rsid w:val="4A050F74"/>
    <w:rsid w:val="4A1A0AE2"/>
    <w:rsid w:val="4A712068"/>
    <w:rsid w:val="4AD574C8"/>
    <w:rsid w:val="4B140480"/>
    <w:rsid w:val="4B2244CF"/>
    <w:rsid w:val="4B7E3875"/>
    <w:rsid w:val="4BB12D23"/>
    <w:rsid w:val="4BE306CD"/>
    <w:rsid w:val="4C762A25"/>
    <w:rsid w:val="4C791780"/>
    <w:rsid w:val="4C7E15D8"/>
    <w:rsid w:val="4D3D02D8"/>
    <w:rsid w:val="4E061A01"/>
    <w:rsid w:val="4E0D1C98"/>
    <w:rsid w:val="4E6D2E5C"/>
    <w:rsid w:val="4EB53B1E"/>
    <w:rsid w:val="4FCD10E5"/>
    <w:rsid w:val="507575E2"/>
    <w:rsid w:val="50B7530E"/>
    <w:rsid w:val="528A6A9C"/>
    <w:rsid w:val="52D903CE"/>
    <w:rsid w:val="531D1CA7"/>
    <w:rsid w:val="5343550A"/>
    <w:rsid w:val="537E5450"/>
    <w:rsid w:val="53D4279D"/>
    <w:rsid w:val="54C91F96"/>
    <w:rsid w:val="554E0167"/>
    <w:rsid w:val="559713DE"/>
    <w:rsid w:val="56C25FA1"/>
    <w:rsid w:val="56E81357"/>
    <w:rsid w:val="57004BA7"/>
    <w:rsid w:val="571436D6"/>
    <w:rsid w:val="574447B2"/>
    <w:rsid w:val="57E83C0C"/>
    <w:rsid w:val="580A0CA6"/>
    <w:rsid w:val="59C129EA"/>
    <w:rsid w:val="5AC27FFF"/>
    <w:rsid w:val="5BDD6503"/>
    <w:rsid w:val="5C136002"/>
    <w:rsid w:val="5C7850B1"/>
    <w:rsid w:val="5C933046"/>
    <w:rsid w:val="5D163ED3"/>
    <w:rsid w:val="5E7950B1"/>
    <w:rsid w:val="5F895024"/>
    <w:rsid w:val="5FA168E1"/>
    <w:rsid w:val="604C39D3"/>
    <w:rsid w:val="62BC594B"/>
    <w:rsid w:val="630C6E2C"/>
    <w:rsid w:val="6356053C"/>
    <w:rsid w:val="63691224"/>
    <w:rsid w:val="659C10AF"/>
    <w:rsid w:val="66C23E51"/>
    <w:rsid w:val="672659B9"/>
    <w:rsid w:val="69171C0A"/>
    <w:rsid w:val="69A062F1"/>
    <w:rsid w:val="6A1E1239"/>
    <w:rsid w:val="6A283910"/>
    <w:rsid w:val="6AB15824"/>
    <w:rsid w:val="6B787D2D"/>
    <w:rsid w:val="6C50257B"/>
    <w:rsid w:val="6C8B4DFA"/>
    <w:rsid w:val="6DBA0D5D"/>
    <w:rsid w:val="6E154949"/>
    <w:rsid w:val="6EF64503"/>
    <w:rsid w:val="6F120FC2"/>
    <w:rsid w:val="6F77291C"/>
    <w:rsid w:val="6F7E501F"/>
    <w:rsid w:val="6FCF0299"/>
    <w:rsid w:val="6FFF08AB"/>
    <w:rsid w:val="723C47A4"/>
    <w:rsid w:val="73B60A4F"/>
    <w:rsid w:val="73C969CF"/>
    <w:rsid w:val="747B0E41"/>
    <w:rsid w:val="76264A01"/>
    <w:rsid w:val="7BF3102E"/>
    <w:rsid w:val="7CF46AAB"/>
    <w:rsid w:val="7D0D2DB0"/>
    <w:rsid w:val="7D9D2930"/>
    <w:rsid w:val="7EB54216"/>
    <w:rsid w:val="7F427B7E"/>
    <w:rsid w:val="7F486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4"/>
    <w:qFormat/>
    <w:uiPriority w:val="0"/>
    <w:pPr>
      <w:keepNext/>
      <w:keepLines/>
      <w:adjustRightInd w:val="0"/>
      <w:spacing w:beforeLines="50" w:afterLines="50"/>
      <w:ind w:firstLine="200" w:firstLineChars="200"/>
      <w:jc w:val="left"/>
      <w:textAlignment w:val="baseline"/>
      <w:outlineLvl w:val="1"/>
    </w:pPr>
    <w:rPr>
      <w:rFonts w:ascii="Arial" w:hAnsi="Arial" w:eastAsia="黑体"/>
      <w:b/>
      <w:kern w:val="0"/>
      <w:sz w:val="24"/>
    </w:rPr>
  </w:style>
  <w:style w:type="paragraph" w:styleId="5">
    <w:name w:val="heading 3"/>
    <w:basedOn w:val="1"/>
    <w:next w:val="1"/>
    <w:link w:val="89"/>
    <w:qFormat/>
    <w:uiPriority w:val="0"/>
    <w:pPr>
      <w:keepNext/>
      <w:keepLines/>
      <w:spacing w:before="260" w:after="260" w:line="415" w:lineRule="auto"/>
      <w:outlineLvl w:val="2"/>
    </w:pPr>
    <w:rPr>
      <w:b/>
      <w:bCs/>
      <w:sz w:val="32"/>
      <w:szCs w:val="32"/>
    </w:rPr>
  </w:style>
  <w:style w:type="paragraph" w:styleId="6">
    <w:name w:val="heading 4"/>
    <w:basedOn w:val="5"/>
    <w:next w:val="1"/>
    <w:link w:val="130"/>
    <w:qFormat/>
    <w:uiPriority w:val="0"/>
    <w:pPr>
      <w:autoSpaceDE w:val="0"/>
      <w:autoSpaceDN w:val="0"/>
      <w:adjustRightInd w:val="0"/>
      <w:spacing w:before="280" w:after="290" w:line="376" w:lineRule="atLeast"/>
      <w:jc w:val="left"/>
      <w:textAlignment w:val="baseline"/>
      <w:outlineLvl w:val="3"/>
    </w:pPr>
    <w:rPr>
      <w:rFonts w:ascii="黑体" w:hAnsi="黑体" w:eastAsia="黑体"/>
      <w:kern w:val="0"/>
      <w:sz w:val="28"/>
      <w:szCs w:val="20"/>
    </w:rPr>
  </w:style>
  <w:style w:type="paragraph" w:styleId="7">
    <w:name w:val="heading 5"/>
    <w:basedOn w:val="1"/>
    <w:next w:val="1"/>
    <w:link w:val="115"/>
    <w:qFormat/>
    <w:uiPriority w:val="0"/>
    <w:pPr>
      <w:spacing w:before="240" w:after="60"/>
      <w:outlineLvl w:val="4"/>
    </w:pPr>
    <w:rPr>
      <w:sz w:val="22"/>
      <w:szCs w:val="20"/>
    </w:rPr>
  </w:style>
  <w:style w:type="paragraph" w:styleId="8">
    <w:name w:val="heading 6"/>
    <w:basedOn w:val="1"/>
    <w:next w:val="1"/>
    <w:link w:val="70"/>
    <w:qFormat/>
    <w:uiPriority w:val="0"/>
    <w:pPr>
      <w:spacing w:before="240" w:after="60"/>
      <w:outlineLvl w:val="5"/>
    </w:pPr>
    <w:rPr>
      <w:i/>
      <w:iCs/>
      <w:sz w:val="22"/>
      <w:szCs w:val="20"/>
    </w:rPr>
  </w:style>
  <w:style w:type="paragraph" w:styleId="9">
    <w:name w:val="heading 7"/>
    <w:basedOn w:val="1"/>
    <w:next w:val="1"/>
    <w:link w:val="105"/>
    <w:qFormat/>
    <w:uiPriority w:val="0"/>
    <w:pPr>
      <w:spacing w:before="240" w:after="60"/>
      <w:outlineLvl w:val="6"/>
    </w:pPr>
    <w:rPr>
      <w:rFonts w:ascii="Arial" w:hAnsi="Arial"/>
      <w:sz w:val="20"/>
      <w:szCs w:val="20"/>
    </w:rPr>
  </w:style>
  <w:style w:type="paragraph" w:styleId="10">
    <w:name w:val="heading 8"/>
    <w:basedOn w:val="1"/>
    <w:next w:val="1"/>
    <w:link w:val="92"/>
    <w:qFormat/>
    <w:uiPriority w:val="0"/>
    <w:pPr>
      <w:spacing w:before="240" w:after="60"/>
      <w:outlineLvl w:val="7"/>
    </w:pPr>
    <w:rPr>
      <w:rFonts w:ascii="Arial" w:hAnsi="Arial"/>
      <w:i/>
      <w:iCs/>
      <w:sz w:val="20"/>
      <w:szCs w:val="20"/>
    </w:rPr>
  </w:style>
  <w:style w:type="paragraph" w:styleId="11">
    <w:name w:val="heading 9"/>
    <w:basedOn w:val="1"/>
    <w:next w:val="1"/>
    <w:link w:val="129"/>
    <w:qFormat/>
    <w:uiPriority w:val="0"/>
    <w:pPr>
      <w:spacing w:before="240" w:after="60"/>
      <w:outlineLvl w:val="8"/>
    </w:pPr>
    <w:rPr>
      <w:rFonts w:ascii="Arial" w:hAnsi="Arial"/>
      <w:b/>
      <w:i/>
      <w:iCs/>
      <w:sz w:val="18"/>
      <w:szCs w:val="20"/>
    </w:rPr>
  </w:style>
  <w:style w:type="character" w:default="1" w:styleId="55">
    <w:name w:val="Default Paragraph Font"/>
    <w:semiHidden/>
    <w:unhideWhenUsed/>
    <w:qFormat/>
    <w:uiPriority w:val="1"/>
  </w:style>
  <w:style w:type="table" w:default="1" w:styleId="51">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next w:val="1"/>
    <w:link w:val="64"/>
    <w:qFormat/>
    <w:uiPriority w:val="0"/>
    <w:pPr>
      <w:spacing w:line="360" w:lineRule="auto"/>
    </w:pPr>
    <w:rPr>
      <w:sz w:val="24"/>
      <w:szCs w:val="20"/>
    </w:rPr>
  </w:style>
  <w:style w:type="paragraph" w:styleId="12">
    <w:name w:val="toc 7"/>
    <w:basedOn w:val="1"/>
    <w:next w:val="1"/>
    <w:qFormat/>
    <w:uiPriority w:val="0"/>
    <w:pPr>
      <w:ind w:left="1680"/>
      <w:jc w:val="left"/>
    </w:pPr>
    <w:rPr>
      <w:rFonts w:ascii="Calibri" w:hAnsi="Calibri"/>
      <w:sz w:val="18"/>
      <w:szCs w:val="20"/>
    </w:rPr>
  </w:style>
  <w:style w:type="paragraph" w:styleId="13">
    <w:name w:val="List Number"/>
    <w:basedOn w:val="1"/>
    <w:qFormat/>
    <w:uiPriority w:val="0"/>
    <w:pPr>
      <w:spacing w:line="360" w:lineRule="auto"/>
      <w:ind w:firstLine="425"/>
    </w:pPr>
    <w:rPr>
      <w:sz w:val="24"/>
      <w:szCs w:val="20"/>
    </w:rPr>
  </w:style>
  <w:style w:type="paragraph" w:styleId="14">
    <w:name w:val="Normal Indent"/>
    <w:basedOn w:val="1"/>
    <w:link w:val="124"/>
    <w:qFormat/>
    <w:uiPriority w:val="0"/>
    <w:pPr>
      <w:spacing w:line="360" w:lineRule="auto"/>
      <w:ind w:firstLine="420"/>
    </w:pPr>
    <w:rPr>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126"/>
    <w:qFormat/>
    <w:uiPriority w:val="0"/>
    <w:pPr>
      <w:shd w:val="clear" w:color="auto" w:fill="000080"/>
    </w:pPr>
  </w:style>
  <w:style w:type="paragraph" w:styleId="17">
    <w:name w:val="toa heading"/>
    <w:basedOn w:val="1"/>
    <w:next w:val="1"/>
    <w:qFormat/>
    <w:uiPriority w:val="0"/>
    <w:pPr>
      <w:spacing w:before="200"/>
      <w:jc w:val="center"/>
    </w:pPr>
    <w:rPr>
      <w:rFonts w:ascii="Arial" w:hAnsi="Arial" w:eastAsia="黑体"/>
      <w:sz w:val="44"/>
    </w:rPr>
  </w:style>
  <w:style w:type="paragraph" w:styleId="18">
    <w:name w:val="annotation text"/>
    <w:basedOn w:val="1"/>
    <w:link w:val="84"/>
    <w:qFormat/>
    <w:uiPriority w:val="0"/>
    <w:pPr>
      <w:jc w:val="left"/>
    </w:pPr>
  </w:style>
  <w:style w:type="paragraph" w:styleId="19">
    <w:name w:val="Salutation"/>
    <w:basedOn w:val="1"/>
    <w:next w:val="1"/>
    <w:link w:val="121"/>
    <w:qFormat/>
    <w:uiPriority w:val="0"/>
    <w:pPr>
      <w:spacing w:line="520" w:lineRule="exact"/>
    </w:pPr>
    <w:rPr>
      <w:rFonts w:ascii="华文宋体" w:hAnsi="Arial Unicode MS" w:eastAsia="华文宋体"/>
      <w:sz w:val="24"/>
      <w:szCs w:val="20"/>
    </w:rPr>
  </w:style>
  <w:style w:type="paragraph" w:styleId="20">
    <w:name w:val="Body Text 3"/>
    <w:basedOn w:val="1"/>
    <w:link w:val="106"/>
    <w:qFormat/>
    <w:uiPriority w:val="0"/>
    <w:pPr>
      <w:spacing w:after="120"/>
      <w:ind w:left="283"/>
    </w:pPr>
    <w:rPr>
      <w:rFonts w:ascii="Arial" w:hAnsi="Arial"/>
      <w:szCs w:val="20"/>
    </w:rPr>
  </w:style>
  <w:style w:type="paragraph" w:styleId="21">
    <w:name w:val="Body Text Indent"/>
    <w:basedOn w:val="1"/>
    <w:link w:val="123"/>
    <w:qFormat/>
    <w:uiPriority w:val="0"/>
    <w:pPr>
      <w:autoSpaceDE w:val="0"/>
      <w:autoSpaceDN w:val="0"/>
      <w:adjustRightInd w:val="0"/>
      <w:spacing w:line="360" w:lineRule="auto"/>
      <w:ind w:firstLine="480"/>
      <w:jc w:val="left"/>
    </w:pPr>
    <w:rPr>
      <w:rFonts w:eastAsia="仿宋_GB2312"/>
      <w:b/>
      <w:bCs/>
      <w:color w:val="000000"/>
      <w:kern w:val="0"/>
      <w:sz w:val="32"/>
      <w:szCs w:val="28"/>
    </w:rPr>
  </w:style>
  <w:style w:type="paragraph" w:styleId="22">
    <w:name w:val="List Number 3"/>
    <w:basedOn w:val="1"/>
    <w:qFormat/>
    <w:uiPriority w:val="0"/>
    <w:pPr>
      <w:numPr>
        <w:ilvl w:val="0"/>
        <w:numId w:val="1"/>
      </w:numPr>
    </w:pPr>
  </w:style>
  <w:style w:type="paragraph" w:styleId="23">
    <w:name w:val="List 2"/>
    <w:basedOn w:val="1"/>
    <w:qFormat/>
    <w:uiPriority w:val="0"/>
    <w:pPr>
      <w:ind w:left="100" w:leftChars="200" w:hanging="200" w:hangingChars="200"/>
    </w:pPr>
    <w:rPr>
      <w:sz w:val="28"/>
    </w:rPr>
  </w:style>
  <w:style w:type="paragraph" w:styleId="24">
    <w:name w:val="List Continue"/>
    <w:basedOn w:val="1"/>
    <w:qFormat/>
    <w:uiPriority w:val="0"/>
    <w:pPr>
      <w:numPr>
        <w:ilvl w:val="8"/>
        <w:numId w:val="2"/>
      </w:numPr>
      <w:tabs>
        <w:tab w:val="clear" w:pos="3780"/>
      </w:tabs>
      <w:spacing w:after="120"/>
      <w:ind w:left="420" w:leftChars="200" w:firstLine="0"/>
    </w:pPr>
  </w:style>
  <w:style w:type="paragraph" w:styleId="25">
    <w:name w:val="Block Text"/>
    <w:basedOn w:val="1"/>
    <w:qFormat/>
    <w:uiPriority w:val="0"/>
    <w:pPr>
      <w:ind w:left="1200" w:right="-72" w:hanging="30"/>
    </w:pPr>
    <w:rPr>
      <w:rFonts w:ascii="Arial" w:hAnsi="Arial" w:eastAsia="幼圆" w:cs="Arial"/>
      <w:sz w:val="22"/>
      <w:szCs w:val="20"/>
    </w:rPr>
  </w:style>
  <w:style w:type="paragraph" w:styleId="26">
    <w:name w:val="HTML Address"/>
    <w:basedOn w:val="1"/>
    <w:qFormat/>
    <w:uiPriority w:val="0"/>
    <w:rPr>
      <w:sz w:val="24"/>
    </w:rPr>
  </w:style>
  <w:style w:type="paragraph" w:styleId="27">
    <w:name w:val="toc 5"/>
    <w:basedOn w:val="1"/>
    <w:next w:val="1"/>
    <w:qFormat/>
    <w:uiPriority w:val="0"/>
    <w:pPr>
      <w:ind w:left="1120"/>
      <w:jc w:val="left"/>
    </w:pPr>
    <w:rPr>
      <w:rFonts w:ascii="Calibri" w:hAnsi="Calibri"/>
      <w:sz w:val="18"/>
      <w:szCs w:val="20"/>
    </w:rPr>
  </w:style>
  <w:style w:type="paragraph" w:styleId="28">
    <w:name w:val="toc 3"/>
    <w:basedOn w:val="1"/>
    <w:next w:val="1"/>
    <w:qFormat/>
    <w:uiPriority w:val="0"/>
    <w:pPr>
      <w:ind w:left="560"/>
      <w:jc w:val="left"/>
    </w:pPr>
    <w:rPr>
      <w:rFonts w:ascii="Calibri" w:hAnsi="Calibri"/>
      <w:i/>
      <w:sz w:val="20"/>
      <w:szCs w:val="20"/>
    </w:rPr>
  </w:style>
  <w:style w:type="paragraph" w:styleId="29">
    <w:name w:val="Plain Text"/>
    <w:basedOn w:val="1"/>
    <w:link w:val="119"/>
    <w:qFormat/>
    <w:uiPriority w:val="0"/>
    <w:rPr>
      <w:rFonts w:ascii="宋体" w:hAnsi="宋体"/>
      <w:szCs w:val="21"/>
    </w:rPr>
  </w:style>
  <w:style w:type="paragraph" w:styleId="30">
    <w:name w:val="toc 8"/>
    <w:basedOn w:val="1"/>
    <w:next w:val="1"/>
    <w:qFormat/>
    <w:uiPriority w:val="0"/>
    <w:pPr>
      <w:ind w:left="1960"/>
      <w:jc w:val="left"/>
    </w:pPr>
    <w:rPr>
      <w:rFonts w:ascii="Calibri" w:hAnsi="Calibri"/>
      <w:sz w:val="18"/>
      <w:szCs w:val="20"/>
    </w:rPr>
  </w:style>
  <w:style w:type="paragraph" w:styleId="31">
    <w:name w:val="Date"/>
    <w:basedOn w:val="1"/>
    <w:next w:val="1"/>
    <w:link w:val="104"/>
    <w:qFormat/>
    <w:uiPriority w:val="0"/>
    <w:pPr>
      <w:ind w:left="100" w:leftChars="2500"/>
    </w:pPr>
  </w:style>
  <w:style w:type="paragraph" w:styleId="32">
    <w:name w:val="Body Text Indent 2"/>
    <w:basedOn w:val="1"/>
    <w:link w:val="120"/>
    <w:qFormat/>
    <w:uiPriority w:val="0"/>
    <w:pPr>
      <w:autoSpaceDE w:val="0"/>
      <w:autoSpaceDN w:val="0"/>
      <w:adjustRightInd w:val="0"/>
      <w:spacing w:line="620" w:lineRule="exact"/>
      <w:ind w:firstLine="480"/>
    </w:pPr>
    <w:rPr>
      <w:rFonts w:eastAsia="仿宋_GB2312"/>
      <w:color w:val="000000"/>
      <w:kern w:val="0"/>
      <w:sz w:val="32"/>
      <w:szCs w:val="28"/>
    </w:rPr>
  </w:style>
  <w:style w:type="paragraph" w:styleId="33">
    <w:name w:val="Balloon Text"/>
    <w:basedOn w:val="1"/>
    <w:link w:val="111"/>
    <w:qFormat/>
    <w:uiPriority w:val="0"/>
    <w:rPr>
      <w:sz w:val="18"/>
      <w:szCs w:val="18"/>
    </w:rPr>
  </w:style>
  <w:style w:type="paragraph" w:styleId="34">
    <w:name w:val="footer"/>
    <w:basedOn w:val="1"/>
    <w:link w:val="114"/>
    <w:qFormat/>
    <w:uiPriority w:val="99"/>
    <w:pPr>
      <w:tabs>
        <w:tab w:val="center" w:pos="4153"/>
        <w:tab w:val="right" w:pos="8306"/>
      </w:tabs>
      <w:snapToGrid w:val="0"/>
      <w:jc w:val="left"/>
    </w:pPr>
    <w:rPr>
      <w:sz w:val="18"/>
      <w:szCs w:val="18"/>
    </w:rPr>
  </w:style>
  <w:style w:type="paragraph" w:styleId="35">
    <w:name w:val="header"/>
    <w:basedOn w:val="1"/>
    <w:link w:val="85"/>
    <w:qFormat/>
    <w:uiPriority w:val="99"/>
    <w:pPr>
      <w:pBdr>
        <w:bottom w:val="single" w:color="auto" w:sz="6" w:space="1"/>
      </w:pBdr>
      <w:tabs>
        <w:tab w:val="center" w:pos="4153"/>
        <w:tab w:val="right" w:pos="8306"/>
      </w:tabs>
      <w:snapToGrid w:val="0"/>
      <w:ind w:firstLine="200" w:firstLineChars="200"/>
      <w:jc w:val="center"/>
    </w:pPr>
    <w:rPr>
      <w:sz w:val="18"/>
      <w:szCs w:val="21"/>
    </w:rPr>
  </w:style>
  <w:style w:type="paragraph" w:styleId="36">
    <w:name w:val="toc 1"/>
    <w:basedOn w:val="1"/>
    <w:next w:val="1"/>
    <w:qFormat/>
    <w:uiPriority w:val="39"/>
    <w:pPr>
      <w:numPr>
        <w:ilvl w:val="1"/>
        <w:numId w:val="3"/>
      </w:numPr>
      <w:tabs>
        <w:tab w:val="right" w:leader="dot" w:pos="9060"/>
        <w:tab w:val="clear" w:pos="720"/>
      </w:tabs>
      <w:snapToGrid w:val="0"/>
      <w:spacing w:beforeLines="20" w:afterLines="20" w:line="288" w:lineRule="auto"/>
      <w:ind w:firstLine="200" w:firstLineChars="200"/>
      <w:jc w:val="left"/>
    </w:pPr>
    <w:rPr>
      <w:rFonts w:eastAsia="黑体"/>
      <w:caps/>
      <w:szCs w:val="21"/>
    </w:rPr>
  </w:style>
  <w:style w:type="paragraph" w:styleId="37">
    <w:name w:val="toc 4"/>
    <w:basedOn w:val="1"/>
    <w:next w:val="1"/>
    <w:qFormat/>
    <w:uiPriority w:val="0"/>
    <w:pPr>
      <w:ind w:left="840"/>
      <w:jc w:val="left"/>
    </w:pPr>
    <w:rPr>
      <w:rFonts w:ascii="Calibri" w:hAnsi="Calibri"/>
      <w:sz w:val="18"/>
      <w:szCs w:val="20"/>
    </w:rPr>
  </w:style>
  <w:style w:type="paragraph" w:styleId="38">
    <w:name w:val="Subtitle"/>
    <w:basedOn w:val="1"/>
    <w:link w:val="387"/>
    <w:qFormat/>
    <w:uiPriority w:val="0"/>
    <w:pPr>
      <w:spacing w:after="60"/>
      <w:jc w:val="center"/>
    </w:pPr>
    <w:rPr>
      <w:rFonts w:ascii="Arial" w:hAnsi="Arial" w:eastAsia="黑体"/>
      <w:i/>
    </w:rPr>
  </w:style>
  <w:style w:type="paragraph" w:styleId="39">
    <w:name w:val="List"/>
    <w:basedOn w:val="1"/>
    <w:qFormat/>
    <w:uiPriority w:val="0"/>
    <w:pPr>
      <w:ind w:left="200" w:hanging="200" w:hangingChars="200"/>
    </w:pPr>
    <w:rPr>
      <w:sz w:val="28"/>
    </w:rPr>
  </w:style>
  <w:style w:type="paragraph" w:styleId="40">
    <w:name w:val="toc 6"/>
    <w:basedOn w:val="1"/>
    <w:next w:val="1"/>
    <w:qFormat/>
    <w:uiPriority w:val="0"/>
    <w:pPr>
      <w:ind w:left="1400"/>
      <w:jc w:val="left"/>
    </w:pPr>
    <w:rPr>
      <w:rFonts w:ascii="Calibri" w:hAnsi="Calibri"/>
      <w:sz w:val="18"/>
      <w:szCs w:val="20"/>
    </w:rPr>
  </w:style>
  <w:style w:type="paragraph" w:styleId="41">
    <w:name w:val="Body Text Indent 3"/>
    <w:basedOn w:val="1"/>
    <w:link w:val="117"/>
    <w:qFormat/>
    <w:uiPriority w:val="0"/>
    <w:pPr>
      <w:spacing w:line="620" w:lineRule="exact"/>
      <w:ind w:firstLine="640" w:firstLineChars="200"/>
    </w:pPr>
    <w:rPr>
      <w:rFonts w:eastAsia="仿宋_GB2312"/>
      <w:sz w:val="32"/>
    </w:rPr>
  </w:style>
  <w:style w:type="paragraph" w:styleId="42">
    <w:name w:val="toc 2"/>
    <w:basedOn w:val="1"/>
    <w:next w:val="1"/>
    <w:qFormat/>
    <w:uiPriority w:val="39"/>
    <w:pPr>
      <w:tabs>
        <w:tab w:val="right" w:leader="dot" w:pos="9060"/>
      </w:tabs>
      <w:snapToGrid w:val="0"/>
      <w:spacing w:line="288" w:lineRule="auto"/>
      <w:ind w:left="210" w:firstLine="200" w:firstLineChars="200"/>
      <w:jc w:val="left"/>
    </w:pPr>
    <w:rPr>
      <w:smallCaps/>
      <w:sz w:val="20"/>
      <w:szCs w:val="21"/>
    </w:rPr>
  </w:style>
  <w:style w:type="paragraph" w:styleId="43">
    <w:name w:val="toc 9"/>
    <w:basedOn w:val="1"/>
    <w:next w:val="1"/>
    <w:qFormat/>
    <w:uiPriority w:val="0"/>
    <w:pPr>
      <w:ind w:left="2240"/>
      <w:jc w:val="left"/>
    </w:pPr>
    <w:rPr>
      <w:rFonts w:ascii="Calibri" w:hAnsi="Calibri"/>
      <w:sz w:val="18"/>
      <w:szCs w:val="20"/>
    </w:rPr>
  </w:style>
  <w:style w:type="paragraph" w:styleId="44">
    <w:name w:val="Body Text 2"/>
    <w:basedOn w:val="1"/>
    <w:link w:val="107"/>
    <w:qFormat/>
    <w:uiPriority w:val="0"/>
    <w:pPr>
      <w:numPr>
        <w:ilvl w:val="0"/>
        <w:numId w:val="4"/>
      </w:numPr>
      <w:spacing w:line="360" w:lineRule="auto"/>
    </w:pPr>
    <w:rPr>
      <w:sz w:val="24"/>
      <w:szCs w:val="20"/>
    </w:rPr>
  </w:style>
  <w:style w:type="paragraph" w:styleId="4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0"/>
    <w:pPr>
      <w:spacing w:line="360" w:lineRule="auto"/>
      <w:jc w:val="center"/>
    </w:pPr>
    <w:rPr>
      <w:rFonts w:ascii="宋体" w:hAnsi="宋体"/>
      <w:bCs/>
    </w:rPr>
  </w:style>
  <w:style w:type="paragraph" w:styleId="47">
    <w:name w:val="Title"/>
    <w:basedOn w:val="29"/>
    <w:next w:val="29"/>
    <w:link w:val="73"/>
    <w:qFormat/>
    <w:uiPriority w:val="0"/>
    <w:pPr>
      <w:spacing w:before="240" w:after="60"/>
    </w:pPr>
    <w:rPr>
      <w:rFonts w:ascii="Arial" w:hAnsi="Arial"/>
      <w:b/>
      <w:kern w:val="18"/>
      <w:sz w:val="30"/>
      <w:szCs w:val="20"/>
    </w:rPr>
  </w:style>
  <w:style w:type="paragraph" w:styleId="48">
    <w:name w:val="annotation subject"/>
    <w:basedOn w:val="18"/>
    <w:next w:val="18"/>
    <w:link w:val="108"/>
    <w:qFormat/>
    <w:uiPriority w:val="0"/>
    <w:rPr>
      <w:b/>
      <w:bCs/>
    </w:rPr>
  </w:style>
  <w:style w:type="paragraph" w:styleId="49">
    <w:name w:val="Body Text First Indent"/>
    <w:basedOn w:val="2"/>
    <w:link w:val="79"/>
    <w:qFormat/>
    <w:uiPriority w:val="0"/>
    <w:pPr>
      <w:spacing w:after="120" w:line="520" w:lineRule="exact"/>
      <w:ind w:firstLine="100" w:firstLineChars="100"/>
      <w:jc w:val="left"/>
    </w:pPr>
    <w:rPr>
      <w:sz w:val="28"/>
    </w:rPr>
  </w:style>
  <w:style w:type="paragraph" w:styleId="50">
    <w:name w:val="Body Text First Indent 2"/>
    <w:basedOn w:val="21"/>
    <w:link w:val="383"/>
    <w:qFormat/>
    <w:uiPriority w:val="0"/>
    <w:pPr>
      <w:autoSpaceDE/>
      <w:autoSpaceDN/>
      <w:adjustRightInd/>
      <w:spacing w:after="120" w:line="240" w:lineRule="auto"/>
      <w:ind w:left="420" w:leftChars="200" w:firstLine="420" w:firstLineChars="200"/>
      <w:jc w:val="both"/>
    </w:pPr>
    <w:rPr>
      <w:rFonts w:eastAsia="宋体"/>
      <w:b w:val="0"/>
      <w:bCs w:val="0"/>
      <w:color w:val="auto"/>
      <w:kern w:val="2"/>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3">
    <w:name w:val="Table Theme"/>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4">
    <w:name w:val="Table Elegant"/>
    <w:basedOn w:val="51"/>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56">
    <w:name w:val="Strong"/>
    <w:basedOn w:val="55"/>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line number"/>
    <w:basedOn w:val="55"/>
    <w:qFormat/>
    <w:uiPriority w:val="0"/>
  </w:style>
  <w:style w:type="character" w:styleId="61">
    <w:name w:val="Hyperlink"/>
    <w:qFormat/>
    <w:uiPriority w:val="99"/>
    <w:rPr>
      <w:color w:val="000000"/>
      <w:sz w:val="18"/>
      <w:szCs w:val="18"/>
      <w:u w:val="none"/>
    </w:rPr>
  </w:style>
  <w:style w:type="character" w:styleId="62">
    <w:name w:val="annotation reference"/>
    <w:qFormat/>
    <w:uiPriority w:val="0"/>
    <w:rPr>
      <w:sz w:val="21"/>
      <w:szCs w:val="21"/>
    </w:rPr>
  </w:style>
  <w:style w:type="character" w:customStyle="1" w:styleId="63">
    <w:name w:val="unnamed11"/>
    <w:qFormat/>
    <w:uiPriority w:val="0"/>
    <w:rPr>
      <w:sz w:val="26"/>
    </w:rPr>
  </w:style>
  <w:style w:type="character" w:customStyle="1" w:styleId="64">
    <w:name w:val="正文文本 Char"/>
    <w:link w:val="2"/>
    <w:qFormat/>
    <w:uiPriority w:val="0"/>
    <w:rPr>
      <w:rFonts w:eastAsia="宋体"/>
      <w:kern w:val="2"/>
      <w:sz w:val="24"/>
      <w:lang w:bidi="ar-SA"/>
    </w:rPr>
  </w:style>
  <w:style w:type="character" w:customStyle="1" w:styleId="65">
    <w:name w:val="para1"/>
    <w:qFormat/>
    <w:uiPriority w:val="0"/>
    <w:rPr>
      <w:rFonts w:hint="default" w:ascii="Arial" w:hAnsi="Arial"/>
      <w:sz w:val="18"/>
    </w:rPr>
  </w:style>
  <w:style w:type="character" w:customStyle="1" w:styleId="66">
    <w:name w:val="标题 4 Char1"/>
    <w:qFormat/>
    <w:uiPriority w:val="0"/>
    <w:rPr>
      <w:rFonts w:ascii="Arial" w:hAnsi="Arial" w:eastAsia="黑体"/>
      <w:b/>
      <w:kern w:val="2"/>
      <w:sz w:val="28"/>
      <w:lang w:val="en-US" w:eastAsia="zh-CN"/>
    </w:rPr>
  </w:style>
  <w:style w:type="character" w:customStyle="1" w:styleId="67">
    <w:name w:val="彩色列表 - 着色 1 Char"/>
    <w:qFormat/>
    <w:locked/>
    <w:uiPriority w:val="0"/>
    <w:rPr>
      <w:rFonts w:ascii="Calibri" w:hAnsi="Calibri" w:eastAsia="宋体"/>
      <w:kern w:val="2"/>
      <w:sz w:val="21"/>
      <w:szCs w:val="22"/>
      <w:lang w:val="en-US" w:eastAsia="zh-CN" w:bidi="ar-SA"/>
    </w:rPr>
  </w:style>
  <w:style w:type="character" w:customStyle="1" w:styleId="68">
    <w:name w:val="标题 1 Char Char"/>
    <w:qFormat/>
    <w:uiPriority w:val="0"/>
    <w:rPr>
      <w:rFonts w:eastAsia="宋体"/>
      <w:b/>
      <w:spacing w:val="-2"/>
      <w:sz w:val="24"/>
      <w:lang w:val="en-US" w:eastAsia="zh-CN" w:bidi="ar-SA"/>
    </w:rPr>
  </w:style>
  <w:style w:type="character" w:customStyle="1" w:styleId="69">
    <w:name w:val="Heading 2 Hidden Char1"/>
    <w:qFormat/>
    <w:uiPriority w:val="0"/>
    <w:rPr>
      <w:rFonts w:ascii="Arial" w:hAnsi="Arial" w:eastAsia="黑体" w:cs="Arial"/>
      <w:b/>
      <w:sz w:val="24"/>
      <w:szCs w:val="24"/>
    </w:rPr>
  </w:style>
  <w:style w:type="character" w:customStyle="1" w:styleId="70">
    <w:name w:val="标题 6 Char"/>
    <w:link w:val="8"/>
    <w:qFormat/>
    <w:uiPriority w:val="0"/>
    <w:rPr>
      <w:rFonts w:eastAsia="宋体"/>
      <w:i/>
      <w:iCs/>
      <w:kern w:val="2"/>
      <w:sz w:val="22"/>
      <w:lang w:bidi="ar-SA"/>
    </w:rPr>
  </w:style>
  <w:style w:type="character" w:customStyle="1" w:styleId="71">
    <w:name w:val="Heading 1 Char"/>
    <w:qFormat/>
    <w:locked/>
    <w:uiPriority w:val="0"/>
    <w:rPr>
      <w:rFonts w:cs="Times New Roman"/>
      <w:b/>
      <w:bCs/>
      <w:kern w:val="44"/>
      <w:sz w:val="44"/>
      <w:szCs w:val="44"/>
    </w:rPr>
  </w:style>
  <w:style w:type="character" w:customStyle="1" w:styleId="72">
    <w:name w:val="a-标题3 Char"/>
    <w:qFormat/>
    <w:uiPriority w:val="0"/>
    <w:rPr>
      <w:rFonts w:ascii="楷体_GB2312" w:eastAsia="楷体_GB2312"/>
      <w:b/>
      <w:bCs/>
      <w:kern w:val="2"/>
      <w:sz w:val="28"/>
      <w:lang w:val="en-US" w:eastAsia="zh-CN" w:bidi="ar-SA"/>
    </w:rPr>
  </w:style>
  <w:style w:type="character" w:customStyle="1" w:styleId="73">
    <w:name w:val="标题 Char"/>
    <w:link w:val="47"/>
    <w:qFormat/>
    <w:uiPriority w:val="0"/>
    <w:rPr>
      <w:rFonts w:ascii="Arial" w:hAnsi="Arial" w:eastAsia="宋体"/>
      <w:b/>
      <w:kern w:val="18"/>
      <w:sz w:val="30"/>
      <w:lang w:bidi="ar-SA"/>
    </w:rPr>
  </w:style>
  <w:style w:type="character" w:customStyle="1" w:styleId="74">
    <w:name w:val="标题 2 Char"/>
    <w:link w:val="4"/>
    <w:qFormat/>
    <w:uiPriority w:val="0"/>
    <w:rPr>
      <w:rFonts w:ascii="Arial" w:hAnsi="Arial" w:eastAsia="黑体"/>
      <w:b/>
      <w:sz w:val="24"/>
      <w:szCs w:val="24"/>
      <w:lang w:bidi="ar-SA"/>
    </w:rPr>
  </w:style>
  <w:style w:type="character" w:customStyle="1" w:styleId="75">
    <w:name w:val="正文文本样式 Char Char"/>
    <w:link w:val="76"/>
    <w:qFormat/>
    <w:uiPriority w:val="0"/>
    <w:rPr>
      <w:rFonts w:eastAsia="宋体"/>
      <w:sz w:val="24"/>
      <w:lang w:bidi="ar-SA"/>
    </w:rPr>
  </w:style>
  <w:style w:type="paragraph" w:customStyle="1" w:styleId="76">
    <w:name w:val="正文文本样式"/>
    <w:basedOn w:val="1"/>
    <w:link w:val="75"/>
    <w:qFormat/>
    <w:uiPriority w:val="0"/>
    <w:pPr>
      <w:spacing w:line="360" w:lineRule="auto"/>
      <w:ind w:firstLine="482"/>
    </w:pPr>
    <w:rPr>
      <w:kern w:val="0"/>
      <w:sz w:val="24"/>
      <w:szCs w:val="20"/>
    </w:rPr>
  </w:style>
  <w:style w:type="character" w:customStyle="1" w:styleId="77">
    <w:name w:val="无间隔 Char"/>
    <w:link w:val="78"/>
    <w:qFormat/>
    <w:uiPriority w:val="0"/>
    <w:rPr>
      <w:rFonts w:ascii="Calibri" w:hAnsi="Calibri"/>
      <w:sz w:val="22"/>
      <w:szCs w:val="22"/>
      <w:lang w:val="en-US" w:eastAsia="zh-CN" w:bidi="ar-SA"/>
    </w:rPr>
  </w:style>
  <w:style w:type="paragraph" w:customStyle="1" w:styleId="78">
    <w:name w:val="无间隔1"/>
    <w:link w:val="77"/>
    <w:qFormat/>
    <w:uiPriority w:val="0"/>
    <w:rPr>
      <w:rFonts w:ascii="Calibri" w:hAnsi="Calibri" w:eastAsia="宋体" w:cs="Times New Roman"/>
      <w:sz w:val="22"/>
      <w:szCs w:val="22"/>
      <w:lang w:val="en-US" w:eastAsia="zh-CN" w:bidi="ar-SA"/>
    </w:rPr>
  </w:style>
  <w:style w:type="character" w:customStyle="1" w:styleId="79">
    <w:name w:val="正文首行缩进 Char"/>
    <w:link w:val="49"/>
    <w:qFormat/>
    <w:uiPriority w:val="0"/>
    <w:rPr>
      <w:rFonts w:eastAsia="宋体"/>
      <w:kern w:val="2"/>
      <w:sz w:val="28"/>
      <w:lang w:bidi="ar-SA"/>
    </w:rPr>
  </w:style>
  <w:style w:type="character" w:customStyle="1" w:styleId="80">
    <w:name w:val="列出段落 Char"/>
    <w:link w:val="81"/>
    <w:qFormat/>
    <w:locked/>
    <w:uiPriority w:val="0"/>
    <w:rPr>
      <w:rFonts w:ascii="Calibri" w:hAnsi="Calibri" w:eastAsia="宋体"/>
      <w:kern w:val="2"/>
      <w:sz w:val="21"/>
      <w:szCs w:val="22"/>
      <w:lang w:val="en-US" w:eastAsia="zh-CN" w:bidi="ar-SA"/>
    </w:rPr>
  </w:style>
  <w:style w:type="paragraph" w:customStyle="1" w:styleId="81">
    <w:name w:val="列出段落21"/>
    <w:basedOn w:val="1"/>
    <w:link w:val="80"/>
    <w:qFormat/>
    <w:uiPriority w:val="0"/>
    <w:pPr>
      <w:ind w:firstLine="420" w:firstLineChars="200"/>
    </w:pPr>
    <w:rPr>
      <w:rFonts w:ascii="Calibri" w:hAnsi="Calibri"/>
      <w:szCs w:val="22"/>
    </w:rPr>
  </w:style>
  <w:style w:type="character" w:customStyle="1" w:styleId="82">
    <w:name w:val="Header Char"/>
    <w:qFormat/>
    <w:locked/>
    <w:uiPriority w:val="0"/>
    <w:rPr>
      <w:rFonts w:cs="Times New Roman"/>
      <w:sz w:val="18"/>
      <w:szCs w:val="18"/>
    </w:rPr>
  </w:style>
  <w:style w:type="character" w:customStyle="1" w:styleId="83">
    <w:name w:val="style15"/>
    <w:basedOn w:val="55"/>
    <w:qFormat/>
    <w:uiPriority w:val="0"/>
  </w:style>
  <w:style w:type="character" w:customStyle="1" w:styleId="84">
    <w:name w:val="批注文字 Char"/>
    <w:link w:val="18"/>
    <w:qFormat/>
    <w:uiPriority w:val="0"/>
    <w:rPr>
      <w:rFonts w:eastAsia="宋体"/>
      <w:kern w:val="2"/>
      <w:sz w:val="21"/>
      <w:szCs w:val="24"/>
      <w:lang w:bidi="ar-SA"/>
    </w:rPr>
  </w:style>
  <w:style w:type="character" w:customStyle="1" w:styleId="85">
    <w:name w:val="页眉 Char"/>
    <w:link w:val="35"/>
    <w:qFormat/>
    <w:uiPriority w:val="99"/>
    <w:rPr>
      <w:rFonts w:eastAsia="宋体"/>
      <w:kern w:val="2"/>
      <w:sz w:val="18"/>
      <w:szCs w:val="21"/>
      <w:lang w:bidi="ar-SA"/>
    </w:rPr>
  </w:style>
  <w:style w:type="character" w:customStyle="1" w:styleId="86">
    <w:name w:val="Footer Char"/>
    <w:qFormat/>
    <w:locked/>
    <w:uiPriority w:val="0"/>
    <w:rPr>
      <w:rFonts w:cs="Times New Roman"/>
      <w:sz w:val="18"/>
      <w:szCs w:val="18"/>
    </w:rPr>
  </w:style>
  <w:style w:type="character" w:customStyle="1" w:styleId="87">
    <w:name w:val="marklong"/>
    <w:qFormat/>
    <w:uiPriority w:val="0"/>
  </w:style>
  <w:style w:type="character" w:customStyle="1" w:styleId="88">
    <w:name w:val="Balloon Text Char"/>
    <w:semiHidden/>
    <w:qFormat/>
    <w:locked/>
    <w:uiPriority w:val="0"/>
    <w:rPr>
      <w:rFonts w:ascii="Calibri" w:hAnsi="Calibri" w:eastAsia="宋体" w:cs="Times New Roman"/>
      <w:sz w:val="18"/>
      <w:szCs w:val="18"/>
    </w:rPr>
  </w:style>
  <w:style w:type="character" w:customStyle="1" w:styleId="89">
    <w:name w:val="标题 3 Char"/>
    <w:link w:val="5"/>
    <w:qFormat/>
    <w:uiPriority w:val="0"/>
    <w:rPr>
      <w:rFonts w:eastAsia="宋体"/>
      <w:b/>
      <w:bCs/>
      <w:kern w:val="2"/>
      <w:sz w:val="32"/>
      <w:szCs w:val="32"/>
      <w:lang w:bidi="ar-SA"/>
    </w:rPr>
  </w:style>
  <w:style w:type="character" w:customStyle="1" w:styleId="90">
    <w:name w:val="List Paragraph Char"/>
    <w:link w:val="91"/>
    <w:qFormat/>
    <w:uiPriority w:val="0"/>
    <w:rPr>
      <w:rFonts w:eastAsia="宋体"/>
      <w:kern w:val="2"/>
      <w:sz w:val="21"/>
      <w:lang w:val="en-US" w:eastAsia="zh-CN" w:bidi="ar-SA"/>
    </w:rPr>
  </w:style>
  <w:style w:type="paragraph" w:customStyle="1" w:styleId="91">
    <w:name w:val="列出段落1"/>
    <w:basedOn w:val="1"/>
    <w:link w:val="90"/>
    <w:qFormat/>
    <w:uiPriority w:val="0"/>
    <w:pPr>
      <w:ind w:firstLine="200" w:firstLineChars="200"/>
    </w:pPr>
    <w:rPr>
      <w:szCs w:val="20"/>
    </w:rPr>
  </w:style>
  <w:style w:type="character" w:customStyle="1" w:styleId="92">
    <w:name w:val="标题 8 Char"/>
    <w:link w:val="10"/>
    <w:qFormat/>
    <w:uiPriority w:val="0"/>
    <w:rPr>
      <w:rFonts w:ascii="Arial" w:hAnsi="Arial" w:eastAsia="宋体"/>
      <w:i/>
      <w:iCs/>
      <w:kern w:val="2"/>
      <w:lang w:bidi="ar-SA"/>
    </w:rPr>
  </w:style>
  <w:style w:type="character" w:customStyle="1" w:styleId="93">
    <w:name w:val="标准文本 Char"/>
    <w:link w:val="94"/>
    <w:qFormat/>
    <w:locked/>
    <w:uiPriority w:val="0"/>
    <w:rPr>
      <w:rFonts w:ascii="宋体" w:hAnsi="宋体"/>
      <w:color w:val="000000"/>
      <w:szCs w:val="21"/>
      <w:lang w:bidi="ar-SA"/>
    </w:rPr>
  </w:style>
  <w:style w:type="paragraph" w:customStyle="1" w:styleId="94">
    <w:name w:val="标准文本"/>
    <w:basedOn w:val="1"/>
    <w:link w:val="93"/>
    <w:qFormat/>
    <w:uiPriority w:val="0"/>
    <w:pPr>
      <w:tabs>
        <w:tab w:val="left" w:pos="3060"/>
        <w:tab w:val="left" w:pos="6048"/>
        <w:tab w:val="left" w:pos="7668"/>
      </w:tabs>
      <w:spacing w:line="312" w:lineRule="auto"/>
      <w:ind w:firstLine="420" w:firstLineChars="200"/>
    </w:pPr>
    <w:rPr>
      <w:rFonts w:ascii="宋体" w:hAnsi="宋体"/>
      <w:color w:val="000000"/>
      <w:kern w:val="0"/>
      <w:sz w:val="20"/>
      <w:szCs w:val="21"/>
    </w:rPr>
  </w:style>
  <w:style w:type="character" w:customStyle="1" w:styleId="95">
    <w:name w:val="font3"/>
    <w:qFormat/>
    <w:uiPriority w:val="0"/>
  </w:style>
  <w:style w:type="character" w:customStyle="1" w:styleId="96">
    <w:name w:val="自定义正文 Char Char"/>
    <w:link w:val="97"/>
    <w:qFormat/>
    <w:uiPriority w:val="0"/>
    <w:rPr>
      <w:rFonts w:ascii="宋体" w:hAnsi="宋体" w:eastAsia="宋体"/>
      <w:kern w:val="2"/>
      <w:sz w:val="24"/>
      <w:szCs w:val="24"/>
      <w:lang w:bidi="ar-SA"/>
    </w:rPr>
  </w:style>
  <w:style w:type="paragraph" w:customStyle="1" w:styleId="97">
    <w:name w:val="自定义正文"/>
    <w:basedOn w:val="1"/>
    <w:link w:val="96"/>
    <w:qFormat/>
    <w:uiPriority w:val="0"/>
    <w:pPr>
      <w:spacing w:after="60" w:line="360" w:lineRule="auto"/>
      <w:ind w:firstLine="200" w:firstLineChars="200"/>
      <w:jc w:val="left"/>
    </w:pPr>
    <w:rPr>
      <w:rFonts w:ascii="宋体" w:hAnsi="宋体"/>
      <w:sz w:val="24"/>
    </w:rPr>
  </w:style>
  <w:style w:type="character" w:customStyle="1" w:styleId="98">
    <w:name w:val="H1 Char"/>
    <w:qFormat/>
    <w:uiPriority w:val="0"/>
    <w:rPr>
      <w:b/>
      <w:bCs/>
      <w:kern w:val="44"/>
      <w:sz w:val="44"/>
      <w:szCs w:val="44"/>
    </w:rPr>
  </w:style>
  <w:style w:type="character" w:customStyle="1" w:styleId="99">
    <w:name w:val="text-content11"/>
    <w:qFormat/>
    <w:uiPriority w:val="0"/>
    <w:rPr>
      <w:rFonts w:hint="default" w:ascii="Tahoma" w:hAnsi="Tahoma" w:cs="Tahoma"/>
      <w:color w:val="555555"/>
      <w:sz w:val="18"/>
      <w:szCs w:val="18"/>
    </w:rPr>
  </w:style>
  <w:style w:type="character" w:customStyle="1" w:styleId="100">
    <w:name w:val="纯文本 Char"/>
    <w:qFormat/>
    <w:uiPriority w:val="0"/>
    <w:rPr>
      <w:rFonts w:ascii="宋体" w:hAnsi="Courier New" w:cs="Courier New"/>
      <w:kern w:val="2"/>
      <w:sz w:val="21"/>
      <w:szCs w:val="21"/>
    </w:rPr>
  </w:style>
  <w:style w:type="character" w:customStyle="1" w:styleId="101">
    <w:name w:val="style31"/>
    <w:qFormat/>
    <w:uiPriority w:val="0"/>
    <w:rPr>
      <w:sz w:val="18"/>
    </w:rPr>
  </w:style>
  <w:style w:type="character" w:customStyle="1" w:styleId="102">
    <w:name w:val="引文目录标题 Char"/>
    <w:qFormat/>
    <w:uiPriority w:val="0"/>
    <w:rPr>
      <w:rFonts w:ascii="Arial" w:hAnsi="Arial" w:eastAsia="宋体"/>
      <w:kern w:val="2"/>
      <w:sz w:val="24"/>
      <w:lang w:val="en-US" w:eastAsia="zh-CN"/>
    </w:rPr>
  </w:style>
  <w:style w:type="character" w:customStyle="1" w:styleId="103">
    <w:name w:val="Comment Text Char"/>
    <w:semiHidden/>
    <w:qFormat/>
    <w:locked/>
    <w:uiPriority w:val="0"/>
    <w:rPr>
      <w:rFonts w:cs="Times New Roman"/>
    </w:rPr>
  </w:style>
  <w:style w:type="character" w:customStyle="1" w:styleId="104">
    <w:name w:val="日期 Char"/>
    <w:link w:val="31"/>
    <w:qFormat/>
    <w:uiPriority w:val="0"/>
    <w:rPr>
      <w:rFonts w:eastAsia="宋体"/>
      <w:kern w:val="2"/>
      <w:sz w:val="21"/>
      <w:szCs w:val="24"/>
      <w:lang w:bidi="ar-SA"/>
    </w:rPr>
  </w:style>
  <w:style w:type="character" w:customStyle="1" w:styleId="105">
    <w:name w:val="标题 7 Char"/>
    <w:link w:val="9"/>
    <w:qFormat/>
    <w:uiPriority w:val="0"/>
    <w:rPr>
      <w:rFonts w:ascii="Arial" w:hAnsi="Arial" w:eastAsia="宋体"/>
      <w:kern w:val="2"/>
      <w:lang w:bidi="ar-SA"/>
    </w:rPr>
  </w:style>
  <w:style w:type="character" w:customStyle="1" w:styleId="106">
    <w:name w:val="正文文本 3 Char"/>
    <w:link w:val="20"/>
    <w:qFormat/>
    <w:uiPriority w:val="0"/>
    <w:rPr>
      <w:rFonts w:ascii="Arial" w:hAnsi="Arial" w:eastAsia="宋体"/>
      <w:kern w:val="2"/>
      <w:sz w:val="21"/>
      <w:lang w:bidi="ar-SA"/>
    </w:rPr>
  </w:style>
  <w:style w:type="character" w:customStyle="1" w:styleId="107">
    <w:name w:val="正文文本 2 Char"/>
    <w:link w:val="44"/>
    <w:qFormat/>
    <w:uiPriority w:val="0"/>
    <w:rPr>
      <w:rFonts w:eastAsia="宋体"/>
      <w:kern w:val="2"/>
      <w:sz w:val="24"/>
      <w:lang w:val="en-US" w:eastAsia="zh-CN" w:bidi="ar-SA"/>
    </w:rPr>
  </w:style>
  <w:style w:type="character" w:customStyle="1" w:styleId="108">
    <w:name w:val="批注主题 Char"/>
    <w:link w:val="48"/>
    <w:qFormat/>
    <w:uiPriority w:val="0"/>
    <w:rPr>
      <w:b/>
      <w:bCs/>
      <w:kern w:val="2"/>
      <w:sz w:val="21"/>
      <w:szCs w:val="24"/>
    </w:rPr>
  </w:style>
  <w:style w:type="character" w:customStyle="1" w:styleId="109">
    <w:name w:val="small"/>
    <w:qFormat/>
    <w:uiPriority w:val="0"/>
  </w:style>
  <w:style w:type="character" w:customStyle="1" w:styleId="110">
    <w:name w:val="批注文字 Char Char"/>
    <w:qFormat/>
    <w:uiPriority w:val="0"/>
    <w:rPr>
      <w:kern w:val="2"/>
      <w:sz w:val="21"/>
    </w:rPr>
  </w:style>
  <w:style w:type="character" w:customStyle="1" w:styleId="111">
    <w:name w:val="批注框文本 Char"/>
    <w:link w:val="33"/>
    <w:qFormat/>
    <w:uiPriority w:val="0"/>
    <w:rPr>
      <w:rFonts w:eastAsia="宋体"/>
      <w:kern w:val="2"/>
      <w:sz w:val="18"/>
      <w:szCs w:val="18"/>
      <w:lang w:bidi="ar-SA"/>
    </w:rPr>
  </w:style>
  <w:style w:type="character" w:customStyle="1" w:styleId="112">
    <w:name w:val="正文2 Char"/>
    <w:link w:val="113"/>
    <w:qFormat/>
    <w:uiPriority w:val="0"/>
    <w:rPr>
      <w:kern w:val="2"/>
      <w:sz w:val="24"/>
      <w:lang w:bidi="ar-SA"/>
    </w:rPr>
  </w:style>
  <w:style w:type="paragraph" w:customStyle="1" w:styleId="113">
    <w:name w:val="正文2"/>
    <w:basedOn w:val="1"/>
    <w:link w:val="112"/>
    <w:qFormat/>
    <w:uiPriority w:val="0"/>
    <w:pPr>
      <w:spacing w:before="156" w:line="360" w:lineRule="auto"/>
      <w:ind w:firstLine="510" w:firstLineChars="200"/>
    </w:pPr>
    <w:rPr>
      <w:sz w:val="24"/>
      <w:szCs w:val="20"/>
    </w:rPr>
  </w:style>
  <w:style w:type="character" w:customStyle="1" w:styleId="114">
    <w:name w:val="页脚 Char"/>
    <w:link w:val="34"/>
    <w:qFormat/>
    <w:uiPriority w:val="99"/>
    <w:rPr>
      <w:rFonts w:eastAsia="宋体"/>
      <w:kern w:val="2"/>
      <w:sz w:val="18"/>
      <w:szCs w:val="18"/>
      <w:lang w:bidi="ar-SA"/>
    </w:rPr>
  </w:style>
  <w:style w:type="character" w:customStyle="1" w:styleId="115">
    <w:name w:val="标题 5 Char"/>
    <w:link w:val="7"/>
    <w:qFormat/>
    <w:uiPriority w:val="0"/>
    <w:rPr>
      <w:rFonts w:eastAsia="宋体"/>
      <w:kern w:val="2"/>
      <w:sz w:val="22"/>
      <w:lang w:bidi="ar-SA"/>
    </w:rPr>
  </w:style>
  <w:style w:type="character" w:customStyle="1" w:styleId="116">
    <w:name w:val="标题 1 Char"/>
    <w:link w:val="3"/>
    <w:qFormat/>
    <w:uiPriority w:val="0"/>
    <w:rPr>
      <w:rFonts w:eastAsia="宋体"/>
      <w:b/>
      <w:bCs/>
      <w:kern w:val="44"/>
      <w:sz w:val="44"/>
      <w:szCs w:val="44"/>
      <w:lang w:bidi="ar-SA"/>
    </w:rPr>
  </w:style>
  <w:style w:type="character" w:customStyle="1" w:styleId="117">
    <w:name w:val="正文文本缩进 3 Char"/>
    <w:link w:val="41"/>
    <w:qFormat/>
    <w:uiPriority w:val="0"/>
    <w:rPr>
      <w:rFonts w:eastAsia="仿宋_GB2312"/>
      <w:kern w:val="2"/>
      <w:sz w:val="32"/>
      <w:szCs w:val="24"/>
      <w:lang w:bidi="ar-SA"/>
    </w:rPr>
  </w:style>
  <w:style w:type="character" w:customStyle="1" w:styleId="118">
    <w:name w:val="Heading 2 Hidden Char"/>
    <w:qFormat/>
    <w:uiPriority w:val="0"/>
    <w:rPr>
      <w:rFonts w:ascii="Arial" w:hAnsi="Arial" w:eastAsia="黑体"/>
      <w:b/>
      <w:kern w:val="2"/>
      <w:sz w:val="32"/>
      <w:lang w:val="en-US" w:eastAsia="zh-CN"/>
    </w:rPr>
  </w:style>
  <w:style w:type="character" w:customStyle="1" w:styleId="119">
    <w:name w:val="纯文本 Char1"/>
    <w:link w:val="29"/>
    <w:qFormat/>
    <w:uiPriority w:val="0"/>
    <w:rPr>
      <w:rFonts w:ascii="宋体" w:hAnsi="宋体" w:eastAsia="宋体"/>
      <w:kern w:val="2"/>
      <w:sz w:val="21"/>
      <w:szCs w:val="21"/>
      <w:lang w:bidi="ar-SA"/>
    </w:rPr>
  </w:style>
  <w:style w:type="character" w:customStyle="1" w:styleId="120">
    <w:name w:val="正文文本缩进 2 Char"/>
    <w:link w:val="32"/>
    <w:qFormat/>
    <w:uiPriority w:val="0"/>
    <w:rPr>
      <w:rFonts w:eastAsia="仿宋_GB2312"/>
      <w:color w:val="000000"/>
      <w:sz w:val="32"/>
      <w:szCs w:val="28"/>
      <w:lang w:bidi="ar-SA"/>
    </w:rPr>
  </w:style>
  <w:style w:type="character" w:customStyle="1" w:styleId="121">
    <w:name w:val="称呼 Char"/>
    <w:link w:val="19"/>
    <w:qFormat/>
    <w:uiPriority w:val="0"/>
    <w:rPr>
      <w:rFonts w:ascii="华文宋体" w:hAnsi="Arial Unicode MS" w:eastAsia="华文宋体"/>
      <w:kern w:val="2"/>
      <w:sz w:val="24"/>
      <w:lang w:bidi="ar-SA"/>
    </w:rPr>
  </w:style>
  <w:style w:type="character" w:customStyle="1" w:styleId="122">
    <w:name w:val="apple-converted-space"/>
    <w:basedOn w:val="55"/>
    <w:qFormat/>
    <w:uiPriority w:val="0"/>
  </w:style>
  <w:style w:type="character" w:customStyle="1" w:styleId="123">
    <w:name w:val="正文文本缩进 Char"/>
    <w:link w:val="21"/>
    <w:qFormat/>
    <w:uiPriority w:val="0"/>
    <w:rPr>
      <w:rFonts w:eastAsia="仿宋_GB2312"/>
      <w:b/>
      <w:bCs/>
      <w:color w:val="000000"/>
      <w:sz w:val="32"/>
      <w:szCs w:val="28"/>
      <w:lang w:bidi="ar-SA"/>
    </w:rPr>
  </w:style>
  <w:style w:type="character" w:customStyle="1" w:styleId="124">
    <w:name w:val="正文缩进 Char"/>
    <w:link w:val="14"/>
    <w:qFormat/>
    <w:locked/>
    <w:uiPriority w:val="0"/>
    <w:rPr>
      <w:rFonts w:eastAsia="宋体"/>
      <w:kern w:val="2"/>
      <w:sz w:val="24"/>
      <w:lang w:bidi="ar-SA"/>
    </w:rPr>
  </w:style>
  <w:style w:type="character" w:customStyle="1" w:styleId="125">
    <w:name w:val="Level 3 Head Char"/>
    <w:qFormat/>
    <w:uiPriority w:val="0"/>
    <w:rPr>
      <w:b/>
      <w:bCs/>
      <w:kern w:val="2"/>
      <w:sz w:val="32"/>
      <w:szCs w:val="32"/>
    </w:rPr>
  </w:style>
  <w:style w:type="character" w:customStyle="1" w:styleId="126">
    <w:name w:val="文档结构图 Char"/>
    <w:link w:val="16"/>
    <w:qFormat/>
    <w:uiPriority w:val="0"/>
    <w:rPr>
      <w:rFonts w:eastAsia="宋体"/>
      <w:kern w:val="2"/>
      <w:sz w:val="21"/>
      <w:szCs w:val="24"/>
      <w:lang w:bidi="ar-SA"/>
    </w:rPr>
  </w:style>
  <w:style w:type="character" w:customStyle="1" w:styleId="127">
    <w:name w:val="正文缩进 Char1"/>
    <w:link w:val="128"/>
    <w:qFormat/>
    <w:uiPriority w:val="0"/>
    <w:rPr>
      <w:rFonts w:eastAsia="宋体"/>
      <w:kern w:val="2"/>
      <w:sz w:val="21"/>
      <w:lang w:val="en-US" w:eastAsia="zh-CN" w:bidi="ar-SA"/>
    </w:rPr>
  </w:style>
  <w:style w:type="paragraph" w:customStyle="1" w:styleId="128">
    <w:name w:val="正文缩进1"/>
    <w:basedOn w:val="1"/>
    <w:link w:val="127"/>
    <w:qFormat/>
    <w:uiPriority w:val="0"/>
    <w:pPr>
      <w:ind w:firstLine="420" w:firstLineChars="200"/>
    </w:pPr>
    <w:rPr>
      <w:szCs w:val="20"/>
    </w:rPr>
  </w:style>
  <w:style w:type="character" w:customStyle="1" w:styleId="129">
    <w:name w:val="标题 9 Char"/>
    <w:link w:val="11"/>
    <w:qFormat/>
    <w:uiPriority w:val="0"/>
    <w:rPr>
      <w:rFonts w:ascii="Arial" w:hAnsi="Arial" w:eastAsia="宋体"/>
      <w:b/>
      <w:i/>
      <w:iCs/>
      <w:kern w:val="2"/>
      <w:sz w:val="18"/>
      <w:lang w:bidi="ar-SA"/>
    </w:rPr>
  </w:style>
  <w:style w:type="character" w:customStyle="1" w:styleId="130">
    <w:name w:val="标题 4 Char"/>
    <w:link w:val="6"/>
    <w:qFormat/>
    <w:uiPriority w:val="0"/>
    <w:rPr>
      <w:rFonts w:ascii="黑体" w:hAnsi="黑体" w:eastAsia="黑体"/>
      <w:b/>
      <w:sz w:val="28"/>
      <w:lang w:bidi="ar-SA"/>
    </w:rPr>
  </w:style>
  <w:style w:type="paragraph" w:customStyle="1" w:styleId="131">
    <w:name w:val="a-标题3"/>
    <w:basedOn w:val="1"/>
    <w:qFormat/>
    <w:uiPriority w:val="0"/>
    <w:pPr>
      <w:spacing w:line="440" w:lineRule="exact"/>
      <w:jc w:val="left"/>
    </w:pPr>
    <w:rPr>
      <w:rFonts w:ascii="楷体_GB2312" w:hAnsi="Arial Unicode MS" w:eastAsia="楷体_GB2312" w:cs="Arial Unicode MS"/>
      <w:b/>
      <w:sz w:val="28"/>
      <w:szCs w:val="20"/>
    </w:rPr>
  </w:style>
  <w:style w:type="paragraph" w:customStyle="1" w:styleId="1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133">
    <w:name w:val="xl109"/>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34">
    <w:name w:val="样式2"/>
    <w:basedOn w:val="2"/>
    <w:qFormat/>
    <w:uiPriority w:val="0"/>
    <w:pPr>
      <w:spacing w:line="400" w:lineRule="exact"/>
      <w:jc w:val="center"/>
    </w:pPr>
    <w:rPr>
      <w:rFonts w:ascii="宋体" w:hAnsi="宋体"/>
    </w:rPr>
  </w:style>
  <w:style w:type="paragraph" w:customStyle="1" w:styleId="135">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6">
    <w:name w:val="xl141"/>
    <w:basedOn w:val="1"/>
    <w:qFormat/>
    <w:uiPriority w:val="0"/>
    <w:pPr>
      <w:widowControl/>
      <w:pBdr>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137">
    <w:name w:val="彩色列表 - 强调文字颜色 11"/>
    <w:basedOn w:val="1"/>
    <w:qFormat/>
    <w:uiPriority w:val="0"/>
    <w:pPr>
      <w:ind w:firstLine="420" w:firstLineChars="200"/>
    </w:pPr>
    <w:rPr>
      <w:rFonts w:ascii="Calibri" w:hAnsi="Calibri"/>
      <w:szCs w:val="22"/>
    </w:rPr>
  </w:style>
  <w:style w:type="paragraph" w:customStyle="1" w:styleId="138">
    <w:name w:val="Char Char Char Char Char Char"/>
    <w:basedOn w:val="1"/>
    <w:qFormat/>
    <w:uiPriority w:val="0"/>
    <w:pPr>
      <w:jc w:val="center"/>
    </w:pPr>
    <w:rPr>
      <w:rFonts w:ascii="Tahoma" w:hAnsi="Tahoma"/>
      <w:sz w:val="24"/>
      <w:szCs w:val="20"/>
    </w:rPr>
  </w:style>
  <w:style w:type="paragraph" w:customStyle="1" w:styleId="13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微软雅黑" w:hAnsi="微软雅黑" w:eastAsia="微软雅黑" w:cs="宋体"/>
      <w:kern w:val="0"/>
      <w:sz w:val="20"/>
      <w:szCs w:val="20"/>
    </w:rPr>
  </w:style>
  <w:style w:type="paragraph" w:customStyle="1" w:styleId="140">
    <w:name w:val="xl133"/>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1">
    <w:name w:val="xl72"/>
    <w:basedOn w:val="1"/>
    <w:qFormat/>
    <w:uiPriority w:val="0"/>
    <w:pPr>
      <w:widowControl/>
      <w:pBdr>
        <w:top w:val="single" w:color="auto" w:sz="4" w:space="0"/>
      </w:pBdr>
      <w:spacing w:before="100" w:beforeAutospacing="1" w:after="100" w:afterAutospacing="1"/>
      <w:jc w:val="left"/>
    </w:pPr>
    <w:rPr>
      <w:rFonts w:ascii="宋体" w:hAnsi="宋体"/>
      <w:kern w:val="0"/>
      <w:sz w:val="24"/>
      <w:szCs w:val="20"/>
    </w:rPr>
  </w:style>
  <w:style w:type="paragraph" w:customStyle="1" w:styleId="142">
    <w:name w:val="xl57"/>
    <w:basedOn w:val="1"/>
    <w:qFormat/>
    <w:uiPriority w:val="0"/>
    <w:pPr>
      <w:widowControl/>
      <w:spacing w:before="100" w:beforeAutospacing="1" w:after="100" w:afterAutospacing="1"/>
      <w:jc w:val="left"/>
      <w:textAlignment w:val="top"/>
    </w:pPr>
    <w:rPr>
      <w:rFonts w:ascii="宋体" w:hAnsi="宋体"/>
      <w:kern w:val="0"/>
      <w:sz w:val="20"/>
      <w:szCs w:val="20"/>
    </w:rPr>
  </w:style>
  <w:style w:type="paragraph" w:customStyle="1" w:styleId="143">
    <w:name w:val="样式1"/>
    <w:basedOn w:val="3"/>
    <w:qFormat/>
    <w:uiPriority w:val="0"/>
    <w:pPr>
      <w:adjustRightInd w:val="0"/>
      <w:spacing w:before="240" w:after="240" w:line="360" w:lineRule="auto"/>
      <w:jc w:val="left"/>
      <w:textAlignment w:val="baseline"/>
    </w:pPr>
    <w:rPr>
      <w:rFonts w:ascii="宋体" w:hAnsi="宋体" w:cs="Arial Unicode MS"/>
      <w:bCs w:val="0"/>
      <w:sz w:val="32"/>
      <w:szCs w:val="20"/>
    </w:rPr>
  </w:style>
  <w:style w:type="paragraph" w:customStyle="1" w:styleId="144">
    <w:name w:val="xl1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45">
    <w:name w:val="xl79"/>
    <w:basedOn w:val="1"/>
    <w:qFormat/>
    <w:uiPriority w:val="0"/>
    <w:pPr>
      <w:widowControl/>
      <w:pBdr>
        <w:bottom w:val="single" w:color="auto" w:sz="4" w:space="0"/>
      </w:pBdr>
      <w:spacing w:before="100" w:beforeAutospacing="1" w:after="100" w:afterAutospacing="1"/>
      <w:jc w:val="right"/>
    </w:pPr>
    <w:rPr>
      <w:kern w:val="0"/>
      <w:sz w:val="22"/>
      <w:szCs w:val="20"/>
    </w:rPr>
  </w:style>
  <w:style w:type="paragraph" w:customStyle="1" w:styleId="146">
    <w:name w:val="批注框文本 Char Char"/>
    <w:basedOn w:val="1"/>
    <w:qFormat/>
    <w:uiPriority w:val="0"/>
    <w:rPr>
      <w:sz w:val="18"/>
      <w:szCs w:val="20"/>
    </w:rPr>
  </w:style>
  <w:style w:type="paragraph" w:customStyle="1" w:styleId="147">
    <w:name w:val="xl4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48">
    <w:name w:val="xl56"/>
    <w:basedOn w:val="1"/>
    <w:qFormat/>
    <w:uiPriority w:val="0"/>
    <w:pPr>
      <w:widowControl/>
      <w:pBdr>
        <w:top w:val="single" w:color="auto" w:sz="4" w:space="0"/>
        <w:bottom w:val="single" w:color="auto" w:sz="4" w:space="0"/>
      </w:pBdr>
      <w:spacing w:before="100" w:beforeAutospacing="1" w:after="100" w:afterAutospacing="1"/>
      <w:jc w:val="center"/>
      <w:textAlignment w:val="center"/>
    </w:pPr>
    <w:rPr>
      <w:kern w:val="0"/>
      <w:sz w:val="20"/>
      <w:szCs w:val="20"/>
    </w:rPr>
  </w:style>
  <w:style w:type="paragraph" w:customStyle="1" w:styleId="149">
    <w:name w:val="样式 正文"/>
    <w:basedOn w:val="1"/>
    <w:next w:val="1"/>
    <w:qFormat/>
    <w:uiPriority w:val="0"/>
    <w:pPr>
      <w:widowControl/>
      <w:spacing w:beforeLines="50" w:afterLines="50"/>
      <w:jc w:val="left"/>
    </w:pPr>
    <w:rPr>
      <w:rFonts w:ascii="宋体" w:cs="宋体"/>
      <w:snapToGrid w:val="0"/>
      <w:kern w:val="0"/>
      <w:szCs w:val="20"/>
    </w:rPr>
  </w:style>
  <w:style w:type="paragraph" w:customStyle="1" w:styleId="150">
    <w:name w:val="xl115"/>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ST20_17"/>
    <w:basedOn w:val="6"/>
    <w:qFormat/>
    <w:uiPriority w:val="0"/>
    <w:pPr>
      <w:spacing w:before="0" w:after="0" w:line="240" w:lineRule="atLeast"/>
      <w:jc w:val="both"/>
      <w:outlineLvl w:val="9"/>
    </w:pPr>
    <w:rPr>
      <w:rFonts w:ascii="宋体" w:hAnsi="宋体" w:eastAsia="宋体" w:cs="Arial Unicode MS"/>
      <w:b w:val="0"/>
      <w:sz w:val="24"/>
    </w:rPr>
  </w:style>
  <w:style w:type="paragraph" w:customStyle="1" w:styleId="152">
    <w:name w:val="xl1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53">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154">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5">
    <w:name w:val="xl1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6">
    <w:name w:val="_Style 29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xl60"/>
    <w:basedOn w:val="1"/>
    <w:qFormat/>
    <w:uiPriority w:val="0"/>
    <w:pPr>
      <w:widowControl/>
      <w:pBdr>
        <w:bottom w:val="single" w:color="auto" w:sz="4" w:space="0"/>
      </w:pBdr>
      <w:spacing w:before="100" w:beforeAutospacing="1" w:after="100" w:afterAutospacing="1"/>
      <w:jc w:val="left"/>
    </w:pPr>
    <w:rPr>
      <w:rFonts w:ascii="宋体" w:hAnsi="宋体"/>
      <w:kern w:val="0"/>
      <w:sz w:val="22"/>
      <w:szCs w:val="20"/>
    </w:rPr>
  </w:style>
  <w:style w:type="paragraph" w:customStyle="1" w:styleId="158">
    <w:name w:val="xl44"/>
    <w:basedOn w:val="1"/>
    <w:qFormat/>
    <w:uiPriority w:val="0"/>
    <w:pPr>
      <w:widowControl/>
      <w:spacing w:before="100" w:beforeAutospacing="1" w:after="100" w:afterAutospacing="1"/>
      <w:jc w:val="right"/>
      <w:textAlignment w:val="center"/>
    </w:pPr>
    <w:rPr>
      <w:rFonts w:ascii="宋体" w:hAnsi="宋体"/>
      <w:kern w:val="0"/>
      <w:sz w:val="20"/>
      <w:szCs w:val="20"/>
    </w:rPr>
  </w:style>
  <w:style w:type="paragraph" w:customStyle="1" w:styleId="159">
    <w:name w:val="font19"/>
    <w:basedOn w:val="1"/>
    <w:qFormat/>
    <w:uiPriority w:val="0"/>
    <w:pPr>
      <w:widowControl/>
      <w:spacing w:before="100" w:beforeAutospacing="1" w:after="100" w:afterAutospacing="1"/>
      <w:jc w:val="left"/>
    </w:pPr>
    <w:rPr>
      <w:rFonts w:ascii="宋体" w:hAnsi="宋体" w:cs="宋体"/>
      <w:b/>
      <w:bCs/>
      <w:color w:val="DD0806"/>
      <w:kern w:val="0"/>
      <w:sz w:val="20"/>
      <w:szCs w:val="20"/>
    </w:rPr>
  </w:style>
  <w:style w:type="paragraph" w:customStyle="1" w:styleId="160">
    <w:name w:val="h3"/>
    <w:basedOn w:val="1"/>
    <w:qFormat/>
    <w:uiPriority w:val="0"/>
    <w:pPr>
      <w:widowControl/>
      <w:jc w:val="left"/>
    </w:pPr>
    <w:rPr>
      <w:rFonts w:ascii="宋体" w:hAnsi="宋体"/>
      <w:kern w:val="0"/>
      <w:sz w:val="24"/>
      <w:szCs w:val="20"/>
    </w:rPr>
  </w:style>
  <w:style w:type="paragraph" w:customStyle="1" w:styleId="161">
    <w:name w:val="项目符号2"/>
    <w:basedOn w:val="76"/>
    <w:qFormat/>
    <w:uiPriority w:val="0"/>
    <w:pPr>
      <w:numPr>
        <w:ilvl w:val="0"/>
        <w:numId w:val="3"/>
      </w:numPr>
    </w:pPr>
  </w:style>
  <w:style w:type="paragraph" w:customStyle="1" w:styleId="162">
    <w:name w:val="样式 样式 标题 2 + 段前: 0.5 行 段后: 0.5 行 + 首行缩进:  2 字符 段前: 0.5 行 段后: 0..."/>
    <w:basedOn w:val="163"/>
    <w:qFormat/>
    <w:uiPriority w:val="0"/>
    <w:pPr>
      <w:spacing w:before="50" w:after="50"/>
      <w:ind w:firstLine="0" w:firstLineChars="0"/>
    </w:pPr>
    <w:rPr>
      <w:rFonts w:cs="Times New Roman"/>
      <w:bCs w:val="0"/>
      <w:szCs w:val="20"/>
    </w:rPr>
  </w:style>
  <w:style w:type="paragraph" w:customStyle="1" w:styleId="163">
    <w:name w:val="样式 标题 2 + 段前: 0.5 行 段后: 0.5 行"/>
    <w:basedOn w:val="4"/>
    <w:qFormat/>
    <w:uiPriority w:val="0"/>
    <w:pPr>
      <w:spacing w:beforeLines="0" w:afterLines="0"/>
    </w:pPr>
    <w:rPr>
      <w:rFonts w:ascii="Times New Roman" w:hAnsi="Times New Roman" w:cs="宋体"/>
      <w:b w:val="0"/>
      <w:bCs/>
      <w:sz w:val="21"/>
      <w:szCs w:val="21"/>
    </w:rPr>
  </w:style>
  <w:style w:type="paragraph" w:customStyle="1" w:styleId="16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65">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166">
    <w:name w:val="xl67"/>
    <w:basedOn w:val="1"/>
    <w:qFormat/>
    <w:uiPriority w:val="0"/>
    <w:pPr>
      <w:widowControl/>
      <w:pBdr>
        <w:top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167">
    <w:name w:val="样式 标题 21.1 + 小四"/>
    <w:basedOn w:val="4"/>
    <w:qFormat/>
    <w:uiPriority w:val="0"/>
    <w:pPr>
      <w:tabs>
        <w:tab w:val="left" w:pos="720"/>
      </w:tabs>
      <w:snapToGrid w:val="0"/>
      <w:spacing w:beforeLines="0" w:afterLines="0" w:line="360" w:lineRule="auto"/>
      <w:ind w:firstLine="0" w:firstLineChars="0"/>
      <w:jc w:val="both"/>
    </w:pPr>
    <w:rPr>
      <w:rFonts w:ascii="Times New Roman" w:hAnsi="Times New Roman" w:eastAsia="宋体"/>
      <w:b w:val="0"/>
      <w:szCs w:val="20"/>
    </w:rPr>
  </w:style>
  <w:style w:type="paragraph" w:customStyle="1" w:styleId="16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69">
    <w:name w:val="xl14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70">
    <w:name w:val="xl26"/>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7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73">
    <w:name w:val="xl99"/>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4">
    <w:name w:val="xl29"/>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175">
    <w:name w:val="font1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正文小4号"/>
    <w:basedOn w:val="1"/>
    <w:qFormat/>
    <w:uiPriority w:val="0"/>
    <w:pPr>
      <w:spacing w:line="360" w:lineRule="auto"/>
      <w:ind w:firstLine="200" w:firstLineChars="200"/>
    </w:pPr>
    <w:rPr>
      <w:sz w:val="24"/>
    </w:rPr>
  </w:style>
  <w:style w:type="paragraph" w:customStyle="1" w:styleId="177">
    <w:name w:val="Char Char1 Char"/>
    <w:basedOn w:val="1"/>
    <w:qFormat/>
    <w:uiPriority w:val="0"/>
    <w:rPr>
      <w:rFonts w:ascii="仿宋_GB2312" w:eastAsia="仿宋_GB2312"/>
      <w:b/>
      <w:sz w:val="32"/>
      <w:szCs w:val="32"/>
    </w:rPr>
  </w:style>
  <w:style w:type="paragraph" w:customStyle="1" w:styleId="178">
    <w:name w:val="正文1 New"/>
    <w:basedOn w:val="1"/>
    <w:qFormat/>
    <w:uiPriority w:val="0"/>
    <w:pPr>
      <w:spacing w:line="360" w:lineRule="auto"/>
      <w:ind w:left="1260" w:leftChars="600" w:firstLine="540" w:firstLineChars="257"/>
    </w:pPr>
    <w:rPr>
      <w:rFonts w:ascii="宋体" w:hAnsi="宋体"/>
    </w:rPr>
  </w:style>
  <w:style w:type="paragraph" w:customStyle="1" w:styleId="179">
    <w:name w:val="xl76"/>
    <w:basedOn w:val="1"/>
    <w:qFormat/>
    <w:uiPriority w:val="0"/>
    <w:pPr>
      <w:widowControl/>
      <w:pBdr>
        <w:bottom w:val="single" w:color="auto" w:sz="4" w:space="0"/>
      </w:pBdr>
      <w:spacing w:before="100" w:beforeAutospacing="1" w:after="100" w:afterAutospacing="1"/>
      <w:jc w:val="left"/>
    </w:pPr>
    <w:rPr>
      <w:rFonts w:ascii="宋体" w:hAnsi="宋体"/>
      <w:kern w:val="0"/>
      <w:sz w:val="22"/>
      <w:szCs w:val="20"/>
    </w:rPr>
  </w:style>
  <w:style w:type="paragraph" w:customStyle="1" w:styleId="180">
    <w:name w:val="图表文字"/>
    <w:qFormat/>
    <w:uiPriority w:val="0"/>
    <w:pPr>
      <w:tabs>
        <w:tab w:val="left" w:pos="3850"/>
      </w:tabs>
      <w:spacing w:line="320" w:lineRule="exact"/>
      <w:jc w:val="both"/>
    </w:pPr>
    <w:rPr>
      <w:rFonts w:ascii="Times New Roman" w:hAnsi="Times New Roman" w:eastAsia="宋体" w:cs="Times New Roman"/>
      <w:sz w:val="21"/>
      <w:szCs w:val="21"/>
      <w:lang w:val="en-US" w:eastAsia="zh-CN" w:bidi="ar-SA"/>
    </w:rPr>
  </w:style>
  <w:style w:type="paragraph" w:customStyle="1" w:styleId="181">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182">
    <w:name w:val="xl12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列表延续"/>
    <w:basedOn w:val="1"/>
    <w:qFormat/>
    <w:uiPriority w:val="0"/>
    <w:pPr>
      <w:numPr>
        <w:ilvl w:val="8"/>
        <w:numId w:val="5"/>
      </w:numPr>
      <w:adjustRightInd w:val="0"/>
      <w:spacing w:line="360" w:lineRule="auto"/>
      <w:textAlignment w:val="baseline"/>
    </w:pPr>
    <w:rPr>
      <w:rFonts w:eastAsia="楷体_GB2312"/>
      <w:kern w:val="28"/>
      <w:sz w:val="28"/>
      <w:szCs w:val="20"/>
    </w:rPr>
  </w:style>
  <w:style w:type="paragraph" w:customStyle="1" w:styleId="184">
    <w:name w:val="Table Paragraph"/>
    <w:basedOn w:val="1"/>
    <w:qFormat/>
    <w:uiPriority w:val="1"/>
    <w:rPr>
      <w:rFonts w:ascii="宋体" w:hAnsi="宋体" w:cs="宋体"/>
      <w:lang w:val="zh-CN" w:bidi="zh-CN"/>
    </w:rPr>
  </w:style>
  <w:style w:type="paragraph" w:customStyle="1" w:styleId="185">
    <w:name w:val="Char Char Char Char Char Char1 Char Char Char Char Char Char Char Char Char"/>
    <w:basedOn w:val="1"/>
    <w:qFormat/>
    <w:uiPriority w:val="0"/>
    <w:pPr>
      <w:adjustRightInd w:val="0"/>
      <w:spacing w:line="360" w:lineRule="auto"/>
    </w:pPr>
    <w:rPr>
      <w:rFonts w:eastAsia="Times New Roman"/>
      <w:kern w:val="0"/>
      <w:sz w:val="20"/>
      <w:szCs w:val="20"/>
    </w:rPr>
  </w:style>
  <w:style w:type="paragraph" w:customStyle="1" w:styleId="186">
    <w:name w:val="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87">
    <w:name w:val="xl78"/>
    <w:basedOn w:val="1"/>
    <w:qFormat/>
    <w:uiPriority w:val="0"/>
    <w:pPr>
      <w:widowControl/>
      <w:pBdr>
        <w:bottom w:val="single" w:color="auto" w:sz="4" w:space="0"/>
      </w:pBdr>
      <w:spacing w:before="100" w:beforeAutospacing="1" w:after="100" w:afterAutospacing="1"/>
      <w:jc w:val="right"/>
    </w:pPr>
    <w:rPr>
      <w:rFonts w:ascii="宋体" w:hAnsi="宋体"/>
      <w:kern w:val="0"/>
      <w:sz w:val="22"/>
      <w:szCs w:val="20"/>
    </w:rPr>
  </w:style>
  <w:style w:type="paragraph" w:customStyle="1" w:styleId="188">
    <w:name w:val="A正文"/>
    <w:basedOn w:val="1"/>
    <w:qFormat/>
    <w:uiPriority w:val="0"/>
    <w:pPr>
      <w:widowControl/>
      <w:overflowPunct w:val="0"/>
      <w:autoSpaceDE w:val="0"/>
      <w:autoSpaceDN w:val="0"/>
      <w:adjustRightInd w:val="0"/>
      <w:spacing w:line="360" w:lineRule="auto"/>
      <w:ind w:firstLine="200" w:firstLineChars="200"/>
      <w:jc w:val="left"/>
      <w:textAlignment w:val="baseline"/>
    </w:pPr>
    <w:rPr>
      <w:rFonts w:eastAsia="仿宋_GB2312"/>
      <w:kern w:val="0"/>
      <w:sz w:val="24"/>
      <w:szCs w:val="20"/>
    </w:rPr>
  </w:style>
  <w:style w:type="paragraph" w:customStyle="1" w:styleId="18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0">
    <w:name w:val="表格文字"/>
    <w:basedOn w:val="1"/>
    <w:qFormat/>
    <w:uiPriority w:val="0"/>
    <w:pPr>
      <w:spacing w:before="25" w:after="25"/>
      <w:jc w:val="left"/>
    </w:pPr>
    <w:rPr>
      <w:bCs/>
      <w:spacing w:val="10"/>
      <w:kern w:val="0"/>
      <w:sz w:val="24"/>
      <w:szCs w:val="20"/>
    </w:rPr>
  </w:style>
  <w:style w:type="paragraph" w:customStyle="1" w:styleId="191">
    <w:name w:val="标3"/>
    <w:basedOn w:val="1"/>
    <w:qFormat/>
    <w:uiPriority w:val="0"/>
    <w:pPr>
      <w:tabs>
        <w:tab w:val="left" w:pos="1200"/>
      </w:tabs>
      <w:adjustRightInd w:val="0"/>
      <w:snapToGrid w:val="0"/>
      <w:spacing w:before="50"/>
      <w:ind w:left="1200" w:leftChars="400" w:hanging="360" w:hangingChars="200"/>
      <w:outlineLvl w:val="2"/>
    </w:pPr>
    <w:rPr>
      <w:rFonts w:ascii="Arial Narrow" w:hAnsi="Arial Narrow" w:eastAsia="仿宋_GB2312"/>
      <w:sz w:val="28"/>
      <w:szCs w:val="20"/>
    </w:rPr>
  </w:style>
  <w:style w:type="paragraph" w:customStyle="1" w:styleId="192">
    <w:name w:val="xl14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93">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194">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5">
    <w:name w:val="排版"/>
    <w:basedOn w:val="1"/>
    <w:next w:val="2"/>
    <w:qFormat/>
    <w:uiPriority w:val="0"/>
    <w:pPr>
      <w:spacing w:line="600" w:lineRule="exact"/>
    </w:pPr>
    <w:rPr>
      <w:rFonts w:eastAsia="华文仿宋"/>
      <w:spacing w:val="6"/>
      <w:sz w:val="32"/>
      <w:szCs w:val="20"/>
    </w:rPr>
  </w:style>
  <w:style w:type="paragraph" w:customStyle="1" w:styleId="196">
    <w:name w:val="页脚1"/>
    <w:basedOn w:val="1"/>
    <w:qFormat/>
    <w:uiPriority w:val="0"/>
    <w:pPr>
      <w:widowControl/>
      <w:tabs>
        <w:tab w:val="center" w:pos="4153"/>
        <w:tab w:val="right" w:pos="8306"/>
      </w:tabs>
      <w:snapToGrid w:val="0"/>
      <w:spacing w:beforeLines="50" w:afterLines="50"/>
      <w:jc w:val="left"/>
    </w:pPr>
    <w:rPr>
      <w:sz w:val="18"/>
      <w:szCs w:val="18"/>
    </w:rPr>
  </w:style>
  <w:style w:type="paragraph" w:customStyle="1" w:styleId="197">
    <w:name w:val="font7"/>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198">
    <w:name w:val="表格"/>
    <w:basedOn w:val="1"/>
    <w:qFormat/>
    <w:uiPriority w:val="0"/>
    <w:pPr>
      <w:adjustRightInd w:val="0"/>
      <w:spacing w:line="360" w:lineRule="atLeast"/>
    </w:pPr>
    <w:rPr>
      <w:rFonts w:ascii="黑体" w:hAnsi="黑体" w:eastAsia="黑体" w:cs="Arial Unicode MS"/>
      <w:szCs w:val="21"/>
    </w:rPr>
  </w:style>
  <w:style w:type="paragraph" w:customStyle="1" w:styleId="19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0">
    <w:name w:val="xl15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01">
    <w:name w:val="xl80"/>
    <w:basedOn w:val="1"/>
    <w:qFormat/>
    <w:uiPriority w:val="0"/>
    <w:pPr>
      <w:widowControl/>
      <w:pBdr>
        <w:bottom w:val="single" w:color="auto" w:sz="4" w:space="0"/>
      </w:pBdr>
      <w:spacing w:before="100" w:beforeAutospacing="1" w:after="100" w:afterAutospacing="1"/>
      <w:jc w:val="right"/>
    </w:pPr>
    <w:rPr>
      <w:rFonts w:ascii="宋体" w:hAnsi="宋体"/>
      <w:kern w:val="0"/>
      <w:sz w:val="22"/>
      <w:szCs w:val="20"/>
    </w:rPr>
  </w:style>
  <w:style w:type="paragraph" w:customStyle="1" w:styleId="202">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03">
    <w:name w:val="xl9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05">
    <w:name w:val="Char Char Char 字元 字元"/>
    <w:basedOn w:val="1"/>
    <w:qFormat/>
    <w:uiPriority w:val="0"/>
    <w:pPr>
      <w:spacing w:line="360" w:lineRule="auto"/>
      <w:ind w:firstLine="200" w:firstLineChars="200"/>
    </w:pPr>
    <w:rPr>
      <w:szCs w:val="20"/>
    </w:rPr>
  </w:style>
  <w:style w:type="paragraph" w:customStyle="1" w:styleId="206">
    <w:name w:val="xl1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说明书3级标题"/>
    <w:basedOn w:val="1"/>
    <w:next w:val="1"/>
    <w:qFormat/>
    <w:uiPriority w:val="0"/>
    <w:pPr>
      <w:numPr>
        <w:ilvl w:val="2"/>
        <w:numId w:val="6"/>
      </w:numPr>
      <w:spacing w:line="360" w:lineRule="auto"/>
    </w:pPr>
    <w:rPr>
      <w:rFonts w:eastAsia="黑体"/>
      <w:sz w:val="24"/>
    </w:rPr>
  </w:style>
  <w:style w:type="paragraph" w:customStyle="1" w:styleId="208">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9">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0">
    <w:name w:val="项目符号1"/>
    <w:basedOn w:val="76"/>
    <w:qFormat/>
    <w:uiPriority w:val="0"/>
    <w:pPr>
      <w:numPr>
        <w:ilvl w:val="0"/>
        <w:numId w:val="6"/>
      </w:numPr>
    </w:pPr>
  </w:style>
  <w:style w:type="paragraph" w:customStyle="1" w:styleId="211">
    <w:name w:val="font14"/>
    <w:basedOn w:val="1"/>
    <w:qFormat/>
    <w:uiPriority w:val="0"/>
    <w:pPr>
      <w:widowControl/>
      <w:spacing w:before="100" w:beforeAutospacing="1" w:after="100" w:afterAutospacing="1"/>
      <w:jc w:val="left"/>
    </w:pPr>
    <w:rPr>
      <w:kern w:val="0"/>
      <w:sz w:val="24"/>
      <w:szCs w:val="20"/>
    </w:rPr>
  </w:style>
  <w:style w:type="paragraph" w:customStyle="1" w:styleId="212">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3">
    <w:name w:val="xl62"/>
    <w:basedOn w:val="1"/>
    <w:qFormat/>
    <w:uiPriority w:val="0"/>
    <w:pPr>
      <w:widowControl/>
      <w:pBdr>
        <w:bottom w:val="single" w:color="auto" w:sz="4" w:space="0"/>
      </w:pBdr>
      <w:spacing w:before="100" w:beforeAutospacing="1" w:after="100" w:afterAutospacing="1"/>
      <w:jc w:val="center"/>
    </w:pPr>
    <w:rPr>
      <w:rFonts w:ascii="宋体" w:hAnsi="宋体"/>
      <w:kern w:val="0"/>
      <w:sz w:val="22"/>
      <w:szCs w:val="20"/>
    </w:rPr>
  </w:style>
  <w:style w:type="paragraph" w:customStyle="1" w:styleId="214">
    <w:name w:val="xl52"/>
    <w:basedOn w:val="1"/>
    <w:qFormat/>
    <w:uiPriority w:val="0"/>
    <w:pPr>
      <w:widowControl/>
      <w:pBdr>
        <w:top w:val="single" w:color="auto" w:sz="4" w:space="0"/>
        <w:bottom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215">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216">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文2"/>
    <w:basedOn w:val="1"/>
    <w:qFormat/>
    <w:uiPriority w:val="0"/>
    <w:pPr>
      <w:numPr>
        <w:ilvl w:val="1"/>
        <w:numId w:val="6"/>
      </w:numPr>
      <w:adjustRightInd w:val="0"/>
      <w:spacing w:before="60" w:after="60" w:line="400" w:lineRule="atLeast"/>
      <w:textAlignment w:val="baseline"/>
    </w:pPr>
    <w:rPr>
      <w:b/>
      <w:kern w:val="0"/>
      <w:sz w:val="24"/>
      <w:szCs w:val="20"/>
    </w:rPr>
  </w:style>
  <w:style w:type="paragraph" w:customStyle="1" w:styleId="218">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技标2"/>
    <w:basedOn w:val="5"/>
    <w:qFormat/>
    <w:uiPriority w:val="0"/>
    <w:pPr>
      <w:keepNext w:val="0"/>
      <w:keepLines w:val="0"/>
      <w:adjustRightInd w:val="0"/>
      <w:snapToGrid w:val="0"/>
      <w:spacing w:before="600" w:after="240" w:line="420" w:lineRule="atLeast"/>
      <w:jc w:val="center"/>
      <w:textAlignment w:val="baseline"/>
    </w:pPr>
    <w:rPr>
      <w:bCs w:val="0"/>
      <w:kern w:val="0"/>
      <w:sz w:val="28"/>
      <w:szCs w:val="20"/>
    </w:rPr>
  </w:style>
  <w:style w:type="paragraph" w:customStyle="1" w:styleId="220">
    <w:name w:val="样式 标题 3 + 宋体 小四 段前: 0 磅 段后: 0 磅 行距: 1.5 倍行距"/>
    <w:basedOn w:val="5"/>
    <w:qFormat/>
    <w:uiPriority w:val="0"/>
    <w:pPr>
      <w:numPr>
        <w:ilvl w:val="0"/>
        <w:numId w:val="7"/>
      </w:numPr>
      <w:spacing w:before="0" w:after="0" w:line="360" w:lineRule="auto"/>
    </w:pPr>
    <w:rPr>
      <w:rFonts w:ascii="宋体" w:hAnsi="宋体" w:cs="宋体"/>
      <w:kern w:val="0"/>
      <w:sz w:val="24"/>
      <w:szCs w:val="20"/>
    </w:rPr>
  </w:style>
  <w:style w:type="paragraph" w:customStyle="1" w:styleId="221">
    <w:name w:val="xl9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61"/>
    <w:basedOn w:val="1"/>
    <w:qFormat/>
    <w:uiPriority w:val="0"/>
    <w:pPr>
      <w:widowControl/>
      <w:pBdr>
        <w:bottom w:val="single" w:color="auto" w:sz="4" w:space="0"/>
      </w:pBdr>
      <w:spacing w:before="100" w:beforeAutospacing="1" w:after="100" w:afterAutospacing="1"/>
      <w:jc w:val="center"/>
    </w:pPr>
    <w:rPr>
      <w:kern w:val="0"/>
      <w:sz w:val="22"/>
      <w:szCs w:val="20"/>
    </w:rPr>
  </w:style>
  <w:style w:type="paragraph" w:customStyle="1" w:styleId="223">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无间隔11"/>
    <w:qFormat/>
    <w:uiPriority w:val="0"/>
    <w:rPr>
      <w:rFonts w:ascii="Calibri" w:hAnsi="Calibri" w:eastAsia="宋体" w:cs="Times New Roman"/>
      <w:sz w:val="22"/>
      <w:szCs w:val="22"/>
      <w:lang w:val="en-US" w:eastAsia="en-US" w:bidi="ar-SA"/>
    </w:rPr>
  </w:style>
  <w:style w:type="paragraph" w:customStyle="1" w:styleId="225">
    <w:name w:val="Char1 Char Char Char Char"/>
    <w:basedOn w:val="16"/>
    <w:qFormat/>
    <w:uiPriority w:val="0"/>
    <w:pPr>
      <w:widowControl/>
      <w:spacing w:beforeLines="50" w:afterLines="50"/>
      <w:jc w:val="left"/>
    </w:pPr>
    <w:rPr>
      <w:szCs w:val="20"/>
    </w:rPr>
  </w:style>
  <w:style w:type="paragraph" w:customStyle="1" w:styleId="226">
    <w:name w:val="xl131"/>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227">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xl1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2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0">
    <w:name w:val="xl153"/>
    <w:basedOn w:val="1"/>
    <w:qFormat/>
    <w:uiPriority w:val="0"/>
    <w:pPr>
      <w:widowControl/>
      <w:pBdr>
        <w:top w:val="single" w:color="auto" w:sz="4" w:space="0"/>
        <w:bottom w:val="single" w:color="auto" w:sz="4" w:space="0"/>
        <w:right w:val="single" w:color="auto" w:sz="4" w:space="0"/>
      </w:pBdr>
      <w:shd w:val="clear" w:color="000000" w:fill="E7E6E6"/>
      <w:spacing w:before="100" w:beforeAutospacing="1" w:after="100" w:afterAutospacing="1"/>
      <w:jc w:val="center"/>
    </w:pPr>
    <w:rPr>
      <w:rFonts w:ascii="宋体" w:hAnsi="宋体" w:cs="宋体"/>
      <w:b/>
      <w:bCs/>
      <w:color w:val="000000"/>
      <w:kern w:val="0"/>
      <w:sz w:val="20"/>
      <w:szCs w:val="20"/>
    </w:rPr>
  </w:style>
  <w:style w:type="paragraph" w:customStyle="1" w:styleId="23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32">
    <w:name w:val="xl114"/>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xl51"/>
    <w:basedOn w:val="1"/>
    <w:qFormat/>
    <w:uiPriority w:val="0"/>
    <w:pPr>
      <w:widowControl/>
      <w:pBdr>
        <w:top w:val="single" w:color="auto" w:sz="4" w:space="0"/>
        <w:bottom w:val="single" w:color="auto" w:sz="4" w:space="0"/>
      </w:pBdr>
      <w:spacing w:before="100" w:beforeAutospacing="1" w:after="100" w:afterAutospacing="1"/>
      <w:jc w:val="right"/>
      <w:textAlignment w:val="center"/>
    </w:pPr>
    <w:rPr>
      <w:kern w:val="0"/>
      <w:sz w:val="20"/>
      <w:szCs w:val="20"/>
    </w:rPr>
  </w:style>
  <w:style w:type="paragraph" w:customStyle="1" w:styleId="235">
    <w:name w:val="CM58"/>
    <w:basedOn w:val="1"/>
    <w:next w:val="1"/>
    <w:qFormat/>
    <w:uiPriority w:val="0"/>
    <w:pPr>
      <w:autoSpaceDE w:val="0"/>
      <w:autoSpaceDN w:val="0"/>
      <w:adjustRightInd w:val="0"/>
      <w:spacing w:after="298"/>
      <w:jc w:val="left"/>
    </w:pPr>
    <w:rPr>
      <w:rFonts w:ascii="宋体" w:hAnsi="宋体" w:cs="Arial Unicode MS"/>
      <w:kern w:val="0"/>
      <w:sz w:val="24"/>
    </w:rPr>
  </w:style>
  <w:style w:type="paragraph" w:customStyle="1" w:styleId="236">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237">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3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239">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0">
    <w:name w:val="Char19"/>
    <w:basedOn w:val="1"/>
    <w:qFormat/>
    <w:uiPriority w:val="0"/>
    <w:rPr>
      <w:szCs w:val="20"/>
    </w:rPr>
  </w:style>
  <w:style w:type="paragraph" w:customStyle="1" w:styleId="241">
    <w:name w:val="IBM 正文"/>
    <w:basedOn w:val="1"/>
    <w:qFormat/>
    <w:uiPriority w:val="0"/>
    <w:pPr>
      <w:spacing w:line="360" w:lineRule="atLeast"/>
    </w:pPr>
    <w:rPr>
      <w:sz w:val="24"/>
      <w:szCs w:val="20"/>
    </w:rPr>
  </w:style>
  <w:style w:type="paragraph" w:customStyle="1" w:styleId="242">
    <w:name w:val="xl12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3">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244">
    <w:name w:val="2"/>
    <w:basedOn w:val="1"/>
    <w:qFormat/>
    <w:uiPriority w:val="0"/>
    <w:pPr>
      <w:adjustRightInd w:val="0"/>
      <w:spacing w:before="60" w:after="60" w:line="420" w:lineRule="atLeast"/>
      <w:ind w:left="454" w:firstLine="454"/>
      <w:textAlignment w:val="baseline"/>
    </w:pPr>
    <w:rPr>
      <w:kern w:val="0"/>
      <w:position w:val="5"/>
      <w:szCs w:val="20"/>
    </w:rPr>
  </w:style>
  <w:style w:type="paragraph" w:customStyle="1" w:styleId="24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248">
    <w:name w:val="xl24"/>
    <w:basedOn w:val="1"/>
    <w:qFormat/>
    <w:uiPriority w:val="0"/>
    <w:pPr>
      <w:widowControl/>
      <w:spacing w:before="100" w:beforeAutospacing="1" w:after="100" w:afterAutospacing="1"/>
      <w:jc w:val="left"/>
    </w:pPr>
    <w:rPr>
      <w:rFonts w:ascii="宋体" w:hAnsi="宋体"/>
      <w:kern w:val="0"/>
      <w:sz w:val="22"/>
      <w:szCs w:val="20"/>
    </w:rPr>
  </w:style>
  <w:style w:type="paragraph" w:customStyle="1" w:styleId="249">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50">
    <w:name w:val="xl5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0"/>
      <w:szCs w:val="20"/>
    </w:rPr>
  </w:style>
  <w:style w:type="paragraph" w:customStyle="1" w:styleId="251">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252">
    <w:name w:val="默认段落字体 Para Char Char Char Char Char Char Char"/>
    <w:basedOn w:val="1"/>
    <w:qFormat/>
    <w:uiPriority w:val="0"/>
    <w:pPr>
      <w:spacing w:line="360" w:lineRule="auto"/>
      <w:ind w:firstLine="200" w:firstLineChars="200"/>
    </w:pPr>
    <w:rPr>
      <w:rFonts w:ascii="Tahoma" w:hAnsi="Tahoma"/>
      <w:sz w:val="24"/>
      <w:szCs w:val="20"/>
    </w:rPr>
  </w:style>
  <w:style w:type="paragraph" w:customStyle="1" w:styleId="2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54">
    <w:name w:val="xl49"/>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55">
    <w:name w:val="xl157"/>
    <w:basedOn w:val="1"/>
    <w:qFormat/>
    <w:uiPriority w:val="0"/>
    <w:pPr>
      <w:widowControl/>
      <w:pBdr>
        <w:bottom w:val="single" w:color="auto" w:sz="4" w:space="0"/>
      </w:pBdr>
      <w:spacing w:before="100" w:beforeAutospacing="1" w:after="100" w:afterAutospacing="1"/>
      <w:jc w:val="right"/>
    </w:pPr>
    <w:rPr>
      <w:rFonts w:ascii="宋体" w:hAnsi="宋体" w:cs="宋体"/>
      <w:b/>
      <w:bCs/>
      <w:kern w:val="0"/>
      <w:sz w:val="24"/>
    </w:rPr>
  </w:style>
  <w:style w:type="paragraph" w:customStyle="1" w:styleId="256">
    <w:name w:val="标准"/>
    <w:basedOn w:val="1"/>
    <w:qFormat/>
    <w:uiPriority w:val="0"/>
    <w:pPr>
      <w:autoSpaceDE w:val="0"/>
      <w:autoSpaceDN w:val="0"/>
      <w:adjustRightInd w:val="0"/>
      <w:spacing w:line="312" w:lineRule="auto"/>
      <w:jc w:val="center"/>
      <w:textAlignment w:val="baseline"/>
    </w:pPr>
    <w:rPr>
      <w:rFonts w:ascii="宋体" w:hAnsi="宋体" w:cs="Arial Unicode MS"/>
      <w:color w:val="000000"/>
      <w:kern w:val="0"/>
      <w:sz w:val="24"/>
      <w:szCs w:val="20"/>
    </w:rPr>
  </w:style>
  <w:style w:type="paragraph" w:customStyle="1" w:styleId="257">
    <w:name w:val="样式 首行缩进:  0 字符"/>
    <w:basedOn w:val="1"/>
    <w:qFormat/>
    <w:uiPriority w:val="0"/>
    <w:pPr>
      <w:spacing w:line="360" w:lineRule="auto"/>
      <w:ind w:firstLine="200" w:firstLineChars="200"/>
    </w:pPr>
    <w:rPr>
      <w:rFonts w:cs="宋体"/>
      <w:sz w:val="24"/>
      <w:szCs w:val="20"/>
    </w:rPr>
  </w:style>
  <w:style w:type="paragraph" w:customStyle="1" w:styleId="258">
    <w:name w:val="xl25"/>
    <w:basedOn w:val="1"/>
    <w:qFormat/>
    <w:uiPriority w:val="0"/>
    <w:pPr>
      <w:widowControl/>
      <w:spacing w:before="100" w:beforeAutospacing="1" w:after="100" w:afterAutospacing="1"/>
      <w:jc w:val="center"/>
    </w:pPr>
    <w:rPr>
      <w:rFonts w:ascii="宋体" w:hAnsi="宋体" w:cs="Arial Unicode MS"/>
      <w:kern w:val="0"/>
      <w:sz w:val="24"/>
    </w:rPr>
  </w:style>
  <w:style w:type="paragraph" w:customStyle="1" w:styleId="25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260">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261">
    <w:name w:val="修订1"/>
    <w:qFormat/>
    <w:uiPriority w:val="0"/>
    <w:rPr>
      <w:rFonts w:ascii="Times New Roman" w:hAnsi="Times New Roman" w:eastAsia="宋体" w:cs="Times New Roman"/>
      <w:kern w:val="2"/>
      <w:sz w:val="21"/>
      <w:szCs w:val="24"/>
      <w:lang w:val="en-US" w:eastAsia="zh-CN" w:bidi="ar-SA"/>
    </w:rPr>
  </w:style>
  <w:style w:type="paragraph" w:customStyle="1" w:styleId="262">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3">
    <w:name w:val="正文文本样式 加粗"/>
    <w:basedOn w:val="76"/>
    <w:qFormat/>
    <w:uiPriority w:val="0"/>
    <w:rPr>
      <w:b/>
    </w:rPr>
  </w:style>
  <w:style w:type="paragraph" w:customStyle="1" w:styleId="264">
    <w:name w:val="封面标准文稿类别"/>
    <w:qFormat/>
    <w:uiPriority w:val="0"/>
    <w:pPr>
      <w:spacing w:before="440" w:line="400" w:lineRule="exact"/>
      <w:jc w:val="center"/>
    </w:pPr>
    <w:rPr>
      <w:rFonts w:ascii="宋体" w:hAnsi="宋体" w:eastAsia="宋体" w:cs="Times New Roman"/>
      <w:sz w:val="24"/>
      <w:lang w:val="en-US" w:eastAsia="zh-CN" w:bidi="ar-SA"/>
    </w:rPr>
  </w:style>
  <w:style w:type="paragraph" w:customStyle="1" w:styleId="265">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66">
    <w:name w:val="1"/>
    <w:basedOn w:val="1"/>
    <w:next w:val="29"/>
    <w:qFormat/>
    <w:uiPriority w:val="0"/>
    <w:rPr>
      <w:rFonts w:ascii="宋体" w:hAnsi="宋体" w:cs="Arial Unicode MS"/>
      <w:szCs w:val="20"/>
    </w:rPr>
  </w:style>
  <w:style w:type="paragraph" w:customStyle="1" w:styleId="267">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8">
    <w:name w:val="xl27"/>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69">
    <w:name w:val="样式 小四 行距: 1.5 倍行距 首行缩进:  2 字符"/>
    <w:basedOn w:val="1"/>
    <w:qFormat/>
    <w:uiPriority w:val="0"/>
    <w:pPr>
      <w:spacing w:line="360" w:lineRule="auto"/>
      <w:ind w:firstLine="480" w:firstLineChars="200"/>
    </w:pPr>
    <w:rPr>
      <w:rFonts w:cs="宋体"/>
      <w:sz w:val="24"/>
      <w:szCs w:val="20"/>
    </w:rPr>
  </w:style>
  <w:style w:type="paragraph" w:customStyle="1" w:styleId="27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1">
    <w:name w:val="xl59"/>
    <w:basedOn w:val="1"/>
    <w:qFormat/>
    <w:uiPriority w:val="0"/>
    <w:pPr>
      <w:widowControl/>
      <w:spacing w:before="100" w:beforeAutospacing="1" w:after="100" w:afterAutospacing="1"/>
      <w:jc w:val="center"/>
    </w:pPr>
    <w:rPr>
      <w:rFonts w:hint="eastAsia" w:ascii="黑体" w:hAnsi="宋体" w:eastAsia="黑体"/>
      <w:kern w:val="0"/>
      <w:sz w:val="36"/>
      <w:szCs w:val="20"/>
    </w:rPr>
  </w:style>
  <w:style w:type="paragraph" w:customStyle="1" w:styleId="272">
    <w:name w:val="表1"/>
    <w:basedOn w:val="1"/>
    <w:qFormat/>
    <w:uiPriority w:val="0"/>
    <w:pPr>
      <w:tabs>
        <w:tab w:val="left" w:pos="780"/>
      </w:tabs>
      <w:overflowPunct w:val="0"/>
      <w:autoSpaceDE w:val="0"/>
      <w:autoSpaceDN w:val="0"/>
      <w:adjustRightInd w:val="0"/>
      <w:spacing w:before="200" w:line="320" w:lineRule="atLeast"/>
      <w:textAlignment w:val="baseline"/>
    </w:pPr>
    <w:rPr>
      <w:kern w:val="0"/>
      <w:sz w:val="24"/>
      <w:szCs w:val="20"/>
    </w:rPr>
  </w:style>
  <w:style w:type="paragraph" w:customStyle="1" w:styleId="27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4">
    <w:name w:val="_Style 103"/>
    <w:basedOn w:val="1"/>
    <w:next w:val="14"/>
    <w:qFormat/>
    <w:uiPriority w:val="0"/>
    <w:pPr>
      <w:ind w:firstLine="420"/>
    </w:pPr>
    <w:rPr>
      <w:rFonts w:eastAsia="仿宋_GB2312"/>
      <w:sz w:val="32"/>
      <w:szCs w:val="20"/>
    </w:rPr>
  </w:style>
  <w:style w:type="paragraph" w:customStyle="1" w:styleId="275">
    <w:name w:val="font9"/>
    <w:basedOn w:val="1"/>
    <w:qFormat/>
    <w:uiPriority w:val="0"/>
    <w:pPr>
      <w:widowControl/>
      <w:spacing w:before="100" w:beforeAutospacing="1" w:after="100" w:afterAutospacing="1"/>
      <w:jc w:val="left"/>
    </w:pPr>
    <w:rPr>
      <w:kern w:val="0"/>
      <w:sz w:val="20"/>
      <w:szCs w:val="20"/>
    </w:rPr>
  </w:style>
  <w:style w:type="paragraph" w:customStyle="1" w:styleId="276">
    <w:name w:val="xl142"/>
    <w:basedOn w:val="1"/>
    <w:qFormat/>
    <w:uiPriority w:val="0"/>
    <w:pPr>
      <w:widowControl/>
      <w:pBdr>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77">
    <w:name w:val="CCTV文档正文"/>
    <w:basedOn w:val="1"/>
    <w:qFormat/>
    <w:uiPriority w:val="0"/>
    <w:pPr>
      <w:spacing w:line="360" w:lineRule="auto"/>
      <w:jc w:val="left"/>
    </w:pPr>
    <w:rPr>
      <w:sz w:val="24"/>
      <w:szCs w:val="21"/>
    </w:rPr>
  </w:style>
  <w:style w:type="paragraph" w:customStyle="1" w:styleId="278">
    <w:name w:val="列出段落2"/>
    <w:basedOn w:val="1"/>
    <w:qFormat/>
    <w:uiPriority w:val="0"/>
    <w:pPr>
      <w:ind w:firstLine="420" w:firstLineChars="200"/>
    </w:pPr>
    <w:rPr>
      <w:rFonts w:ascii="Calibri" w:hAnsi="Calibri"/>
      <w:szCs w:val="22"/>
    </w:rPr>
  </w:style>
  <w:style w:type="paragraph" w:customStyle="1" w:styleId="279">
    <w:name w:val="标准正文"/>
    <w:basedOn w:val="21"/>
    <w:qFormat/>
    <w:uiPriority w:val="0"/>
    <w:pPr>
      <w:widowControl/>
      <w:autoSpaceDE/>
      <w:autoSpaceDN/>
      <w:adjustRightInd/>
      <w:spacing w:beforeLines="50" w:afterLines="50"/>
      <w:ind w:firstLine="482"/>
      <w:jc w:val="both"/>
    </w:pPr>
    <w:rPr>
      <w:rFonts w:ascii="Arial" w:hAnsi="Arial" w:eastAsia="宋体"/>
      <w:b w:val="0"/>
      <w:bCs w:val="0"/>
      <w:color w:val="auto"/>
      <w:kern w:val="2"/>
      <w:sz w:val="24"/>
      <w:szCs w:val="20"/>
    </w:rPr>
  </w:style>
  <w:style w:type="paragraph" w:customStyle="1" w:styleId="280">
    <w:name w:val="xl46"/>
    <w:basedOn w:val="1"/>
    <w:qFormat/>
    <w:uiPriority w:val="0"/>
    <w:pPr>
      <w:widowControl/>
      <w:spacing w:before="100" w:beforeAutospacing="1" w:after="100" w:afterAutospacing="1"/>
      <w:jc w:val="center"/>
      <w:textAlignment w:val="center"/>
    </w:pPr>
    <w:rPr>
      <w:kern w:val="0"/>
      <w:sz w:val="20"/>
      <w:szCs w:val="20"/>
    </w:rPr>
  </w:style>
  <w:style w:type="paragraph" w:customStyle="1" w:styleId="281">
    <w:name w:val="Char Char Char Char Char Char Char Char"/>
    <w:basedOn w:val="1"/>
    <w:qFormat/>
    <w:uiPriority w:val="0"/>
    <w:rPr>
      <w:rFonts w:eastAsia="仿宋_GB2312"/>
      <w:sz w:val="28"/>
    </w:rPr>
  </w:style>
  <w:style w:type="paragraph" w:customStyle="1" w:styleId="282">
    <w:name w:val="font10"/>
    <w:basedOn w:val="1"/>
    <w:qFormat/>
    <w:uiPriority w:val="0"/>
    <w:pPr>
      <w:widowControl/>
      <w:spacing w:before="100" w:beforeAutospacing="1" w:after="100" w:afterAutospacing="1"/>
      <w:jc w:val="left"/>
    </w:pPr>
    <w:rPr>
      <w:kern w:val="0"/>
      <w:sz w:val="22"/>
      <w:szCs w:val="20"/>
    </w:rPr>
  </w:style>
  <w:style w:type="paragraph" w:customStyle="1" w:styleId="283">
    <w:name w:val="xl55"/>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18"/>
      <w:szCs w:val="20"/>
    </w:rPr>
  </w:style>
  <w:style w:type="paragraph" w:customStyle="1" w:styleId="284">
    <w:name w:val="标题6"/>
    <w:basedOn w:val="1"/>
    <w:next w:val="3"/>
    <w:qFormat/>
    <w:uiPriority w:val="0"/>
    <w:pPr>
      <w:widowControl/>
      <w:snapToGrid w:val="0"/>
      <w:spacing w:beforeLines="50" w:afterLines="50" w:line="520" w:lineRule="atLeast"/>
      <w:ind w:firstLine="200" w:firstLineChars="200"/>
    </w:pPr>
  </w:style>
  <w:style w:type="paragraph" w:customStyle="1" w:styleId="285">
    <w:name w:val="正文文本缩进 31"/>
    <w:basedOn w:val="1"/>
    <w:qFormat/>
    <w:uiPriority w:val="0"/>
    <w:pPr>
      <w:adjustRightInd w:val="0"/>
      <w:spacing w:line="360" w:lineRule="auto"/>
      <w:ind w:firstLine="420"/>
      <w:textAlignment w:val="baseline"/>
    </w:pPr>
    <w:rPr>
      <w:sz w:val="24"/>
      <w:szCs w:val="20"/>
    </w:rPr>
  </w:style>
  <w:style w:type="paragraph" w:customStyle="1" w:styleId="286">
    <w:name w:val="xl154"/>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8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88">
    <w:name w:val="xl108"/>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9">
    <w:name w:val="font11"/>
    <w:basedOn w:val="1"/>
    <w:qFormat/>
    <w:uiPriority w:val="0"/>
    <w:pPr>
      <w:widowControl/>
      <w:spacing w:before="100" w:beforeAutospacing="1" w:after="100" w:afterAutospacing="1"/>
      <w:jc w:val="left"/>
    </w:pPr>
    <w:rPr>
      <w:kern w:val="0"/>
      <w:sz w:val="36"/>
      <w:szCs w:val="20"/>
    </w:rPr>
  </w:style>
  <w:style w:type="paragraph" w:customStyle="1" w:styleId="290">
    <w:name w:val="xl13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91">
    <w:name w:val="说明书2级标题"/>
    <w:basedOn w:val="1"/>
    <w:next w:val="207"/>
    <w:qFormat/>
    <w:uiPriority w:val="0"/>
    <w:pPr>
      <w:numPr>
        <w:ilvl w:val="2"/>
        <w:numId w:val="8"/>
      </w:numPr>
      <w:spacing w:beforeLines="100"/>
    </w:pPr>
    <w:rPr>
      <w:rFonts w:eastAsia="黑体"/>
      <w:sz w:val="28"/>
      <w:szCs w:val="28"/>
    </w:rPr>
  </w:style>
  <w:style w:type="paragraph" w:customStyle="1" w:styleId="292">
    <w:name w:val="xl152"/>
    <w:basedOn w:val="1"/>
    <w:qFormat/>
    <w:uiPriority w:val="0"/>
    <w:pPr>
      <w:widowControl/>
      <w:pBdr>
        <w:top w:val="single" w:color="auto" w:sz="4" w:space="0"/>
        <w:left w:val="single" w:color="auto" w:sz="4" w:space="0"/>
        <w:bottom w:val="single" w:color="auto" w:sz="4" w:space="0"/>
      </w:pBdr>
      <w:shd w:val="clear" w:color="000000" w:fill="E7E6E6"/>
      <w:spacing w:before="100" w:beforeAutospacing="1" w:after="100" w:afterAutospacing="1"/>
      <w:jc w:val="center"/>
    </w:pPr>
    <w:rPr>
      <w:rFonts w:ascii="宋体" w:hAnsi="宋体" w:cs="宋体"/>
      <w:b/>
      <w:bCs/>
      <w:color w:val="000000"/>
      <w:kern w:val="0"/>
      <w:sz w:val="20"/>
      <w:szCs w:val="20"/>
    </w:rPr>
  </w:style>
  <w:style w:type="paragraph" w:customStyle="1" w:styleId="293">
    <w:name w:val="p"/>
    <w:basedOn w:val="1"/>
    <w:qFormat/>
    <w:uiPriority w:val="0"/>
    <w:pPr>
      <w:widowControl/>
      <w:spacing w:after="167"/>
      <w:jc w:val="left"/>
    </w:pPr>
    <w:rPr>
      <w:rFonts w:ascii="宋体" w:hAnsi="宋体" w:cs="宋体"/>
      <w:kern w:val="0"/>
      <w:sz w:val="24"/>
    </w:rPr>
  </w:style>
  <w:style w:type="paragraph" w:customStyle="1" w:styleId="294">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9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96">
    <w:name w:val="Char Char Char Char Char Char1 Char Char Char Char Char Char Char Char Char Char Char Char"/>
    <w:basedOn w:val="1"/>
    <w:qFormat/>
    <w:uiPriority w:val="0"/>
    <w:pPr>
      <w:adjustRightInd w:val="0"/>
      <w:spacing w:line="360" w:lineRule="auto"/>
    </w:pPr>
    <w:rPr>
      <w:rFonts w:eastAsia="Times New Roman"/>
      <w:kern w:val="0"/>
      <w:sz w:val="20"/>
      <w:szCs w:val="20"/>
    </w:rPr>
  </w:style>
  <w:style w:type="paragraph" w:customStyle="1" w:styleId="297">
    <w:name w:val="xl1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98">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9">
    <w:name w:val="font12"/>
    <w:basedOn w:val="1"/>
    <w:qFormat/>
    <w:uiPriority w:val="0"/>
    <w:pPr>
      <w:widowControl/>
      <w:spacing w:before="100" w:beforeAutospacing="1" w:after="100" w:afterAutospacing="1"/>
      <w:jc w:val="left"/>
    </w:pPr>
    <w:rPr>
      <w:kern w:val="0"/>
      <w:sz w:val="18"/>
      <w:szCs w:val="20"/>
    </w:rPr>
  </w:style>
  <w:style w:type="paragraph" w:customStyle="1" w:styleId="30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02">
    <w:name w:val="xl134"/>
    <w:basedOn w:val="1"/>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center"/>
      <w:textAlignment w:val="center"/>
    </w:pPr>
    <w:rPr>
      <w:b/>
      <w:bCs/>
      <w:kern w:val="0"/>
      <w:sz w:val="20"/>
      <w:szCs w:val="20"/>
    </w:rPr>
  </w:style>
  <w:style w:type="paragraph" w:customStyle="1" w:styleId="3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4">
    <w:name w:val="Body Text(ch)"/>
    <w:basedOn w:val="1"/>
    <w:next w:val="2"/>
    <w:qFormat/>
    <w:uiPriority w:val="0"/>
    <w:pPr>
      <w:spacing w:line="500" w:lineRule="exact"/>
      <w:jc w:val="center"/>
    </w:pPr>
    <w:rPr>
      <w:szCs w:val="20"/>
    </w:rPr>
  </w:style>
  <w:style w:type="paragraph" w:customStyle="1" w:styleId="305">
    <w:name w:val="p0"/>
    <w:basedOn w:val="1"/>
    <w:qFormat/>
    <w:uiPriority w:val="0"/>
    <w:pPr>
      <w:widowControl/>
      <w:spacing w:line="520" w:lineRule="atLeast"/>
    </w:pPr>
    <w:rPr>
      <w:kern w:val="0"/>
      <w:sz w:val="28"/>
      <w:szCs w:val="28"/>
    </w:rPr>
  </w:style>
  <w:style w:type="paragraph" w:customStyle="1" w:styleId="306">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7">
    <w:name w:val="font8"/>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308">
    <w:name w:val="Char1 Char Char Char"/>
    <w:basedOn w:val="1"/>
    <w:qFormat/>
    <w:uiPriority w:val="0"/>
    <w:rPr>
      <w:rFonts w:eastAsia="仿宋_GB2312"/>
      <w:sz w:val="28"/>
      <w:szCs w:val="20"/>
    </w:rPr>
  </w:style>
  <w:style w:type="paragraph" w:customStyle="1" w:styleId="309">
    <w:name w:val="Char"/>
    <w:basedOn w:val="1"/>
    <w:qFormat/>
    <w:uiPriority w:val="0"/>
    <w:pPr>
      <w:widowControl/>
      <w:spacing w:after="160" w:line="240" w:lineRule="exact"/>
      <w:jc w:val="left"/>
    </w:pPr>
    <w:rPr>
      <w:rFonts w:ascii="Verdana" w:hAnsi="Verdana" w:eastAsia="仿宋_GB2312" w:cs="Arial Unicode MS"/>
      <w:kern w:val="0"/>
      <w:sz w:val="24"/>
      <w:szCs w:val="20"/>
      <w:lang w:eastAsia="en-US"/>
    </w:rPr>
  </w:style>
  <w:style w:type="paragraph" w:customStyle="1" w:styleId="310">
    <w:name w:val="xl88"/>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311">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12">
    <w:name w:val="xl75"/>
    <w:basedOn w:val="1"/>
    <w:qFormat/>
    <w:uiPriority w:val="0"/>
    <w:pPr>
      <w:widowControl/>
      <w:spacing w:before="100" w:beforeAutospacing="1" w:after="100" w:afterAutospacing="1"/>
      <w:jc w:val="center"/>
    </w:pPr>
    <w:rPr>
      <w:rFonts w:hint="eastAsia" w:ascii="黑体" w:hAnsi="宋体" w:eastAsia="黑体"/>
      <w:kern w:val="0"/>
      <w:sz w:val="36"/>
      <w:szCs w:val="20"/>
    </w:rPr>
  </w:style>
  <w:style w:type="paragraph" w:customStyle="1" w:styleId="313">
    <w:name w:val="xl140"/>
    <w:basedOn w:val="1"/>
    <w:qFormat/>
    <w:uiPriority w:val="0"/>
    <w:pPr>
      <w:widowControl/>
      <w:pBdr>
        <w:top w:val="single" w:color="auto" w:sz="4" w:space="0"/>
        <w:left w:val="single" w:color="auto" w:sz="4" w:space="0"/>
        <w:right w:val="single" w:color="auto" w:sz="4" w:space="0"/>
      </w:pBdr>
      <w:shd w:val="clear" w:color="000000" w:fill="E7E6E6"/>
      <w:spacing w:before="100" w:beforeAutospacing="1" w:after="100" w:afterAutospacing="1"/>
      <w:jc w:val="center"/>
    </w:pPr>
    <w:rPr>
      <w:rFonts w:ascii="宋体" w:hAnsi="宋体" w:cs="宋体"/>
      <w:b/>
      <w:bCs/>
      <w:color w:val="000000"/>
      <w:kern w:val="0"/>
      <w:sz w:val="20"/>
      <w:szCs w:val="20"/>
    </w:rPr>
  </w:style>
  <w:style w:type="paragraph" w:customStyle="1" w:styleId="314">
    <w:name w:val="xl156"/>
    <w:basedOn w:val="1"/>
    <w:qFormat/>
    <w:uiPriority w:val="0"/>
    <w:pPr>
      <w:widowControl/>
      <w:spacing w:before="100" w:beforeAutospacing="1" w:after="100" w:afterAutospacing="1"/>
      <w:jc w:val="center"/>
    </w:pPr>
    <w:rPr>
      <w:rFonts w:ascii="宋体" w:hAnsi="宋体" w:cs="宋体"/>
      <w:b/>
      <w:bCs/>
      <w:kern w:val="0"/>
      <w:sz w:val="36"/>
      <w:szCs w:val="36"/>
    </w:rPr>
  </w:style>
  <w:style w:type="paragraph" w:customStyle="1" w:styleId="315">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16">
    <w:name w:val="xl68"/>
    <w:basedOn w:val="1"/>
    <w:qFormat/>
    <w:uiPriority w:val="0"/>
    <w:pPr>
      <w:widowControl/>
      <w:pBdr>
        <w:top w:val="single" w:color="auto" w:sz="4" w:space="0"/>
      </w:pBdr>
      <w:spacing w:before="100" w:beforeAutospacing="1" w:after="100" w:afterAutospacing="1"/>
      <w:jc w:val="left"/>
      <w:textAlignment w:val="top"/>
    </w:pPr>
    <w:rPr>
      <w:rFonts w:ascii="宋体" w:hAnsi="宋体"/>
      <w:kern w:val="0"/>
      <w:sz w:val="20"/>
      <w:szCs w:val="20"/>
    </w:rPr>
  </w:style>
  <w:style w:type="paragraph" w:customStyle="1" w:styleId="317">
    <w:name w:val="目录3"/>
    <w:basedOn w:val="1"/>
    <w:qFormat/>
    <w:uiPriority w:val="0"/>
    <w:pPr>
      <w:adjustRightInd w:val="0"/>
      <w:spacing w:line="420" w:lineRule="atLeast"/>
      <w:ind w:left="454" w:firstLine="425"/>
      <w:jc w:val="left"/>
      <w:textAlignment w:val="baseline"/>
    </w:pPr>
    <w:rPr>
      <w:kern w:val="0"/>
      <w:szCs w:val="20"/>
    </w:rPr>
  </w:style>
  <w:style w:type="paragraph" w:customStyle="1" w:styleId="318">
    <w:name w:val="列出段落3"/>
    <w:basedOn w:val="1"/>
    <w:qFormat/>
    <w:uiPriority w:val="0"/>
    <w:pPr>
      <w:ind w:firstLine="420" w:firstLineChars="200"/>
    </w:pPr>
    <w:rPr>
      <w:rFonts w:ascii="Calibri" w:hAnsi="Calibri"/>
      <w:szCs w:val="22"/>
    </w:rPr>
  </w:style>
  <w:style w:type="paragraph" w:customStyle="1" w:styleId="319">
    <w:name w:val="a-标题2"/>
    <w:basedOn w:val="1"/>
    <w:qFormat/>
    <w:uiPriority w:val="0"/>
    <w:pPr>
      <w:spacing w:line="440" w:lineRule="exact"/>
      <w:jc w:val="left"/>
    </w:pPr>
    <w:rPr>
      <w:rFonts w:ascii="楷体_GB2312" w:hAnsi="Arial Unicode MS" w:eastAsia="楷体_GB2312" w:cs="Arial Unicode MS"/>
      <w:b/>
      <w:sz w:val="30"/>
      <w:szCs w:val="20"/>
    </w:rPr>
  </w:style>
  <w:style w:type="paragraph" w:customStyle="1" w:styleId="320">
    <w:name w:val="xl11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21">
    <w:name w:val="xl42"/>
    <w:basedOn w:val="1"/>
    <w:qFormat/>
    <w:uiPriority w:val="0"/>
    <w:pPr>
      <w:widowControl/>
      <w:spacing w:before="100" w:beforeAutospacing="1" w:after="100" w:afterAutospacing="1"/>
      <w:jc w:val="center"/>
      <w:textAlignment w:val="center"/>
    </w:pPr>
    <w:rPr>
      <w:rFonts w:ascii="宋体" w:hAnsi="宋体"/>
      <w:kern w:val="0"/>
      <w:sz w:val="20"/>
      <w:szCs w:val="20"/>
    </w:rPr>
  </w:style>
  <w:style w:type="paragraph" w:customStyle="1" w:styleId="3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23">
    <w:name w:val="二级-章"/>
    <w:qFormat/>
    <w:uiPriority w:val="0"/>
    <w:pPr>
      <w:tabs>
        <w:tab w:val="left" w:pos="1000"/>
      </w:tabs>
      <w:ind w:left="1000" w:hanging="360"/>
      <w:jc w:val="center"/>
      <w:outlineLvl w:val="1"/>
    </w:pPr>
    <w:rPr>
      <w:rFonts w:ascii="黑体" w:hAnsi="Times New Roman" w:eastAsia="黑体" w:cs="Times New Roman"/>
      <w:sz w:val="36"/>
      <w:szCs w:val="36"/>
      <w:lang w:val="en-US" w:eastAsia="zh-CN" w:bidi="ar-SA"/>
    </w:rPr>
  </w:style>
  <w:style w:type="paragraph" w:customStyle="1" w:styleId="3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25">
    <w:name w:val="正文文本 21"/>
    <w:basedOn w:val="1"/>
    <w:qFormat/>
    <w:uiPriority w:val="0"/>
    <w:pPr>
      <w:adjustRightInd w:val="0"/>
      <w:spacing w:line="300" w:lineRule="auto"/>
      <w:jc w:val="center"/>
    </w:pPr>
    <w:rPr>
      <w:rFonts w:hint="eastAsia" w:ascii="宋体" w:hAnsi="宋体"/>
      <w:sz w:val="24"/>
      <w:szCs w:val="20"/>
    </w:rPr>
  </w:style>
  <w:style w:type="paragraph" w:customStyle="1" w:styleId="326">
    <w:name w:val="xl74"/>
    <w:basedOn w:val="1"/>
    <w:qFormat/>
    <w:uiPriority w:val="0"/>
    <w:pPr>
      <w:widowControl/>
      <w:spacing w:before="100" w:beforeAutospacing="1" w:after="100" w:afterAutospacing="1"/>
      <w:jc w:val="left"/>
    </w:pPr>
    <w:rPr>
      <w:kern w:val="0"/>
      <w:sz w:val="24"/>
      <w:szCs w:val="20"/>
    </w:rPr>
  </w:style>
  <w:style w:type="paragraph" w:customStyle="1" w:styleId="327">
    <w:name w:val="页眉1"/>
    <w:basedOn w:val="1"/>
    <w:qFormat/>
    <w:uiPriority w:val="0"/>
    <w:pPr>
      <w:widowControl/>
      <w:pBdr>
        <w:bottom w:val="single" w:color="auto" w:sz="6" w:space="1"/>
      </w:pBdr>
      <w:tabs>
        <w:tab w:val="center" w:pos="4153"/>
        <w:tab w:val="right" w:pos="8306"/>
      </w:tabs>
      <w:snapToGrid w:val="0"/>
      <w:spacing w:beforeLines="50" w:afterLines="50"/>
      <w:jc w:val="center"/>
    </w:pPr>
    <w:rPr>
      <w:sz w:val="18"/>
      <w:szCs w:val="18"/>
    </w:rPr>
  </w:style>
  <w:style w:type="paragraph" w:customStyle="1" w:styleId="32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29">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330">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31">
    <w:name w:val="font15"/>
    <w:basedOn w:val="1"/>
    <w:qFormat/>
    <w:uiPriority w:val="0"/>
    <w:pPr>
      <w:widowControl/>
      <w:spacing w:before="100" w:beforeAutospacing="1" w:after="100" w:afterAutospacing="1"/>
      <w:jc w:val="left"/>
    </w:pPr>
    <w:rPr>
      <w:rFonts w:ascii="宋体" w:hAnsi="宋体" w:cs="宋体"/>
      <w:color w:val="DD0806"/>
      <w:kern w:val="0"/>
      <w:sz w:val="20"/>
      <w:szCs w:val="20"/>
    </w:rPr>
  </w:style>
  <w:style w:type="paragraph" w:customStyle="1" w:styleId="332">
    <w:name w:val="Char Char Char Char Char Char Char"/>
    <w:basedOn w:val="1"/>
    <w:qFormat/>
    <w:uiPriority w:val="0"/>
    <w:rPr>
      <w:szCs w:val="20"/>
    </w:rPr>
  </w:style>
  <w:style w:type="paragraph" w:customStyle="1" w:styleId="333">
    <w:name w:val="font20"/>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34">
    <w:name w:val="xl155"/>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336">
    <w:name w:val="xl14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37">
    <w:name w:val="表文字左边"/>
    <w:basedOn w:val="1"/>
    <w:qFormat/>
    <w:uiPriority w:val="0"/>
    <w:pPr>
      <w:autoSpaceDE w:val="0"/>
      <w:autoSpaceDN w:val="0"/>
      <w:spacing w:line="320" w:lineRule="exact"/>
      <w:jc w:val="left"/>
      <w:textAlignment w:val="bottom"/>
    </w:pPr>
    <w:rPr>
      <w:rFonts w:ascii="宋体" w:hAnsi="宋体" w:cs="Arial Unicode MS"/>
      <w:sz w:val="28"/>
      <w:szCs w:val="20"/>
    </w:rPr>
  </w:style>
  <w:style w:type="paragraph" w:customStyle="1" w:styleId="338">
    <w:name w:val="No Spacing1"/>
    <w:qFormat/>
    <w:uiPriority w:val="0"/>
    <w:rPr>
      <w:rFonts w:ascii="Calibri" w:hAnsi="Calibri" w:eastAsia="宋体" w:cs="Times New Roman"/>
      <w:sz w:val="22"/>
      <w:szCs w:val="22"/>
      <w:lang w:val="en-US" w:eastAsia="en-US" w:bidi="ar-SA"/>
    </w:rPr>
  </w:style>
  <w:style w:type="paragraph" w:customStyle="1" w:styleId="339">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40">
    <w:name w:val="font17"/>
    <w:basedOn w:val="1"/>
    <w:qFormat/>
    <w:uiPriority w:val="0"/>
    <w:pPr>
      <w:widowControl/>
      <w:spacing w:before="100" w:beforeAutospacing="1" w:after="100" w:afterAutospacing="1"/>
      <w:jc w:val="left"/>
    </w:pPr>
    <w:rPr>
      <w:rFonts w:ascii="宋体" w:hAnsi="宋体" w:cs="宋体"/>
      <w:color w:val="DD0806"/>
      <w:kern w:val="0"/>
      <w:sz w:val="20"/>
      <w:szCs w:val="20"/>
    </w:rPr>
  </w:style>
  <w:style w:type="paragraph" w:customStyle="1" w:styleId="341">
    <w:name w:val="标准标题2"/>
    <w:basedOn w:val="4"/>
    <w:qFormat/>
    <w:uiPriority w:val="0"/>
    <w:pPr>
      <w:adjustRightInd/>
      <w:spacing w:beforeLines="0" w:afterLines="0" w:line="360" w:lineRule="auto"/>
      <w:ind w:firstLine="0" w:firstLineChars="0"/>
      <w:jc w:val="both"/>
      <w:textAlignment w:val="auto"/>
    </w:pPr>
    <w:rPr>
      <w:rFonts w:eastAsia="仿宋_GB2312"/>
      <w:kern w:val="2"/>
      <w:sz w:val="28"/>
      <w:szCs w:val="32"/>
    </w:rPr>
  </w:style>
  <w:style w:type="paragraph" w:customStyle="1" w:styleId="342">
    <w:name w:val="xl47"/>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343">
    <w:name w:val="表中"/>
    <w:basedOn w:val="1"/>
    <w:qFormat/>
    <w:uiPriority w:val="0"/>
    <w:pPr>
      <w:adjustRightInd w:val="0"/>
      <w:spacing w:line="360" w:lineRule="atLeast"/>
      <w:jc w:val="center"/>
      <w:textAlignment w:val="baseline"/>
    </w:pPr>
    <w:rPr>
      <w:kern w:val="0"/>
      <w:szCs w:val="20"/>
    </w:rPr>
  </w:style>
  <w:style w:type="paragraph" w:customStyle="1" w:styleId="344">
    <w:name w:val="xl28"/>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45">
    <w:name w:val="xl77"/>
    <w:basedOn w:val="1"/>
    <w:qFormat/>
    <w:uiPriority w:val="0"/>
    <w:pPr>
      <w:widowControl/>
      <w:pBdr>
        <w:bottom w:val="single" w:color="auto" w:sz="4" w:space="0"/>
      </w:pBdr>
      <w:spacing w:before="100" w:beforeAutospacing="1" w:after="100" w:afterAutospacing="1"/>
      <w:jc w:val="right"/>
    </w:pPr>
    <w:rPr>
      <w:kern w:val="0"/>
      <w:sz w:val="22"/>
      <w:szCs w:val="20"/>
    </w:rPr>
  </w:style>
  <w:style w:type="paragraph" w:customStyle="1" w:styleId="34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47">
    <w:name w:val="xl58"/>
    <w:basedOn w:val="1"/>
    <w:qFormat/>
    <w:uiPriority w:val="0"/>
    <w:pPr>
      <w:widowControl/>
      <w:spacing w:before="100" w:beforeAutospacing="1" w:after="100" w:afterAutospacing="1"/>
      <w:jc w:val="left"/>
      <w:textAlignment w:val="top"/>
    </w:pPr>
    <w:rPr>
      <w:rFonts w:ascii="宋体" w:hAnsi="宋体"/>
      <w:kern w:val="0"/>
      <w:sz w:val="20"/>
      <w:szCs w:val="20"/>
    </w:rPr>
  </w:style>
  <w:style w:type="paragraph" w:customStyle="1" w:styleId="348">
    <w:name w:val="xl7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49">
    <w:name w:val="正文段"/>
    <w:basedOn w:val="1"/>
    <w:qFormat/>
    <w:uiPriority w:val="0"/>
    <w:pPr>
      <w:widowControl/>
      <w:snapToGrid w:val="0"/>
      <w:spacing w:afterLines="50"/>
      <w:ind w:firstLine="200" w:firstLineChars="200"/>
    </w:pPr>
    <w:rPr>
      <w:kern w:val="0"/>
      <w:sz w:val="24"/>
      <w:szCs w:val="20"/>
    </w:rPr>
  </w:style>
  <w:style w:type="paragraph" w:customStyle="1" w:styleId="350">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51">
    <w:name w:val="Char1"/>
    <w:basedOn w:val="1"/>
    <w:qFormat/>
    <w:uiPriority w:val="0"/>
    <w:rPr>
      <w:rFonts w:ascii="Tahoma" w:hAnsi="Tahoma"/>
      <w:sz w:val="24"/>
      <w:szCs w:val="20"/>
    </w:rPr>
  </w:style>
  <w:style w:type="paragraph" w:customStyle="1" w:styleId="35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53">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354">
    <w:name w:val="样式 宋体 小五 左 段前: 5 磅 段后: 5 磅 行距: 1.5 倍行距"/>
    <w:basedOn w:val="1"/>
    <w:qFormat/>
    <w:uiPriority w:val="0"/>
    <w:pPr>
      <w:widowControl/>
      <w:tabs>
        <w:tab w:val="left" w:pos="5100"/>
      </w:tabs>
      <w:spacing w:line="0" w:lineRule="atLeast"/>
      <w:jc w:val="left"/>
    </w:pPr>
    <w:rPr>
      <w:rFonts w:ascii="宋体" w:hAnsi="宋体"/>
      <w:kern w:val="0"/>
      <w:szCs w:val="20"/>
    </w:rPr>
  </w:style>
  <w:style w:type="paragraph" w:customStyle="1" w:styleId="35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56">
    <w:name w:val="正文1"/>
    <w:qFormat/>
    <w:uiPriority w:val="0"/>
    <w:pPr>
      <w:widowControl w:val="0"/>
      <w:adjustRightInd w:val="0"/>
      <w:spacing w:line="312" w:lineRule="atLeast"/>
      <w:jc w:val="both"/>
      <w:textAlignment w:val="baseline"/>
    </w:pPr>
    <w:rPr>
      <w:rFonts w:ascii="宋体" w:hAnsi="宋体" w:eastAsia="宋体" w:cs="Times New Roman"/>
      <w:sz w:val="24"/>
      <w:lang w:val="en-US" w:eastAsia="zh-CN" w:bidi="ar-SA"/>
    </w:rPr>
  </w:style>
  <w:style w:type="paragraph" w:customStyle="1" w:styleId="357">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58">
    <w:name w:val="xl6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359">
    <w:name w:val="xl43"/>
    <w:basedOn w:val="1"/>
    <w:qFormat/>
    <w:uiPriority w:val="0"/>
    <w:pPr>
      <w:widowControl/>
      <w:spacing w:before="100" w:beforeAutospacing="1" w:after="100" w:afterAutospacing="1"/>
      <w:jc w:val="right"/>
      <w:textAlignment w:val="center"/>
    </w:pPr>
    <w:rPr>
      <w:kern w:val="0"/>
      <w:sz w:val="20"/>
      <w:szCs w:val="20"/>
    </w:rPr>
  </w:style>
  <w:style w:type="paragraph" w:customStyle="1" w:styleId="360">
    <w:name w:val="默认段落字体 Para Char Char Char Char Char Char Char Char Char1 Char Char Char Char"/>
    <w:basedOn w:val="1"/>
    <w:qFormat/>
    <w:uiPriority w:val="0"/>
    <w:rPr>
      <w:rFonts w:ascii="Tahoma" w:hAnsi="Tahoma"/>
      <w:sz w:val="24"/>
      <w:szCs w:val="20"/>
    </w:rPr>
  </w:style>
  <w:style w:type="paragraph" w:customStyle="1" w:styleId="361">
    <w:name w:val="xl15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62">
    <w:name w:val="font6"/>
    <w:basedOn w:val="1"/>
    <w:qFormat/>
    <w:uiPriority w:val="0"/>
    <w:pPr>
      <w:widowControl/>
      <w:spacing w:before="100" w:beforeAutospacing="1" w:after="100" w:afterAutospacing="1"/>
      <w:jc w:val="left"/>
    </w:pPr>
    <w:rPr>
      <w:rFonts w:hint="eastAsia" w:ascii="黑体" w:hAnsi="宋体" w:eastAsia="黑体"/>
      <w:kern w:val="0"/>
      <w:sz w:val="36"/>
      <w:szCs w:val="20"/>
    </w:rPr>
  </w:style>
  <w:style w:type="paragraph" w:customStyle="1" w:styleId="363">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64">
    <w:name w:val="标准标题3"/>
    <w:basedOn w:val="5"/>
    <w:qFormat/>
    <w:uiPriority w:val="0"/>
    <w:pPr>
      <w:numPr>
        <w:ilvl w:val="0"/>
        <w:numId w:val="9"/>
      </w:numPr>
      <w:spacing w:line="240" w:lineRule="auto"/>
      <w:ind w:left="0" w:leftChars="-258" w:firstLine="0"/>
    </w:pPr>
    <w:rPr>
      <w:rFonts w:eastAsia="仿宋_GB2312"/>
      <w:sz w:val="28"/>
    </w:rPr>
  </w:style>
  <w:style w:type="paragraph" w:customStyle="1" w:styleId="365">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66">
    <w:name w:val="文档正文"/>
    <w:basedOn w:val="1"/>
    <w:qFormat/>
    <w:uiPriority w:val="0"/>
    <w:pPr>
      <w:adjustRightInd w:val="0"/>
      <w:spacing w:line="312" w:lineRule="atLeast"/>
      <w:ind w:firstLine="567"/>
    </w:pPr>
    <w:rPr>
      <w:rFonts w:ascii="Arial" w:eastAsia="长城仿宋"/>
      <w:kern w:val="0"/>
      <w:sz w:val="28"/>
      <w:szCs w:val="20"/>
    </w:rPr>
  </w:style>
  <w:style w:type="paragraph" w:customStyle="1" w:styleId="367">
    <w:name w:val="Char3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6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69">
    <w:name w:val="xl13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70">
    <w:name w:val="font13"/>
    <w:basedOn w:val="1"/>
    <w:qFormat/>
    <w:uiPriority w:val="0"/>
    <w:pPr>
      <w:widowControl/>
      <w:spacing w:before="100" w:beforeAutospacing="1" w:after="100" w:afterAutospacing="1"/>
      <w:jc w:val="left"/>
    </w:pPr>
    <w:rPr>
      <w:kern w:val="0"/>
      <w:sz w:val="18"/>
      <w:szCs w:val="20"/>
    </w:rPr>
  </w:style>
  <w:style w:type="paragraph" w:customStyle="1" w:styleId="37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2">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74">
    <w:name w:val="列出段落11"/>
    <w:basedOn w:val="1"/>
    <w:qFormat/>
    <w:uiPriority w:val="0"/>
    <w:pPr>
      <w:widowControl/>
      <w:spacing w:beforeLines="50" w:afterLines="50"/>
      <w:ind w:firstLine="420" w:firstLineChars="200"/>
      <w:jc w:val="left"/>
    </w:pPr>
  </w:style>
  <w:style w:type="table" w:customStyle="1" w:styleId="375">
    <w:name w:val="中等深浅列表 1 - 强调文字颜色 51"/>
    <w:basedOn w:val="51"/>
    <w:qFormat/>
    <w:uiPriority w:val="0"/>
    <w:rPr>
      <w:color w:val="000000"/>
    </w:rPr>
    <w:tblPr>
      <w:tblBorders>
        <w:top w:val="single" w:color="4BACC6" w:sz="8" w:space="0"/>
        <w:bottom w:val="single" w:color="4BACC6" w:sz="8" w:space="0"/>
      </w:tblBorders>
      <w:tblCellMar>
        <w:top w:w="0" w:type="dxa"/>
        <w:left w:w="108" w:type="dxa"/>
        <w:bottom w:w="0" w:type="dxa"/>
        <w:right w:w="108" w:type="dxa"/>
      </w:tblCellMar>
    </w:tblPr>
    <w:tblStylePr w:type="firstRow">
      <w:rPr>
        <w:rFonts w:eastAsia="Wingdings" w:cs="Times New Roman"/>
      </w:rPr>
      <w:tcPr>
        <w:tcBorders>
          <w:top w:val="nil"/>
          <w:left w:val="nil"/>
          <w:bottom w:val="single" w:color="4BACC6" w:sz="8" w:space="0"/>
          <w:right w:val="nil"/>
          <w:insideH w:val="nil"/>
          <w:insideV w:val="nil"/>
          <w:tl2br w:val="nil"/>
          <w:tr2bl w:val="nil"/>
        </w:tcBorders>
      </w:tcPr>
    </w:tblStylePr>
    <w:tblStylePr w:type="lastRow">
      <w:rPr>
        <w:b/>
        <w:bCs/>
        <w:color w:val="1F497D"/>
      </w:r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cPr>
        <w:tcBorders>
          <w:top w:val="single" w:color="4BACC6" w:sz="8" w:space="0"/>
          <w:left w:val="nil"/>
          <w:bottom w:val="single" w:color="4BACC6" w:sz="8" w:space="0"/>
          <w:right w:val="nil"/>
          <w:insideH w:val="nil"/>
          <w:insideV w:val="nil"/>
          <w:tl2br w:val="nil"/>
          <w:tr2bl w:val="nil"/>
        </w:tcBorders>
      </w:tcPr>
    </w:tblStylePr>
    <w:tblStylePr w:type="band1Vert">
      <w:tcPr>
        <w:shd w:val="clear" w:color="auto" w:fill="D2EAF1"/>
      </w:tcPr>
    </w:tblStylePr>
    <w:tblStylePr w:type="band1Horz">
      <w:tcPr>
        <w:shd w:val="clear" w:color="auto" w:fill="D2EAF1"/>
      </w:tcPr>
    </w:tblStylePr>
  </w:style>
  <w:style w:type="table" w:customStyle="1" w:styleId="376">
    <w:name w:val="彩色底纹 - 强调文字颜色 51"/>
    <w:basedOn w:val="51"/>
    <w:qFormat/>
    <w:uiPriority w:val="0"/>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CellMar>
        <w:top w:w="0" w:type="dxa"/>
        <w:left w:w="108" w:type="dxa"/>
        <w:bottom w:w="0" w:type="dxa"/>
        <w:right w:w="108" w:type="dxa"/>
      </w:tblCellMar>
    </w:tblPr>
    <w:tcPr>
      <w:shd w:val="clear" w:color="auto" w:fill="EDF6F9"/>
    </w:tcPr>
    <w:tblStylePr w:type="firstRow">
      <w:rPr>
        <w:b/>
        <w:bCs/>
      </w:rPr>
      <w:tcPr>
        <w:tcBorders>
          <w:top w:val="nil"/>
          <w:left w:val="nil"/>
          <w:bottom w:val="single" w:color="F79646" w:sz="24" w:space="0"/>
          <w:right w:val="nil"/>
          <w:insideH w:val="nil"/>
          <w:insideV w:val="nil"/>
          <w:tl2br w:val="nil"/>
          <w:tr2bl w:val="nil"/>
        </w:tcBorders>
        <w:shd w:val="clear" w:color="auto" w:fill="FFFFFF"/>
      </w:tcPr>
    </w:tblStylePr>
    <w:tblStylePr w:type="lastRow">
      <w:rPr>
        <w:b/>
        <w:bCs/>
        <w:color w:val="FFFFFF"/>
      </w:r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cPr>
        <w:tcBorders>
          <w:top w:val="nil"/>
          <w:left w:val="nil"/>
          <w:bottom w:val="nil"/>
          <w:right w:val="nil"/>
          <w:insideH w:val="nil"/>
          <w:insideV w:val="nil"/>
          <w:tl2br w:val="nil"/>
          <w:tr2bl w:val="nil"/>
        </w:tcBorders>
        <w:shd w:val="clear" w:color="auto" w:fill="276A7C"/>
      </w:tcPr>
    </w:tblStylePr>
    <w:tblStylePr w:type="band1Vert">
      <w:tcPr>
        <w:shd w:val="clear" w:color="auto" w:fill="B6DDE8"/>
      </w:tcPr>
    </w:tblStylePr>
    <w:tblStylePr w:type="band1Horz">
      <w:tcPr>
        <w:shd w:val="clear" w:color="auto" w:fill="A5D5E2"/>
      </w:tcPr>
    </w:tblStylePr>
    <w:tblStylePr w:type="neCell">
      <w:rPr>
        <w:color w:val="000000"/>
      </w:rPr>
    </w:tblStylePr>
    <w:tblStylePr w:type="nwCell">
      <w:rPr>
        <w:color w:val="000000"/>
      </w:rPr>
    </w:tblStylePr>
  </w:style>
  <w:style w:type="table" w:customStyle="1" w:styleId="377">
    <w:name w:val="彩色网格 - 强调文字颜色 51"/>
    <w:basedOn w:val="51"/>
    <w:qFormat/>
    <w:uiPriority w:val="0"/>
    <w:rPr>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378">
    <w:name w:val="中等深浅网格 1 - 强调文字颜色 51"/>
    <w:basedOn w:val="51"/>
    <w:qFormat/>
    <w:uiPriority w:val="0"/>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1"/>
    </w:tcPr>
    <w:tblStylePr w:type="firstRow">
      <w:rPr>
        <w:b/>
        <w:bCs/>
      </w:rPr>
    </w:tblStylePr>
    <w:tblStylePr w:type="lastRow">
      <w:rPr>
        <w:b/>
        <w:bCs/>
      </w:r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A5D5E2"/>
      </w:tcPr>
    </w:tblStylePr>
    <w:tblStylePr w:type="band1Horz">
      <w:tcPr>
        <w:shd w:val="clear" w:color="auto" w:fill="A5D5E2"/>
      </w:tcPr>
    </w:tblStylePr>
  </w:style>
  <w:style w:type="table" w:customStyle="1" w:styleId="379">
    <w:name w:val="彩色列表 - 着色 1"/>
    <w:basedOn w:val="51"/>
    <w:qFormat/>
    <w:uiPriority w:val="0"/>
    <w:rPr>
      <w:rFonts w:ascii="Calibri" w:hAnsi="Calibri"/>
      <w:kern w:val="2"/>
      <w:sz w:val="21"/>
      <w:szCs w:val="22"/>
    </w:rPr>
    <w:tblPr>
      <w:tblCellMar>
        <w:top w:w="0" w:type="dxa"/>
        <w:left w:w="108" w:type="dxa"/>
        <w:bottom w:w="0" w:type="dxa"/>
        <w:right w:w="108" w:type="dxa"/>
      </w:tblCellMar>
    </w:tblPr>
    <w:tcPr>
      <w:shd w:val="clear" w:color="auto" w:fill="EEF5FB"/>
    </w:tcPr>
    <w:tblStylePr w:type="firstRow">
      <w:tcPr>
        <w:tcBorders>
          <w:top w:val="nil"/>
          <w:left w:val="nil"/>
          <w:bottom w:val="single" w:color="FFFFFF" w:sz="12" w:space="0"/>
          <w:right w:val="nil"/>
          <w:insideH w:val="nil"/>
          <w:insideV w:val="nil"/>
          <w:tl2br w:val="nil"/>
          <w:tr2bl w:val="nil"/>
        </w:tcBorders>
        <w:shd w:val="clear" w:color="auto" w:fill="D25F12"/>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6E6F4"/>
      </w:tcPr>
    </w:tblStylePr>
    <w:tblStylePr w:type="band1Horz">
      <w:tcPr>
        <w:shd w:val="clear" w:color="auto" w:fill="DEEAF6"/>
      </w:tcPr>
    </w:tblStylePr>
  </w:style>
  <w:style w:type="table" w:customStyle="1" w:styleId="380">
    <w:name w:val="Table Normal1"/>
    <w:semiHidden/>
    <w:qFormat/>
    <w:uiPriority w:val="0"/>
    <w:rPr>
      <w:rFonts w:eastAsia="Times New Roman"/>
    </w:rPr>
    <w:tblPr>
      <w:tblCellMar>
        <w:top w:w="0" w:type="dxa"/>
        <w:left w:w="108" w:type="dxa"/>
        <w:bottom w:w="0" w:type="dxa"/>
        <w:right w:w="108" w:type="dxa"/>
      </w:tblCellMar>
    </w:tblPr>
  </w:style>
  <w:style w:type="table" w:customStyle="1" w:styleId="381">
    <w:name w:val="Table Normal"/>
    <w:semiHidden/>
    <w:qFormat/>
    <w:uiPriority w:val="0"/>
    <w:rPr>
      <w:rFonts w:eastAsia="Times New Roman"/>
    </w:rPr>
    <w:tblPr>
      <w:tblCellMar>
        <w:top w:w="0" w:type="dxa"/>
        <w:left w:w="108" w:type="dxa"/>
        <w:bottom w:w="0" w:type="dxa"/>
        <w:right w:w="108" w:type="dxa"/>
      </w:tblCellMar>
    </w:tblPr>
  </w:style>
  <w:style w:type="paragraph" w:customStyle="1" w:styleId="382">
    <w:name w:val="flNote"/>
    <w:basedOn w:val="1"/>
    <w:qFormat/>
    <w:uiPriority w:val="0"/>
    <w:pPr>
      <w:spacing w:before="320" w:after="160" w:line="360" w:lineRule="auto"/>
      <w:jc w:val="center"/>
    </w:pPr>
    <w:rPr>
      <w:rFonts w:ascii="Arial" w:eastAsia="黑体"/>
      <w:sz w:val="30"/>
    </w:rPr>
  </w:style>
  <w:style w:type="character" w:customStyle="1" w:styleId="383">
    <w:name w:val="正文首行缩进 2 Char"/>
    <w:basedOn w:val="123"/>
    <w:link w:val="50"/>
    <w:qFormat/>
    <w:uiPriority w:val="0"/>
    <w:rPr>
      <w:rFonts w:eastAsia="仿宋_GB2312"/>
      <w:color w:val="000000"/>
      <w:kern w:val="2"/>
      <w:sz w:val="21"/>
      <w:szCs w:val="24"/>
      <w:lang w:bidi="ar-SA"/>
    </w:rPr>
  </w:style>
  <w:style w:type="paragraph" w:customStyle="1" w:styleId="384">
    <w:name w:val="standdate"/>
    <w:basedOn w:val="34"/>
    <w:semiHidden/>
    <w:qFormat/>
    <w:uiPriority w:val="0"/>
    <w:pPr>
      <w:tabs>
        <w:tab w:val="clear" w:pos="4153"/>
        <w:tab w:val="clear" w:pos="8306"/>
      </w:tabs>
      <w:snapToGrid/>
      <w:spacing w:line="340" w:lineRule="atLeast"/>
      <w:ind w:left="255" w:right="255"/>
      <w:jc w:val="center"/>
      <w:textAlignment w:val="center"/>
    </w:pPr>
    <w:rPr>
      <w:rFonts w:eastAsia="华文中宋"/>
      <w:b/>
      <w:spacing w:val="-4"/>
      <w:sz w:val="32"/>
      <w:szCs w:val="24"/>
    </w:rPr>
  </w:style>
  <w:style w:type="paragraph" w:customStyle="1" w:styleId="385">
    <w:name w:val="flName"/>
    <w:basedOn w:val="382"/>
    <w:qFormat/>
    <w:uiPriority w:val="0"/>
    <w:rPr>
      <w:sz w:val="32"/>
    </w:rPr>
  </w:style>
  <w:style w:type="paragraph" w:customStyle="1" w:styleId="386">
    <w:name w:val="flType"/>
    <w:basedOn w:val="385"/>
    <w:qFormat/>
    <w:uiPriority w:val="0"/>
    <w:pPr>
      <w:spacing w:before="560" w:after="120"/>
    </w:pPr>
    <w:rPr>
      <w:sz w:val="28"/>
    </w:rPr>
  </w:style>
  <w:style w:type="character" w:customStyle="1" w:styleId="387">
    <w:name w:val="副标题 Char"/>
    <w:basedOn w:val="55"/>
    <w:link w:val="38"/>
    <w:qFormat/>
    <w:uiPriority w:val="0"/>
    <w:rPr>
      <w:rFonts w:ascii="Arial" w:hAnsi="Arial" w:eastAsia="黑体"/>
      <w:i/>
      <w:kern w:val="2"/>
      <w:sz w:val="21"/>
      <w:szCs w:val="24"/>
    </w:rPr>
  </w:style>
  <w:style w:type="paragraph" w:customStyle="1" w:styleId="388">
    <w:name w:val="正文文字1"/>
    <w:basedOn w:val="2"/>
    <w:semiHidden/>
    <w:qFormat/>
    <w:uiPriority w:val="0"/>
    <w:pPr>
      <w:spacing w:line="240" w:lineRule="auto"/>
      <w:ind w:left="72" w:leftChars="30" w:right="72" w:rightChars="30"/>
    </w:pPr>
    <w:rPr>
      <w:sz w:val="21"/>
      <w:szCs w:val="24"/>
    </w:rPr>
  </w:style>
  <w:style w:type="paragraph" w:customStyle="1" w:styleId="389">
    <w:name w:val="注"/>
    <w:basedOn w:val="1"/>
    <w:semiHidden/>
    <w:qFormat/>
    <w:uiPriority w:val="0"/>
    <w:pPr>
      <w:ind w:left="840" w:hanging="420"/>
    </w:pPr>
  </w:style>
  <w:style w:type="paragraph" w:customStyle="1" w:styleId="390">
    <w:name w:val="正文文字2"/>
    <w:basedOn w:val="2"/>
    <w:semiHidden/>
    <w:qFormat/>
    <w:uiPriority w:val="0"/>
    <w:pPr>
      <w:spacing w:after="60" w:line="240" w:lineRule="auto"/>
      <w:ind w:left="72" w:leftChars="30" w:right="72" w:rightChars="30"/>
      <w:jc w:val="center"/>
    </w:pPr>
    <w:rPr>
      <w:rFonts w:ascii="Arial" w:eastAsia="黑体"/>
      <w:sz w:val="21"/>
      <w:szCs w:val="24"/>
    </w:rPr>
  </w:style>
  <w:style w:type="paragraph" w:customStyle="1" w:styleId="391">
    <w:name w:val="空半行"/>
    <w:basedOn w:val="1"/>
    <w:semiHidden/>
    <w:qFormat/>
    <w:uiPriority w:val="0"/>
    <w:pPr>
      <w:spacing w:line="120" w:lineRule="exact"/>
    </w:pPr>
    <w:rPr>
      <w:rFonts w:eastAsia="仿宋_GB2312"/>
      <w:color w:val="FFFFFF"/>
      <w:sz w:val="30"/>
    </w:rPr>
  </w:style>
  <w:style w:type="paragraph" w:customStyle="1" w:styleId="392">
    <w:name w:val="2 Char Char Char Char Char Char Char"/>
    <w:basedOn w:val="1"/>
    <w:semiHidden/>
    <w:qFormat/>
    <w:uiPriority w:val="0"/>
    <w:rPr>
      <w:rFonts w:ascii="Tahoma" w:hAnsi="Tahoma"/>
    </w:rPr>
  </w:style>
  <w:style w:type="paragraph" w:customStyle="1" w:styleId="393">
    <w:name w:val="Char1 Char Char Char Char1"/>
    <w:basedOn w:val="1"/>
    <w:semiHidden/>
    <w:qFormat/>
    <w:uiPriority w:val="0"/>
    <w:rPr>
      <w:rFonts w:ascii="Tahoma" w:hAnsi="Tahoma"/>
    </w:rPr>
  </w:style>
  <w:style w:type="paragraph" w:customStyle="1" w:styleId="394">
    <w:name w:val="CM103"/>
    <w:basedOn w:val="1"/>
    <w:next w:val="1"/>
    <w:semiHidden/>
    <w:qFormat/>
    <w:uiPriority w:val="0"/>
    <w:pPr>
      <w:autoSpaceDE w:val="0"/>
      <w:autoSpaceDN w:val="0"/>
      <w:spacing w:after="180"/>
      <w:jc w:val="left"/>
    </w:pPr>
    <w:rPr>
      <w:rFonts w:ascii="PMingLiU" w:eastAsia="PMingLiU"/>
    </w:rPr>
  </w:style>
  <w:style w:type="paragraph" w:customStyle="1" w:styleId="395">
    <w:name w:val="Char Char"/>
    <w:basedOn w:val="1"/>
    <w:semiHidden/>
    <w:qFormat/>
    <w:uiPriority w:val="0"/>
    <w:pPr>
      <w:widowControl/>
      <w:spacing w:line="400" w:lineRule="exact"/>
      <w:jc w:val="center"/>
    </w:pPr>
    <w:rPr>
      <w:rFonts w:ascii="Verdana" w:hAnsi="Verdana"/>
      <w:lang w:eastAsia="en-US"/>
    </w:rPr>
  </w:style>
  <w:style w:type="paragraph" w:customStyle="1" w:styleId="396">
    <w:name w:val="Char Char1"/>
    <w:basedOn w:val="1"/>
    <w:semiHidden/>
    <w:qFormat/>
    <w:uiPriority w:val="0"/>
    <w:pPr>
      <w:spacing w:line="400" w:lineRule="exact"/>
      <w:jc w:val="center"/>
    </w:pPr>
    <w:rPr>
      <w:rFonts w:ascii="Verdana" w:hAnsi="Verdana"/>
      <w:lang w:eastAsia="en-US"/>
    </w:rPr>
  </w:style>
  <w:style w:type="paragraph" w:customStyle="1" w:styleId="39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99">
    <w:name w:val="List Paragraph"/>
    <w:basedOn w:val="1"/>
    <w:unhideWhenUsed/>
    <w:qFormat/>
    <w:uiPriority w:val="34"/>
    <w:pPr>
      <w:ind w:firstLine="420" w:firstLineChars="200"/>
    </w:pPr>
  </w:style>
  <w:style w:type="character" w:customStyle="1" w:styleId="40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401">
    <w:name w:val="CharAttribute0"/>
    <w:qFormat/>
    <w:uiPriority w:val="0"/>
    <w:rPr>
      <w:rFonts w:ascii="Times New Roman" w:eastAsia="宋体"/>
      <w:sz w:val="21"/>
    </w:rPr>
  </w:style>
  <w:style w:type="character" w:customStyle="1" w:styleId="402">
    <w:name w:val="font21"/>
    <w:basedOn w:val="55"/>
    <w:qFormat/>
    <w:uiPriority w:val="0"/>
    <w:rPr>
      <w:rFonts w:hint="eastAsia" w:ascii="宋体" w:hAnsi="宋体" w:eastAsia="宋体" w:cs="宋体"/>
      <w:color w:val="000000"/>
      <w:sz w:val="22"/>
      <w:szCs w:val="22"/>
      <w:u w:val="none"/>
    </w:rPr>
  </w:style>
  <w:style w:type="character" w:customStyle="1" w:styleId="403">
    <w:name w:val="font01"/>
    <w:basedOn w:val="55"/>
    <w:qFormat/>
    <w:uiPriority w:val="0"/>
    <w:rPr>
      <w:rFonts w:ascii="Tahoma" w:hAnsi="Tahoma" w:eastAsia="Tahoma" w:cs="Tahoma"/>
      <w:color w:val="000000"/>
      <w:sz w:val="22"/>
      <w:szCs w:val="22"/>
      <w:u w:val="none"/>
    </w:rPr>
  </w:style>
  <w:style w:type="paragraph" w:customStyle="1" w:styleId="404">
    <w:name w:val="WPSOffice手动目录 1"/>
    <w:qFormat/>
    <w:uiPriority w:val="0"/>
    <w:pPr>
      <w:ind w:leftChars="0"/>
    </w:pPr>
    <w:rPr>
      <w:rFonts w:asciiTheme="minorHAnsi" w:hAnsiTheme="minorHAnsi" w:eastAsiaTheme="minorEastAsia" w:cstheme="minorBidi"/>
      <w:sz w:val="20"/>
      <w:szCs w:val="20"/>
    </w:rPr>
  </w:style>
  <w:style w:type="character" w:customStyle="1" w:styleId="405">
    <w:name w:val="font51"/>
    <w:basedOn w:val="55"/>
    <w:qFormat/>
    <w:uiPriority w:val="0"/>
    <w:rPr>
      <w:rFonts w:hint="default" w:ascii="Tahoma" w:hAnsi="Tahoma" w:eastAsia="Tahoma" w:cs="Tahoma"/>
      <w:color w:val="000000"/>
      <w:sz w:val="22"/>
      <w:szCs w:val="22"/>
      <w:u w:val="none"/>
    </w:rPr>
  </w:style>
  <w:style w:type="character" w:customStyle="1" w:styleId="406">
    <w:name w:val="font61"/>
    <w:basedOn w:val="5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AC4C72-8A7F-45CB-A78B-C9FD6209489F}">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74</Pages>
  <Words>6890</Words>
  <Characters>39275</Characters>
  <Lines>327</Lines>
  <Paragraphs>92</Paragraphs>
  <TotalTime>98</TotalTime>
  <ScaleCrop>false</ScaleCrop>
  <LinksUpToDate>false</LinksUpToDate>
  <CharactersWithSpaces>46073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2018-12-03T07:15:00Z</dcterms:created>
  <dc:creator>Van Helsing</dc:creator>
  <cp:lastModifiedBy>Administrator</cp:lastModifiedBy>
  <cp:lastPrinted>2021-11-04T07:48:00Z</cp:lastPrinted>
  <dcterms:modified xsi:type="dcterms:W3CDTF">2021-11-09T10:15:19Z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642EF84434024BB397696DFBBFB808AA</vt:lpwstr>
  </property>
</Properties>
</file>