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黑体" w:eastAsia="黑体"/>
          <w:lang w:val="zh-CN"/>
        </w:rPr>
      </w:pPr>
    </w:p>
    <w:p>
      <w:pPr>
        <w:autoSpaceDE w:val="0"/>
        <w:autoSpaceDN w:val="0"/>
        <w:jc w:val="center"/>
        <w:rPr>
          <w:rFonts w:ascii="黑体" w:eastAsia="黑体"/>
          <w:lang w:val="zh-CN"/>
        </w:rPr>
      </w:pPr>
    </w:p>
    <w:p>
      <w:pPr>
        <w:autoSpaceDE w:val="0"/>
        <w:autoSpaceDN w:val="0"/>
        <w:jc w:val="center"/>
        <w:rPr>
          <w:rFonts w:ascii="黑体" w:eastAsia="黑体"/>
          <w:sz w:val="52"/>
          <w:lang w:val="zh-CN"/>
        </w:rPr>
      </w:pPr>
    </w:p>
    <w:p>
      <w:pPr>
        <w:autoSpaceDE w:val="0"/>
        <w:autoSpaceDN w:val="0"/>
        <w:jc w:val="center"/>
        <w:rPr>
          <w:rFonts w:ascii="黑体" w:eastAsia="黑体"/>
          <w:sz w:val="60"/>
          <w:lang w:val="zh-CN"/>
        </w:rPr>
      </w:pPr>
    </w:p>
    <w:p>
      <w:pPr>
        <w:autoSpaceDE w:val="0"/>
        <w:autoSpaceDN w:val="0"/>
        <w:jc w:val="center"/>
        <w:rPr>
          <w:rFonts w:ascii="黑体" w:eastAsia="黑体"/>
          <w:sz w:val="44"/>
          <w:szCs w:val="44"/>
          <w:lang w:val="zh-CN"/>
        </w:rPr>
      </w:pPr>
      <w:r>
        <w:rPr>
          <w:rFonts w:hint="eastAsia" w:ascii="黑体" w:eastAsia="黑体"/>
          <w:sz w:val="44"/>
          <w:szCs w:val="44"/>
          <w:lang w:val="zh-CN"/>
        </w:rPr>
        <w:t>全区监测系统验证项目</w:t>
      </w:r>
    </w:p>
    <w:p>
      <w:pPr>
        <w:pStyle w:val="9"/>
      </w:pPr>
    </w:p>
    <w:p>
      <w:pPr>
        <w:autoSpaceDE w:val="0"/>
        <w:autoSpaceDN w:val="0"/>
        <w:jc w:val="center"/>
        <w:rPr>
          <w:rFonts w:ascii="黑体" w:eastAsia="黑体"/>
          <w:sz w:val="44"/>
          <w:szCs w:val="44"/>
          <w:lang w:val="zh-CN"/>
        </w:rPr>
      </w:pPr>
      <w:r>
        <w:rPr>
          <w:rFonts w:ascii="黑体" w:eastAsia="黑体"/>
          <w:sz w:val="44"/>
          <w:szCs w:val="44"/>
          <w:lang w:val="zh-CN"/>
        </w:rPr>
        <w:t>招标文件</w:t>
      </w:r>
    </w:p>
    <w:p>
      <w:pPr>
        <w:autoSpaceDE w:val="0"/>
        <w:autoSpaceDN w:val="0"/>
        <w:spacing w:line="360" w:lineRule="auto"/>
        <w:jc w:val="center"/>
        <w:rPr>
          <w:rFonts w:ascii="黑体" w:eastAsia="黑体"/>
          <w:sz w:val="32"/>
          <w:lang w:val="zh-CN"/>
        </w:rPr>
      </w:pPr>
    </w:p>
    <w:p>
      <w:pPr>
        <w:autoSpaceDE w:val="0"/>
        <w:autoSpaceDN w:val="0"/>
        <w:spacing w:line="360" w:lineRule="auto"/>
        <w:jc w:val="center"/>
        <w:rPr>
          <w:rFonts w:ascii="黑体" w:eastAsia="黑体"/>
          <w:sz w:val="32"/>
          <w:lang w:val="zh-CN"/>
        </w:rPr>
      </w:pPr>
    </w:p>
    <w:p>
      <w:pPr>
        <w:autoSpaceDE w:val="0"/>
        <w:autoSpaceDN w:val="0"/>
        <w:spacing w:line="360" w:lineRule="auto"/>
        <w:jc w:val="center"/>
        <w:rPr>
          <w:rFonts w:ascii="黑体" w:eastAsia="黑体"/>
          <w:sz w:val="32"/>
          <w:lang w:val="zh-CN"/>
        </w:rPr>
      </w:pPr>
    </w:p>
    <w:p>
      <w:pPr>
        <w:autoSpaceDE w:val="0"/>
        <w:autoSpaceDN w:val="0"/>
        <w:spacing w:line="360" w:lineRule="auto"/>
        <w:jc w:val="center"/>
        <w:rPr>
          <w:rFonts w:ascii="黑体" w:eastAsia="黑体"/>
          <w:sz w:val="32"/>
          <w:lang w:val="zh-CN"/>
        </w:rPr>
      </w:pPr>
    </w:p>
    <w:p>
      <w:pPr>
        <w:autoSpaceDE w:val="0"/>
        <w:autoSpaceDN w:val="0"/>
        <w:spacing w:line="360" w:lineRule="auto"/>
        <w:jc w:val="center"/>
        <w:rPr>
          <w:rFonts w:ascii="黑体" w:eastAsia="黑体"/>
          <w:sz w:val="32"/>
          <w:lang w:val="zh-CN"/>
        </w:rPr>
      </w:pPr>
    </w:p>
    <w:p>
      <w:pPr>
        <w:autoSpaceDE w:val="0"/>
        <w:autoSpaceDN w:val="0"/>
        <w:spacing w:line="360" w:lineRule="auto"/>
        <w:jc w:val="center"/>
        <w:rPr>
          <w:rFonts w:ascii="黑体" w:eastAsia="黑体"/>
          <w:sz w:val="32"/>
          <w:lang w:val="zh-CN"/>
        </w:rPr>
      </w:pPr>
    </w:p>
    <w:p>
      <w:pPr>
        <w:autoSpaceDE w:val="0"/>
        <w:autoSpaceDN w:val="0"/>
        <w:spacing w:line="360" w:lineRule="auto"/>
        <w:ind w:firstLine="964" w:firstLineChars="300"/>
        <w:rPr>
          <w:rFonts w:ascii="黑体" w:eastAsia="黑体"/>
          <w:b/>
          <w:bCs/>
          <w:sz w:val="32"/>
          <w:szCs w:val="32"/>
          <w:lang w:val="zh-CN"/>
        </w:rPr>
      </w:pPr>
      <w:r>
        <w:rPr>
          <w:rFonts w:ascii="黑体" w:eastAsia="黑体"/>
          <w:b/>
          <w:bCs/>
          <w:sz w:val="32"/>
          <w:lang w:val="zh-CN"/>
        </w:rPr>
        <w:t>项 目 编  号：</w:t>
      </w:r>
      <w:r>
        <w:rPr>
          <w:rFonts w:hint="eastAsia" w:ascii="黑体" w:eastAsia="黑体"/>
          <w:b/>
          <w:bCs/>
          <w:sz w:val="32"/>
          <w:lang w:val="zh-CN"/>
        </w:rPr>
        <w:t>0634-2140XZ2Z0471</w:t>
      </w:r>
    </w:p>
    <w:p>
      <w:pPr>
        <w:autoSpaceDE w:val="0"/>
        <w:autoSpaceDN w:val="0"/>
        <w:adjustRightInd w:val="0"/>
        <w:spacing w:line="360" w:lineRule="auto"/>
        <w:ind w:left="3207" w:leftChars="456" w:hanging="2249" w:hangingChars="700"/>
        <w:rPr>
          <w:rFonts w:ascii="黑体" w:eastAsia="黑体"/>
          <w:b/>
          <w:bCs/>
          <w:sz w:val="32"/>
          <w:szCs w:val="32"/>
          <w:u w:val="single"/>
          <w:lang w:val="zh-CN"/>
        </w:rPr>
      </w:pPr>
      <w:r>
        <w:rPr>
          <w:rFonts w:hint="eastAsia" w:ascii="黑体" w:eastAsia="黑体"/>
          <w:b/>
          <w:bCs/>
          <w:sz w:val="32"/>
          <w:szCs w:val="32"/>
          <w:lang w:val="en-US" w:eastAsia="zh-CN"/>
        </w:rPr>
        <w:t>采</w:t>
      </w:r>
      <w:r>
        <w:rPr>
          <w:rFonts w:ascii="黑体" w:eastAsia="黑体"/>
          <w:b/>
          <w:bCs/>
          <w:sz w:val="32"/>
          <w:szCs w:val="32"/>
          <w:lang w:val="zh-CN"/>
        </w:rPr>
        <w:t xml:space="preserve">   </w:t>
      </w:r>
      <w:r>
        <w:rPr>
          <w:rFonts w:hint="eastAsia" w:ascii="黑体" w:eastAsia="黑体"/>
          <w:b/>
          <w:bCs/>
          <w:sz w:val="32"/>
          <w:szCs w:val="32"/>
          <w:lang w:val="en-US" w:eastAsia="zh-CN"/>
        </w:rPr>
        <w:t>购</w:t>
      </w:r>
      <w:r>
        <w:rPr>
          <w:rFonts w:ascii="黑体" w:eastAsia="黑体"/>
          <w:b/>
          <w:bCs/>
          <w:sz w:val="32"/>
          <w:szCs w:val="32"/>
          <w:lang w:val="zh-CN"/>
        </w:rPr>
        <w:t xml:space="preserve">   人：</w:t>
      </w:r>
      <w:r>
        <w:rPr>
          <w:rFonts w:hint="eastAsia" w:ascii="黑体" w:eastAsia="黑体"/>
          <w:b/>
          <w:bCs/>
          <w:sz w:val="32"/>
          <w:szCs w:val="32"/>
          <w:lang w:val="zh-CN"/>
        </w:rPr>
        <w:t>新疆维吾尔自治区工业和信息化厅</w:t>
      </w:r>
    </w:p>
    <w:p>
      <w:pPr>
        <w:autoSpaceDE w:val="0"/>
        <w:autoSpaceDN w:val="0"/>
        <w:adjustRightInd w:val="0"/>
        <w:spacing w:line="360" w:lineRule="auto"/>
        <w:ind w:firstLine="964" w:firstLineChars="300"/>
        <w:rPr>
          <w:rFonts w:ascii="黑体" w:eastAsia="黑体"/>
          <w:b/>
          <w:bCs/>
          <w:sz w:val="32"/>
          <w:szCs w:val="32"/>
          <w:u w:val="single"/>
          <w:lang w:val="zh-CN"/>
        </w:rPr>
      </w:pPr>
      <w:r>
        <w:rPr>
          <w:rFonts w:ascii="黑体" w:eastAsia="黑体"/>
          <w:b/>
          <w:bCs/>
          <w:sz w:val="32"/>
          <w:szCs w:val="32"/>
          <w:lang w:val="zh-CN"/>
        </w:rPr>
        <w:t>采购代理机构：</w:t>
      </w:r>
      <w:r>
        <w:rPr>
          <w:rFonts w:ascii="Arial" w:hAnsi="Arial" w:cs="Arial"/>
          <w:b/>
          <w:bCs/>
          <w:sz w:val="32"/>
          <w:szCs w:val="32"/>
        </w:rPr>
        <w:t>新疆招标有限公司</w:t>
      </w:r>
    </w:p>
    <w:p>
      <w:pPr>
        <w:autoSpaceDE w:val="0"/>
        <w:autoSpaceDN w:val="0"/>
        <w:adjustRightInd w:val="0"/>
        <w:spacing w:line="360" w:lineRule="auto"/>
        <w:ind w:firstLine="964" w:firstLineChars="300"/>
        <w:rPr>
          <w:rFonts w:ascii="黑体" w:eastAsia="黑体"/>
          <w:b/>
          <w:bCs/>
          <w:sz w:val="32"/>
          <w:lang w:val="zh-CN"/>
        </w:rPr>
      </w:pPr>
      <w:r>
        <w:rPr>
          <w:rFonts w:ascii="黑体" w:eastAsia="黑体"/>
          <w:b/>
          <w:bCs/>
          <w:sz w:val="32"/>
          <w:lang w:val="zh-CN"/>
        </w:rPr>
        <w:t>日        期：</w:t>
      </w:r>
      <w:r>
        <w:rPr>
          <w:rFonts w:ascii="黑体" w:eastAsia="黑体"/>
          <w:b/>
          <w:bCs/>
          <w:sz w:val="32"/>
          <w:u w:val="single"/>
        </w:rPr>
        <w:t>2021</w:t>
      </w:r>
      <w:r>
        <w:rPr>
          <w:rFonts w:ascii="黑体" w:eastAsia="黑体"/>
          <w:b/>
          <w:bCs/>
          <w:sz w:val="32"/>
          <w:lang w:val="zh-CN"/>
        </w:rPr>
        <w:t>年</w:t>
      </w:r>
      <w:r>
        <w:rPr>
          <w:rFonts w:hint="eastAsia" w:ascii="黑体" w:eastAsia="黑体"/>
          <w:b/>
          <w:bCs/>
          <w:sz w:val="32"/>
          <w:u w:val="single"/>
          <w:lang w:val="en-US" w:eastAsia="zh-CN"/>
        </w:rPr>
        <w:t>10</w:t>
      </w:r>
      <w:r>
        <w:rPr>
          <w:rFonts w:ascii="黑体" w:eastAsia="黑体"/>
          <w:b/>
          <w:bCs/>
          <w:sz w:val="32"/>
          <w:lang w:val="zh-CN"/>
        </w:rPr>
        <w:t>月</w:t>
      </w:r>
    </w:p>
    <w:p>
      <w:pPr>
        <w:jc w:val="center"/>
        <w:rPr>
          <w:rFonts w:ascii="仿宋_GB2312" w:eastAsia="仿宋_GB2312"/>
          <w:sz w:val="32"/>
        </w:rPr>
      </w:pPr>
      <w:r>
        <w:rPr>
          <w:rFonts w:hint="default" w:eastAsia="黑体"/>
          <w:b/>
          <w:bCs/>
        </w:rPr>
        <w:br w:type="page"/>
      </w:r>
      <w:r>
        <w:rPr>
          <w:rFonts w:ascii="仿宋_GB2312" w:eastAsia="仿宋_GB2312"/>
          <w:sz w:val="32"/>
        </w:rPr>
        <w:t>目 录</w:t>
      </w:r>
    </w:p>
    <w:p>
      <w:pPr>
        <w:pStyle w:val="16"/>
        <w:tabs>
          <w:tab w:val="right" w:leader="dot" w:pos="8835"/>
        </w:tabs>
        <w:spacing w:line="1000" w:lineRule="exact"/>
        <w:rPr>
          <w:rFonts w:hint="default" w:eastAsia="宋体"/>
          <w:bCs w:val="0"/>
          <w:caps w:val="0"/>
          <w:sz w:val="21"/>
          <w:szCs w:val="24"/>
        </w:rPr>
      </w:pPr>
      <w:r>
        <w:rPr>
          <w:rFonts w:hint="default" w:ascii="仿宋_GB2312" w:hAnsi="宋体" w:eastAsia="仿宋_GB2312"/>
          <w:szCs w:val="24"/>
        </w:rPr>
        <w:fldChar w:fldCharType="begin"/>
      </w:r>
      <w:r>
        <w:rPr>
          <w:rFonts w:hint="default" w:ascii="仿宋_GB2312" w:hAnsi="宋体" w:eastAsia="仿宋_GB2312"/>
          <w:szCs w:val="24"/>
        </w:rPr>
        <w:instrText xml:space="preserve"> TOC \o "1-2" \h \z \u </w:instrText>
      </w:r>
      <w:r>
        <w:rPr>
          <w:rFonts w:hint="default" w:ascii="仿宋_GB2312" w:hAnsi="宋体" w:eastAsia="仿宋_GB2312"/>
          <w:szCs w:val="24"/>
        </w:rPr>
        <w:fldChar w:fldCharType="separate"/>
      </w:r>
      <w:r>
        <w:fldChar w:fldCharType="begin"/>
      </w:r>
      <w:r>
        <w:rPr>
          <w:rStyle w:val="21"/>
          <w:rFonts w:hint="eastAsia"/>
          <w:color w:val="auto"/>
        </w:rPr>
        <w:instrText xml:space="preserve"> </w:instrText>
      </w:r>
      <w:r>
        <w:instrText xml:space="preserve">HYPERLINK \l "_Toc409627348"</w:instrText>
      </w:r>
      <w:r>
        <w:rPr>
          <w:rStyle w:val="21"/>
          <w:rFonts w:hint="eastAsia"/>
          <w:color w:val="auto"/>
        </w:rPr>
        <w:instrText xml:space="preserve"> </w:instrText>
      </w:r>
      <w:r>
        <w:fldChar w:fldCharType="separate"/>
      </w:r>
      <w:r>
        <w:rPr>
          <w:rStyle w:val="21"/>
          <w:rFonts w:hint="eastAsia"/>
          <w:color w:val="auto"/>
        </w:rPr>
        <w:t>第一章  招标公告</w:t>
      </w:r>
      <w:r>
        <w:tab/>
      </w:r>
      <w:r>
        <w:fldChar w:fldCharType="begin"/>
      </w:r>
      <w:r>
        <w:instrText xml:space="preserve"> PAGEREF _Toc409627348 \h </w:instrText>
      </w:r>
      <w:r>
        <w:rPr>
          <w:rFonts w:hint="default"/>
        </w:rPr>
        <w:fldChar w:fldCharType="separate"/>
      </w:r>
      <w:r>
        <w:t>- 1 -</w:t>
      </w:r>
      <w:r>
        <w:fldChar w:fldCharType="end"/>
      </w:r>
      <w:r>
        <w:fldChar w:fldCharType="end"/>
      </w:r>
    </w:p>
    <w:p>
      <w:pPr>
        <w:pStyle w:val="16"/>
        <w:tabs>
          <w:tab w:val="right" w:leader="dot" w:pos="8835"/>
        </w:tabs>
        <w:spacing w:line="1000" w:lineRule="exact"/>
        <w:rPr>
          <w:rFonts w:hint="default" w:eastAsia="宋体"/>
          <w:smallCaps/>
          <w:szCs w:val="24"/>
        </w:rPr>
      </w:pPr>
      <w:r>
        <w:fldChar w:fldCharType="begin"/>
      </w:r>
      <w:r>
        <w:rPr>
          <w:rStyle w:val="21"/>
          <w:rFonts w:hint="eastAsia"/>
          <w:color w:val="auto"/>
        </w:rPr>
        <w:instrText xml:space="preserve"> </w:instrText>
      </w:r>
      <w:r>
        <w:instrText xml:space="preserve">HYPERLINK \l "_Toc409627349"</w:instrText>
      </w:r>
      <w:r>
        <w:rPr>
          <w:rStyle w:val="21"/>
          <w:rFonts w:hint="eastAsia"/>
          <w:color w:val="auto"/>
        </w:rPr>
        <w:instrText xml:space="preserve"> </w:instrText>
      </w:r>
      <w:r>
        <w:fldChar w:fldCharType="separate"/>
      </w:r>
      <w:r>
        <w:rPr>
          <w:rStyle w:val="21"/>
          <w:rFonts w:hint="eastAsia"/>
          <w:color w:val="auto"/>
        </w:rPr>
        <w:t>第二章  供应商须知</w:t>
      </w:r>
      <w:r>
        <w:tab/>
      </w:r>
      <w:r>
        <w:fldChar w:fldCharType="begin"/>
      </w:r>
      <w:r>
        <w:instrText xml:space="preserve"> PAGEREF _Toc409627349 \h </w:instrText>
      </w:r>
      <w:r>
        <w:rPr>
          <w:rFonts w:hint="default"/>
        </w:rPr>
        <w:fldChar w:fldCharType="separate"/>
      </w:r>
      <w:r>
        <w:t>- 3 -</w:t>
      </w:r>
      <w:r>
        <w:fldChar w:fldCharType="end"/>
      </w:r>
      <w:r>
        <w:fldChar w:fldCharType="end"/>
      </w:r>
    </w:p>
    <w:p>
      <w:pPr>
        <w:pStyle w:val="16"/>
        <w:tabs>
          <w:tab w:val="right" w:leader="dot" w:pos="8835"/>
        </w:tabs>
        <w:spacing w:line="1000" w:lineRule="exact"/>
        <w:rPr>
          <w:smallCaps/>
          <w:szCs w:val="24"/>
        </w:rPr>
      </w:pPr>
      <w:r>
        <w:fldChar w:fldCharType="begin"/>
      </w:r>
      <w:r>
        <w:rPr>
          <w:rStyle w:val="21"/>
          <w:rFonts w:hint="eastAsia"/>
          <w:color w:val="auto"/>
        </w:rPr>
        <w:instrText xml:space="preserve"> </w:instrText>
      </w:r>
      <w:r>
        <w:instrText xml:space="preserve">HYPERLINK \l "_Toc409627361"</w:instrText>
      </w:r>
      <w:r>
        <w:rPr>
          <w:rStyle w:val="21"/>
          <w:rFonts w:hint="eastAsia"/>
          <w:color w:val="auto"/>
        </w:rPr>
        <w:instrText xml:space="preserve"> </w:instrText>
      </w:r>
      <w:r>
        <w:fldChar w:fldCharType="separate"/>
      </w:r>
      <w:r>
        <w:rPr>
          <w:rStyle w:val="21"/>
          <w:rFonts w:hint="eastAsia"/>
          <w:color w:val="auto"/>
          <w:lang w:val="zh-CN"/>
        </w:rPr>
        <w:t>第三章  服务需求</w:t>
      </w:r>
      <w:r>
        <w:tab/>
      </w:r>
      <w:r>
        <w:t>- 1</w:t>
      </w:r>
      <w:r>
        <w:fldChar w:fldCharType="end"/>
      </w:r>
      <w:r>
        <w:t>7 -</w:t>
      </w:r>
    </w:p>
    <w:p>
      <w:pPr>
        <w:pStyle w:val="16"/>
        <w:tabs>
          <w:tab w:val="right" w:leader="dot" w:pos="8835"/>
        </w:tabs>
        <w:spacing w:line="1000" w:lineRule="exact"/>
        <w:rPr>
          <w:rFonts w:hint="default" w:eastAsia="宋体"/>
          <w:smallCaps/>
          <w:szCs w:val="24"/>
        </w:rPr>
      </w:pPr>
      <w:r>
        <w:fldChar w:fldCharType="begin"/>
      </w:r>
      <w:r>
        <w:rPr>
          <w:rStyle w:val="21"/>
          <w:rFonts w:hint="eastAsia"/>
          <w:color w:val="auto"/>
        </w:rPr>
        <w:instrText xml:space="preserve"> </w:instrText>
      </w:r>
      <w:r>
        <w:instrText xml:space="preserve">HYPERLINK \l "_Toc409627365"</w:instrText>
      </w:r>
      <w:r>
        <w:rPr>
          <w:rStyle w:val="21"/>
          <w:rFonts w:hint="eastAsia"/>
          <w:color w:val="auto"/>
        </w:rPr>
        <w:instrText xml:space="preserve"> </w:instrText>
      </w:r>
      <w:r>
        <w:fldChar w:fldCharType="separate"/>
      </w:r>
      <w:r>
        <w:rPr>
          <w:rStyle w:val="21"/>
          <w:rFonts w:hint="eastAsia"/>
          <w:color w:val="auto"/>
          <w:lang w:val="zh-CN"/>
        </w:rPr>
        <w:t>第四章  合同条款和格式</w:t>
      </w:r>
      <w:r>
        <w:tab/>
      </w:r>
      <w:r>
        <w:t>- 3</w:t>
      </w:r>
      <w:r>
        <w:fldChar w:fldCharType="end"/>
      </w:r>
      <w:r>
        <w:t>1 -</w:t>
      </w:r>
    </w:p>
    <w:p>
      <w:pPr>
        <w:pStyle w:val="16"/>
        <w:tabs>
          <w:tab w:val="right" w:leader="dot" w:pos="8835"/>
        </w:tabs>
        <w:spacing w:line="1000" w:lineRule="exact"/>
        <w:rPr>
          <w:rFonts w:hint="default" w:eastAsia="宋体"/>
          <w:smallCaps/>
          <w:szCs w:val="24"/>
        </w:rPr>
      </w:pPr>
      <w:r>
        <w:fldChar w:fldCharType="begin"/>
      </w:r>
      <w:r>
        <w:rPr>
          <w:rStyle w:val="21"/>
          <w:rFonts w:hint="eastAsia"/>
          <w:color w:val="auto"/>
        </w:rPr>
        <w:instrText xml:space="preserve"> </w:instrText>
      </w:r>
      <w:r>
        <w:instrText xml:space="preserve">HYPERLINK \l "_Toc409627370"</w:instrText>
      </w:r>
      <w:r>
        <w:rPr>
          <w:rStyle w:val="21"/>
          <w:rFonts w:hint="eastAsia"/>
          <w:color w:val="auto"/>
        </w:rPr>
        <w:instrText xml:space="preserve"> </w:instrText>
      </w:r>
      <w:r>
        <w:fldChar w:fldCharType="separate"/>
      </w:r>
      <w:r>
        <w:rPr>
          <w:rStyle w:val="21"/>
          <w:rFonts w:hint="eastAsia"/>
          <w:color w:val="auto"/>
          <w:lang w:val="zh-CN"/>
        </w:rPr>
        <w:t>第五章  投标文件格式</w:t>
      </w:r>
      <w:r>
        <w:tab/>
      </w:r>
      <w:r>
        <w:fldChar w:fldCharType="end"/>
      </w:r>
      <w:r>
        <w:t>- 34 -</w:t>
      </w:r>
    </w:p>
    <w:p>
      <w:pPr>
        <w:pStyle w:val="17"/>
        <w:tabs>
          <w:tab w:val="right" w:leader="dot" w:pos="8835"/>
        </w:tabs>
        <w:ind w:left="420"/>
        <w:rPr>
          <w:rFonts w:hint="default" w:eastAsia="宋体"/>
          <w:smallCaps w:val="0"/>
          <w:szCs w:val="24"/>
        </w:rPr>
      </w:pPr>
    </w:p>
    <w:p>
      <w:pPr>
        <w:pStyle w:val="3"/>
        <w:rPr>
          <w:rFonts w:hint="default" w:ascii="仿宋_GB2312" w:hAnsi="宋体" w:eastAsia="仿宋_GB2312"/>
          <w:kern w:val="2"/>
          <w:sz w:val="24"/>
          <w:szCs w:val="24"/>
        </w:rPr>
        <w:sectPr>
          <w:headerReference r:id="rId3" w:type="default"/>
          <w:pgSz w:w="11907" w:h="16840"/>
          <w:pgMar w:top="1440" w:right="1080" w:bottom="1440" w:left="1080" w:header="851" w:footer="68" w:gutter="0"/>
          <w:cols w:space="720" w:num="1"/>
          <w:titlePg/>
          <w:docGrid w:type="lines" w:linePitch="409" w:charSpace="0"/>
        </w:sectPr>
      </w:pPr>
      <w:r>
        <w:rPr>
          <w:rFonts w:hint="default" w:ascii="仿宋_GB2312" w:hAnsi="宋体" w:eastAsia="仿宋_GB2312"/>
          <w:kern w:val="2"/>
          <w:sz w:val="24"/>
          <w:szCs w:val="24"/>
        </w:rPr>
        <w:fldChar w:fldCharType="end"/>
      </w:r>
      <w:bookmarkStart w:id="0" w:name="_Toc409627348"/>
    </w:p>
    <w:p>
      <w:pPr>
        <w:pStyle w:val="3"/>
      </w:pPr>
      <w:r>
        <w:t>第一章  招标公告</w:t>
      </w:r>
      <w:bookmarkEnd w:id="0"/>
    </w:p>
    <w:p/>
    <w:p>
      <w:pPr>
        <w:spacing w:before="100" w:beforeAutospacing="1" w:after="204" w:afterLines="50" w:line="400" w:lineRule="exact"/>
        <w:ind w:firstLine="240" w:firstLineChars="100"/>
        <w:rPr>
          <w:rFonts w:ascii="Arial" w:hAnsi="宋体" w:cs="Arial"/>
          <w:sz w:val="24"/>
          <w:szCs w:val="24"/>
        </w:rPr>
      </w:pPr>
      <w:r>
        <w:rPr>
          <w:rFonts w:ascii="Arial" w:hAnsi="宋体" w:cs="Arial"/>
          <w:sz w:val="24"/>
          <w:szCs w:val="24"/>
        </w:rPr>
        <w:t>项目编号：</w:t>
      </w:r>
      <w:r>
        <w:rPr>
          <w:rFonts w:hint="eastAsia" w:ascii="Arial" w:hAnsi="宋体" w:cs="Arial"/>
          <w:sz w:val="24"/>
          <w:szCs w:val="24"/>
          <w:lang w:eastAsia="zh-CN"/>
        </w:rPr>
        <w:t>0634-2140XZ2Z0471</w:t>
      </w:r>
    </w:p>
    <w:p>
      <w:pPr>
        <w:spacing w:before="100" w:beforeAutospacing="1" w:after="204" w:afterLines="50" w:line="400" w:lineRule="exact"/>
        <w:ind w:firstLine="240" w:firstLineChars="100"/>
        <w:rPr>
          <w:rFonts w:ascii="Arial" w:hAnsi="宋体" w:cs="Arial"/>
          <w:sz w:val="24"/>
          <w:szCs w:val="24"/>
        </w:rPr>
      </w:pPr>
      <w:r>
        <w:rPr>
          <w:rFonts w:ascii="Arial" w:hAnsi="宋体" w:cs="Arial"/>
          <w:sz w:val="24"/>
          <w:szCs w:val="24"/>
        </w:rPr>
        <w:t>项目内容：</w:t>
      </w:r>
      <w:r>
        <w:rPr>
          <w:rFonts w:hint="eastAsia" w:ascii="Arial" w:hAnsi="宋体" w:cs="Arial"/>
          <w:sz w:val="24"/>
          <w:szCs w:val="24"/>
          <w:lang w:eastAsia="zh-CN"/>
        </w:rPr>
        <w:t>全区监测系统验证项目</w:t>
      </w:r>
    </w:p>
    <w:p>
      <w:pPr>
        <w:pStyle w:val="23"/>
        <w:numPr>
          <w:ilvl w:val="0"/>
          <w:numId w:val="1"/>
        </w:numPr>
        <w:spacing w:line="400" w:lineRule="exact"/>
        <w:ind w:left="360" w:hanging="360" w:hangingChars="150"/>
        <w:rPr>
          <w:rFonts w:hint="eastAsia" w:ascii="Arial" w:hAnsi="宋体" w:cs="Arial"/>
          <w:color w:val="auto"/>
          <w:sz w:val="24"/>
          <w:szCs w:val="24"/>
        </w:rPr>
      </w:pPr>
      <w:r>
        <w:rPr>
          <w:rFonts w:ascii="Arial" w:hAnsi="宋体" w:cs="Arial"/>
          <w:color w:val="auto"/>
          <w:sz w:val="24"/>
          <w:szCs w:val="24"/>
        </w:rPr>
        <w:t>新疆招标有限公司受</w:t>
      </w:r>
      <w:r>
        <w:rPr>
          <w:rFonts w:hint="eastAsia" w:ascii="Arial" w:hAnsi="宋体" w:cs="Arial"/>
          <w:color w:val="auto"/>
          <w:sz w:val="24"/>
          <w:szCs w:val="24"/>
          <w:lang w:eastAsia="zh-CN"/>
        </w:rPr>
        <w:t>新疆维吾尔自治区工业和信息化厅</w:t>
      </w:r>
      <w:r>
        <w:rPr>
          <w:rFonts w:ascii="Arial" w:hAnsi="宋体" w:cs="Arial"/>
          <w:color w:val="auto"/>
          <w:sz w:val="24"/>
          <w:szCs w:val="24"/>
        </w:rPr>
        <w:t>的委托，对该</w:t>
      </w:r>
      <w:r>
        <w:rPr>
          <w:rFonts w:hint="eastAsia" w:ascii="Arial" w:hAnsi="宋体" w:cs="Arial"/>
          <w:color w:val="auto"/>
          <w:sz w:val="24"/>
          <w:szCs w:val="24"/>
        </w:rPr>
        <w:t>单位</w:t>
      </w:r>
      <w:r>
        <w:rPr>
          <w:rFonts w:hint="eastAsia" w:ascii="Arial" w:hAnsi="宋体" w:cs="Arial"/>
          <w:color w:val="auto"/>
          <w:sz w:val="24"/>
          <w:szCs w:val="24"/>
          <w:lang w:eastAsia="zh-CN"/>
        </w:rPr>
        <w:t>全区监测系统验证项目</w:t>
      </w:r>
      <w:r>
        <w:rPr>
          <w:rFonts w:hint="eastAsia" w:ascii="Arial" w:hAnsi="宋体" w:cs="Arial"/>
          <w:color w:val="auto"/>
          <w:sz w:val="24"/>
          <w:szCs w:val="24"/>
        </w:rPr>
        <w:t>（预算：</w:t>
      </w:r>
      <w:r>
        <w:rPr>
          <w:rFonts w:hint="eastAsia" w:ascii="Arial" w:hAnsi="宋体" w:cs="Arial"/>
          <w:color w:val="auto"/>
          <w:sz w:val="24"/>
          <w:szCs w:val="24"/>
          <w:lang w:eastAsia="zh-CN"/>
        </w:rPr>
        <w:t>284.6万元</w:t>
      </w:r>
      <w:r>
        <w:rPr>
          <w:rFonts w:hint="eastAsia" w:ascii="Arial" w:hAnsi="宋体" w:cs="Arial"/>
          <w:color w:val="auto"/>
          <w:sz w:val="24"/>
          <w:szCs w:val="24"/>
        </w:rPr>
        <w:t>）</w:t>
      </w:r>
      <w:r>
        <w:rPr>
          <w:rFonts w:ascii="Arial" w:hAnsi="宋体" w:cs="Arial"/>
          <w:color w:val="auto"/>
          <w:sz w:val="24"/>
          <w:szCs w:val="24"/>
        </w:rPr>
        <w:t>相关服务组织公开招标。兹邀请合格</w:t>
      </w:r>
      <w:r>
        <w:rPr>
          <w:rFonts w:hint="eastAsia" w:ascii="Arial" w:hAnsi="宋体" w:cs="Arial"/>
          <w:color w:val="auto"/>
          <w:sz w:val="24"/>
          <w:szCs w:val="24"/>
        </w:rPr>
        <w:t>供应商</w:t>
      </w:r>
      <w:r>
        <w:rPr>
          <w:rFonts w:ascii="Arial" w:hAnsi="宋体" w:cs="Arial"/>
          <w:color w:val="auto"/>
          <w:sz w:val="24"/>
          <w:szCs w:val="24"/>
        </w:rPr>
        <w:t>以密封标书的形式前来投标。</w:t>
      </w:r>
    </w:p>
    <w:p>
      <w:pPr>
        <w:pStyle w:val="23"/>
        <w:numPr>
          <w:ilvl w:val="0"/>
          <w:numId w:val="1"/>
        </w:numPr>
        <w:spacing w:line="400" w:lineRule="exact"/>
        <w:ind w:left="357" w:hanging="357" w:hangingChars="150"/>
        <w:rPr>
          <w:rFonts w:hint="eastAsia" w:ascii="Arial" w:hAnsi="宋体" w:cs="Arial"/>
          <w:color w:val="auto"/>
          <w:sz w:val="24"/>
          <w:szCs w:val="24"/>
        </w:rPr>
      </w:pPr>
      <w:r>
        <w:rPr>
          <w:rFonts w:hint="eastAsia" w:hAnsi="宋体" w:cs="宋体"/>
          <w:color w:val="auto"/>
          <w:spacing w:val="-1"/>
          <w:sz w:val="24"/>
          <w:szCs w:val="24"/>
        </w:rPr>
        <w:t>服务地点：甲方指定地点。</w:t>
      </w:r>
    </w:p>
    <w:p>
      <w:pPr>
        <w:pStyle w:val="24"/>
        <w:spacing w:before="204" w:beforeLines="50" w:line="280" w:lineRule="exact"/>
        <w:ind w:firstLine="0" w:firstLineChars="0"/>
        <w:rPr>
          <w:rFonts w:hint="eastAsia" w:ascii="Arial" w:hAnsi="Arial" w:cs="Arial"/>
          <w:sz w:val="24"/>
        </w:rPr>
      </w:pPr>
      <w:r>
        <w:rPr>
          <w:rFonts w:hint="eastAsia" w:ascii="Arial" w:hAnsi="Arial" w:cs="Arial"/>
          <w:sz w:val="24"/>
        </w:rPr>
        <w:t>3、供应商的资格要求：</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1）具有独立承担民事责任的能力；</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2）具有良好的商业信誉和健全的财务会计制度，提供2020年度经外部审计的财务审计报告或财务报表的复印件加盖公章（公司成立不到一年的从成立之日起）；</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3）具有履行合同所必需的服务和专业技术能力；</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4）有依法缴纳税收和社会保障资金的良好纪录，提供近一年内任意连续三个月缴纳社保证明原件或复印件加盖公章（公司成立不到三个月的从成立之日起）；</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5）“信用中国”网站（http://www.creditchina.gov.cn/）、“中国政府采购网”网站（http://www.ccgp.gov.cn/）无违法违规行为的；</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6）符合国家有关法律法规的规定；</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keepNext w:val="0"/>
        <w:keepLines w:val="0"/>
        <w:pageBreakBefore w:val="0"/>
        <w:widowControl w:val="0"/>
        <w:kinsoku/>
        <w:wordWrap/>
        <w:overflowPunct/>
        <w:topLinePunct w:val="0"/>
        <w:autoSpaceDE/>
        <w:autoSpaceDN/>
        <w:bidi w:val="0"/>
        <w:adjustRightInd/>
        <w:snapToGrid/>
        <w:spacing w:before="206" w:beforeLines="50" w:line="320" w:lineRule="exact"/>
        <w:ind w:left="360" w:leftChars="0" w:right="0" w:rightChars="0" w:hanging="360" w:hangingChars="150"/>
        <w:jc w:val="both"/>
        <w:textAlignment w:val="auto"/>
        <w:outlineLvl w:val="9"/>
        <w:rPr>
          <w:rFonts w:hint="eastAsia" w:ascii="Arial" w:hAnsi="Arial" w:cs="Arial"/>
          <w:sz w:val="24"/>
        </w:rPr>
      </w:pPr>
      <w:r>
        <w:rPr>
          <w:rFonts w:hint="eastAsia" w:ascii="Arial" w:hAnsi="Arial" w:cs="Arial"/>
          <w:sz w:val="24"/>
        </w:rPr>
        <w:t>8）不接受联合体。</w:t>
      </w:r>
    </w:p>
    <w:p>
      <w:pPr>
        <w:spacing w:line="400" w:lineRule="exact"/>
        <w:rPr>
          <w:rFonts w:ascii="Arial" w:hAnsi="Arial" w:cs="Arial"/>
          <w:sz w:val="24"/>
        </w:rPr>
      </w:pPr>
      <w:r>
        <w:rPr>
          <w:rFonts w:ascii="Arial" w:hAnsi="Arial" w:cs="Arial"/>
          <w:sz w:val="24"/>
        </w:rPr>
        <w:t>4、获取招标文件的时间期限、方式：供应商可从</w:t>
      </w:r>
      <w:r>
        <w:rPr>
          <w:rFonts w:ascii="Arial" w:hAnsi="Arial" w:cs="Arial"/>
          <w:sz w:val="24"/>
          <w:highlight w:val="none"/>
        </w:rPr>
        <w:t>2021年</w:t>
      </w:r>
      <w:r>
        <w:rPr>
          <w:rFonts w:ascii="Arial" w:hAnsi="Arial" w:cs="Arial"/>
          <w:sz w:val="24"/>
          <w:highlight w:val="none"/>
          <w:u w:val="single"/>
        </w:rPr>
        <w:t xml:space="preserve"> </w:t>
      </w:r>
      <w:r>
        <w:rPr>
          <w:rFonts w:hint="eastAsia" w:ascii="Arial" w:hAnsi="Arial" w:cs="Arial"/>
          <w:sz w:val="24"/>
          <w:highlight w:val="none"/>
          <w:u w:val="single"/>
          <w:lang w:val="en-US" w:eastAsia="zh-CN"/>
        </w:rPr>
        <w:t>10</w:t>
      </w:r>
      <w:r>
        <w:rPr>
          <w:rFonts w:ascii="Arial" w:hAnsi="Arial" w:cs="Arial"/>
          <w:sz w:val="24"/>
          <w:highlight w:val="none"/>
          <w:u w:val="single"/>
        </w:rPr>
        <w:t xml:space="preserve"> </w:t>
      </w:r>
      <w:r>
        <w:rPr>
          <w:rFonts w:ascii="Arial" w:hAnsi="Arial" w:cs="Arial"/>
          <w:sz w:val="24"/>
          <w:highlight w:val="none"/>
        </w:rPr>
        <w:t>月</w:t>
      </w:r>
      <w:r>
        <w:rPr>
          <w:rFonts w:ascii="Arial" w:hAnsi="Arial" w:cs="Arial"/>
          <w:sz w:val="24"/>
          <w:highlight w:val="none"/>
          <w:u w:val="single"/>
        </w:rPr>
        <w:t xml:space="preserve"> </w:t>
      </w:r>
      <w:r>
        <w:rPr>
          <w:rFonts w:hint="eastAsia" w:ascii="Arial" w:hAnsi="Arial" w:cs="Arial"/>
          <w:sz w:val="24"/>
          <w:highlight w:val="none"/>
          <w:u w:val="single"/>
          <w:lang w:val="en-US" w:eastAsia="zh-CN"/>
        </w:rPr>
        <w:t>19</w:t>
      </w:r>
      <w:r>
        <w:rPr>
          <w:rFonts w:ascii="Arial" w:hAnsi="Arial" w:cs="Arial"/>
          <w:sz w:val="24"/>
          <w:highlight w:val="none"/>
          <w:u w:val="single"/>
        </w:rPr>
        <w:t xml:space="preserve"> </w:t>
      </w:r>
      <w:r>
        <w:rPr>
          <w:rFonts w:ascii="Arial" w:hAnsi="Arial" w:cs="Arial"/>
          <w:sz w:val="24"/>
          <w:highlight w:val="none"/>
        </w:rPr>
        <w:t>日至2021年</w:t>
      </w:r>
      <w:r>
        <w:rPr>
          <w:rFonts w:ascii="Arial" w:hAnsi="Arial" w:cs="Arial"/>
          <w:sz w:val="24"/>
          <w:highlight w:val="none"/>
          <w:u w:val="single"/>
        </w:rPr>
        <w:t xml:space="preserve"> </w:t>
      </w:r>
      <w:r>
        <w:rPr>
          <w:rFonts w:hint="eastAsia" w:ascii="Arial" w:hAnsi="Arial" w:cs="Arial"/>
          <w:sz w:val="24"/>
          <w:highlight w:val="none"/>
          <w:u w:val="single"/>
          <w:lang w:val="en-US" w:eastAsia="zh-CN"/>
        </w:rPr>
        <w:t>10</w:t>
      </w:r>
      <w:r>
        <w:rPr>
          <w:rFonts w:ascii="Arial" w:hAnsi="Arial" w:cs="Arial"/>
          <w:sz w:val="24"/>
          <w:highlight w:val="none"/>
        </w:rPr>
        <w:t>月</w:t>
      </w:r>
      <w:r>
        <w:rPr>
          <w:rFonts w:hint="eastAsia" w:ascii="Arial" w:hAnsi="Arial" w:cs="Arial"/>
          <w:sz w:val="24"/>
          <w:highlight w:val="none"/>
          <w:u w:val="single"/>
          <w:lang w:val="en-US" w:eastAsia="zh-CN"/>
        </w:rPr>
        <w:t>26</w:t>
      </w:r>
      <w:r>
        <w:rPr>
          <w:rFonts w:ascii="Arial" w:hAnsi="Arial" w:cs="Arial"/>
          <w:sz w:val="24"/>
          <w:highlight w:val="none"/>
          <w:u w:val="single"/>
        </w:rPr>
        <w:t xml:space="preserve"> </w:t>
      </w:r>
      <w:r>
        <w:rPr>
          <w:rFonts w:ascii="Arial" w:hAnsi="Arial" w:cs="Arial"/>
          <w:sz w:val="24"/>
          <w:highlight w:val="none"/>
        </w:rPr>
        <w:t>日</w:t>
      </w:r>
      <w:r>
        <w:rPr>
          <w:rFonts w:ascii="Arial" w:hAnsi="Arial" w:cs="Arial"/>
          <w:sz w:val="24"/>
        </w:rPr>
        <w:t>每天上午10:00至14:00，下午16:00至19:00（北京时间）在《中招联合招标采购平台》（</w:t>
      </w:r>
      <w:r>
        <w:fldChar w:fldCharType="begin"/>
      </w:r>
      <w:r>
        <w:instrText xml:space="preserve"> HYPERLINK "http://www.365trade.com.cn/" </w:instrText>
      </w:r>
      <w:r>
        <w:fldChar w:fldCharType="separate"/>
      </w:r>
      <w:r>
        <w:rPr>
          <w:rFonts w:ascii="Arial" w:hAnsi="Arial" w:cs="Arial"/>
          <w:sz w:val="24"/>
        </w:rPr>
        <w:t>http://www.365trade.com.cn</w:t>
      </w:r>
      <w:r>
        <w:rPr>
          <w:rFonts w:ascii="Arial" w:hAnsi="Arial" w:cs="Arial"/>
          <w:sz w:val="24"/>
        </w:rPr>
        <w:fldChar w:fldCharType="end"/>
      </w:r>
      <w:r>
        <w:rPr>
          <w:rFonts w:ascii="Arial" w:hAnsi="Arial" w:cs="Arial"/>
          <w:sz w:val="24"/>
        </w:rPr>
        <w:t>）</w:t>
      </w:r>
      <w:r>
        <w:rPr>
          <w:rFonts w:ascii="Arial" w:hAnsi="Arial" w:cs="Arial"/>
          <w:sz w:val="24"/>
          <w:szCs w:val="24"/>
        </w:rPr>
        <w:t>购买并下载电子版招标文件，过期不予受理，法定节假日除外。届时，须上传营业执照副本原件、法人代表授权书原件、被授权人身份证原件</w:t>
      </w:r>
      <w:r>
        <w:rPr>
          <w:rFonts w:ascii="Arial" w:hAnsi="Arial" w:cs="Arial"/>
          <w:sz w:val="24"/>
        </w:rPr>
        <w:t>。</w:t>
      </w:r>
    </w:p>
    <w:p>
      <w:pPr>
        <w:spacing w:line="400" w:lineRule="exact"/>
        <w:rPr>
          <w:rFonts w:ascii="Arial" w:hAnsi="Arial" w:cs="Arial"/>
          <w:sz w:val="24"/>
        </w:rPr>
      </w:pPr>
      <w:r>
        <w:rPr>
          <w:rFonts w:ascii="Arial" w:hAnsi="Arial" w:cs="Arial"/>
          <w:sz w:val="24"/>
        </w:rPr>
        <w:t>5、公告期限：</w:t>
      </w:r>
      <w:r>
        <w:rPr>
          <w:rFonts w:ascii="Arial" w:hAnsi="Arial" w:cs="Arial"/>
          <w:sz w:val="24"/>
          <w:szCs w:val="24"/>
        </w:rPr>
        <w:t>自发布之日起5个工作日。</w:t>
      </w:r>
    </w:p>
    <w:p>
      <w:pPr>
        <w:pStyle w:val="24"/>
        <w:spacing w:before="204" w:beforeLines="50" w:line="400" w:lineRule="exact"/>
        <w:ind w:firstLine="0" w:firstLineChars="0"/>
        <w:rPr>
          <w:rFonts w:ascii="Arial" w:hAnsi="Arial" w:cs="Arial"/>
          <w:sz w:val="24"/>
          <w:szCs w:val="24"/>
        </w:rPr>
      </w:pPr>
      <w:r>
        <w:rPr>
          <w:rFonts w:hint="eastAsia" w:ascii="Arial" w:hAnsi="Arial" w:cs="Arial"/>
          <w:sz w:val="24"/>
          <w:szCs w:val="24"/>
        </w:rPr>
        <w:t>6、</w:t>
      </w:r>
      <w:r>
        <w:rPr>
          <w:rFonts w:ascii="Arial" w:hAnsi="Arial" w:cs="Arial"/>
          <w:sz w:val="24"/>
          <w:szCs w:val="24"/>
        </w:rPr>
        <w:t>投标截止时间</w:t>
      </w:r>
      <w:r>
        <w:rPr>
          <w:rFonts w:hint="eastAsia" w:ascii="Arial" w:hAnsi="Arial" w:cs="Arial"/>
          <w:sz w:val="24"/>
          <w:szCs w:val="24"/>
        </w:rPr>
        <w:t>、</w:t>
      </w:r>
      <w:r>
        <w:rPr>
          <w:rFonts w:ascii="Arial" w:hAnsi="Arial" w:cs="Arial"/>
          <w:sz w:val="24"/>
          <w:szCs w:val="24"/>
        </w:rPr>
        <w:t>开标时间：20</w:t>
      </w:r>
      <w:r>
        <w:rPr>
          <w:rFonts w:hint="eastAsia" w:ascii="Arial" w:hAnsi="Arial" w:cs="Arial"/>
          <w:sz w:val="24"/>
          <w:szCs w:val="24"/>
        </w:rPr>
        <w:t>21</w:t>
      </w:r>
      <w:r>
        <w:rPr>
          <w:rFonts w:ascii="Arial" w:hAnsi="Arial" w:cs="Arial"/>
          <w:sz w:val="24"/>
          <w:szCs w:val="24"/>
        </w:rPr>
        <w:t>年</w:t>
      </w:r>
      <w:r>
        <w:rPr>
          <w:rFonts w:hint="eastAsia" w:ascii="Arial" w:hAnsi="Arial" w:cs="Arial"/>
          <w:sz w:val="24"/>
          <w:szCs w:val="24"/>
          <w:lang w:val="en-US" w:eastAsia="zh-CN"/>
        </w:rPr>
        <w:t>11</w:t>
      </w:r>
      <w:r>
        <w:rPr>
          <w:rFonts w:ascii="Arial" w:hAnsi="Arial" w:cs="Arial"/>
          <w:sz w:val="24"/>
          <w:szCs w:val="24"/>
        </w:rPr>
        <w:t>月</w:t>
      </w:r>
      <w:r>
        <w:rPr>
          <w:rFonts w:hint="eastAsia" w:ascii="Arial" w:hAnsi="Arial" w:cs="Arial"/>
          <w:sz w:val="24"/>
          <w:szCs w:val="24"/>
          <w:lang w:val="en-US" w:eastAsia="zh-CN"/>
        </w:rPr>
        <w:t>09</w:t>
      </w:r>
      <w:r>
        <w:rPr>
          <w:rFonts w:ascii="Arial" w:hAnsi="Arial" w:cs="Arial"/>
          <w:sz w:val="24"/>
          <w:szCs w:val="24"/>
        </w:rPr>
        <w:t>日</w:t>
      </w:r>
      <w:r>
        <w:rPr>
          <w:rFonts w:hint="eastAsia" w:ascii="Arial" w:hAnsi="Arial" w:cs="Arial"/>
          <w:sz w:val="24"/>
          <w:szCs w:val="24"/>
        </w:rPr>
        <w:t>16</w:t>
      </w:r>
      <w:r>
        <w:rPr>
          <w:rFonts w:ascii="Arial" w:hAnsi="Arial" w:cs="Arial"/>
          <w:sz w:val="24"/>
          <w:szCs w:val="24"/>
        </w:rPr>
        <w:t>:</w:t>
      </w:r>
      <w:r>
        <w:rPr>
          <w:rFonts w:hint="eastAsia" w:ascii="Arial" w:hAnsi="Arial" w:cs="Arial"/>
          <w:sz w:val="24"/>
          <w:szCs w:val="24"/>
        </w:rPr>
        <w:t>0</w:t>
      </w:r>
      <w:r>
        <w:rPr>
          <w:rFonts w:ascii="Arial" w:hAnsi="Arial" w:cs="Arial"/>
          <w:sz w:val="24"/>
          <w:szCs w:val="24"/>
        </w:rPr>
        <w:t>0时（北京时间）。</w:t>
      </w:r>
    </w:p>
    <w:p>
      <w:pPr>
        <w:pStyle w:val="24"/>
        <w:spacing w:before="204" w:beforeLines="50" w:line="400" w:lineRule="exact"/>
        <w:ind w:firstLine="0" w:firstLineChars="0"/>
        <w:rPr>
          <w:rFonts w:hint="eastAsia" w:ascii="Arial" w:hAnsi="Arial" w:cs="Arial"/>
          <w:sz w:val="24"/>
          <w:szCs w:val="24"/>
        </w:rPr>
      </w:pPr>
      <w:r>
        <w:rPr>
          <w:rFonts w:hint="eastAsia" w:ascii="Arial" w:hAnsi="Arial" w:cs="Arial"/>
          <w:sz w:val="24"/>
          <w:szCs w:val="24"/>
        </w:rPr>
        <w:t>7、</w:t>
      </w:r>
      <w:r>
        <w:rPr>
          <w:rFonts w:ascii="Arial" w:hAnsi="Arial" w:cs="Arial"/>
          <w:sz w:val="24"/>
          <w:szCs w:val="24"/>
        </w:rPr>
        <w:t>开标地点：</w:t>
      </w:r>
      <w:r>
        <w:rPr>
          <w:rFonts w:hint="eastAsia" w:ascii="宋体" w:hAnsi="宋体" w:cs="宋体"/>
          <w:sz w:val="24"/>
          <w:szCs w:val="24"/>
        </w:rPr>
        <w:t>新疆招标有限公司8</w:t>
      </w:r>
      <w:r>
        <w:rPr>
          <w:rFonts w:ascii="宋体" w:hAnsi="宋体" w:cs="宋体"/>
          <w:sz w:val="24"/>
          <w:szCs w:val="24"/>
        </w:rPr>
        <w:t>楼</w:t>
      </w:r>
      <w:r>
        <w:rPr>
          <w:rFonts w:hint="eastAsia" w:ascii="宋体" w:hAnsi="宋体" w:cs="宋体"/>
          <w:sz w:val="24"/>
          <w:szCs w:val="24"/>
        </w:rPr>
        <w:t>小会议室</w:t>
      </w:r>
    </w:p>
    <w:p>
      <w:pPr>
        <w:spacing w:line="400" w:lineRule="exact"/>
        <w:rPr>
          <w:rFonts w:ascii="Arial" w:hAnsi="Arial" w:cs="Arial"/>
          <w:sz w:val="24"/>
          <w:szCs w:val="24"/>
        </w:rPr>
      </w:pPr>
      <w:r>
        <w:rPr>
          <w:rFonts w:ascii="Arial" w:hAnsi="Arial" w:cs="Arial"/>
          <w:sz w:val="24"/>
          <w:szCs w:val="24"/>
        </w:rPr>
        <w:t xml:space="preserve">地址：乌鲁木齐市友好南路179号自治区工信厅13楼 </w:t>
      </w:r>
    </w:p>
    <w:p>
      <w:pPr>
        <w:spacing w:line="400" w:lineRule="exact"/>
        <w:rPr>
          <w:rFonts w:ascii="Arial" w:hAnsi="Arial" w:cs="Arial"/>
          <w:sz w:val="24"/>
        </w:rPr>
      </w:pPr>
      <w: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55880</wp:posOffset>
                </wp:positionV>
                <wp:extent cx="61722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18pt;margin-top:4.4pt;height:0pt;width:486pt;z-index:251658240;mso-width-relative:page;mso-height-relative:page;" filled="f" stroked="t" coordsize="21600,21600" o:gfxdata="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an7V0wAAAAcBAAAPAAAAAAAAAAEAIAAAACIAAABkcnMvZG93&#10;bnJldi54bWxQSwECFAAUAAAACACHTuJAUgaNa8wBAABrAwAADgAAAAAAAAABACAAAAAiAQAAZHJz&#10;L2Uyb0RvYy54bWxQSwUGAAAAAAYABgBZAQAAYAUAAAAA&#10;">
                <v:fill on="f" focussize="0,0"/>
                <v:stroke weight="1.5pt" color="#000000" joinstyle="round"/>
                <v:imagedata o:title=""/>
                <o:lock v:ext="edit" aspectratio="f"/>
              </v:line>
            </w:pict>
          </mc:Fallback>
        </mc:AlternateContent>
      </w:r>
    </w:p>
    <w:p>
      <w:pPr>
        <w:widowControl/>
        <w:shd w:val="clear" w:color="auto" w:fill="FFFFFF"/>
        <w:spacing w:line="400" w:lineRule="exact"/>
        <w:jc w:val="left"/>
        <w:rPr>
          <w:rFonts w:ascii="_5b8b_4f53" w:hAnsi="_5b8b_4f53" w:cs="宋体"/>
          <w:kern w:val="0"/>
          <w:sz w:val="24"/>
        </w:rPr>
      </w:pPr>
      <w:r>
        <w:rPr>
          <w:rFonts w:ascii="_5b8b_4f53" w:hAnsi="_5b8b_4f53" w:cs="宋体"/>
          <w:kern w:val="0"/>
          <w:sz w:val="24"/>
        </w:rPr>
        <w:t>采购人名称：</w:t>
      </w:r>
      <w:r>
        <w:rPr>
          <w:rFonts w:hint="eastAsia" w:ascii="_5b8b_4f53" w:hAnsi="_5b8b_4f53" w:cs="宋体"/>
          <w:kern w:val="0"/>
          <w:sz w:val="24"/>
          <w:lang w:eastAsia="zh-CN"/>
        </w:rPr>
        <w:t>新疆维吾尔自治区工业和信息化厅</w:t>
      </w:r>
    </w:p>
    <w:p>
      <w:pPr>
        <w:widowControl/>
        <w:shd w:val="clear" w:color="auto" w:fill="FFFFFF"/>
        <w:spacing w:line="400" w:lineRule="exact"/>
        <w:jc w:val="left"/>
        <w:rPr>
          <w:rFonts w:ascii="_5b8b_4f53" w:hAnsi="_5b8b_4f53" w:cs="宋体"/>
          <w:kern w:val="0"/>
          <w:sz w:val="24"/>
        </w:rPr>
      </w:pPr>
      <w:r>
        <w:rPr>
          <w:rFonts w:ascii="_5b8b_4f53" w:hAnsi="_5b8b_4f53" w:cs="宋体"/>
          <w:kern w:val="0"/>
          <w:sz w:val="24"/>
        </w:rPr>
        <w:t>地址：</w:t>
      </w:r>
      <w:r>
        <w:rPr>
          <w:rFonts w:ascii="Arial" w:hAnsi="Arial" w:cs="Arial"/>
          <w:sz w:val="24"/>
          <w:szCs w:val="24"/>
        </w:rPr>
        <w:t>乌鲁木齐友好南路179号</w:t>
      </w:r>
    </w:p>
    <w:p>
      <w:pPr>
        <w:widowControl/>
        <w:shd w:val="clear" w:color="auto" w:fill="FFFFFF"/>
        <w:spacing w:line="400" w:lineRule="exact"/>
        <w:jc w:val="left"/>
        <w:rPr>
          <w:rFonts w:ascii="_5b8b_4f53" w:hAnsi="_5b8b_4f53" w:cs="宋体"/>
          <w:kern w:val="0"/>
          <w:sz w:val="24"/>
        </w:rPr>
      </w:pPr>
      <w:r>
        <w:rPr>
          <w:rFonts w:ascii="_5b8b_4f53" w:hAnsi="_5b8b_4f53" w:cs="宋体"/>
          <w:kern w:val="0"/>
          <w:sz w:val="24"/>
        </w:rPr>
        <w:t>联系人：马洁</w:t>
      </w:r>
    </w:p>
    <w:p>
      <w:pPr>
        <w:spacing w:line="400" w:lineRule="exact"/>
        <w:rPr>
          <w:rFonts w:hint="default" w:ascii="Arial" w:hAnsi="Arial" w:cs="Arial"/>
          <w:sz w:val="24"/>
          <w:szCs w:val="24"/>
        </w:rPr>
      </w:pPr>
      <w:r>
        <w:rPr>
          <w:rFonts w:ascii="_5b8b_4f53" w:hAnsi="_5b8b_4f53" w:cs="宋体"/>
          <w:kern w:val="0"/>
          <w:sz w:val="24"/>
        </w:rPr>
        <w:t>联系电话：</w:t>
      </w:r>
      <w:r>
        <w:rPr>
          <w:rFonts w:hint="eastAsia" w:ascii="_5b8b_4f53" w:hAnsi="_5b8b_4f53" w:cs="宋体"/>
          <w:kern w:val="0"/>
          <w:sz w:val="24"/>
          <w:lang w:eastAsia="zh-CN"/>
        </w:rPr>
        <w:t>0991-4680388</w:t>
      </w:r>
    </w:p>
    <w:p>
      <w:pPr>
        <w:spacing w:line="400" w:lineRule="exact"/>
        <w:rPr>
          <w:rFonts w:ascii="Arial" w:hAnsi="Arial" w:cs="Arial"/>
          <w:sz w:val="24"/>
          <w:u w:val="single"/>
        </w:rPr>
      </w:pPr>
      <w:r>
        <w:rPr>
          <w:rFonts w:ascii="Arial" w:hAnsi="宋体" w:cs="Arial"/>
          <w:sz w:val="24"/>
        </w:rPr>
        <w:t>采购代理机构名称：</w:t>
      </w:r>
      <w:r>
        <w:rPr>
          <w:rFonts w:ascii="Arial" w:hAnsi="宋体" w:cs="Arial"/>
          <w:sz w:val="24"/>
          <w:u w:val="single"/>
        </w:rPr>
        <w:t>新疆招标有限公司</w:t>
      </w:r>
    </w:p>
    <w:p>
      <w:pPr>
        <w:spacing w:line="400" w:lineRule="exact"/>
        <w:rPr>
          <w:rFonts w:ascii="Arial" w:hAnsi="Arial" w:cs="Arial"/>
          <w:sz w:val="24"/>
          <w:u w:val="single"/>
        </w:rPr>
      </w:pPr>
      <w:r>
        <w:rPr>
          <w:rFonts w:ascii="Arial" w:hAnsi="宋体" w:cs="Arial"/>
          <w:sz w:val="24"/>
        </w:rPr>
        <w:t>详细地址：新疆</w:t>
      </w:r>
      <w:r>
        <w:rPr>
          <w:rFonts w:ascii="Arial" w:hAnsi="Arial" w:cs="Arial"/>
          <w:sz w:val="24"/>
        </w:rPr>
        <w:t>.</w:t>
      </w:r>
      <w:r>
        <w:rPr>
          <w:rFonts w:ascii="Arial" w:hAnsi="宋体" w:cs="Arial"/>
          <w:sz w:val="24"/>
        </w:rPr>
        <w:t>乌鲁木齐市友好南路</w:t>
      </w:r>
      <w:r>
        <w:rPr>
          <w:rFonts w:ascii="Arial" w:hAnsi="Arial" w:cs="Arial"/>
          <w:sz w:val="24"/>
        </w:rPr>
        <w:t>179</w:t>
      </w:r>
      <w:r>
        <w:rPr>
          <w:rFonts w:ascii="Arial" w:hAnsi="宋体" w:cs="Arial"/>
          <w:sz w:val="24"/>
        </w:rPr>
        <w:t>号十三楼</w:t>
      </w:r>
    </w:p>
    <w:p>
      <w:pPr>
        <w:spacing w:line="400" w:lineRule="exact"/>
        <w:rPr>
          <w:rFonts w:ascii="Arial" w:hAnsi="Arial" w:cs="Arial"/>
          <w:sz w:val="24"/>
        </w:rPr>
      </w:pPr>
      <w:r>
        <w:rPr>
          <w:rFonts w:ascii="Arial" w:hAnsi="宋体" w:cs="Arial"/>
          <w:sz w:val="24"/>
        </w:rPr>
        <w:t>电子信箱：</w:t>
      </w:r>
      <w:r>
        <w:rPr>
          <w:rFonts w:ascii="Arial" w:hAnsi="Arial" w:cs="Arial"/>
          <w:sz w:val="24"/>
          <w:u w:val="single"/>
        </w:rPr>
        <w:t>654679780@qq.com</w:t>
      </w:r>
    </w:p>
    <w:p>
      <w:pPr>
        <w:spacing w:line="400" w:lineRule="exact"/>
        <w:rPr>
          <w:rFonts w:ascii="Arial" w:hAnsi="Arial"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人：张晓峰</w:t>
      </w:r>
    </w:p>
    <w:p>
      <w:pPr>
        <w:spacing w:line="400" w:lineRule="exact"/>
        <w:rPr>
          <w:rFonts w:hint="default" w:ascii="Arial" w:hAnsi="Arial" w:cs="Arial"/>
          <w:sz w:val="24"/>
          <w:u w:val="single"/>
        </w:rPr>
      </w:pPr>
      <w:r>
        <w:rPr>
          <w:rFonts w:ascii="Arial" w:hAnsi="宋体" w:cs="Arial"/>
          <w:sz w:val="24"/>
        </w:rPr>
        <w:t>电话：</w:t>
      </w:r>
      <w:r>
        <w:rPr>
          <w:rFonts w:ascii="Arial" w:hAnsi="Arial" w:cs="Arial"/>
          <w:sz w:val="24"/>
          <w:u w:val="single"/>
        </w:rPr>
        <w:t>0991-4523229</w:t>
      </w:r>
    </w:p>
    <w:p>
      <w:pPr>
        <w:spacing w:line="400" w:lineRule="exact"/>
        <w:rPr>
          <w:rFonts w:hint="default" w:ascii="Arial" w:hAnsi="Arial" w:cs="Arial"/>
          <w:sz w:val="24"/>
        </w:rPr>
      </w:pPr>
      <w:r>
        <w:rPr>
          <w:rFonts w:ascii="Arial" w:hAnsi="宋体" w:cs="Arial"/>
          <w:sz w:val="24"/>
        </w:rPr>
        <w:t>传真：</w:t>
      </w:r>
      <w:r>
        <w:rPr>
          <w:rFonts w:ascii="Arial" w:hAnsi="Arial" w:cs="Arial"/>
          <w:sz w:val="24"/>
          <w:u w:val="single"/>
        </w:rPr>
        <w:t>0991-4523229</w:t>
      </w:r>
    </w:p>
    <w:p>
      <w:pPr>
        <w:spacing w:line="400" w:lineRule="exact"/>
        <w:rPr>
          <w:rFonts w:ascii="Arial" w:hAnsi="Arial" w:cs="Arial"/>
          <w:sz w:val="24"/>
        </w:rPr>
      </w:pPr>
      <w:r>
        <w:rPr>
          <w:rFonts w:ascii="Arial" w:hAnsi="宋体" w:cs="Arial"/>
          <w:sz w:val="24"/>
        </w:rPr>
        <w:t>账户名称：</w:t>
      </w:r>
      <w:r>
        <w:rPr>
          <w:rFonts w:ascii="Arial" w:hAnsi="宋体" w:cs="Arial"/>
          <w:sz w:val="24"/>
          <w:u w:val="single"/>
        </w:rPr>
        <w:t>新疆招标有限公司</w:t>
      </w:r>
    </w:p>
    <w:p>
      <w:pPr>
        <w:spacing w:line="400" w:lineRule="exact"/>
        <w:rPr>
          <w:rFonts w:ascii="Arial" w:hAnsi="宋体" w:cs="Arial"/>
          <w:sz w:val="24"/>
          <w:u w:val="single"/>
        </w:rPr>
      </w:pPr>
      <w:r>
        <w:rPr>
          <w:rFonts w:ascii="Arial" w:hAnsi="宋体" w:cs="Arial"/>
          <w:sz w:val="24"/>
        </w:rPr>
        <w:t>人民币账号：</w:t>
      </w:r>
      <w:r>
        <w:rPr>
          <w:rFonts w:ascii="Arial" w:hAnsi="Arial" w:cs="Arial"/>
          <w:sz w:val="24"/>
          <w:u w:val="single"/>
        </w:rPr>
        <w:t>3002013709022305571</w:t>
      </w:r>
      <w:r>
        <w:rPr>
          <w:rFonts w:ascii="Arial" w:hAnsi="宋体" w:cs="Arial"/>
          <w:sz w:val="24"/>
          <w:u w:val="single"/>
        </w:rPr>
        <w:t>（电汇时请在汇款备注栏注明招标编号-及纳税人税号）</w:t>
      </w:r>
    </w:p>
    <w:p>
      <w:pPr>
        <w:spacing w:line="400" w:lineRule="exact"/>
        <w:rPr>
          <w:rFonts w:ascii="Arial" w:hAnsi="宋体" w:cs="Arial"/>
          <w:sz w:val="24"/>
          <w:u w:val="single"/>
        </w:rPr>
      </w:pPr>
      <w:r>
        <w:rPr>
          <w:rFonts w:ascii="Arial" w:hAnsi="宋体" w:cs="Arial"/>
          <w:sz w:val="24"/>
        </w:rPr>
        <w:t>开户银行：</w:t>
      </w:r>
      <w:r>
        <w:rPr>
          <w:rFonts w:ascii="Arial" w:hAnsi="宋体" w:cs="Arial"/>
          <w:sz w:val="24"/>
          <w:u w:val="single"/>
        </w:rPr>
        <w:t>乌鲁木齐工行友好南路支行</w:t>
      </w:r>
    </w:p>
    <w:p>
      <w:pPr>
        <w:pStyle w:val="3"/>
        <w:numPr>
          <w:ilvl w:val="0"/>
          <w:numId w:val="2"/>
        </w:numPr>
        <w:rPr>
          <w:lang w:val="en-GB"/>
        </w:rPr>
      </w:pPr>
      <w:r>
        <w:rPr>
          <w:rFonts w:ascii="仿宋" w:eastAsia="仿宋"/>
        </w:rPr>
        <w:br w:type="page"/>
      </w:r>
      <w:bookmarkStart w:id="1" w:name="_Toc409627349"/>
      <w:r>
        <w:rPr>
          <w:rFonts w:ascii="宋体" w:hAnsi="宋体" w:eastAsia="宋体" w:cs="宋体"/>
        </w:rPr>
        <w:t xml:space="preserve"> 供应商须知</w:t>
      </w:r>
      <w:bookmarkEnd w:id="1"/>
    </w:p>
    <w:p>
      <w:pPr>
        <w:jc w:val="center"/>
        <w:rPr>
          <w:lang w:val="en-GB"/>
        </w:rPr>
      </w:pPr>
      <w:r>
        <w:rPr>
          <w:rFonts w:ascii="宋体" w:hAnsi="宋体" w:cs="宋体"/>
        </w:rPr>
        <w:t>供应商须知附表</w:t>
      </w:r>
    </w:p>
    <w:tbl>
      <w:tblPr>
        <w:tblStyle w:val="22"/>
        <w:tblW w:w="9780" w:type="dxa"/>
        <w:jc w:val="center"/>
        <w:tblInd w:w="0" w:type="dxa"/>
        <w:tblLayout w:type="fixed"/>
        <w:tblCellMar>
          <w:top w:w="0" w:type="dxa"/>
          <w:left w:w="108" w:type="dxa"/>
          <w:bottom w:w="0" w:type="dxa"/>
          <w:right w:w="108" w:type="dxa"/>
        </w:tblCellMar>
      </w:tblPr>
      <w:tblGrid>
        <w:gridCol w:w="549"/>
        <w:gridCol w:w="1905"/>
        <w:gridCol w:w="135"/>
        <w:gridCol w:w="7191"/>
      </w:tblGrid>
      <w:tr>
        <w:tblPrEx>
          <w:tblLayout w:type="fixed"/>
          <w:tblCellMar>
            <w:top w:w="0" w:type="dxa"/>
            <w:left w:w="108" w:type="dxa"/>
            <w:bottom w:w="0" w:type="dxa"/>
            <w:right w:w="108" w:type="dxa"/>
          </w:tblCellMar>
        </w:tblPrEx>
        <w:trPr>
          <w:trHeight w:val="618"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宋体" w:hAnsi="宋体" w:cs="宋体"/>
                <w:sz w:val="24"/>
                <w:szCs w:val="24"/>
                <w:lang w:val="zh-CN"/>
              </w:rPr>
            </w:pPr>
            <w:r>
              <w:rPr>
                <w:rFonts w:ascii="宋体" w:hAnsi="宋体" w:cs="宋体"/>
                <w:sz w:val="24"/>
                <w:szCs w:val="24"/>
                <w:lang w:val="zh-CN"/>
              </w:rPr>
              <w:t>序号</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宋体" w:hAnsi="宋体" w:cs="宋体"/>
                <w:sz w:val="24"/>
                <w:szCs w:val="24"/>
                <w:lang w:val="zh-CN"/>
              </w:rPr>
            </w:pPr>
            <w:r>
              <w:rPr>
                <w:rFonts w:ascii="宋体" w:hAnsi="宋体" w:cs="宋体"/>
                <w:sz w:val="24"/>
                <w:szCs w:val="24"/>
                <w:lang w:val="zh-CN"/>
              </w:rPr>
              <w:t>条款名称</w:t>
            </w:r>
          </w:p>
        </w:tc>
        <w:tc>
          <w:tcPr>
            <w:tcW w:w="7191"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宋体" w:hAnsi="宋体" w:cs="宋体"/>
                <w:sz w:val="24"/>
                <w:szCs w:val="24"/>
                <w:lang w:val="zh-CN"/>
              </w:rPr>
            </w:pPr>
            <w:r>
              <w:rPr>
                <w:rFonts w:ascii="宋体" w:hAnsi="宋体" w:cs="宋体"/>
                <w:sz w:val="24"/>
                <w:szCs w:val="24"/>
                <w:lang w:val="zh-CN"/>
              </w:rPr>
              <w:t>内容及要求</w:t>
            </w:r>
          </w:p>
        </w:tc>
      </w:tr>
      <w:tr>
        <w:tblPrEx>
          <w:tblLayout w:type="fixed"/>
          <w:tblCellMar>
            <w:top w:w="0" w:type="dxa"/>
            <w:left w:w="108" w:type="dxa"/>
            <w:bottom w:w="0" w:type="dxa"/>
            <w:right w:w="108" w:type="dxa"/>
          </w:tblCellMar>
        </w:tblPrEx>
        <w:trPr>
          <w:trHeight w:val="565"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1</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采购人</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hint="eastAsia" w:ascii="宋体" w:hAnsi="宋体" w:cs="宋体"/>
                <w:sz w:val="24"/>
                <w:szCs w:val="24"/>
                <w:lang w:val="zh-CN"/>
              </w:rPr>
              <w:t>新疆维吾尔自治区工业和信息化厅</w:t>
            </w:r>
          </w:p>
        </w:tc>
      </w:tr>
      <w:tr>
        <w:tblPrEx>
          <w:tblLayout w:type="fixed"/>
          <w:tblCellMar>
            <w:top w:w="0" w:type="dxa"/>
            <w:left w:w="108" w:type="dxa"/>
            <w:bottom w:w="0" w:type="dxa"/>
            <w:right w:w="108" w:type="dxa"/>
          </w:tblCellMar>
        </w:tblPrEx>
        <w:trPr>
          <w:trHeight w:val="459"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2</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采购代理机构</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新疆招标有限公司</w:t>
            </w:r>
          </w:p>
        </w:tc>
      </w:tr>
      <w:tr>
        <w:tblPrEx>
          <w:tblLayout w:type="fixed"/>
          <w:tblCellMar>
            <w:top w:w="0" w:type="dxa"/>
            <w:left w:w="108" w:type="dxa"/>
            <w:bottom w:w="0" w:type="dxa"/>
            <w:right w:w="108" w:type="dxa"/>
          </w:tblCellMar>
        </w:tblPrEx>
        <w:trPr>
          <w:trHeight w:val="438"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3</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项目名称</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hint="eastAsia" w:ascii="宋体" w:hAnsi="宋体" w:cs="宋体"/>
                <w:sz w:val="24"/>
                <w:szCs w:val="24"/>
                <w:lang w:val="zh-CN"/>
              </w:rPr>
              <w:t>全区监测系统验证项目</w:t>
            </w:r>
          </w:p>
        </w:tc>
      </w:tr>
      <w:tr>
        <w:tblPrEx>
          <w:tblLayout w:type="fixed"/>
          <w:tblCellMar>
            <w:top w:w="0" w:type="dxa"/>
            <w:left w:w="108" w:type="dxa"/>
            <w:bottom w:w="0" w:type="dxa"/>
            <w:right w:w="108" w:type="dxa"/>
          </w:tblCellMar>
        </w:tblPrEx>
        <w:trPr>
          <w:trHeight w:val="419"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rPr>
              <w:t>4</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标书费</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标书费金额：</w:t>
            </w:r>
            <w:r>
              <w:rPr>
                <w:rFonts w:ascii="宋体" w:hAnsi="宋体" w:cs="宋体"/>
                <w:sz w:val="24"/>
                <w:szCs w:val="24"/>
              </w:rPr>
              <w:t>2</w:t>
            </w:r>
            <w:r>
              <w:rPr>
                <w:rFonts w:ascii="宋体" w:hAnsi="宋体" w:cs="宋体"/>
                <w:sz w:val="24"/>
                <w:szCs w:val="24"/>
                <w:lang w:val="zh-CN"/>
              </w:rPr>
              <w:t>00元/套（售后不退）</w:t>
            </w:r>
          </w:p>
        </w:tc>
      </w:tr>
      <w:tr>
        <w:tblPrEx>
          <w:tblLayout w:type="fixed"/>
          <w:tblCellMar>
            <w:top w:w="0" w:type="dxa"/>
            <w:left w:w="108" w:type="dxa"/>
            <w:bottom w:w="0" w:type="dxa"/>
            <w:right w:w="108" w:type="dxa"/>
          </w:tblCellMar>
        </w:tblPrEx>
        <w:trPr>
          <w:trHeight w:val="419"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rPr>
              <w:t>5</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招标控制价</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rPr>
            </w:pPr>
            <w:r>
              <w:rPr>
                <w:rFonts w:ascii="宋体" w:hAnsi="宋体" w:cs="宋体"/>
                <w:b/>
                <w:bCs/>
                <w:sz w:val="24"/>
                <w:szCs w:val="24"/>
              </w:rPr>
              <w:t>本项目招标控制价：</w:t>
            </w:r>
            <w:r>
              <w:rPr>
                <w:rFonts w:hint="eastAsia" w:ascii="宋体" w:hAnsi="宋体" w:cs="宋体"/>
                <w:b/>
                <w:bCs/>
                <w:sz w:val="24"/>
                <w:szCs w:val="24"/>
                <w:lang w:eastAsia="zh-CN"/>
              </w:rPr>
              <w:t>284.6万元</w:t>
            </w:r>
            <w:r>
              <w:rPr>
                <w:rFonts w:ascii="宋体" w:hAnsi="宋体" w:cs="宋体"/>
                <w:b/>
                <w:bCs/>
                <w:sz w:val="24"/>
                <w:szCs w:val="24"/>
              </w:rPr>
              <w:t>，</w:t>
            </w:r>
            <w:r>
              <w:rPr>
                <w:rFonts w:ascii="宋体" w:hAnsi="宋体" w:cs="宋体"/>
                <w:b/>
                <w:bCs/>
                <w:sz w:val="24"/>
                <w:szCs w:val="24"/>
                <w:lang w:val="zh-CN"/>
              </w:rPr>
              <w:t>投标报价（即开标报价）不得有选择性报价和附有条件的报价，且不得等于或者高于招标控制价，否则其投标无效。</w:t>
            </w:r>
          </w:p>
        </w:tc>
      </w:tr>
      <w:tr>
        <w:tblPrEx>
          <w:tblLayout w:type="fixed"/>
          <w:tblCellMar>
            <w:top w:w="0" w:type="dxa"/>
            <w:left w:w="108" w:type="dxa"/>
            <w:bottom w:w="0" w:type="dxa"/>
            <w:right w:w="108" w:type="dxa"/>
          </w:tblCellMar>
        </w:tblPrEx>
        <w:trPr>
          <w:trHeight w:val="69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rPr>
              <w:t>6</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供应商资格要求</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宋体" w:hAnsi="宋体" w:cs="宋体"/>
                <w:sz w:val="24"/>
              </w:rPr>
            </w:pPr>
            <w:r>
              <w:rPr>
                <w:rFonts w:hint="eastAsia" w:ascii="宋体" w:hAnsi="宋体" w:cs="宋体"/>
                <w:sz w:val="24"/>
              </w:rPr>
              <w:t>1）具有独立承担民事责任的能力；</w:t>
            </w:r>
          </w:p>
          <w:p>
            <w:pPr>
              <w:autoSpaceDE w:val="0"/>
              <w:autoSpaceDN w:val="0"/>
              <w:rPr>
                <w:rFonts w:hint="eastAsia" w:ascii="宋体" w:hAnsi="宋体" w:cs="宋体"/>
                <w:sz w:val="24"/>
              </w:rPr>
            </w:pPr>
            <w:r>
              <w:rPr>
                <w:rFonts w:hint="eastAsia" w:ascii="宋体" w:hAnsi="宋体" w:cs="宋体"/>
                <w:sz w:val="24"/>
              </w:rPr>
              <w:t>2）具有良好的商业信誉和健全的财务会计制度，提供2020年度经外部审计的财务审计报告或财务报表的复印件加盖公章（公司成立不到一年的从成立之日起）；</w:t>
            </w:r>
          </w:p>
          <w:p>
            <w:pPr>
              <w:autoSpaceDE w:val="0"/>
              <w:autoSpaceDN w:val="0"/>
              <w:rPr>
                <w:rFonts w:hint="eastAsia" w:ascii="宋体" w:hAnsi="宋体" w:cs="宋体"/>
                <w:sz w:val="24"/>
              </w:rPr>
            </w:pPr>
            <w:r>
              <w:rPr>
                <w:rFonts w:hint="eastAsia" w:ascii="宋体" w:hAnsi="宋体" w:cs="宋体"/>
                <w:sz w:val="24"/>
              </w:rPr>
              <w:t>3）具有履行合同所必需的服务和专业技术能力；</w:t>
            </w:r>
          </w:p>
          <w:p>
            <w:pPr>
              <w:autoSpaceDE w:val="0"/>
              <w:autoSpaceDN w:val="0"/>
              <w:rPr>
                <w:rFonts w:hint="eastAsia" w:ascii="宋体" w:hAnsi="宋体" w:cs="宋体"/>
                <w:sz w:val="24"/>
              </w:rPr>
            </w:pPr>
            <w:r>
              <w:rPr>
                <w:rFonts w:hint="eastAsia" w:ascii="宋体" w:hAnsi="宋体" w:cs="宋体"/>
                <w:sz w:val="24"/>
              </w:rPr>
              <w:t>4）有依法缴纳税收和社会保障资金的良好纪录，提供近一年内任意连续三个月缴纳社保证明原件或复印件加盖公章（公司成立不到三个月的从成立之日起）；</w:t>
            </w:r>
          </w:p>
          <w:p>
            <w:pPr>
              <w:autoSpaceDE w:val="0"/>
              <w:autoSpaceDN w:val="0"/>
              <w:rPr>
                <w:rFonts w:hint="eastAsia" w:ascii="宋体" w:hAnsi="宋体" w:cs="宋体"/>
                <w:sz w:val="24"/>
              </w:rPr>
            </w:pPr>
            <w:r>
              <w:rPr>
                <w:rFonts w:hint="eastAsia" w:ascii="宋体" w:hAnsi="宋体" w:cs="宋体"/>
                <w:sz w:val="24"/>
              </w:rPr>
              <w:t>5）“信用中国”网站（http://www.creditchina.gov.cn/）、“中国政府采购网”网站（http://www.ccgp.gov.cn/）无违法违规行为的；</w:t>
            </w:r>
          </w:p>
          <w:p>
            <w:pPr>
              <w:autoSpaceDE w:val="0"/>
              <w:autoSpaceDN w:val="0"/>
              <w:rPr>
                <w:rFonts w:hint="eastAsia" w:ascii="宋体" w:hAnsi="宋体" w:cs="宋体"/>
                <w:sz w:val="24"/>
              </w:rPr>
            </w:pPr>
            <w:r>
              <w:rPr>
                <w:rFonts w:hint="eastAsia" w:ascii="宋体" w:hAnsi="宋体" w:cs="宋体"/>
                <w:sz w:val="24"/>
              </w:rPr>
              <w:t>6）符合国家有关法律法规的规定；</w:t>
            </w:r>
          </w:p>
          <w:p>
            <w:pPr>
              <w:autoSpaceDE w:val="0"/>
              <w:autoSpaceDN w:val="0"/>
              <w:rPr>
                <w:rFonts w:hint="eastAsia" w:ascii="宋体" w:hAnsi="宋体" w:cs="宋体"/>
                <w:sz w:val="24"/>
              </w:rPr>
            </w:pPr>
            <w:r>
              <w:rPr>
                <w:rFonts w:hint="eastAsia" w:ascii="宋体" w:hAnsi="宋体" w:cs="宋体"/>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utoSpaceDE w:val="0"/>
              <w:autoSpaceDN w:val="0"/>
              <w:rPr>
                <w:rFonts w:ascii="宋体" w:hAnsi="宋体" w:cs="宋体"/>
                <w:sz w:val="24"/>
              </w:rPr>
            </w:pPr>
            <w:r>
              <w:rPr>
                <w:rFonts w:hint="eastAsia" w:ascii="宋体" w:hAnsi="宋体" w:cs="宋体"/>
                <w:sz w:val="24"/>
              </w:rPr>
              <w:t>8）不接受联合体。</w:t>
            </w:r>
          </w:p>
        </w:tc>
      </w:tr>
      <w:tr>
        <w:tblPrEx>
          <w:tblLayout w:type="fixed"/>
          <w:tblCellMar>
            <w:top w:w="0" w:type="dxa"/>
            <w:left w:w="108" w:type="dxa"/>
            <w:bottom w:w="0" w:type="dxa"/>
            <w:right w:w="108" w:type="dxa"/>
          </w:tblCellMar>
        </w:tblPrEx>
        <w:trPr>
          <w:trHeight w:val="90"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rPr>
              <w:t>7</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供应商资质资格要求的证明材料和情况说明</w:t>
            </w:r>
          </w:p>
        </w:tc>
        <w:tc>
          <w:tcPr>
            <w:tcW w:w="71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Arial" w:hAnsi="Arial" w:cs="Arial"/>
                <w:sz w:val="24"/>
                <w:szCs w:val="24"/>
              </w:rPr>
            </w:pPr>
            <w:r>
              <w:rPr>
                <w:rFonts w:ascii="Arial" w:hAnsi="Arial" w:cs="Arial"/>
                <w:sz w:val="24"/>
                <w:szCs w:val="24"/>
              </w:rPr>
              <w:t xml:space="preserve">（1）法定代表人授权委托书原件、被授权人身份证原件、加盖公章的被授权人身份证复印件；（法定代表人到场参与投标的，须提供法定代表人身份证明原件、法定代表人身份证原件、加盖公章的法定代表人身份证复印件）； </w:t>
            </w:r>
          </w:p>
          <w:p>
            <w:pPr>
              <w:spacing w:line="400" w:lineRule="exact"/>
              <w:rPr>
                <w:rFonts w:ascii="Arial" w:hAnsi="Arial" w:cs="Arial"/>
                <w:sz w:val="24"/>
                <w:szCs w:val="24"/>
              </w:rPr>
            </w:pPr>
            <w:r>
              <w:rPr>
                <w:rFonts w:ascii="Arial" w:hAnsi="Arial" w:cs="Arial"/>
                <w:sz w:val="24"/>
                <w:szCs w:val="24"/>
              </w:rPr>
              <w:t xml:space="preserve">（2）营业执照原件或复印件加盖公章； </w:t>
            </w:r>
          </w:p>
          <w:p>
            <w:pPr>
              <w:spacing w:line="400" w:lineRule="exact"/>
              <w:rPr>
                <w:rFonts w:ascii="Arial" w:hAnsi="Arial" w:cs="Arial"/>
                <w:sz w:val="24"/>
                <w:szCs w:val="24"/>
              </w:rPr>
            </w:pPr>
            <w:r>
              <w:rPr>
                <w:rFonts w:ascii="Arial" w:hAnsi="Arial" w:cs="Arial"/>
                <w:sz w:val="24"/>
                <w:szCs w:val="24"/>
              </w:rPr>
              <w:t>（3）</w:t>
            </w:r>
            <w:r>
              <w:rPr>
                <w:rFonts w:hint="eastAsia" w:ascii="宋体" w:hAnsi="宋体" w:cs="宋体"/>
                <w:sz w:val="24"/>
              </w:rPr>
              <w:t>提供2020年度经外部审计的财务审计报告或财务报表的复印件加盖公章（公司成立不到一年的从成立之日起）</w:t>
            </w:r>
            <w:r>
              <w:rPr>
                <w:rFonts w:ascii="Arial" w:hAnsi="Arial" w:cs="Arial"/>
                <w:sz w:val="24"/>
                <w:szCs w:val="24"/>
              </w:rPr>
              <w:t>；</w:t>
            </w:r>
          </w:p>
          <w:p>
            <w:pPr>
              <w:pStyle w:val="25"/>
              <w:ind w:firstLine="0" w:firstLineChars="0"/>
              <w:rPr>
                <w:rFonts w:hint="eastAsia" w:ascii="宋体" w:hAnsi="宋体" w:cs="宋体"/>
              </w:rPr>
            </w:pPr>
            <w:r>
              <w:rPr>
                <w:rFonts w:hint="eastAsia" w:ascii="Arial" w:hAnsi="Arial" w:cs="Arial"/>
                <w:szCs w:val="24"/>
              </w:rPr>
              <w:t>（4）</w:t>
            </w:r>
            <w:r>
              <w:rPr>
                <w:rFonts w:hint="eastAsia" w:ascii="宋体" w:hAnsi="宋体" w:cs="宋体"/>
                <w:sz w:val="24"/>
              </w:rPr>
              <w:t>提供近一年内任意连续三个月缴纳社保证明原件或复印件加盖公章（公司成立不到三个月的从成立之日起）</w:t>
            </w:r>
            <w:r>
              <w:rPr>
                <w:rFonts w:hint="eastAsia" w:ascii="宋体" w:hAnsi="宋体" w:cs="宋体"/>
              </w:rPr>
              <w:t>；</w:t>
            </w:r>
          </w:p>
          <w:p>
            <w:pPr>
              <w:pStyle w:val="25"/>
              <w:ind w:firstLine="0" w:firstLineChars="0"/>
              <w:rPr>
                <w:highlight w:val="none"/>
              </w:rPr>
            </w:pPr>
            <w:r>
              <w:rPr>
                <w:rFonts w:hint="eastAsia" w:ascii="Arial" w:hAnsi="Arial" w:cs="Arial"/>
                <w:szCs w:val="24"/>
              </w:rPr>
              <w:t>（5）</w:t>
            </w:r>
            <w:r>
              <w:rPr>
                <w:rFonts w:hint="eastAsia" w:ascii="宋体" w:hAnsi="宋体" w:cs="宋体"/>
                <w:sz w:val="24"/>
              </w:rPr>
              <w:t>“信用中国”网站（http://www.creditchina.gov.cn/）、“中国政府采购网”网站（http://www.ccgp.gov.cn/）无违法违规行为的</w:t>
            </w:r>
            <w:r>
              <w:rPr>
                <w:rFonts w:hint="eastAsia" w:ascii="宋体" w:hAnsi="宋体" w:cs="宋体"/>
                <w:sz w:val="24"/>
                <w:lang w:eastAsia="zh-CN"/>
              </w:rPr>
              <w:t>；</w:t>
            </w:r>
          </w:p>
          <w:p>
            <w:pPr>
              <w:spacing w:line="400" w:lineRule="exact"/>
              <w:rPr>
                <w:rFonts w:ascii="Arial" w:hAnsi="Arial" w:cs="Arial"/>
                <w:sz w:val="24"/>
                <w:szCs w:val="24"/>
              </w:rPr>
            </w:pPr>
            <w:r>
              <w:rPr>
                <w:rFonts w:ascii="Arial" w:hAnsi="Arial" w:cs="Arial"/>
                <w:sz w:val="24"/>
                <w:szCs w:val="24"/>
              </w:rPr>
              <w:t>说明：</w:t>
            </w:r>
          </w:p>
          <w:p>
            <w:pPr>
              <w:autoSpaceDE w:val="0"/>
              <w:autoSpaceDN w:val="0"/>
              <w:rPr>
                <w:rFonts w:ascii="宋体" w:hAnsi="宋体" w:cs="宋体"/>
                <w:sz w:val="24"/>
                <w:szCs w:val="24"/>
              </w:rPr>
            </w:pPr>
            <w:r>
              <w:rPr>
                <w:rFonts w:ascii="Arial" w:hAnsi="Arial" w:cs="Arial"/>
                <w:b/>
                <w:bCs/>
                <w:sz w:val="24"/>
                <w:szCs w:val="24"/>
              </w:rPr>
              <w:t>上述第（1）-（</w:t>
            </w:r>
            <w:r>
              <w:rPr>
                <w:rFonts w:hint="eastAsia" w:ascii="Arial" w:hAnsi="Arial" w:cs="Arial"/>
                <w:b/>
                <w:bCs/>
                <w:sz w:val="24"/>
                <w:szCs w:val="24"/>
                <w:lang w:val="en-US" w:eastAsia="zh-CN"/>
              </w:rPr>
              <w:t>5</w:t>
            </w:r>
            <w:r>
              <w:rPr>
                <w:rFonts w:ascii="Arial" w:hAnsi="Arial" w:cs="Arial"/>
                <w:b/>
                <w:bCs/>
                <w:sz w:val="24"/>
                <w:szCs w:val="24"/>
              </w:rPr>
              <w:t>）项为投标时资格审查的必备条件。</w:t>
            </w:r>
          </w:p>
        </w:tc>
      </w:tr>
      <w:tr>
        <w:tblPrEx>
          <w:tblLayout w:type="fixed"/>
          <w:tblCellMar>
            <w:top w:w="0" w:type="dxa"/>
            <w:left w:w="108" w:type="dxa"/>
            <w:bottom w:w="0" w:type="dxa"/>
            <w:right w:w="108" w:type="dxa"/>
          </w:tblCellMar>
        </w:tblPrEx>
        <w:trPr>
          <w:trHeight w:val="45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rPr>
              <w:t>8</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踏勘现场</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lang w:val="zh-CN"/>
              </w:rPr>
              <w:t>不组织，自行踏勘。</w:t>
            </w:r>
          </w:p>
          <w:p>
            <w:pPr>
              <w:tabs>
                <w:tab w:val="left" w:pos="7665"/>
              </w:tabs>
              <w:autoSpaceDE w:val="0"/>
              <w:autoSpaceDN w:val="0"/>
              <w:rPr>
                <w:rFonts w:ascii="宋体" w:hAnsi="宋体" w:cs="宋体"/>
                <w:sz w:val="24"/>
                <w:szCs w:val="24"/>
                <w:lang w:val="zh-CN"/>
              </w:rPr>
            </w:pPr>
            <w:r>
              <w:rPr>
                <w:rFonts w:ascii="宋体" w:hAnsi="宋体" w:cs="宋体"/>
                <w:sz w:val="24"/>
                <w:szCs w:val="24"/>
                <w:lang w:val="zh-CN"/>
              </w:rPr>
              <w:t>□ 组织，踏勘时间：       集中踏勘地点：</w:t>
            </w:r>
          </w:p>
        </w:tc>
      </w:tr>
      <w:tr>
        <w:tblPrEx>
          <w:tblLayout w:type="fixed"/>
          <w:tblCellMar>
            <w:top w:w="0" w:type="dxa"/>
            <w:left w:w="108" w:type="dxa"/>
            <w:bottom w:w="0" w:type="dxa"/>
            <w:right w:w="108" w:type="dxa"/>
          </w:tblCellMar>
        </w:tblPrEx>
        <w:trPr>
          <w:trHeight w:val="45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rPr>
              <w:t>9</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招标文件澄清、修改截止时间</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rPr>
            </w:pPr>
            <w:r>
              <w:rPr>
                <w:rFonts w:ascii="宋体" w:hAnsi="宋体" w:cs="宋体"/>
                <w:sz w:val="24"/>
                <w:szCs w:val="24"/>
                <w:lang w:val="zh-CN"/>
              </w:rPr>
              <w:t>递交投标截止之日15天前以书面形式递交</w:t>
            </w:r>
          </w:p>
        </w:tc>
      </w:tr>
      <w:tr>
        <w:tblPrEx>
          <w:tblLayout w:type="fixed"/>
          <w:tblCellMar>
            <w:top w:w="0" w:type="dxa"/>
            <w:left w:w="108" w:type="dxa"/>
            <w:bottom w:w="0" w:type="dxa"/>
            <w:right w:w="108" w:type="dxa"/>
          </w:tblCellMar>
        </w:tblPrEx>
        <w:trPr>
          <w:trHeight w:val="45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lang w:val="zh-CN"/>
              </w:rPr>
              <w:t>1</w:t>
            </w:r>
            <w:r>
              <w:rPr>
                <w:rFonts w:ascii="宋体" w:hAnsi="宋体" w:cs="宋体"/>
                <w:sz w:val="24"/>
                <w:szCs w:val="24"/>
              </w:rPr>
              <w:t>0</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供应商确认收到招标文件澄清、修改、补充的时间</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自澄清、修改、补充公告发布时间起48小时内。</w:t>
            </w:r>
          </w:p>
        </w:tc>
      </w:tr>
      <w:tr>
        <w:tblPrEx>
          <w:tblLayout w:type="fixed"/>
          <w:tblCellMar>
            <w:top w:w="0" w:type="dxa"/>
            <w:left w:w="108" w:type="dxa"/>
            <w:bottom w:w="0" w:type="dxa"/>
            <w:right w:w="108" w:type="dxa"/>
          </w:tblCellMar>
        </w:tblPrEx>
        <w:trPr>
          <w:trHeight w:val="45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1</w:t>
            </w:r>
            <w:r>
              <w:rPr>
                <w:rFonts w:ascii="宋体" w:hAnsi="宋体" w:cs="宋体"/>
                <w:sz w:val="24"/>
                <w:szCs w:val="24"/>
              </w:rPr>
              <w:t>1</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投标有效期</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自投标截止之日起90日历天。</w:t>
            </w:r>
          </w:p>
        </w:tc>
      </w:tr>
      <w:tr>
        <w:tblPrEx>
          <w:tblLayout w:type="fixed"/>
          <w:tblCellMar>
            <w:top w:w="0" w:type="dxa"/>
            <w:left w:w="108" w:type="dxa"/>
            <w:bottom w:w="0" w:type="dxa"/>
            <w:right w:w="108" w:type="dxa"/>
          </w:tblCellMar>
        </w:tblPrEx>
        <w:trPr>
          <w:trHeight w:val="45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1</w:t>
            </w:r>
            <w:r>
              <w:rPr>
                <w:rFonts w:ascii="宋体" w:hAnsi="宋体" w:cs="宋体"/>
                <w:sz w:val="24"/>
                <w:szCs w:val="24"/>
              </w:rPr>
              <w:t>2</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投标保证金</w:t>
            </w:r>
          </w:p>
        </w:tc>
        <w:tc>
          <w:tcPr>
            <w:tcW w:w="719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left"/>
              <w:rPr>
                <w:rFonts w:ascii="宋体" w:hAnsi="宋体" w:cs="宋体"/>
                <w:sz w:val="24"/>
                <w:szCs w:val="24"/>
              </w:rPr>
            </w:pPr>
            <w:r>
              <w:rPr>
                <w:rFonts w:ascii="宋体" w:hAnsi="宋体" w:cs="宋体"/>
                <w:sz w:val="24"/>
                <w:szCs w:val="24"/>
              </w:rPr>
              <w:t>1、保证金金额：</w:t>
            </w:r>
            <w:r>
              <w:rPr>
                <w:rFonts w:hint="eastAsia" w:ascii="宋体" w:hAnsi="宋体" w:cs="宋体"/>
                <w:sz w:val="24"/>
                <w:szCs w:val="24"/>
                <w:lang w:val="en-US" w:eastAsia="zh-CN"/>
              </w:rPr>
              <w:t>40</w:t>
            </w:r>
            <w:r>
              <w:rPr>
                <w:rFonts w:hint="eastAsia" w:ascii="宋体" w:hAnsi="宋体" w:cs="宋体"/>
                <w:sz w:val="24"/>
                <w:szCs w:val="24"/>
                <w:lang w:eastAsia="zh-CN"/>
              </w:rPr>
              <w:t>000元</w:t>
            </w:r>
            <w:r>
              <w:rPr>
                <w:rFonts w:ascii="宋体" w:hAnsi="宋体" w:cs="宋体"/>
                <w:sz w:val="24"/>
                <w:szCs w:val="24"/>
              </w:rPr>
              <w:t>整</w:t>
            </w:r>
          </w:p>
          <w:p>
            <w:pPr>
              <w:adjustRightInd w:val="0"/>
              <w:snapToGrid w:val="0"/>
              <w:spacing w:line="320" w:lineRule="exact"/>
              <w:jc w:val="left"/>
              <w:rPr>
                <w:rFonts w:ascii="宋体" w:hAnsi="宋体" w:cs="宋体"/>
                <w:sz w:val="24"/>
                <w:szCs w:val="24"/>
              </w:rPr>
            </w:pPr>
            <w:r>
              <w:rPr>
                <w:rFonts w:ascii="宋体" w:hAnsi="宋体" w:cs="宋体"/>
                <w:sz w:val="24"/>
                <w:szCs w:val="24"/>
              </w:rPr>
              <w:t>2、保证金缴纳形式：采用银行转账、电汇等形式缴纳。</w:t>
            </w:r>
          </w:p>
          <w:p>
            <w:pPr>
              <w:adjustRightInd w:val="0"/>
              <w:snapToGrid w:val="0"/>
              <w:spacing w:line="320" w:lineRule="exact"/>
              <w:jc w:val="left"/>
              <w:rPr>
                <w:rFonts w:ascii="宋体" w:hAnsi="宋体" w:cs="宋体"/>
                <w:sz w:val="24"/>
                <w:szCs w:val="24"/>
              </w:rPr>
            </w:pPr>
            <w:r>
              <w:rPr>
                <w:rFonts w:ascii="宋体" w:hAnsi="宋体" w:cs="宋体"/>
                <w:sz w:val="24"/>
                <w:szCs w:val="24"/>
              </w:rPr>
              <w:t>3、缴纳方式：投标保证金必须以供应商名义办理，不得以供应商分支机构、个人或其它名义办理；供应商须将保证金从其企业基本账户划转到招标文件指定的投标保证金收取账户，否则视为未按要求缴纳投标保证金。</w:t>
            </w:r>
          </w:p>
          <w:p>
            <w:pPr>
              <w:adjustRightInd w:val="0"/>
              <w:snapToGrid w:val="0"/>
              <w:spacing w:line="320" w:lineRule="exact"/>
              <w:jc w:val="left"/>
              <w:rPr>
                <w:rFonts w:ascii="宋体" w:hAnsi="宋体" w:cs="宋体"/>
                <w:sz w:val="24"/>
                <w:szCs w:val="24"/>
              </w:rPr>
            </w:pPr>
            <w:r>
              <w:rPr>
                <w:rFonts w:ascii="宋体" w:hAnsi="宋体" w:cs="宋体"/>
                <w:sz w:val="24"/>
                <w:szCs w:val="24"/>
              </w:rPr>
              <w:t xml:space="preserve">4、账户名称：新疆招标有限公司 </w:t>
            </w:r>
          </w:p>
          <w:p>
            <w:pPr>
              <w:spacing w:line="400" w:lineRule="atLeast"/>
              <w:ind w:left="360" w:hanging="360" w:hangingChars="150"/>
              <w:rPr>
                <w:rFonts w:ascii="宋体" w:hAnsi="宋体" w:cs="宋体"/>
                <w:sz w:val="24"/>
                <w:szCs w:val="24"/>
              </w:rPr>
            </w:pPr>
            <w:r>
              <w:rPr>
                <w:rFonts w:ascii="宋体" w:hAnsi="宋体" w:cs="宋体"/>
                <w:sz w:val="24"/>
                <w:szCs w:val="24"/>
              </w:rPr>
              <w:t>5、人民币账号：3002013709022305571</w:t>
            </w:r>
          </w:p>
          <w:p>
            <w:pPr>
              <w:adjustRightInd w:val="0"/>
              <w:snapToGrid w:val="0"/>
              <w:spacing w:line="320" w:lineRule="exact"/>
              <w:jc w:val="left"/>
              <w:rPr>
                <w:rFonts w:ascii="宋体" w:hAnsi="宋体" w:cs="宋体"/>
                <w:sz w:val="24"/>
                <w:szCs w:val="24"/>
              </w:rPr>
            </w:pPr>
            <w:r>
              <w:rPr>
                <w:rFonts w:ascii="宋体" w:hAnsi="宋体" w:cs="宋体"/>
                <w:sz w:val="24"/>
                <w:szCs w:val="24"/>
              </w:rPr>
              <w:t xml:space="preserve">6、开户银行：乌鲁木齐工行友好南路支行 </w:t>
            </w:r>
          </w:p>
          <w:p>
            <w:pPr>
              <w:adjustRightInd w:val="0"/>
              <w:snapToGrid w:val="0"/>
              <w:spacing w:line="320" w:lineRule="exact"/>
              <w:jc w:val="left"/>
              <w:rPr>
                <w:rFonts w:ascii="宋体" w:hAnsi="宋体" w:cs="宋体"/>
                <w:sz w:val="24"/>
                <w:szCs w:val="24"/>
                <w:lang w:val="zh-CN"/>
              </w:rPr>
            </w:pPr>
            <w:r>
              <w:rPr>
                <w:rFonts w:ascii="宋体" w:hAnsi="宋体" w:cs="宋体"/>
                <w:sz w:val="24"/>
                <w:szCs w:val="24"/>
              </w:rPr>
              <w:t>注：保证金缴纳时请供应商仔细核对收取人名称、开户银行及账号。（备注项目名称及项目标号后六位）</w:t>
            </w:r>
          </w:p>
        </w:tc>
      </w:tr>
      <w:tr>
        <w:tblPrEx>
          <w:tblLayout w:type="fixed"/>
          <w:tblCellMar>
            <w:top w:w="0" w:type="dxa"/>
            <w:left w:w="108" w:type="dxa"/>
            <w:bottom w:w="0" w:type="dxa"/>
            <w:right w:w="108" w:type="dxa"/>
          </w:tblCellMar>
        </w:tblPrEx>
        <w:trPr>
          <w:trHeight w:val="45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1</w:t>
            </w:r>
            <w:r>
              <w:rPr>
                <w:rFonts w:ascii="宋体" w:hAnsi="宋体" w:cs="宋体"/>
                <w:sz w:val="24"/>
                <w:szCs w:val="24"/>
              </w:rPr>
              <w:t>3</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投标报价范围</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供应商所报价格为含税全包价，包括与提供服务相关的人工、设备、保险、税费、验收等一切费用。</w:t>
            </w:r>
          </w:p>
        </w:tc>
      </w:tr>
      <w:tr>
        <w:tblPrEx>
          <w:tblLayout w:type="fixed"/>
          <w:tblCellMar>
            <w:top w:w="0" w:type="dxa"/>
            <w:left w:w="108" w:type="dxa"/>
            <w:bottom w:w="0" w:type="dxa"/>
            <w:right w:w="108" w:type="dxa"/>
          </w:tblCellMar>
        </w:tblPrEx>
        <w:trPr>
          <w:trHeight w:val="454"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1</w:t>
            </w:r>
            <w:r>
              <w:rPr>
                <w:rFonts w:ascii="宋体" w:hAnsi="宋体" w:cs="宋体"/>
                <w:sz w:val="24"/>
                <w:szCs w:val="24"/>
              </w:rPr>
              <w:t>4</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是否允许递交备选供应商案</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lang w:val="zh-CN"/>
              </w:rPr>
              <w:t>不允许。</w:t>
            </w:r>
          </w:p>
          <w:p>
            <w:pPr>
              <w:autoSpaceDE w:val="0"/>
              <w:autoSpaceDN w:val="0"/>
              <w:rPr>
                <w:rFonts w:ascii="宋体" w:hAnsi="宋体" w:cs="宋体"/>
                <w:sz w:val="24"/>
                <w:szCs w:val="24"/>
                <w:u w:val="single"/>
                <w:lang w:val="zh-CN"/>
              </w:rPr>
            </w:pPr>
            <w:r>
              <w:rPr>
                <w:rFonts w:ascii="宋体" w:hAnsi="宋体" w:cs="宋体"/>
                <w:sz w:val="24"/>
                <w:szCs w:val="24"/>
                <w:lang w:val="zh-CN"/>
              </w:rPr>
              <w:t>□允许，备选供应商案的编制要求：</w:t>
            </w:r>
          </w:p>
        </w:tc>
      </w:tr>
      <w:tr>
        <w:tblPrEx>
          <w:tblLayout w:type="fixed"/>
          <w:tblCellMar>
            <w:top w:w="0" w:type="dxa"/>
            <w:left w:w="108" w:type="dxa"/>
            <w:bottom w:w="0" w:type="dxa"/>
            <w:right w:w="108" w:type="dxa"/>
          </w:tblCellMar>
        </w:tblPrEx>
        <w:trPr>
          <w:trHeight w:val="729"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lang w:val="zh-CN"/>
              </w:rPr>
              <w:t>1</w:t>
            </w:r>
            <w:r>
              <w:rPr>
                <w:rFonts w:ascii="宋体" w:hAnsi="宋体" w:cs="宋体"/>
                <w:sz w:val="24"/>
                <w:szCs w:val="24"/>
              </w:rPr>
              <w:t>5</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是否接受联合体投标</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lang w:val="zh-CN"/>
              </w:rPr>
              <w:t>不接受。</w:t>
            </w:r>
          </w:p>
          <w:p>
            <w:pPr>
              <w:autoSpaceDE w:val="0"/>
              <w:autoSpaceDN w:val="0"/>
              <w:rPr>
                <w:rFonts w:ascii="宋体" w:hAnsi="宋体" w:cs="宋体"/>
                <w:sz w:val="24"/>
                <w:szCs w:val="24"/>
                <w:lang w:val="zh-CN"/>
              </w:rPr>
            </w:pPr>
            <w:r>
              <w:rPr>
                <w:rFonts w:ascii="宋体" w:hAnsi="宋体" w:cs="宋体"/>
                <w:sz w:val="24"/>
                <w:szCs w:val="24"/>
                <w:lang w:val="zh-CN"/>
              </w:rPr>
              <w:t>□接受，应满足下列要求：</w:t>
            </w:r>
          </w:p>
        </w:tc>
      </w:tr>
      <w:tr>
        <w:tblPrEx>
          <w:tblLayout w:type="fixed"/>
          <w:tblCellMar>
            <w:top w:w="0" w:type="dxa"/>
            <w:left w:w="108" w:type="dxa"/>
            <w:bottom w:w="0" w:type="dxa"/>
            <w:right w:w="108" w:type="dxa"/>
          </w:tblCellMar>
        </w:tblPrEx>
        <w:trPr>
          <w:trHeight w:val="982"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1</w:t>
            </w:r>
            <w:r>
              <w:rPr>
                <w:rFonts w:ascii="宋体" w:hAnsi="宋体" w:cs="宋体"/>
                <w:sz w:val="24"/>
                <w:szCs w:val="24"/>
              </w:rPr>
              <w:t>6</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投标文件装订</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1、正本</w:t>
            </w:r>
            <w:r>
              <w:rPr>
                <w:rFonts w:ascii="宋体" w:hAnsi="宋体" w:cs="宋体"/>
                <w:sz w:val="24"/>
                <w:szCs w:val="24"/>
                <w:u w:val="single"/>
              </w:rPr>
              <w:t>1</w:t>
            </w:r>
            <w:r>
              <w:rPr>
                <w:rFonts w:ascii="宋体" w:hAnsi="宋体" w:cs="宋体"/>
                <w:sz w:val="24"/>
                <w:szCs w:val="24"/>
                <w:lang w:val="zh-CN"/>
              </w:rPr>
              <w:t>份，胶装，包含报价文件、商务文件和技术文件三部分；</w:t>
            </w:r>
          </w:p>
          <w:p>
            <w:pPr>
              <w:autoSpaceDE w:val="0"/>
              <w:autoSpaceDN w:val="0"/>
              <w:rPr>
                <w:rFonts w:ascii="宋体" w:hAnsi="宋体" w:cs="宋体"/>
                <w:sz w:val="24"/>
                <w:szCs w:val="24"/>
                <w:lang w:val="zh-CN"/>
              </w:rPr>
            </w:pPr>
            <w:r>
              <w:rPr>
                <w:rFonts w:ascii="宋体" w:hAnsi="宋体" w:cs="宋体"/>
                <w:sz w:val="24"/>
                <w:szCs w:val="24"/>
                <w:lang w:val="zh-CN"/>
              </w:rPr>
              <w:t>2、副本</w:t>
            </w:r>
            <w:r>
              <w:rPr>
                <w:rFonts w:ascii="宋体" w:hAnsi="宋体" w:cs="宋体"/>
                <w:sz w:val="24"/>
                <w:szCs w:val="24"/>
                <w:u w:val="single"/>
              </w:rPr>
              <w:t>4</w:t>
            </w:r>
            <w:r>
              <w:rPr>
                <w:rFonts w:ascii="宋体" w:hAnsi="宋体" w:cs="宋体"/>
                <w:sz w:val="24"/>
                <w:szCs w:val="24"/>
                <w:lang w:val="zh-CN"/>
              </w:rPr>
              <w:t>份，胶装，包含报价文件、商务文件和技术文件三部分。</w:t>
            </w:r>
          </w:p>
        </w:tc>
      </w:tr>
      <w:tr>
        <w:tblPrEx>
          <w:tblLayout w:type="fixed"/>
          <w:tblCellMar>
            <w:top w:w="0" w:type="dxa"/>
            <w:left w:w="108" w:type="dxa"/>
            <w:bottom w:w="0" w:type="dxa"/>
            <w:right w:w="108" w:type="dxa"/>
          </w:tblCellMar>
        </w:tblPrEx>
        <w:trPr>
          <w:trHeight w:val="560"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1</w:t>
            </w:r>
            <w:r>
              <w:rPr>
                <w:rFonts w:ascii="宋体" w:hAnsi="宋体" w:cs="宋体"/>
                <w:sz w:val="24"/>
                <w:szCs w:val="24"/>
              </w:rPr>
              <w:t>7</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投标文件份数</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正本</w:t>
            </w:r>
            <w:r>
              <w:rPr>
                <w:rFonts w:ascii="宋体" w:hAnsi="宋体" w:cs="宋体"/>
                <w:sz w:val="24"/>
                <w:szCs w:val="24"/>
                <w:u w:val="single"/>
              </w:rPr>
              <w:t>1</w:t>
            </w:r>
            <w:r>
              <w:rPr>
                <w:rFonts w:ascii="宋体" w:hAnsi="宋体" w:cs="宋体"/>
                <w:sz w:val="24"/>
                <w:szCs w:val="24"/>
                <w:lang w:val="zh-CN"/>
              </w:rPr>
              <w:t>套，副本</w:t>
            </w:r>
            <w:r>
              <w:rPr>
                <w:rFonts w:ascii="宋体" w:hAnsi="宋体" w:cs="宋体"/>
                <w:sz w:val="24"/>
                <w:szCs w:val="24"/>
                <w:u w:val="single"/>
              </w:rPr>
              <w:t>4</w:t>
            </w:r>
            <w:r>
              <w:rPr>
                <w:rFonts w:ascii="宋体" w:hAnsi="宋体" w:cs="宋体"/>
                <w:sz w:val="24"/>
                <w:szCs w:val="24"/>
                <w:lang w:val="zh-CN"/>
              </w:rPr>
              <w:t>套，电子版</w:t>
            </w:r>
            <w:r>
              <w:rPr>
                <w:rFonts w:ascii="宋体" w:hAnsi="宋体" w:cs="宋体"/>
                <w:sz w:val="24"/>
                <w:szCs w:val="24"/>
              </w:rPr>
              <w:t>U盘一套</w:t>
            </w:r>
            <w:r>
              <w:rPr>
                <w:rFonts w:ascii="宋体" w:hAnsi="宋体" w:cs="宋体"/>
                <w:sz w:val="24"/>
                <w:szCs w:val="24"/>
                <w:lang w:val="zh-CN"/>
              </w:rPr>
              <w:t>。</w:t>
            </w:r>
          </w:p>
        </w:tc>
      </w:tr>
      <w:tr>
        <w:tblPrEx>
          <w:tblLayout w:type="fixed"/>
          <w:tblCellMar>
            <w:top w:w="0" w:type="dxa"/>
            <w:left w:w="108" w:type="dxa"/>
            <w:bottom w:w="0" w:type="dxa"/>
            <w:right w:w="108" w:type="dxa"/>
          </w:tblCellMar>
        </w:tblPrEx>
        <w:trPr>
          <w:trHeight w:val="916"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18</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递交投标文件时间、截止时间、地点及地址</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rPr>
            </w:pPr>
            <w:r>
              <w:rPr>
                <w:rFonts w:ascii="宋体" w:hAnsi="宋体" w:cs="宋体"/>
                <w:sz w:val="24"/>
                <w:szCs w:val="24"/>
                <w:lang w:val="zh-CN"/>
              </w:rPr>
              <w:t>递交时间：20</w:t>
            </w:r>
            <w:r>
              <w:rPr>
                <w:rFonts w:ascii="宋体" w:hAnsi="宋体" w:cs="宋体"/>
                <w:sz w:val="24"/>
                <w:szCs w:val="24"/>
                <w:u w:val="single"/>
              </w:rPr>
              <w:t>21</w:t>
            </w:r>
            <w:r>
              <w:rPr>
                <w:rFonts w:ascii="宋体" w:hAnsi="宋体" w:cs="宋体"/>
                <w:sz w:val="24"/>
                <w:szCs w:val="24"/>
                <w:lang w:val="zh-CN"/>
              </w:rPr>
              <w:t>年</w:t>
            </w:r>
            <w:r>
              <w:rPr>
                <w:rFonts w:ascii="宋体" w:hAnsi="宋体" w:cs="宋体"/>
                <w:sz w:val="24"/>
                <w:szCs w:val="24"/>
                <w:u w:val="single"/>
              </w:rPr>
              <w:t xml:space="preserve"> </w:t>
            </w:r>
            <w:r>
              <w:rPr>
                <w:rFonts w:hint="eastAsia" w:ascii="宋体" w:hAnsi="宋体" w:cs="宋体"/>
                <w:sz w:val="24"/>
                <w:szCs w:val="24"/>
                <w:u w:val="single"/>
                <w:lang w:val="en-US" w:eastAsia="zh-CN"/>
              </w:rPr>
              <w:t>11</w:t>
            </w:r>
            <w:r>
              <w:rPr>
                <w:rFonts w:ascii="宋体" w:hAnsi="宋体" w:cs="宋体"/>
                <w:sz w:val="24"/>
                <w:szCs w:val="24"/>
                <w:u w:val="single"/>
              </w:rPr>
              <w:t xml:space="preserve"> </w:t>
            </w:r>
            <w:r>
              <w:rPr>
                <w:rFonts w:ascii="宋体" w:hAnsi="宋体" w:cs="宋体"/>
                <w:sz w:val="24"/>
                <w:szCs w:val="24"/>
                <w:lang w:val="zh-CN"/>
              </w:rPr>
              <w:t>月</w:t>
            </w:r>
            <w:r>
              <w:rPr>
                <w:rFonts w:ascii="宋体" w:hAnsi="宋体" w:cs="宋体"/>
                <w:sz w:val="24"/>
                <w:szCs w:val="24"/>
                <w:u w:val="single"/>
              </w:rPr>
              <w:t xml:space="preserve"> </w:t>
            </w:r>
            <w:r>
              <w:rPr>
                <w:rFonts w:hint="eastAsia" w:ascii="宋体" w:hAnsi="宋体" w:cs="宋体"/>
                <w:sz w:val="24"/>
                <w:szCs w:val="24"/>
                <w:u w:val="single"/>
                <w:lang w:val="en-US" w:eastAsia="zh-CN"/>
              </w:rPr>
              <w:t>09</w:t>
            </w:r>
            <w:r>
              <w:rPr>
                <w:rFonts w:ascii="宋体" w:hAnsi="宋体" w:cs="宋体"/>
                <w:sz w:val="24"/>
                <w:szCs w:val="24"/>
                <w:u w:val="single"/>
              </w:rPr>
              <w:t xml:space="preserve"> </w:t>
            </w:r>
            <w:r>
              <w:rPr>
                <w:rFonts w:ascii="宋体" w:hAnsi="宋体" w:cs="宋体"/>
                <w:sz w:val="24"/>
                <w:szCs w:val="24"/>
                <w:lang w:val="zh-CN"/>
              </w:rPr>
              <w:t>日</w:t>
            </w:r>
            <w:r>
              <w:rPr>
                <w:rFonts w:ascii="宋体" w:hAnsi="宋体" w:cs="宋体"/>
                <w:sz w:val="24"/>
                <w:szCs w:val="24"/>
                <w:u w:val="single"/>
              </w:rPr>
              <w:t>16</w:t>
            </w:r>
            <w:r>
              <w:rPr>
                <w:rFonts w:ascii="宋体" w:hAnsi="宋体" w:cs="宋体"/>
                <w:sz w:val="24"/>
                <w:szCs w:val="24"/>
                <w:lang w:val="zh-CN"/>
              </w:rPr>
              <w:t>时</w:t>
            </w:r>
            <w:r>
              <w:rPr>
                <w:rFonts w:ascii="宋体" w:hAnsi="宋体" w:cs="宋体"/>
                <w:sz w:val="24"/>
                <w:szCs w:val="24"/>
                <w:u w:val="single"/>
              </w:rPr>
              <w:t>00</w:t>
            </w:r>
            <w:r>
              <w:rPr>
                <w:rFonts w:ascii="宋体" w:hAnsi="宋体" w:cs="宋体"/>
                <w:sz w:val="24"/>
                <w:szCs w:val="24"/>
                <w:lang w:val="zh-CN"/>
              </w:rPr>
              <w:t>分。</w:t>
            </w:r>
          </w:p>
          <w:p>
            <w:pPr>
              <w:autoSpaceDE w:val="0"/>
              <w:autoSpaceDN w:val="0"/>
              <w:rPr>
                <w:rFonts w:ascii="宋体" w:hAnsi="宋体" w:cs="宋体"/>
                <w:sz w:val="24"/>
                <w:szCs w:val="24"/>
              </w:rPr>
            </w:pPr>
            <w:r>
              <w:rPr>
                <w:rFonts w:ascii="宋体" w:hAnsi="宋体" w:cs="宋体"/>
                <w:sz w:val="24"/>
                <w:szCs w:val="24"/>
                <w:lang w:val="zh-CN"/>
              </w:rPr>
              <w:t>截止时间：20</w:t>
            </w:r>
            <w:r>
              <w:rPr>
                <w:rFonts w:ascii="宋体" w:hAnsi="宋体" w:cs="宋体"/>
                <w:sz w:val="24"/>
                <w:szCs w:val="24"/>
                <w:u w:val="single"/>
              </w:rPr>
              <w:t>21</w:t>
            </w:r>
            <w:r>
              <w:rPr>
                <w:rFonts w:ascii="宋体" w:hAnsi="宋体" w:cs="宋体"/>
                <w:sz w:val="24"/>
                <w:szCs w:val="24"/>
                <w:lang w:val="zh-CN"/>
              </w:rPr>
              <w:t>年</w:t>
            </w:r>
            <w:r>
              <w:rPr>
                <w:rFonts w:ascii="宋体" w:hAnsi="宋体" w:cs="宋体"/>
                <w:sz w:val="24"/>
                <w:szCs w:val="24"/>
                <w:u w:val="single"/>
              </w:rPr>
              <w:t xml:space="preserve"> </w:t>
            </w:r>
            <w:r>
              <w:rPr>
                <w:rFonts w:hint="eastAsia" w:ascii="宋体" w:hAnsi="宋体" w:cs="宋体"/>
                <w:sz w:val="24"/>
                <w:szCs w:val="24"/>
                <w:u w:val="single"/>
                <w:lang w:val="en-US" w:eastAsia="zh-CN"/>
              </w:rPr>
              <w:t>11</w:t>
            </w:r>
            <w:r>
              <w:rPr>
                <w:rFonts w:ascii="宋体" w:hAnsi="宋体" w:cs="宋体"/>
                <w:sz w:val="24"/>
                <w:szCs w:val="24"/>
                <w:u w:val="single"/>
              </w:rPr>
              <w:t xml:space="preserve"> </w:t>
            </w:r>
            <w:r>
              <w:rPr>
                <w:rFonts w:ascii="宋体" w:hAnsi="宋体" w:cs="宋体"/>
                <w:sz w:val="24"/>
                <w:szCs w:val="24"/>
                <w:lang w:val="zh-CN"/>
              </w:rPr>
              <w:t>月</w:t>
            </w:r>
            <w:r>
              <w:rPr>
                <w:rFonts w:ascii="宋体" w:hAnsi="宋体" w:cs="宋体"/>
                <w:sz w:val="24"/>
                <w:szCs w:val="24"/>
                <w:u w:val="single"/>
              </w:rPr>
              <w:t xml:space="preserve"> </w:t>
            </w:r>
            <w:r>
              <w:rPr>
                <w:rFonts w:hint="eastAsia" w:ascii="宋体" w:hAnsi="宋体" w:cs="宋体"/>
                <w:sz w:val="24"/>
                <w:szCs w:val="24"/>
                <w:u w:val="single"/>
                <w:lang w:val="en-US" w:eastAsia="zh-CN"/>
              </w:rPr>
              <w:t>09</w:t>
            </w:r>
            <w:r>
              <w:rPr>
                <w:rFonts w:ascii="宋体" w:hAnsi="宋体" w:cs="宋体"/>
                <w:sz w:val="24"/>
                <w:szCs w:val="24"/>
                <w:u w:val="single"/>
              </w:rPr>
              <w:t xml:space="preserve"> </w:t>
            </w:r>
            <w:r>
              <w:rPr>
                <w:rFonts w:ascii="宋体" w:hAnsi="宋体" w:cs="宋体"/>
                <w:sz w:val="24"/>
                <w:szCs w:val="24"/>
                <w:lang w:val="zh-CN"/>
              </w:rPr>
              <w:t>日</w:t>
            </w:r>
            <w:r>
              <w:rPr>
                <w:rFonts w:ascii="宋体" w:hAnsi="宋体" w:cs="宋体"/>
                <w:sz w:val="24"/>
                <w:szCs w:val="24"/>
                <w:u w:val="single"/>
              </w:rPr>
              <w:t>16</w:t>
            </w:r>
            <w:r>
              <w:rPr>
                <w:rFonts w:ascii="宋体" w:hAnsi="宋体" w:cs="宋体"/>
                <w:sz w:val="24"/>
                <w:szCs w:val="24"/>
                <w:lang w:val="zh-CN"/>
              </w:rPr>
              <w:t>时</w:t>
            </w:r>
            <w:r>
              <w:rPr>
                <w:rFonts w:ascii="宋体" w:hAnsi="宋体" w:cs="宋体"/>
                <w:sz w:val="24"/>
                <w:szCs w:val="24"/>
                <w:u w:val="single"/>
              </w:rPr>
              <w:t>00</w:t>
            </w:r>
            <w:r>
              <w:rPr>
                <w:rFonts w:ascii="宋体" w:hAnsi="宋体" w:cs="宋体"/>
                <w:sz w:val="24"/>
                <w:szCs w:val="24"/>
                <w:lang w:val="zh-CN"/>
              </w:rPr>
              <w:t>分。</w:t>
            </w:r>
          </w:p>
          <w:p>
            <w:pPr>
              <w:autoSpaceDE w:val="0"/>
              <w:autoSpaceDN w:val="0"/>
              <w:rPr>
                <w:rFonts w:ascii="宋体" w:hAnsi="宋体" w:cs="宋体"/>
                <w:sz w:val="24"/>
                <w:szCs w:val="24"/>
                <w:lang w:val="zh-CN"/>
              </w:rPr>
            </w:pPr>
            <w:r>
              <w:rPr>
                <w:rFonts w:ascii="宋体" w:hAnsi="宋体" w:cs="宋体"/>
                <w:sz w:val="24"/>
                <w:szCs w:val="24"/>
                <w:lang w:val="zh-CN"/>
              </w:rPr>
              <w:t>地点：</w:t>
            </w:r>
            <w:r>
              <w:rPr>
                <w:rFonts w:ascii="宋体" w:hAnsi="宋体" w:cs="宋体"/>
                <w:sz w:val="24"/>
                <w:szCs w:val="24"/>
                <w:u w:val="single"/>
              </w:rPr>
              <w:t>新疆招标有限公司8楼小会议室</w:t>
            </w:r>
            <w:r>
              <w:rPr>
                <w:rFonts w:ascii="宋体" w:hAnsi="宋体" w:cs="宋体"/>
                <w:sz w:val="24"/>
                <w:szCs w:val="24"/>
                <w:lang w:val="zh-CN"/>
              </w:rPr>
              <w:t>。</w:t>
            </w:r>
          </w:p>
          <w:p>
            <w:pPr>
              <w:autoSpaceDE w:val="0"/>
              <w:autoSpaceDN w:val="0"/>
              <w:rPr>
                <w:rFonts w:ascii="宋体" w:hAnsi="宋体" w:cs="宋体"/>
                <w:kern w:val="0"/>
                <w:sz w:val="24"/>
                <w:szCs w:val="24"/>
                <w:lang w:val="zh-CN"/>
              </w:rPr>
            </w:pPr>
            <w:r>
              <w:rPr>
                <w:rFonts w:ascii="宋体" w:hAnsi="宋体" w:cs="宋体"/>
                <w:sz w:val="24"/>
                <w:szCs w:val="24"/>
                <w:lang w:val="zh-CN"/>
              </w:rPr>
              <w:t>地址：</w:t>
            </w:r>
            <w:r>
              <w:rPr>
                <w:rFonts w:ascii="宋体" w:hAnsi="宋体" w:cs="宋体"/>
                <w:sz w:val="24"/>
                <w:szCs w:val="24"/>
                <w:u w:val="single"/>
              </w:rPr>
              <w:t>乌鲁木齐市友好南路179号自治区工信厅13楼</w:t>
            </w:r>
            <w:r>
              <w:rPr>
                <w:rFonts w:ascii="宋体" w:hAnsi="宋体" w:cs="宋体"/>
                <w:sz w:val="24"/>
                <w:szCs w:val="24"/>
                <w:lang w:val="zh-CN"/>
              </w:rPr>
              <w:t>。</w:t>
            </w:r>
          </w:p>
        </w:tc>
      </w:tr>
      <w:tr>
        <w:tblPrEx>
          <w:tblLayout w:type="fixed"/>
          <w:tblCellMar>
            <w:top w:w="0" w:type="dxa"/>
            <w:left w:w="108" w:type="dxa"/>
            <w:bottom w:w="0" w:type="dxa"/>
            <w:right w:w="108" w:type="dxa"/>
          </w:tblCellMar>
        </w:tblPrEx>
        <w:trPr>
          <w:trHeight w:val="782"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19</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投标文件是否退还</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不退还。</w:t>
            </w:r>
          </w:p>
        </w:tc>
      </w:tr>
      <w:tr>
        <w:tblPrEx>
          <w:tblLayout w:type="fixed"/>
          <w:tblCellMar>
            <w:top w:w="0" w:type="dxa"/>
            <w:left w:w="108" w:type="dxa"/>
            <w:bottom w:w="0" w:type="dxa"/>
            <w:right w:w="108" w:type="dxa"/>
          </w:tblCellMar>
        </w:tblPrEx>
        <w:trPr>
          <w:trHeight w:val="453"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20</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开标时间、地点</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开标时间：20</w:t>
            </w:r>
            <w:r>
              <w:rPr>
                <w:rFonts w:ascii="宋体" w:hAnsi="宋体" w:cs="宋体"/>
                <w:sz w:val="24"/>
                <w:szCs w:val="24"/>
                <w:u w:val="single"/>
              </w:rPr>
              <w:t>21</w:t>
            </w:r>
            <w:r>
              <w:rPr>
                <w:rFonts w:ascii="宋体" w:hAnsi="宋体" w:cs="宋体"/>
                <w:sz w:val="24"/>
                <w:szCs w:val="24"/>
                <w:lang w:val="zh-CN"/>
              </w:rPr>
              <w:t>年</w:t>
            </w:r>
            <w:r>
              <w:rPr>
                <w:rFonts w:ascii="宋体" w:hAnsi="宋体" w:cs="宋体"/>
                <w:sz w:val="24"/>
                <w:szCs w:val="24"/>
                <w:u w:val="single"/>
              </w:rPr>
              <w:t xml:space="preserve"> </w:t>
            </w:r>
            <w:r>
              <w:rPr>
                <w:rFonts w:hint="eastAsia" w:ascii="宋体" w:hAnsi="宋体" w:cs="宋体"/>
                <w:sz w:val="24"/>
                <w:szCs w:val="24"/>
                <w:u w:val="single"/>
                <w:lang w:val="en-US" w:eastAsia="zh-CN"/>
              </w:rPr>
              <w:t>11</w:t>
            </w:r>
            <w:r>
              <w:rPr>
                <w:rFonts w:ascii="宋体" w:hAnsi="宋体" w:cs="宋体"/>
                <w:sz w:val="24"/>
                <w:szCs w:val="24"/>
                <w:u w:val="single"/>
              </w:rPr>
              <w:t xml:space="preserve"> </w:t>
            </w:r>
            <w:r>
              <w:rPr>
                <w:rFonts w:ascii="宋体" w:hAnsi="宋体" w:cs="宋体"/>
                <w:sz w:val="24"/>
                <w:szCs w:val="24"/>
                <w:lang w:val="zh-CN"/>
              </w:rPr>
              <w:t>月</w:t>
            </w:r>
            <w:r>
              <w:rPr>
                <w:rFonts w:ascii="宋体" w:hAnsi="宋体" w:cs="宋体"/>
                <w:sz w:val="24"/>
                <w:szCs w:val="24"/>
                <w:u w:val="single"/>
              </w:rPr>
              <w:t xml:space="preserve"> </w:t>
            </w:r>
            <w:r>
              <w:rPr>
                <w:rFonts w:hint="eastAsia" w:ascii="宋体" w:hAnsi="宋体" w:cs="宋体"/>
                <w:sz w:val="24"/>
                <w:szCs w:val="24"/>
                <w:u w:val="single"/>
                <w:lang w:val="en-US" w:eastAsia="zh-CN"/>
              </w:rPr>
              <w:t>09</w:t>
            </w:r>
            <w:r>
              <w:rPr>
                <w:rFonts w:ascii="宋体" w:hAnsi="宋体" w:cs="宋体"/>
                <w:sz w:val="24"/>
                <w:szCs w:val="24"/>
                <w:u w:val="single"/>
              </w:rPr>
              <w:t xml:space="preserve"> </w:t>
            </w:r>
            <w:r>
              <w:rPr>
                <w:rFonts w:ascii="宋体" w:hAnsi="宋体" w:cs="宋体"/>
                <w:sz w:val="24"/>
                <w:szCs w:val="24"/>
                <w:lang w:val="zh-CN"/>
              </w:rPr>
              <w:t>日</w:t>
            </w:r>
            <w:r>
              <w:rPr>
                <w:rFonts w:ascii="宋体" w:hAnsi="宋体" w:cs="宋体"/>
                <w:sz w:val="24"/>
                <w:szCs w:val="24"/>
                <w:u w:val="single"/>
              </w:rPr>
              <w:t>16</w:t>
            </w:r>
            <w:r>
              <w:rPr>
                <w:rFonts w:ascii="宋体" w:hAnsi="宋体" w:cs="宋体"/>
                <w:sz w:val="24"/>
                <w:szCs w:val="24"/>
                <w:lang w:val="zh-CN"/>
              </w:rPr>
              <w:t>时</w:t>
            </w:r>
            <w:r>
              <w:rPr>
                <w:rFonts w:ascii="宋体" w:hAnsi="宋体" w:cs="宋体"/>
                <w:sz w:val="24"/>
                <w:szCs w:val="24"/>
                <w:u w:val="single"/>
              </w:rPr>
              <w:t>00</w:t>
            </w:r>
            <w:r>
              <w:rPr>
                <w:rFonts w:ascii="宋体" w:hAnsi="宋体" w:cs="宋体"/>
                <w:sz w:val="24"/>
                <w:szCs w:val="24"/>
                <w:lang w:val="zh-CN"/>
              </w:rPr>
              <w:t>分；</w:t>
            </w:r>
          </w:p>
          <w:p>
            <w:pPr>
              <w:autoSpaceDE w:val="0"/>
              <w:autoSpaceDN w:val="0"/>
              <w:rPr>
                <w:rFonts w:ascii="宋体" w:hAnsi="宋体" w:cs="宋体"/>
                <w:sz w:val="24"/>
                <w:szCs w:val="24"/>
                <w:lang w:val="zh-CN"/>
              </w:rPr>
            </w:pPr>
            <w:r>
              <w:rPr>
                <w:rFonts w:ascii="宋体" w:hAnsi="宋体" w:cs="宋体"/>
                <w:sz w:val="24"/>
                <w:szCs w:val="24"/>
                <w:lang w:val="zh-CN"/>
              </w:rPr>
              <w:t>开标地点：</w:t>
            </w:r>
            <w:r>
              <w:rPr>
                <w:rFonts w:ascii="宋体" w:hAnsi="宋体" w:cs="宋体"/>
                <w:sz w:val="24"/>
                <w:szCs w:val="24"/>
                <w:u w:val="single"/>
              </w:rPr>
              <w:t>新疆招标有限公司8楼小会议室</w:t>
            </w:r>
            <w:r>
              <w:rPr>
                <w:rFonts w:ascii="宋体" w:hAnsi="宋体" w:cs="宋体"/>
                <w:sz w:val="24"/>
                <w:szCs w:val="24"/>
                <w:lang w:val="zh-CN"/>
              </w:rPr>
              <w:t>。</w:t>
            </w:r>
          </w:p>
        </w:tc>
      </w:tr>
      <w:tr>
        <w:tblPrEx>
          <w:tblLayout w:type="fixed"/>
          <w:tblCellMar>
            <w:top w:w="0" w:type="dxa"/>
            <w:left w:w="108" w:type="dxa"/>
            <w:bottom w:w="0" w:type="dxa"/>
            <w:right w:w="108" w:type="dxa"/>
          </w:tblCellMar>
        </w:tblPrEx>
        <w:trPr>
          <w:trHeight w:val="453"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2</w:t>
            </w:r>
            <w:r>
              <w:rPr>
                <w:rFonts w:ascii="宋体" w:hAnsi="宋体" w:cs="宋体"/>
                <w:sz w:val="24"/>
                <w:szCs w:val="24"/>
              </w:rPr>
              <w:t>1</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投标文件密封性检查</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由供应商或者其推选的代表检查所有投标文件的密封情况。</w:t>
            </w:r>
          </w:p>
        </w:tc>
      </w:tr>
      <w:tr>
        <w:tblPrEx>
          <w:tblLayout w:type="fixed"/>
          <w:tblCellMar>
            <w:top w:w="0" w:type="dxa"/>
            <w:left w:w="108" w:type="dxa"/>
            <w:bottom w:w="0" w:type="dxa"/>
            <w:right w:w="108" w:type="dxa"/>
          </w:tblCellMar>
        </w:tblPrEx>
        <w:trPr>
          <w:trHeight w:val="453"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2</w:t>
            </w:r>
            <w:r>
              <w:rPr>
                <w:rFonts w:ascii="宋体" w:hAnsi="宋体" w:cs="宋体"/>
                <w:sz w:val="24"/>
                <w:szCs w:val="24"/>
              </w:rPr>
              <w:t>2</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唱标顺序</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按照供应商递交投标文件的逆顺序进行。</w:t>
            </w:r>
          </w:p>
        </w:tc>
      </w:tr>
      <w:tr>
        <w:tblPrEx>
          <w:tblLayout w:type="fixed"/>
          <w:tblCellMar>
            <w:top w:w="0" w:type="dxa"/>
            <w:left w:w="108" w:type="dxa"/>
            <w:bottom w:w="0" w:type="dxa"/>
            <w:right w:w="108" w:type="dxa"/>
          </w:tblCellMar>
        </w:tblPrEx>
        <w:trPr>
          <w:trHeight w:val="453"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2</w:t>
            </w:r>
            <w:r>
              <w:rPr>
                <w:rFonts w:ascii="宋体" w:hAnsi="宋体" w:cs="宋体"/>
                <w:sz w:val="24"/>
                <w:szCs w:val="24"/>
              </w:rPr>
              <w:t>3</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评标委员会</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lang w:val="zh-CN"/>
              </w:rPr>
              <w:t>评标委员会构成：</w:t>
            </w:r>
            <w:r>
              <w:rPr>
                <w:rFonts w:ascii="宋体" w:hAnsi="宋体" w:cs="宋体"/>
                <w:sz w:val="24"/>
                <w:szCs w:val="24"/>
                <w:u w:val="single"/>
              </w:rPr>
              <w:t>5</w:t>
            </w:r>
            <w:r>
              <w:rPr>
                <w:rFonts w:ascii="宋体" w:hAnsi="宋体" w:cs="宋体"/>
                <w:sz w:val="24"/>
                <w:szCs w:val="24"/>
                <w:lang w:val="zh-CN"/>
              </w:rPr>
              <w:t>人，其中采购人代表</w:t>
            </w:r>
            <w:r>
              <w:rPr>
                <w:rFonts w:ascii="宋体" w:hAnsi="宋体" w:cs="宋体"/>
                <w:sz w:val="24"/>
                <w:szCs w:val="24"/>
                <w:u w:val="single"/>
              </w:rPr>
              <w:t>1</w:t>
            </w:r>
            <w:r>
              <w:rPr>
                <w:rFonts w:ascii="宋体" w:hAnsi="宋体" w:cs="宋体"/>
                <w:sz w:val="24"/>
                <w:szCs w:val="24"/>
                <w:lang w:val="zh-CN"/>
              </w:rPr>
              <w:t>人，</w:t>
            </w:r>
            <w:r>
              <w:rPr>
                <w:rFonts w:ascii="宋体" w:hAnsi="宋体" w:cs="宋体"/>
                <w:sz w:val="24"/>
                <w:szCs w:val="24"/>
              </w:rPr>
              <w:t>外聘</w:t>
            </w:r>
            <w:r>
              <w:rPr>
                <w:rFonts w:ascii="宋体" w:hAnsi="宋体" w:cs="宋体"/>
                <w:sz w:val="24"/>
                <w:szCs w:val="24"/>
                <w:lang w:val="zh-CN"/>
              </w:rPr>
              <w:t>专家</w:t>
            </w:r>
            <w:r>
              <w:rPr>
                <w:rFonts w:ascii="宋体" w:hAnsi="宋体" w:cs="宋体"/>
                <w:sz w:val="24"/>
                <w:szCs w:val="24"/>
                <w:u w:val="single"/>
              </w:rPr>
              <w:t>4</w:t>
            </w:r>
            <w:r>
              <w:rPr>
                <w:rFonts w:ascii="宋体" w:hAnsi="宋体" w:cs="宋体"/>
                <w:sz w:val="24"/>
                <w:szCs w:val="24"/>
                <w:lang w:val="zh-CN"/>
              </w:rPr>
              <w:t>人。</w:t>
            </w:r>
          </w:p>
        </w:tc>
      </w:tr>
      <w:tr>
        <w:tblPrEx>
          <w:tblLayout w:type="fixed"/>
          <w:tblCellMar>
            <w:top w:w="0" w:type="dxa"/>
            <w:left w:w="108" w:type="dxa"/>
            <w:bottom w:w="0" w:type="dxa"/>
            <w:right w:w="108" w:type="dxa"/>
          </w:tblCellMar>
        </w:tblPrEx>
        <w:trPr>
          <w:trHeight w:val="453"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2</w:t>
            </w:r>
            <w:r>
              <w:rPr>
                <w:rFonts w:ascii="宋体" w:hAnsi="宋体" w:cs="宋体"/>
                <w:sz w:val="24"/>
                <w:szCs w:val="24"/>
              </w:rPr>
              <w:t>4</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评标办法</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lang w:val="zh-CN"/>
              </w:rPr>
              <w:t xml:space="preserve">最低评标价法     </w:t>
            </w:r>
            <w:r>
              <w:rPr>
                <w:rFonts w:ascii="宋体" w:hAnsi="宋体" w:cs="宋体"/>
                <w:sz w:val="24"/>
                <w:szCs w:val="24"/>
                <w:lang w:val="zh-CN"/>
              </w:rPr>
              <w:sym w:font="Wingdings 2" w:char="0052"/>
            </w:r>
            <w:r>
              <w:rPr>
                <w:rFonts w:ascii="宋体" w:hAnsi="宋体" w:cs="宋体"/>
                <w:sz w:val="24"/>
                <w:szCs w:val="24"/>
                <w:lang w:val="zh-CN"/>
              </w:rPr>
              <w:t>综合评分法</w:t>
            </w:r>
          </w:p>
        </w:tc>
      </w:tr>
      <w:tr>
        <w:tblPrEx>
          <w:tblLayout w:type="fixed"/>
          <w:tblCellMar>
            <w:top w:w="0" w:type="dxa"/>
            <w:left w:w="108" w:type="dxa"/>
            <w:bottom w:w="0" w:type="dxa"/>
            <w:right w:w="108" w:type="dxa"/>
          </w:tblCellMar>
        </w:tblPrEx>
        <w:trPr>
          <w:trHeight w:val="710"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2</w:t>
            </w:r>
            <w:r>
              <w:rPr>
                <w:rFonts w:ascii="宋体" w:hAnsi="宋体" w:cs="宋体"/>
                <w:sz w:val="24"/>
                <w:szCs w:val="24"/>
              </w:rPr>
              <w:t>5</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技术文件是否采用“暗标”</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ascii="宋体" w:hAnsi="宋体" w:cs="宋体"/>
                <w:sz w:val="24"/>
                <w:szCs w:val="24"/>
              </w:rPr>
              <w:t xml:space="preserve">是               </w:t>
            </w:r>
            <w:r>
              <w:rPr>
                <w:rFonts w:ascii="宋体" w:hAnsi="宋体" w:cs="宋体"/>
                <w:sz w:val="24"/>
                <w:szCs w:val="24"/>
                <w:lang w:val="zh-CN"/>
              </w:rPr>
              <w:sym w:font="Wingdings 2" w:char="0052"/>
            </w:r>
            <w:r>
              <w:rPr>
                <w:rFonts w:ascii="宋体" w:hAnsi="宋体" w:cs="宋体"/>
                <w:sz w:val="24"/>
                <w:szCs w:val="24"/>
                <w:lang w:val="zh-CN"/>
              </w:rPr>
              <w:t>否</w:t>
            </w:r>
          </w:p>
        </w:tc>
      </w:tr>
      <w:tr>
        <w:tblPrEx>
          <w:tblLayout w:type="fixed"/>
          <w:tblCellMar>
            <w:top w:w="0" w:type="dxa"/>
            <w:left w:w="108" w:type="dxa"/>
            <w:bottom w:w="0" w:type="dxa"/>
            <w:right w:w="108" w:type="dxa"/>
          </w:tblCellMar>
        </w:tblPrEx>
        <w:trPr>
          <w:trHeight w:val="679"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lang w:val="zh-CN"/>
              </w:rPr>
              <w:t>2</w:t>
            </w:r>
            <w:r>
              <w:rPr>
                <w:rFonts w:ascii="宋体" w:hAnsi="宋体" w:cs="宋体"/>
                <w:sz w:val="24"/>
                <w:szCs w:val="24"/>
              </w:rPr>
              <w:t>6</w:t>
            </w:r>
          </w:p>
        </w:tc>
        <w:tc>
          <w:tcPr>
            <w:tcW w:w="20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color w:val="auto"/>
                <w:sz w:val="24"/>
                <w:szCs w:val="24"/>
                <w:lang w:val="zh-CN"/>
              </w:rPr>
              <w:t>中标人确定</w:t>
            </w:r>
          </w:p>
        </w:tc>
        <w:tc>
          <w:tcPr>
            <w:tcW w:w="719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r>
              <w:rPr>
                <w:rFonts w:ascii="宋体" w:hAnsi="宋体" w:cs="宋体"/>
                <w:sz w:val="24"/>
                <w:szCs w:val="24"/>
              </w:rPr>
              <w:fldChar w:fldCharType="begin"/>
            </w:r>
            <w:r>
              <w:rPr>
                <w:rFonts w:ascii="宋体" w:hAnsi="宋体" w:cs="宋体"/>
                <w:sz w:val="24"/>
                <w:szCs w:val="24"/>
              </w:rPr>
              <w:instrText xml:space="preserve"> eq \o\ac(□)</w:instrText>
            </w:r>
            <w:r>
              <w:rPr>
                <w:rFonts w:ascii="宋体" w:hAnsi="宋体" w:cs="宋体"/>
                <w:sz w:val="24"/>
                <w:szCs w:val="24"/>
              </w:rPr>
              <w:fldChar w:fldCharType="end"/>
            </w:r>
            <w:r>
              <w:rPr>
                <w:rFonts w:hint="eastAsia" w:ascii="宋体" w:hAnsi="宋体" w:cs="宋体"/>
                <w:sz w:val="24"/>
                <w:szCs w:val="24"/>
                <w:lang w:val="zh-CN"/>
              </w:rPr>
              <w:t>推荐中标候选人</w:t>
            </w:r>
            <w:r>
              <w:rPr>
                <w:rFonts w:hint="eastAsia" w:ascii="宋体" w:hAnsi="宋体" w:cs="宋体"/>
                <w:sz w:val="24"/>
                <w:szCs w:val="24"/>
                <w:lang w:val="en-US" w:eastAsia="zh-CN"/>
              </w:rPr>
              <w:t xml:space="preserve">          </w:t>
            </w:r>
            <w:r>
              <w:rPr>
                <w:rFonts w:ascii="宋体" w:hAnsi="宋体" w:cs="宋体"/>
                <w:sz w:val="24"/>
                <w:szCs w:val="24"/>
                <w:lang w:val="zh-CN"/>
              </w:rPr>
              <w:sym w:font="Wingdings 2" w:char="0052"/>
            </w:r>
            <w:r>
              <w:rPr>
                <w:rFonts w:ascii="宋体" w:hAnsi="宋体" w:cs="宋体"/>
                <w:sz w:val="24"/>
                <w:szCs w:val="24"/>
                <w:lang w:val="zh-CN"/>
              </w:rPr>
              <w:t>确定中标人</w:t>
            </w:r>
          </w:p>
        </w:tc>
      </w:tr>
      <w:tr>
        <w:tblPrEx>
          <w:tblLayout w:type="fixed"/>
          <w:tblCellMar>
            <w:top w:w="0" w:type="dxa"/>
            <w:left w:w="108" w:type="dxa"/>
            <w:bottom w:w="0" w:type="dxa"/>
            <w:right w:w="108" w:type="dxa"/>
          </w:tblCellMar>
        </w:tblPrEx>
        <w:trPr>
          <w:trHeight w:val="607"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lang w:val="zh-CN"/>
              </w:rPr>
            </w:pPr>
          </w:p>
        </w:tc>
        <w:tc>
          <w:tcPr>
            <w:tcW w:w="9231"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需要补充的其他内容</w:t>
            </w:r>
          </w:p>
        </w:tc>
      </w:tr>
      <w:tr>
        <w:tblPrEx>
          <w:tblLayout w:type="fixed"/>
          <w:tblCellMar>
            <w:top w:w="0" w:type="dxa"/>
            <w:left w:w="108" w:type="dxa"/>
            <w:bottom w:w="0" w:type="dxa"/>
            <w:right w:w="108" w:type="dxa"/>
          </w:tblCellMar>
        </w:tblPrEx>
        <w:trPr>
          <w:trHeight w:val="662"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27</w:t>
            </w:r>
          </w:p>
        </w:tc>
        <w:tc>
          <w:tcPr>
            <w:tcW w:w="1905"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hAnsi="宋体" w:cs="宋体"/>
                <w:color w:val="auto"/>
                <w:sz w:val="24"/>
                <w:szCs w:val="24"/>
              </w:rPr>
            </w:pPr>
            <w:r>
              <w:rPr>
                <w:rFonts w:ascii="宋体" w:hAnsi="宋体" w:cs="宋体"/>
                <w:color w:val="auto"/>
                <w:sz w:val="24"/>
                <w:szCs w:val="24"/>
              </w:rPr>
              <w:t>服务期限</w:t>
            </w:r>
          </w:p>
        </w:tc>
        <w:tc>
          <w:tcPr>
            <w:tcW w:w="7326"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一年</w:t>
            </w:r>
          </w:p>
        </w:tc>
      </w:tr>
      <w:tr>
        <w:tblPrEx>
          <w:tblLayout w:type="fixed"/>
          <w:tblCellMar>
            <w:top w:w="0" w:type="dxa"/>
            <w:left w:w="108" w:type="dxa"/>
            <w:bottom w:w="0" w:type="dxa"/>
            <w:right w:w="108" w:type="dxa"/>
          </w:tblCellMar>
        </w:tblPrEx>
        <w:trPr>
          <w:trHeight w:val="662"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28</w:t>
            </w:r>
          </w:p>
        </w:tc>
        <w:tc>
          <w:tcPr>
            <w:tcW w:w="1905"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hint="eastAsia" w:ascii="宋体" w:hAnsi="宋体" w:cs="宋体"/>
                <w:color w:val="auto"/>
                <w:sz w:val="24"/>
                <w:szCs w:val="24"/>
                <w:lang w:val="en-US" w:eastAsia="zh-CN"/>
              </w:rPr>
            </w:pPr>
            <w:r>
              <w:rPr>
                <w:rFonts w:ascii="宋体" w:hAnsi="宋体" w:cs="宋体"/>
                <w:color w:val="auto"/>
                <w:sz w:val="24"/>
                <w:szCs w:val="24"/>
              </w:rPr>
              <w:t>履约保证金</w:t>
            </w:r>
          </w:p>
        </w:tc>
        <w:tc>
          <w:tcPr>
            <w:tcW w:w="7326"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合同签订后，</w:t>
            </w:r>
            <w:r>
              <w:rPr>
                <w:rFonts w:ascii="宋体" w:hAnsi="宋体" w:eastAsia="宋体" w:cs="宋体"/>
                <w:color w:val="000000" w:themeColor="text1"/>
                <w:sz w:val="24"/>
                <w:szCs w:val="24"/>
                <w14:textFill>
                  <w14:solidFill>
                    <w14:schemeClr w14:val="tx1"/>
                  </w14:solidFill>
                </w14:textFill>
              </w:rPr>
              <w:t>7</w:t>
            </w:r>
            <w:r>
              <w:rPr>
                <w:rFonts w:ascii="宋体" w:hAnsi="宋体" w:cs="宋体"/>
                <w:color w:val="000000" w:themeColor="text1"/>
                <w:sz w:val="24"/>
                <w:szCs w:val="24"/>
                <w14:textFill>
                  <w14:solidFill>
                    <w14:schemeClr w14:val="tx1"/>
                  </w14:solidFill>
                </w14:textFill>
              </w:rPr>
              <w:t>个工作日内，乙方向甲方支付合同总金额的</w:t>
            </w:r>
            <w:r>
              <w:rPr>
                <w:rFonts w:ascii="宋体" w:hAnsi="宋体" w:eastAsia="宋体" w:cs="宋体"/>
                <w:color w:val="000000" w:themeColor="text1"/>
                <w:sz w:val="24"/>
                <w:szCs w:val="24"/>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作为履约保证金</w:t>
            </w:r>
          </w:p>
        </w:tc>
      </w:tr>
      <w:tr>
        <w:tblPrEx>
          <w:tblLayout w:type="fixed"/>
          <w:tblCellMar>
            <w:top w:w="0" w:type="dxa"/>
            <w:left w:w="108" w:type="dxa"/>
            <w:bottom w:w="0" w:type="dxa"/>
            <w:right w:w="108" w:type="dxa"/>
          </w:tblCellMar>
        </w:tblPrEx>
        <w:trPr>
          <w:trHeight w:val="662"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28</w:t>
            </w:r>
          </w:p>
        </w:tc>
        <w:tc>
          <w:tcPr>
            <w:tcW w:w="190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资金来源</w:t>
            </w:r>
          </w:p>
        </w:tc>
        <w:tc>
          <w:tcPr>
            <w:tcW w:w="73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财政资金</w:t>
            </w:r>
          </w:p>
        </w:tc>
      </w:tr>
      <w:tr>
        <w:tblPrEx>
          <w:tblLayout w:type="fixed"/>
          <w:tblCellMar>
            <w:top w:w="0" w:type="dxa"/>
            <w:left w:w="108" w:type="dxa"/>
            <w:bottom w:w="0" w:type="dxa"/>
            <w:right w:w="108" w:type="dxa"/>
          </w:tblCellMar>
        </w:tblPrEx>
        <w:trPr>
          <w:trHeight w:val="406" w:hRule="atLeast"/>
          <w:jc w:val="center"/>
        </w:trPr>
        <w:tc>
          <w:tcPr>
            <w:tcW w:w="54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szCs w:val="24"/>
              </w:rPr>
            </w:pPr>
            <w:r>
              <w:rPr>
                <w:rFonts w:ascii="宋体" w:hAnsi="宋体" w:cs="宋体"/>
                <w:sz w:val="24"/>
                <w:szCs w:val="24"/>
              </w:rPr>
              <w:t>29</w:t>
            </w:r>
          </w:p>
        </w:tc>
        <w:tc>
          <w:tcPr>
            <w:tcW w:w="190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kern w:val="0"/>
                <w:szCs w:val="21"/>
              </w:rPr>
            </w:pPr>
            <w:r>
              <w:rPr>
                <w:rFonts w:ascii="宋体" w:hAnsi="宋体" w:cs="宋体"/>
                <w:sz w:val="24"/>
                <w:szCs w:val="24"/>
              </w:rPr>
              <w:t>服务费收取</w:t>
            </w:r>
          </w:p>
        </w:tc>
        <w:tc>
          <w:tcPr>
            <w:tcW w:w="73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cs="宋体"/>
                <w:sz w:val="24"/>
                <w:szCs w:val="24"/>
              </w:rPr>
            </w:pPr>
            <w:r>
              <w:rPr>
                <w:rFonts w:ascii="宋体" w:hAnsi="宋体" w:cs="宋体"/>
                <w:sz w:val="24"/>
                <w:szCs w:val="24"/>
              </w:rPr>
              <w:t>适用于本供应商须知的额外增加的变动：采购代理服务费由中标方向新疆招标有限公司支付，支付标准按照国家计委计价格〔2002〕1980号文《采购代理服务费管理暂行办法》及发改办价格〔2003〕857号文内容执行（不含税）。</w:t>
            </w:r>
          </w:p>
        </w:tc>
      </w:tr>
    </w:tbl>
    <w:p>
      <w:pPr>
        <w:pStyle w:val="4"/>
        <w:spacing w:before="100" w:beforeAutospacing="1" w:after="100" w:afterAutospacing="1" w:line="400" w:lineRule="atLeast"/>
        <w:rPr>
          <w:rFonts w:eastAsia="宋体" w:cs="Arial"/>
          <w:sz w:val="28"/>
          <w:szCs w:val="28"/>
        </w:rPr>
      </w:pPr>
      <w:bookmarkStart w:id="2" w:name="_Toc349573121"/>
      <w:bookmarkStart w:id="3" w:name="_Toc349637920"/>
      <w:bookmarkStart w:id="4" w:name="_Toc267301282"/>
      <w:bookmarkStart w:id="5" w:name="_Toc2096653"/>
      <w:bookmarkStart w:id="6" w:name="_Toc298240405"/>
      <w:r>
        <w:rPr>
          <w:rFonts w:eastAsia="宋体" w:cs="Arial"/>
          <w:sz w:val="28"/>
          <w:szCs w:val="28"/>
        </w:rPr>
        <w:br w:type="page"/>
      </w:r>
    </w:p>
    <w:p>
      <w:pPr>
        <w:pStyle w:val="4"/>
        <w:spacing w:before="100" w:beforeAutospacing="1" w:after="100" w:afterAutospacing="1" w:line="400" w:lineRule="atLeast"/>
        <w:rPr>
          <w:rFonts w:eastAsia="宋体" w:cs="Arial"/>
          <w:sz w:val="28"/>
          <w:szCs w:val="28"/>
        </w:rPr>
      </w:pPr>
      <w:r>
        <w:rPr>
          <w:rFonts w:eastAsia="宋体" w:cs="Arial"/>
          <w:sz w:val="28"/>
          <w:szCs w:val="28"/>
        </w:rPr>
        <w:t>A  说　明</w:t>
      </w:r>
      <w:bookmarkEnd w:id="2"/>
      <w:bookmarkEnd w:id="3"/>
      <w:bookmarkEnd w:id="4"/>
      <w:bookmarkEnd w:id="5"/>
      <w:bookmarkEnd w:id="6"/>
    </w:p>
    <w:p>
      <w:pPr>
        <w:spacing w:line="400" w:lineRule="atLeast"/>
        <w:rPr>
          <w:rFonts w:ascii="Arial" w:hAnsi="Arial" w:cs="Arial"/>
          <w:sz w:val="24"/>
        </w:rPr>
      </w:pPr>
      <w:r>
        <w:rPr>
          <w:rFonts w:ascii="Arial" w:hAnsi="Arial" w:cs="Arial"/>
          <w:sz w:val="24"/>
        </w:rPr>
        <w:t>1. 适用范围</w:t>
      </w:r>
    </w:p>
    <w:p>
      <w:pPr>
        <w:numPr>
          <w:ilvl w:val="1"/>
          <w:numId w:val="3"/>
        </w:numPr>
        <w:spacing w:line="400" w:lineRule="atLeast"/>
        <w:rPr>
          <w:rFonts w:ascii="Arial" w:hAnsi="Arial" w:cs="Arial"/>
          <w:sz w:val="24"/>
        </w:rPr>
      </w:pPr>
      <w:r>
        <w:rPr>
          <w:rFonts w:ascii="Arial" w:hAnsi="Arial" w:cs="Arial"/>
          <w:sz w:val="24"/>
        </w:rPr>
        <w:t xml:space="preserve"> 本招标文件仅适用于本次招标邀请中所叙述项目的服务招标。</w:t>
      </w:r>
    </w:p>
    <w:p>
      <w:pPr>
        <w:spacing w:line="400" w:lineRule="atLeast"/>
        <w:rPr>
          <w:rFonts w:ascii="Arial" w:hAnsi="Arial" w:cs="Arial"/>
          <w:sz w:val="24"/>
        </w:rPr>
      </w:pPr>
      <w:r>
        <w:rPr>
          <w:rFonts w:ascii="Arial" w:hAnsi="Arial" w:cs="Arial"/>
          <w:sz w:val="24"/>
        </w:rPr>
        <w:t>2．定义</w:t>
      </w:r>
    </w:p>
    <w:p>
      <w:pPr>
        <w:spacing w:line="400" w:lineRule="atLeast"/>
        <w:rPr>
          <w:rFonts w:ascii="Arial" w:hAnsi="Arial" w:cs="Arial"/>
          <w:sz w:val="24"/>
        </w:rPr>
      </w:pPr>
      <w:r>
        <w:rPr>
          <w:rFonts w:ascii="Arial" w:hAnsi="Arial" w:cs="Arial"/>
          <w:sz w:val="24"/>
        </w:rPr>
        <w:t>2.1 “采购代理机构”系指新疆招标有限公司；</w:t>
      </w:r>
    </w:p>
    <w:p>
      <w:pPr>
        <w:spacing w:line="400" w:lineRule="atLeast"/>
        <w:ind w:left="480" w:hanging="480" w:hangingChars="200"/>
        <w:rPr>
          <w:rFonts w:ascii="Arial" w:hAnsi="Arial" w:cs="Arial"/>
          <w:sz w:val="24"/>
        </w:rPr>
      </w:pPr>
      <w:r>
        <w:rPr>
          <w:rFonts w:ascii="Arial" w:hAnsi="Arial" w:cs="Arial"/>
          <w:sz w:val="24"/>
        </w:rPr>
        <w:t>2.2 “采购人”系指</w:t>
      </w:r>
      <w:r>
        <w:rPr>
          <w:rFonts w:hint="eastAsia" w:ascii="Arial" w:hAnsi="Arial" w:cs="Arial"/>
          <w:sz w:val="24"/>
          <w:lang w:eastAsia="zh-CN"/>
        </w:rPr>
        <w:t>新疆维吾尔自治区工业和信息化厅</w:t>
      </w:r>
      <w:r>
        <w:rPr>
          <w:rFonts w:ascii="Arial" w:hAnsi="Arial" w:cs="Arial"/>
          <w:sz w:val="24"/>
        </w:rPr>
        <w:t>；</w:t>
      </w:r>
    </w:p>
    <w:p>
      <w:pPr>
        <w:pStyle w:val="9"/>
        <w:ind w:left="480" w:hanging="480" w:hangingChars="200"/>
      </w:pPr>
      <w:r>
        <w:t>2.3 “服务”是指除货物和工程以外的其他政府采购对象，包括各类专业服务、信息网络开发服务、金融保险服务、运输服务，以及维修与维护服务等。</w:t>
      </w:r>
    </w:p>
    <w:p>
      <w:pPr>
        <w:spacing w:line="400" w:lineRule="atLeast"/>
        <w:rPr>
          <w:rFonts w:ascii="Arial" w:hAnsi="Arial" w:cs="Arial"/>
          <w:sz w:val="24"/>
        </w:rPr>
      </w:pPr>
      <w:r>
        <w:rPr>
          <w:rFonts w:ascii="Arial" w:hAnsi="Arial" w:cs="Arial"/>
          <w:sz w:val="24"/>
        </w:rPr>
        <w:t>3．合格的供应商</w:t>
      </w:r>
    </w:p>
    <w:p>
      <w:pPr>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有能力提供磋商文件中所要求的服务、资格审查合格的为合格供应商</w:t>
      </w:r>
      <w:r>
        <w:rPr>
          <w:rFonts w:ascii="宋体" w:hAnsi="宋体"/>
          <w:sz w:val="24"/>
        </w:rPr>
        <w:t>；</w:t>
      </w:r>
    </w:p>
    <w:p>
      <w:pPr>
        <w:spacing w:line="400" w:lineRule="atLeast"/>
        <w:rPr>
          <w:rFonts w:ascii="Arial" w:hAnsi="Arial" w:cs="Arial"/>
          <w:sz w:val="24"/>
        </w:rPr>
      </w:pPr>
      <w:r>
        <w:rPr>
          <w:rFonts w:ascii="Arial" w:hAnsi="Arial" w:cs="Arial"/>
          <w:sz w:val="24"/>
        </w:rPr>
        <w:t>3.2 供应商必须遵守有关的国内法律和规章条例。</w:t>
      </w:r>
    </w:p>
    <w:p>
      <w:pPr>
        <w:spacing w:line="400" w:lineRule="atLeast"/>
        <w:rPr>
          <w:rFonts w:ascii="Arial" w:hAnsi="Arial" w:cs="Arial"/>
          <w:sz w:val="24"/>
        </w:rPr>
      </w:pPr>
      <w:r>
        <w:rPr>
          <w:rFonts w:ascii="Arial" w:hAnsi="Arial" w:cs="Arial"/>
          <w:sz w:val="24"/>
        </w:rPr>
        <w:t>4．供应商资格（详见“供应商须知附表”第6条）</w:t>
      </w:r>
    </w:p>
    <w:p>
      <w:pPr>
        <w:spacing w:line="400" w:lineRule="atLeast"/>
        <w:rPr>
          <w:rFonts w:ascii="Arial" w:hAnsi="Arial" w:cs="Arial"/>
          <w:sz w:val="24"/>
        </w:rPr>
      </w:pPr>
      <w:r>
        <w:rPr>
          <w:rFonts w:ascii="Arial" w:hAnsi="Arial" w:cs="Arial"/>
          <w:sz w:val="24"/>
        </w:rPr>
        <w:t>5．投标费用</w:t>
      </w:r>
    </w:p>
    <w:p>
      <w:pPr>
        <w:spacing w:line="400" w:lineRule="atLeast"/>
        <w:ind w:left="480" w:hanging="480"/>
        <w:rPr>
          <w:rFonts w:ascii="Arial" w:hAnsi="Arial" w:cs="Arial"/>
          <w:sz w:val="24"/>
        </w:rPr>
      </w:pPr>
      <w:r>
        <w:rPr>
          <w:rFonts w:ascii="Arial" w:hAnsi="Arial" w:cs="Arial"/>
          <w:sz w:val="24"/>
        </w:rPr>
        <w:t>5.1 无论投标过程中的作法和结果如何，供应商将自行承担所有与参加投标有关的全部费用。</w:t>
      </w:r>
    </w:p>
    <w:p>
      <w:pPr>
        <w:pStyle w:val="4"/>
        <w:spacing w:before="100" w:beforeAutospacing="1" w:after="100" w:afterAutospacing="1" w:line="400" w:lineRule="atLeast"/>
        <w:rPr>
          <w:rFonts w:eastAsia="宋体" w:cs="Arial"/>
          <w:sz w:val="28"/>
          <w:szCs w:val="28"/>
        </w:rPr>
      </w:pPr>
      <w:bookmarkStart w:id="7" w:name="_Toc349573122"/>
      <w:bookmarkStart w:id="8" w:name="_Toc349637921"/>
      <w:bookmarkStart w:id="9" w:name="_Toc298240406"/>
      <w:bookmarkStart w:id="10" w:name="_Toc2096654"/>
      <w:bookmarkStart w:id="11" w:name="_Toc267301283"/>
      <w:r>
        <w:rPr>
          <w:rFonts w:eastAsia="宋体" w:cs="Arial"/>
          <w:sz w:val="28"/>
          <w:szCs w:val="28"/>
        </w:rPr>
        <w:t xml:space="preserve">B  </w:t>
      </w:r>
      <w:bookmarkEnd w:id="7"/>
      <w:bookmarkEnd w:id="8"/>
      <w:bookmarkEnd w:id="9"/>
      <w:bookmarkEnd w:id="10"/>
      <w:bookmarkEnd w:id="11"/>
      <w:r>
        <w:rPr>
          <w:rFonts w:eastAsia="宋体" w:cs="Arial"/>
          <w:sz w:val="28"/>
          <w:szCs w:val="28"/>
        </w:rPr>
        <w:t>投标文件</w:t>
      </w:r>
    </w:p>
    <w:p>
      <w:pPr>
        <w:spacing w:line="400" w:lineRule="atLeast"/>
        <w:rPr>
          <w:rFonts w:ascii="Arial" w:hAnsi="Arial" w:cs="Arial"/>
          <w:sz w:val="24"/>
        </w:rPr>
      </w:pPr>
      <w:r>
        <w:rPr>
          <w:rFonts w:ascii="Arial" w:hAnsi="Arial" w:cs="Arial"/>
          <w:sz w:val="24"/>
        </w:rPr>
        <w:t>6．投标文件构成</w:t>
      </w:r>
    </w:p>
    <w:p>
      <w:pPr>
        <w:spacing w:line="400" w:lineRule="atLeast"/>
        <w:rPr>
          <w:rFonts w:ascii="Arial" w:hAnsi="Arial" w:cs="Arial"/>
          <w:sz w:val="24"/>
        </w:rPr>
      </w:pPr>
      <w:r>
        <w:rPr>
          <w:rFonts w:ascii="Arial" w:hAnsi="Arial" w:cs="Arial"/>
          <w:sz w:val="24"/>
        </w:rPr>
        <w:t>6.1投标文件包括：</w:t>
      </w:r>
    </w:p>
    <w:p>
      <w:pPr>
        <w:spacing w:line="400" w:lineRule="atLeast"/>
        <w:ind w:firstLine="240"/>
        <w:rPr>
          <w:rFonts w:ascii="宋体" w:hAnsi="宋体" w:cs="Arial"/>
          <w:sz w:val="24"/>
        </w:rPr>
      </w:pPr>
      <w:r>
        <w:rPr>
          <w:rFonts w:ascii="宋体" w:hAnsi="宋体" w:cs="Arial"/>
          <w:sz w:val="24"/>
        </w:rPr>
        <w:t>⑴招标公告；</w:t>
      </w:r>
    </w:p>
    <w:p>
      <w:pPr>
        <w:spacing w:line="400" w:lineRule="atLeast"/>
        <w:ind w:firstLine="240"/>
        <w:rPr>
          <w:rFonts w:ascii="宋体" w:hAnsi="宋体" w:cs="Arial"/>
          <w:sz w:val="24"/>
        </w:rPr>
      </w:pPr>
      <w:r>
        <w:rPr>
          <w:rFonts w:ascii="宋体" w:hAnsi="宋体" w:cs="Arial"/>
          <w:sz w:val="24"/>
        </w:rPr>
        <w:t>⑵供应商须知；</w:t>
      </w:r>
    </w:p>
    <w:p>
      <w:pPr>
        <w:spacing w:line="400" w:lineRule="atLeast"/>
        <w:ind w:firstLine="240"/>
        <w:rPr>
          <w:rFonts w:ascii="宋体" w:hAnsi="宋体" w:cs="Arial"/>
          <w:sz w:val="24"/>
        </w:rPr>
      </w:pPr>
      <w:r>
        <w:rPr>
          <w:rFonts w:ascii="宋体" w:hAnsi="宋体" w:cs="Arial"/>
          <w:sz w:val="24"/>
        </w:rPr>
        <w:t>⑶服务需求；</w:t>
      </w:r>
    </w:p>
    <w:p>
      <w:pPr>
        <w:spacing w:line="400" w:lineRule="atLeast"/>
        <w:ind w:firstLine="240"/>
        <w:rPr>
          <w:rFonts w:ascii="宋体" w:hAnsi="宋体" w:cs="Arial"/>
          <w:sz w:val="24"/>
        </w:rPr>
      </w:pPr>
      <w:r>
        <w:rPr>
          <w:rFonts w:ascii="宋体" w:hAnsi="宋体" w:cs="Arial"/>
          <w:sz w:val="24"/>
        </w:rPr>
        <w:t>⑷合同特殊条款；</w:t>
      </w:r>
    </w:p>
    <w:p>
      <w:pPr>
        <w:spacing w:line="400" w:lineRule="atLeast"/>
        <w:ind w:firstLine="240"/>
        <w:rPr>
          <w:rFonts w:ascii="宋体" w:hAnsi="宋体" w:cs="Arial"/>
          <w:sz w:val="24"/>
        </w:rPr>
      </w:pPr>
      <w:r>
        <w:rPr>
          <w:rFonts w:ascii="宋体" w:hAnsi="宋体" w:cs="Arial"/>
          <w:sz w:val="24"/>
        </w:rPr>
        <w:t>⑸范本格式。</w:t>
      </w:r>
    </w:p>
    <w:p>
      <w:pPr>
        <w:spacing w:line="400" w:lineRule="atLeast"/>
        <w:rPr>
          <w:rFonts w:ascii="Arial" w:hAnsi="Arial" w:cs="Arial"/>
          <w:sz w:val="24"/>
        </w:rPr>
      </w:pPr>
      <w:r>
        <w:rPr>
          <w:rFonts w:ascii="Arial" w:hAnsi="Arial" w:cs="Arial"/>
          <w:sz w:val="24"/>
        </w:rPr>
        <w:t>6.2 投标文件以中文编写。</w:t>
      </w:r>
    </w:p>
    <w:p>
      <w:pPr>
        <w:spacing w:line="400" w:lineRule="atLeast"/>
        <w:ind w:left="360" w:hanging="360" w:hangingChars="150"/>
        <w:rPr>
          <w:rFonts w:ascii="Arial" w:hAnsi="Arial" w:cs="Arial"/>
          <w:sz w:val="24"/>
        </w:rPr>
      </w:pPr>
      <w:r>
        <w:rPr>
          <w:rFonts w:ascii="Arial" w:hAnsi="Arial" w:cs="Arial"/>
          <w:sz w:val="24"/>
        </w:rPr>
        <w:t>6.3 供应商应认真阅读招标文件中所有的事项、格式、条款和规范等要求，从而对投标文件作出实质性响应。如果没有按照招标文件要求提交全部投标文件或资料，没有对招标文件作出实质性响应，其风险应由供应商自行承担。</w:t>
      </w:r>
    </w:p>
    <w:p>
      <w:pPr>
        <w:spacing w:line="400" w:lineRule="atLeast"/>
        <w:rPr>
          <w:rFonts w:ascii="Arial" w:hAnsi="Arial" w:cs="Arial"/>
          <w:sz w:val="24"/>
        </w:rPr>
      </w:pPr>
      <w:r>
        <w:rPr>
          <w:rFonts w:ascii="Arial" w:hAnsi="Arial" w:cs="Arial"/>
          <w:sz w:val="24"/>
        </w:rPr>
        <w:t>7．澄清</w:t>
      </w:r>
    </w:p>
    <w:p>
      <w:pPr>
        <w:spacing w:line="400" w:lineRule="atLeast"/>
        <w:ind w:left="480" w:hanging="480"/>
        <w:rPr>
          <w:rFonts w:ascii="Arial" w:hAnsi="Arial" w:cs="Arial"/>
          <w:sz w:val="24"/>
        </w:rPr>
      </w:pPr>
      <w:r>
        <w:rPr>
          <w:rFonts w:ascii="Arial" w:hAnsi="Arial" w:cs="Arial"/>
          <w:sz w:val="24"/>
        </w:rPr>
        <w:t>7.1供应商对招标文件有疑问的，须在投标截止时间15日前以书面形式向招标机构提出；招标机构在收到书面疑问后尽快做出答复，并以书面形式通知疑问供应商和其他有关供应商。</w:t>
      </w:r>
    </w:p>
    <w:p>
      <w:pPr>
        <w:spacing w:line="400" w:lineRule="atLeast"/>
        <w:ind w:left="480" w:hanging="480"/>
        <w:rPr>
          <w:rFonts w:ascii="Arial" w:hAnsi="Arial" w:cs="Arial"/>
          <w:sz w:val="24"/>
        </w:rPr>
      </w:pPr>
      <w:r>
        <w:rPr>
          <w:rFonts w:ascii="Arial" w:hAnsi="Arial" w:cs="Arial"/>
          <w:sz w:val="24"/>
        </w:rPr>
        <w:t>7.2供应商对招标文件有质疑的，须在得到招标文件之日起7个工作日内，以书面形式向招标机构提出质疑；招标机构在收到书面质疑后7个工作日内作出答复，并以书面形式通知质疑供应商和其他有关供应商。</w:t>
      </w:r>
    </w:p>
    <w:p>
      <w:pPr>
        <w:spacing w:line="400" w:lineRule="atLeast"/>
        <w:rPr>
          <w:rFonts w:ascii="Arial" w:hAnsi="Arial" w:cs="Arial"/>
          <w:sz w:val="24"/>
        </w:rPr>
      </w:pPr>
      <w:r>
        <w:rPr>
          <w:rFonts w:ascii="Arial" w:hAnsi="Arial" w:cs="Arial"/>
          <w:sz w:val="24"/>
        </w:rPr>
        <w:t>8.  招标文件的修改</w:t>
      </w:r>
    </w:p>
    <w:p>
      <w:pPr>
        <w:spacing w:line="400" w:lineRule="atLeast"/>
        <w:ind w:left="480" w:hanging="480"/>
        <w:rPr>
          <w:rFonts w:ascii="Arial" w:hAnsi="Arial" w:cs="Arial"/>
          <w:sz w:val="24"/>
        </w:rPr>
      </w:pPr>
      <w:r>
        <w:rPr>
          <w:rFonts w:ascii="Arial" w:hAnsi="Arial" w:cs="Arial"/>
          <w:sz w:val="24"/>
        </w:rPr>
        <w:t>8.1 对招标文件进行必要的修改，采购代理机构将在投标截止时间15日前以书面形式通知所有购买招标文件的供应商。该修改的内容为招标文件的组成部分；</w:t>
      </w:r>
    </w:p>
    <w:p>
      <w:pPr>
        <w:spacing w:line="400" w:lineRule="atLeast"/>
        <w:ind w:left="480" w:hanging="480"/>
        <w:rPr>
          <w:rFonts w:ascii="Arial" w:hAnsi="Arial" w:cs="Arial"/>
          <w:sz w:val="24"/>
        </w:rPr>
      </w:pPr>
      <w:r>
        <w:rPr>
          <w:rFonts w:ascii="Arial" w:hAnsi="Arial" w:cs="Arial"/>
          <w:sz w:val="24"/>
        </w:rPr>
        <w:t>8.2 在投标截止时间前，招标机构可视具体情况延长投标截止时间，并将变更时间书面通知所有购买招标文件的供应商。</w:t>
      </w:r>
    </w:p>
    <w:p>
      <w:pPr>
        <w:pStyle w:val="4"/>
        <w:spacing w:before="100" w:beforeAutospacing="1" w:after="100" w:afterAutospacing="1" w:line="400" w:lineRule="atLeast"/>
        <w:rPr>
          <w:rFonts w:eastAsia="宋体" w:cs="Arial"/>
          <w:sz w:val="28"/>
          <w:szCs w:val="28"/>
        </w:rPr>
      </w:pPr>
      <w:bookmarkStart w:id="12" w:name="_Toc349573123"/>
      <w:bookmarkStart w:id="13" w:name="_Toc298240407"/>
      <w:bookmarkStart w:id="14" w:name="_Toc2096655"/>
      <w:bookmarkStart w:id="15" w:name="_Toc267301284"/>
      <w:bookmarkStart w:id="16" w:name="_Toc349637922"/>
      <w:r>
        <w:rPr>
          <w:rFonts w:eastAsia="宋体" w:cs="Arial"/>
          <w:sz w:val="28"/>
          <w:szCs w:val="28"/>
        </w:rPr>
        <w:t>C  投标文件的编写</w:t>
      </w:r>
      <w:bookmarkEnd w:id="12"/>
      <w:bookmarkEnd w:id="13"/>
      <w:bookmarkEnd w:id="14"/>
      <w:bookmarkEnd w:id="15"/>
      <w:bookmarkEnd w:id="16"/>
    </w:p>
    <w:p>
      <w:pPr>
        <w:spacing w:line="400" w:lineRule="atLeast"/>
        <w:rPr>
          <w:rFonts w:ascii="Arial" w:hAnsi="Arial" w:cs="Arial"/>
          <w:sz w:val="24"/>
        </w:rPr>
      </w:pPr>
      <w:r>
        <w:rPr>
          <w:rFonts w:ascii="Arial" w:hAnsi="Arial" w:cs="Arial"/>
          <w:sz w:val="24"/>
        </w:rPr>
        <w:t>9．要求</w:t>
      </w:r>
    </w:p>
    <w:p>
      <w:pPr>
        <w:spacing w:line="400" w:lineRule="atLeast"/>
        <w:ind w:left="360" w:hanging="360" w:hangingChars="150"/>
        <w:rPr>
          <w:rFonts w:ascii="Arial" w:hAnsi="Arial" w:cs="Arial"/>
          <w:sz w:val="24"/>
        </w:rPr>
      </w:pPr>
      <w:r>
        <w:rPr>
          <w:rFonts w:ascii="Arial" w:hAnsi="Arial" w:cs="Arial"/>
          <w:sz w:val="24"/>
        </w:rPr>
        <w:t>9.1 供应商应仔细阅读招标文件的所有内容，按招标文件的要求提供投标文件，并保证所提供的全部资料的真实性，以使其投标对招标文件作出实质性响应，否则，其投标可能被拒绝。</w:t>
      </w:r>
    </w:p>
    <w:p>
      <w:pPr>
        <w:spacing w:line="400" w:lineRule="atLeast"/>
        <w:rPr>
          <w:rFonts w:ascii="Arial" w:hAnsi="Arial" w:cs="Arial"/>
          <w:sz w:val="24"/>
        </w:rPr>
      </w:pPr>
      <w:r>
        <w:rPr>
          <w:rFonts w:ascii="Arial" w:hAnsi="Arial" w:cs="Arial"/>
          <w:sz w:val="24"/>
        </w:rPr>
        <w:t>10．投标语言</w:t>
      </w:r>
    </w:p>
    <w:p>
      <w:pPr>
        <w:spacing w:line="400" w:lineRule="atLeast"/>
        <w:ind w:left="600" w:hanging="600" w:hangingChars="250"/>
        <w:rPr>
          <w:rFonts w:ascii="Arial" w:hAnsi="Arial" w:cs="Arial"/>
          <w:sz w:val="24"/>
        </w:rPr>
      </w:pPr>
      <w:r>
        <w:rPr>
          <w:rFonts w:ascii="Arial" w:hAnsi="Arial" w:cs="Arial"/>
          <w:sz w:val="24"/>
        </w:rPr>
        <w:t>10.1投标文件及供应商与采购代理机构就投标交换的文件和来往信件，应以中文书写。</w:t>
      </w:r>
    </w:p>
    <w:p>
      <w:pPr>
        <w:spacing w:line="400" w:lineRule="atLeast"/>
        <w:rPr>
          <w:rFonts w:ascii="Arial" w:hAnsi="Arial" w:cs="Arial"/>
          <w:sz w:val="24"/>
        </w:rPr>
      </w:pPr>
      <w:r>
        <w:rPr>
          <w:rFonts w:ascii="Arial" w:hAnsi="Arial" w:cs="Arial"/>
          <w:sz w:val="24"/>
        </w:rPr>
        <w:t>11．投标文件的构成</w:t>
      </w:r>
    </w:p>
    <w:p>
      <w:pPr>
        <w:spacing w:line="400" w:lineRule="atLeast"/>
        <w:rPr>
          <w:rFonts w:ascii="Arial" w:hAnsi="Arial" w:cs="Arial"/>
          <w:sz w:val="24"/>
        </w:rPr>
      </w:pPr>
      <w:r>
        <w:rPr>
          <w:rFonts w:ascii="Arial" w:hAnsi="Arial" w:cs="Arial"/>
          <w:sz w:val="24"/>
        </w:rPr>
        <w:t>11.1 供应商编写的投标文件应包括下列内容：</w:t>
      </w:r>
    </w:p>
    <w:p>
      <w:pPr>
        <w:spacing w:line="400" w:lineRule="atLeast"/>
        <w:rPr>
          <w:rFonts w:ascii="Arial" w:hAnsi="Arial" w:cs="Arial"/>
          <w:sz w:val="24"/>
        </w:rPr>
      </w:pPr>
      <w:r>
        <w:rPr>
          <w:rFonts w:ascii="Arial" w:hAnsi="Arial" w:cs="Arial"/>
          <w:sz w:val="24"/>
        </w:rPr>
        <w:t>1）投标函</w:t>
      </w:r>
    </w:p>
    <w:p>
      <w:pPr>
        <w:spacing w:line="400" w:lineRule="atLeast"/>
        <w:rPr>
          <w:rFonts w:ascii="Arial" w:hAnsi="Arial" w:cs="Arial"/>
          <w:sz w:val="24"/>
        </w:rPr>
      </w:pPr>
      <w:r>
        <w:rPr>
          <w:rFonts w:ascii="Arial" w:hAnsi="Arial" w:cs="Arial"/>
          <w:sz w:val="24"/>
        </w:rPr>
        <w:t>2）报价一览表</w:t>
      </w:r>
    </w:p>
    <w:p>
      <w:pPr>
        <w:spacing w:line="400" w:lineRule="atLeast"/>
        <w:rPr>
          <w:rFonts w:ascii="Arial" w:hAnsi="Arial" w:cs="Arial"/>
          <w:sz w:val="24"/>
        </w:rPr>
      </w:pPr>
      <w:r>
        <w:rPr>
          <w:rFonts w:ascii="Arial" w:hAnsi="Arial" w:cs="Arial"/>
          <w:sz w:val="24"/>
        </w:rPr>
        <w:t>3）分项报价表</w:t>
      </w:r>
    </w:p>
    <w:p>
      <w:pPr>
        <w:spacing w:line="400" w:lineRule="atLeast"/>
        <w:rPr>
          <w:rFonts w:ascii="Arial" w:hAnsi="Arial" w:cs="Arial"/>
          <w:sz w:val="24"/>
        </w:rPr>
      </w:pPr>
      <w:r>
        <w:rPr>
          <w:rFonts w:ascii="Arial" w:hAnsi="Arial" w:cs="Arial"/>
          <w:sz w:val="24"/>
        </w:rPr>
        <w:t>4）服务需求偏离表</w:t>
      </w:r>
    </w:p>
    <w:p>
      <w:pPr>
        <w:spacing w:line="400" w:lineRule="atLeast"/>
        <w:rPr>
          <w:rFonts w:ascii="Arial" w:hAnsi="Arial" w:cs="Arial"/>
          <w:sz w:val="24"/>
        </w:rPr>
      </w:pPr>
      <w:r>
        <w:rPr>
          <w:rFonts w:ascii="Arial" w:hAnsi="Arial" w:cs="Arial"/>
          <w:sz w:val="24"/>
        </w:rPr>
        <w:t>5）商务条款偏离表</w:t>
      </w:r>
    </w:p>
    <w:p>
      <w:pPr>
        <w:spacing w:line="400" w:lineRule="atLeast"/>
        <w:rPr>
          <w:rFonts w:ascii="Arial" w:hAnsi="Arial" w:cs="Arial"/>
          <w:sz w:val="24"/>
        </w:rPr>
      </w:pPr>
      <w:r>
        <w:rPr>
          <w:rFonts w:ascii="Arial" w:hAnsi="Arial" w:cs="Arial"/>
          <w:sz w:val="24"/>
        </w:rPr>
        <w:t>6）法人授权委托书</w:t>
      </w:r>
    </w:p>
    <w:p>
      <w:pPr>
        <w:spacing w:line="400" w:lineRule="atLeast"/>
        <w:rPr>
          <w:rFonts w:ascii="Arial" w:hAnsi="Arial" w:cs="Arial"/>
          <w:sz w:val="24"/>
        </w:rPr>
      </w:pPr>
      <w:r>
        <w:rPr>
          <w:rFonts w:ascii="Arial" w:hAnsi="Arial" w:cs="Arial"/>
          <w:sz w:val="24"/>
        </w:rPr>
        <w:t>7）关于资格的声明函</w:t>
      </w:r>
    </w:p>
    <w:p>
      <w:pPr>
        <w:spacing w:line="400" w:lineRule="atLeast"/>
        <w:rPr>
          <w:rFonts w:ascii="Arial" w:hAnsi="Arial" w:cs="Arial"/>
          <w:sz w:val="24"/>
        </w:rPr>
      </w:pPr>
      <w:r>
        <w:rPr>
          <w:rFonts w:ascii="Arial" w:hAnsi="Arial" w:cs="Arial"/>
          <w:sz w:val="24"/>
        </w:rPr>
        <w:t>8）供应商概况</w:t>
      </w:r>
    </w:p>
    <w:p>
      <w:pPr>
        <w:spacing w:line="400" w:lineRule="atLeast"/>
        <w:rPr>
          <w:rFonts w:ascii="Arial" w:hAnsi="Arial" w:cs="Arial"/>
          <w:sz w:val="24"/>
        </w:rPr>
      </w:pPr>
      <w:r>
        <w:rPr>
          <w:rFonts w:ascii="Arial" w:hAnsi="Arial" w:cs="Arial"/>
          <w:sz w:val="24"/>
        </w:rPr>
        <w:t>9）供应商类似业绩</w:t>
      </w:r>
    </w:p>
    <w:p>
      <w:pPr>
        <w:spacing w:line="400" w:lineRule="atLeast"/>
        <w:rPr>
          <w:rFonts w:ascii="Arial" w:hAnsi="Arial" w:cs="Arial"/>
          <w:sz w:val="24"/>
        </w:rPr>
      </w:pPr>
      <w:r>
        <w:rPr>
          <w:rFonts w:ascii="Arial" w:hAnsi="Arial" w:cs="Arial"/>
          <w:sz w:val="24"/>
        </w:rPr>
        <w:t>10）拟派项目负责人简历表</w:t>
      </w:r>
    </w:p>
    <w:p>
      <w:pPr>
        <w:spacing w:line="400" w:lineRule="atLeast"/>
        <w:rPr>
          <w:rFonts w:ascii="Arial" w:hAnsi="Arial" w:cs="Arial"/>
          <w:sz w:val="24"/>
        </w:rPr>
      </w:pPr>
      <w:r>
        <w:rPr>
          <w:rFonts w:ascii="Arial" w:hAnsi="Arial" w:cs="Arial"/>
          <w:sz w:val="24"/>
        </w:rPr>
        <w:t>11）拟派本项目服务人员情况一览表</w:t>
      </w:r>
    </w:p>
    <w:p>
      <w:pPr>
        <w:spacing w:line="400" w:lineRule="atLeast"/>
        <w:rPr>
          <w:rFonts w:ascii="Arial" w:hAnsi="Arial" w:cs="Arial"/>
          <w:sz w:val="24"/>
        </w:rPr>
      </w:pPr>
      <w:r>
        <w:rPr>
          <w:rFonts w:ascii="Arial" w:hAnsi="Arial" w:cs="Arial"/>
          <w:sz w:val="24"/>
        </w:rPr>
        <w:t>12）服务团队相关工作经验</w:t>
      </w:r>
    </w:p>
    <w:p>
      <w:pPr>
        <w:spacing w:line="400" w:lineRule="atLeast"/>
        <w:rPr>
          <w:rFonts w:ascii="Arial" w:hAnsi="Arial" w:cs="Arial"/>
          <w:sz w:val="24"/>
        </w:rPr>
      </w:pPr>
      <w:r>
        <w:rPr>
          <w:rFonts w:ascii="Arial" w:hAnsi="Arial" w:cs="Arial"/>
          <w:sz w:val="24"/>
        </w:rPr>
        <w:t>13）服务实施方案</w:t>
      </w:r>
    </w:p>
    <w:p>
      <w:pPr>
        <w:spacing w:line="400" w:lineRule="atLeast"/>
        <w:rPr>
          <w:rFonts w:ascii="Arial" w:hAnsi="Arial" w:cs="Arial"/>
          <w:sz w:val="24"/>
        </w:rPr>
      </w:pPr>
      <w:r>
        <w:rPr>
          <w:rFonts w:ascii="Arial" w:hAnsi="Arial" w:cs="Arial"/>
          <w:sz w:val="24"/>
        </w:rPr>
        <w:t>14）资质证明文件</w:t>
      </w:r>
    </w:p>
    <w:p>
      <w:pPr>
        <w:spacing w:line="400" w:lineRule="atLeast"/>
        <w:rPr>
          <w:rFonts w:ascii="Arial" w:hAnsi="Arial" w:cs="Arial"/>
          <w:sz w:val="24"/>
        </w:rPr>
      </w:pPr>
      <w:r>
        <w:rPr>
          <w:rFonts w:ascii="Arial" w:hAnsi="Arial" w:cs="Arial"/>
          <w:sz w:val="24"/>
        </w:rPr>
        <w:t>11.2 供应商应将投标文件装订成册，并填写文件资料清单。</w:t>
      </w:r>
    </w:p>
    <w:p>
      <w:pPr>
        <w:spacing w:line="400" w:lineRule="atLeast"/>
        <w:rPr>
          <w:rFonts w:ascii="Arial" w:hAnsi="Arial" w:cs="Arial"/>
          <w:sz w:val="24"/>
        </w:rPr>
      </w:pPr>
      <w:r>
        <w:rPr>
          <w:rFonts w:ascii="Arial" w:hAnsi="Arial" w:cs="Arial"/>
          <w:sz w:val="24"/>
        </w:rPr>
        <w:t>12．投标文件格式</w:t>
      </w:r>
    </w:p>
    <w:p>
      <w:pPr>
        <w:spacing w:line="400" w:lineRule="atLeast"/>
        <w:ind w:left="600" w:hanging="600" w:hangingChars="250"/>
        <w:rPr>
          <w:rFonts w:ascii="Arial" w:hAnsi="Arial" w:cs="Arial"/>
          <w:sz w:val="24"/>
        </w:rPr>
      </w:pPr>
      <w:r>
        <w:rPr>
          <w:rFonts w:ascii="Arial" w:hAnsi="Arial" w:cs="Arial"/>
          <w:sz w:val="24"/>
        </w:rPr>
        <w:t>12.1 供应商应按招标文件的范本格式中提供的投标文件格式填写投标书、开标一览表、投标分项报价表。</w:t>
      </w:r>
    </w:p>
    <w:p>
      <w:pPr>
        <w:spacing w:line="400" w:lineRule="atLeast"/>
        <w:rPr>
          <w:rFonts w:ascii="Arial" w:hAnsi="Arial" w:cs="Arial"/>
          <w:sz w:val="24"/>
        </w:rPr>
      </w:pPr>
      <w:r>
        <w:rPr>
          <w:rFonts w:ascii="Arial" w:hAnsi="Arial" w:cs="Arial"/>
          <w:sz w:val="24"/>
        </w:rPr>
        <w:t>13．投标报价</w:t>
      </w:r>
    </w:p>
    <w:p>
      <w:pPr>
        <w:spacing w:line="400" w:lineRule="atLeast"/>
        <w:ind w:left="600" w:hanging="600" w:hangingChars="250"/>
        <w:rPr>
          <w:rFonts w:ascii="Arial" w:hAnsi="Arial" w:cs="Arial"/>
          <w:sz w:val="24"/>
        </w:rPr>
      </w:pPr>
      <w:r>
        <w:rPr>
          <w:rFonts w:ascii="Arial" w:hAnsi="Arial" w:cs="Arial"/>
          <w:sz w:val="24"/>
        </w:rPr>
        <w:t>13.1 供应商应在投标报价表上标明单价和总价。单价合计和总价要相符。小写和大写要相符。供应商应在投标报价表中标明其提供的服务及其相关工作范围内所有费用的总价，不接受有任何选择性报价。</w:t>
      </w:r>
    </w:p>
    <w:p>
      <w:pPr>
        <w:spacing w:line="400" w:lineRule="atLeast"/>
        <w:ind w:left="629" w:hanging="628" w:hangingChars="262"/>
        <w:rPr>
          <w:rFonts w:ascii="Arial" w:hAnsi="Arial" w:cs="Arial"/>
          <w:sz w:val="24"/>
        </w:rPr>
      </w:pPr>
      <w:r>
        <w:rPr>
          <w:rFonts w:ascii="Arial" w:hAnsi="Arial" w:cs="Arial"/>
          <w:sz w:val="24"/>
        </w:rPr>
        <w:t>13.2 算术性修正。算术性修正是指对投标文件的报价明细进行校核，并对其算术上和运算上的差错给予修正。修正的原则如下：</w:t>
      </w:r>
    </w:p>
    <w:p>
      <w:pPr>
        <w:spacing w:line="400" w:lineRule="atLeast"/>
        <w:ind w:left="720" w:hanging="720" w:hangingChars="300"/>
        <w:rPr>
          <w:rFonts w:ascii="Arial" w:hAnsi="Arial" w:cs="Arial"/>
          <w:sz w:val="24"/>
        </w:rPr>
      </w:pPr>
      <w:r>
        <w:rPr>
          <w:rFonts w:ascii="Arial" w:hAnsi="Arial" w:cs="Arial"/>
          <w:sz w:val="24"/>
        </w:rPr>
        <w:t>13.2.1 当以数字表示的金额与文字表示的金额有差异时，以文字表示的金额为准；</w:t>
      </w:r>
    </w:p>
    <w:p>
      <w:pPr>
        <w:spacing w:line="400" w:lineRule="atLeast"/>
        <w:ind w:left="720" w:hanging="720" w:hangingChars="300"/>
        <w:rPr>
          <w:rFonts w:ascii="Arial" w:hAnsi="Arial" w:cs="Arial"/>
          <w:sz w:val="24"/>
        </w:rPr>
      </w:pPr>
      <w:r>
        <w:rPr>
          <w:rFonts w:ascii="Arial" w:hAnsi="Arial" w:cs="Arial"/>
          <w:sz w:val="24"/>
        </w:rPr>
        <w:t>13.2.2 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sz w:val="24"/>
        </w:rPr>
      </w:pPr>
      <w:r>
        <w:rPr>
          <w:rFonts w:ascii="Arial" w:hAnsi="Arial" w:cs="Arial"/>
          <w:sz w:val="24"/>
        </w:rPr>
        <w:t>13.2.3 当各明细部分的价格累计不等于合价时，应以各明细的累计计数为准，修正合价。</w:t>
      </w:r>
    </w:p>
    <w:p>
      <w:pPr>
        <w:spacing w:line="400" w:lineRule="atLeast"/>
        <w:ind w:left="720" w:hanging="720" w:hangingChars="300"/>
        <w:rPr>
          <w:rFonts w:ascii="Arial" w:hAnsi="Arial" w:cs="Arial"/>
          <w:sz w:val="24"/>
        </w:rPr>
      </w:pPr>
      <w:r>
        <w:rPr>
          <w:rFonts w:ascii="Arial" w:hAnsi="Arial" w:cs="Arial"/>
          <w:sz w:val="24"/>
        </w:rPr>
        <w:t>13.2.4 按以上原则对算术性差错修正，应取得供应商的同意，并确认修正后最终投标价。如果供应商拒绝确认，则其投标文件将不予以评审并按废标处理，没收其投标担保。</w:t>
      </w:r>
    </w:p>
    <w:p>
      <w:pPr>
        <w:spacing w:line="400" w:lineRule="atLeast"/>
        <w:rPr>
          <w:rFonts w:ascii="Arial" w:hAnsi="Arial" w:cs="Arial"/>
          <w:sz w:val="24"/>
        </w:rPr>
      </w:pPr>
      <w:r>
        <w:rPr>
          <w:rFonts w:ascii="Arial" w:hAnsi="Arial" w:cs="Arial"/>
          <w:sz w:val="24"/>
        </w:rPr>
        <w:t>14．投标货币</w:t>
      </w:r>
    </w:p>
    <w:p>
      <w:pPr>
        <w:spacing w:line="400" w:lineRule="atLeast"/>
        <w:rPr>
          <w:rFonts w:ascii="Arial" w:hAnsi="Arial" w:cs="Arial"/>
          <w:sz w:val="24"/>
        </w:rPr>
      </w:pPr>
      <w:r>
        <w:rPr>
          <w:rFonts w:ascii="Arial" w:hAnsi="Arial" w:cs="Arial"/>
          <w:sz w:val="24"/>
        </w:rPr>
        <w:t>14.1人民币报价。</w:t>
      </w:r>
    </w:p>
    <w:p>
      <w:pPr>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ind w:left="525" w:leftChars="250"/>
        <w:rPr>
          <w:rFonts w:ascii="Arial" w:hAnsi="Arial" w:cs="Arial"/>
          <w:b/>
          <w:spacing w:val="8"/>
          <w:sz w:val="24"/>
          <w:szCs w:val="24"/>
        </w:rPr>
      </w:pPr>
      <w:r>
        <w:rPr>
          <w:rFonts w:ascii="Arial" w:hAnsi="Arial" w:cs="Arial"/>
          <w:b/>
          <w:sz w:val="24"/>
        </w:rPr>
        <w:t>供应商必须提交证明其有资格进行投标和有能力履行合同的文件（范本格式），作为投标文件的一部分。（</w:t>
      </w:r>
      <w:r>
        <w:rPr>
          <w:rFonts w:ascii="Arial" w:hAnsi="Arial" w:cs="Arial"/>
          <w:b/>
          <w:spacing w:val="8"/>
          <w:sz w:val="24"/>
          <w:szCs w:val="24"/>
        </w:rPr>
        <w:t>如不满足以下条款将导致废标）</w:t>
      </w:r>
    </w:p>
    <w:p>
      <w:pPr>
        <w:rPr>
          <w:rFonts w:ascii="宋体" w:hAnsi="宋体" w:cs="宋体"/>
          <w:kern w:val="0"/>
          <w:sz w:val="24"/>
          <w:szCs w:val="24"/>
        </w:rPr>
      </w:pPr>
      <w:r>
        <w:rPr>
          <w:rFonts w:ascii="Arial" w:hAnsi="Arial" w:cs="Arial"/>
          <w:sz w:val="24"/>
        </w:rPr>
        <w:t>详见“供应商须知附表”第6条。</w:t>
      </w:r>
    </w:p>
    <w:p>
      <w:pPr>
        <w:spacing w:line="400" w:lineRule="atLeast"/>
        <w:rPr>
          <w:rFonts w:ascii="Arial" w:hAnsi="Arial" w:cs="Arial"/>
          <w:b/>
          <w:spacing w:val="8"/>
          <w:sz w:val="24"/>
          <w:szCs w:val="24"/>
        </w:rPr>
      </w:pPr>
      <w:r>
        <w:rPr>
          <w:rFonts w:ascii="Arial" w:hAnsi="Arial" w:cs="Arial"/>
          <w:b/>
          <w:bCs/>
          <w:sz w:val="24"/>
        </w:rPr>
        <w:t>注：（1）</w:t>
      </w:r>
      <w:r>
        <w:rPr>
          <w:rFonts w:ascii="Arial" w:hAnsi="Arial" w:cs="Arial"/>
          <w:b/>
          <w:bCs/>
          <w:spacing w:val="8"/>
          <w:sz w:val="24"/>
          <w:szCs w:val="24"/>
        </w:rPr>
        <w:t>投标文件中，所有供应商签字、法人代表签字、法人代表授权人签字和其它签</w:t>
      </w:r>
      <w:r>
        <w:rPr>
          <w:rFonts w:ascii="Arial" w:hAnsi="Arial" w:cs="Arial"/>
          <w:b/>
          <w:spacing w:val="8"/>
          <w:sz w:val="24"/>
          <w:szCs w:val="24"/>
        </w:rPr>
        <w:t>字处须同时加盖有关有法律效力的印章方为有效；</w:t>
      </w:r>
    </w:p>
    <w:p>
      <w:pPr>
        <w:spacing w:line="400" w:lineRule="atLeast"/>
        <w:rPr>
          <w:rFonts w:ascii="Arial" w:hAnsi="Arial" w:cs="Arial"/>
          <w:b/>
          <w:sz w:val="24"/>
        </w:rPr>
      </w:pPr>
      <w:r>
        <w:rPr>
          <w:rFonts w:ascii="Arial" w:hAnsi="Arial" w:cs="Arial"/>
          <w:b/>
          <w:sz w:val="24"/>
        </w:rPr>
        <w:t xml:space="preserve">    （2）所有资格证明文件必须满足投标文件要求，否则将导致废标。</w:t>
      </w:r>
    </w:p>
    <w:p>
      <w:pPr>
        <w:spacing w:line="400" w:lineRule="atLeast"/>
        <w:ind w:firstLine="480"/>
        <w:rPr>
          <w:rFonts w:ascii="Arial" w:hAnsi="Arial" w:cs="Arial"/>
          <w:sz w:val="24"/>
        </w:rPr>
      </w:pPr>
      <w:r>
        <w:rPr>
          <w:rFonts w:ascii="Arial" w:hAnsi="Arial" w:cs="Arial"/>
          <w:b/>
          <w:bCs/>
          <w:sz w:val="24"/>
        </w:rPr>
        <w:t>（</w:t>
      </w:r>
      <w:r>
        <w:rPr>
          <w:rFonts w:ascii="Arial" w:hAnsi="Arial" w:cs="Arial"/>
          <w:b/>
          <w:spacing w:val="8"/>
          <w:sz w:val="24"/>
          <w:szCs w:val="24"/>
        </w:rPr>
        <w:t>3）在投标文件中，所有相关资料及证明文件的有效期必须明确，并以阿拉伯数字为准。</w:t>
      </w:r>
    </w:p>
    <w:p>
      <w:pPr>
        <w:spacing w:line="400" w:lineRule="atLeast"/>
        <w:rPr>
          <w:rFonts w:ascii="Arial" w:hAnsi="Arial" w:cs="Arial"/>
          <w:sz w:val="24"/>
        </w:rPr>
      </w:pPr>
      <w:r>
        <w:rPr>
          <w:rFonts w:ascii="Arial" w:hAnsi="Arial" w:cs="Arial"/>
          <w:sz w:val="24"/>
        </w:rPr>
        <w:t>16 投标内容符合招标文件规定的技术响应文件</w:t>
      </w:r>
    </w:p>
    <w:p>
      <w:pPr>
        <w:spacing w:line="400" w:lineRule="atLeast"/>
        <w:ind w:left="600" w:hanging="600" w:hangingChars="250"/>
        <w:rPr>
          <w:rFonts w:ascii="Arial" w:hAnsi="Arial" w:cs="Arial"/>
          <w:sz w:val="24"/>
        </w:rPr>
      </w:pPr>
      <w:r>
        <w:rPr>
          <w:rFonts w:ascii="Arial" w:hAnsi="Arial" w:cs="Arial"/>
          <w:sz w:val="24"/>
        </w:rPr>
        <w:t>16.1供应商须提交证明拟供服务符合招标文件规定的技术响应文件，作为投标文件的一部分。</w:t>
      </w:r>
    </w:p>
    <w:p>
      <w:pPr>
        <w:spacing w:line="400" w:lineRule="atLeast"/>
        <w:rPr>
          <w:rFonts w:ascii="Arial" w:hAnsi="Arial" w:cs="Arial"/>
          <w:sz w:val="24"/>
        </w:rPr>
      </w:pPr>
      <w:r>
        <w:rPr>
          <w:rFonts w:ascii="Arial" w:hAnsi="Arial" w:cs="Arial"/>
          <w:sz w:val="24"/>
        </w:rPr>
        <w:t>17．投标的有效期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投标文件从开标之日起，投标有效期为</w:t>
      </w:r>
      <w:r>
        <w:rPr>
          <w:rFonts w:ascii="Arial" w:hAnsi="Arial" w:cs="Arial"/>
          <w:b/>
          <w:sz w:val="24"/>
          <w:u w:val="single"/>
        </w:rPr>
        <w:t>90</w:t>
      </w:r>
      <w:r>
        <w:rPr>
          <w:rFonts w:ascii="Arial" w:hAnsi="Arial" w:cs="Arial"/>
          <w:b/>
          <w:sz w:val="24"/>
        </w:rPr>
        <w:t>天。（如不满足将导致废标）</w:t>
      </w:r>
    </w:p>
    <w:p>
      <w:pPr>
        <w:spacing w:line="400" w:lineRule="atLeast"/>
        <w:rPr>
          <w:rFonts w:ascii="Arial" w:hAnsi="Arial" w:cs="Arial"/>
          <w:sz w:val="24"/>
          <w:highlight w:val="none"/>
        </w:rPr>
      </w:pPr>
      <w:r>
        <w:rPr>
          <w:rFonts w:ascii="Arial" w:hAnsi="Arial" w:cs="Arial"/>
          <w:sz w:val="24"/>
          <w:highlight w:val="none"/>
        </w:rPr>
        <w:t>17.2 在特殊情况下，采购代理机构可与供应商商量延长投标文件的有效期。</w:t>
      </w:r>
    </w:p>
    <w:p>
      <w:pPr>
        <w:spacing w:line="400" w:lineRule="atLeast"/>
        <w:rPr>
          <w:rFonts w:ascii="Arial" w:hAnsi="Arial" w:cs="Arial"/>
          <w:sz w:val="24"/>
          <w:highlight w:val="none"/>
        </w:rPr>
      </w:pPr>
      <w:r>
        <w:rPr>
          <w:rFonts w:ascii="Arial" w:hAnsi="Arial" w:cs="Arial"/>
          <w:sz w:val="24"/>
          <w:highlight w:val="none"/>
        </w:rPr>
        <w:t>18．投标文件的书写要求。</w:t>
      </w:r>
    </w:p>
    <w:p>
      <w:pPr>
        <w:spacing w:line="400" w:lineRule="atLeast"/>
        <w:rPr>
          <w:rFonts w:ascii="Arial" w:hAnsi="Arial" w:cs="Arial"/>
          <w:sz w:val="24"/>
          <w:highlight w:val="none"/>
        </w:rPr>
      </w:pPr>
      <w:r>
        <w:rPr>
          <w:rFonts w:ascii="Arial" w:hAnsi="Arial" w:cs="Arial"/>
          <w:sz w:val="24"/>
          <w:highlight w:val="none"/>
        </w:rPr>
        <w:t>18.1 投标文件须打印胶装。</w:t>
      </w:r>
    </w:p>
    <w:p>
      <w:pPr>
        <w:spacing w:line="400" w:lineRule="atLeast"/>
        <w:rPr>
          <w:rFonts w:ascii="Arial" w:hAnsi="Arial" w:cs="Arial"/>
          <w:sz w:val="24"/>
          <w:highlight w:val="none"/>
        </w:rPr>
      </w:pPr>
      <w:r>
        <w:rPr>
          <w:rFonts w:ascii="Arial" w:hAnsi="Arial" w:cs="Arial"/>
          <w:sz w:val="24"/>
          <w:highlight w:val="none"/>
        </w:rPr>
        <w:t>18.2 投标文件应清楚工整，修改处应由</w:t>
      </w:r>
      <w:r>
        <w:rPr>
          <w:rFonts w:hint="eastAsia" w:ascii="Arial" w:hAnsi="Arial" w:cs="Arial"/>
          <w:sz w:val="24"/>
          <w:highlight w:val="none"/>
          <w:lang w:val="en-US" w:eastAsia="zh-CN"/>
        </w:rPr>
        <w:t>法人或授权代表签字或盖章</w:t>
      </w:r>
      <w:r>
        <w:rPr>
          <w:rFonts w:ascii="Arial" w:hAnsi="Arial" w:cs="Arial"/>
          <w:sz w:val="24"/>
          <w:highlight w:val="none"/>
        </w:rPr>
        <w:t>。</w:t>
      </w:r>
    </w:p>
    <w:p>
      <w:pPr>
        <w:spacing w:line="400" w:lineRule="atLeast"/>
        <w:ind w:left="600" w:hanging="600" w:hangingChars="250"/>
        <w:rPr>
          <w:rFonts w:ascii="Arial" w:hAnsi="Arial" w:cs="Arial"/>
          <w:sz w:val="24"/>
        </w:rPr>
      </w:pPr>
      <w:r>
        <w:rPr>
          <w:rFonts w:ascii="Arial" w:hAnsi="Arial" w:cs="Arial"/>
          <w:sz w:val="24"/>
          <w:highlight w:val="none"/>
        </w:rPr>
        <w:t>18.3投标文件应由法人代表或法人</w:t>
      </w:r>
      <w:r>
        <w:rPr>
          <w:rFonts w:ascii="Arial" w:hAnsi="Arial" w:cs="Arial"/>
          <w:sz w:val="24"/>
        </w:rPr>
        <w:t>授权代表在凡规定签章处逐一签署及加盖单位的公章。</w:t>
      </w:r>
    </w:p>
    <w:p>
      <w:pPr>
        <w:spacing w:line="400" w:lineRule="atLeast"/>
        <w:rPr>
          <w:rFonts w:ascii="Arial" w:hAnsi="Arial" w:cs="Arial"/>
          <w:sz w:val="24"/>
        </w:rPr>
      </w:pPr>
      <w:r>
        <w:rPr>
          <w:rFonts w:ascii="Arial" w:hAnsi="Arial" w:cs="Arial"/>
          <w:sz w:val="24"/>
        </w:rPr>
        <w:t>18.4电报、电话、传真形式的投标概不接受。</w:t>
      </w:r>
    </w:p>
    <w:p>
      <w:pPr>
        <w:spacing w:line="400" w:lineRule="atLeast"/>
        <w:rPr>
          <w:rFonts w:ascii="Arial" w:hAnsi="Arial" w:cs="Arial"/>
          <w:sz w:val="24"/>
        </w:rPr>
      </w:pPr>
      <w:r>
        <w:rPr>
          <w:rFonts w:ascii="Arial" w:hAnsi="Arial" w:cs="Arial"/>
          <w:sz w:val="24"/>
        </w:rPr>
        <w:t>18.5投标文件的份数：一式5份。正本1份，副本4份，电子版1份。</w:t>
      </w:r>
    </w:p>
    <w:p>
      <w:pPr>
        <w:spacing w:line="400" w:lineRule="atLeast"/>
        <w:rPr>
          <w:rFonts w:ascii="Arial" w:hAnsi="Arial" w:cs="Arial"/>
          <w:sz w:val="24"/>
        </w:rPr>
      </w:pPr>
      <w:r>
        <w:rPr>
          <w:rFonts w:ascii="Arial" w:hAnsi="Arial" w:cs="Arial"/>
          <w:sz w:val="24"/>
        </w:rPr>
        <w:t>19．投标保证金</w:t>
      </w:r>
    </w:p>
    <w:p>
      <w:pPr>
        <w:spacing w:line="400" w:lineRule="atLeast"/>
        <w:ind w:left="600" w:hanging="600" w:hangingChars="250"/>
        <w:rPr>
          <w:rFonts w:ascii="Arial" w:hAnsi="Arial" w:cs="Arial"/>
          <w:sz w:val="24"/>
        </w:rPr>
      </w:pPr>
      <w:r>
        <w:rPr>
          <w:rFonts w:ascii="Arial" w:hAnsi="Arial" w:cs="Arial"/>
          <w:sz w:val="24"/>
        </w:rPr>
        <w:t>19.1投标保证金</w:t>
      </w:r>
      <w:r>
        <w:rPr>
          <w:rFonts w:hint="eastAsia" w:ascii="Arial" w:hAnsi="Arial" w:cs="Arial"/>
          <w:sz w:val="24"/>
          <w:lang w:val="en-US" w:eastAsia="zh-CN"/>
        </w:rPr>
        <w:t>40</w:t>
      </w:r>
      <w:r>
        <w:rPr>
          <w:rFonts w:hint="eastAsia" w:ascii="Arial" w:hAnsi="Arial" w:cs="Arial"/>
          <w:sz w:val="24"/>
          <w:lang w:eastAsia="zh-CN"/>
        </w:rPr>
        <w:t>000元</w:t>
      </w:r>
      <w:r>
        <w:rPr>
          <w:rFonts w:ascii="Arial" w:hAnsi="Arial" w:cs="Arial"/>
          <w:sz w:val="24"/>
        </w:rPr>
        <w:t>，于投标截止时间前向采购代理机构交纳投标保证金。</w:t>
      </w:r>
    </w:p>
    <w:p>
      <w:pPr>
        <w:spacing w:line="400" w:lineRule="atLeast"/>
        <w:ind w:left="600" w:hanging="600" w:hangingChars="250"/>
        <w:rPr>
          <w:rFonts w:ascii="Arial" w:hAnsi="Arial" w:cs="Arial"/>
          <w:sz w:val="24"/>
        </w:rPr>
      </w:pPr>
      <w:r>
        <w:rPr>
          <w:rFonts w:ascii="Arial" w:hAnsi="Arial" w:cs="Arial"/>
          <w:sz w:val="24"/>
        </w:rPr>
        <w:t>19.2 本次招标可接受电汇等作为投标保证金，</w:t>
      </w:r>
      <w:r>
        <w:rPr>
          <w:rFonts w:ascii="Arial" w:hAnsi="Arial" w:cs="Arial"/>
          <w:sz w:val="24"/>
          <w:szCs w:val="24"/>
        </w:rPr>
        <w:t>投标保证金有效期应当与投标有效期一致</w:t>
      </w:r>
      <w:r>
        <w:rPr>
          <w:rFonts w:ascii="Arial" w:hAnsi="Arial" w:cs="Arial"/>
          <w:sz w:val="24"/>
        </w:rPr>
        <w:t>。</w:t>
      </w:r>
    </w:p>
    <w:p>
      <w:pPr>
        <w:spacing w:line="400" w:lineRule="atLeast"/>
        <w:ind w:left="600" w:hanging="600" w:hangingChars="250"/>
        <w:rPr>
          <w:rFonts w:ascii="Arial" w:hAnsi="Arial" w:cs="Arial"/>
          <w:sz w:val="24"/>
        </w:rPr>
      </w:pPr>
      <w:r>
        <w:rPr>
          <w:rFonts w:ascii="Arial" w:hAnsi="Arial" w:cs="Arial"/>
          <w:sz w:val="24"/>
        </w:rPr>
        <w:t>19.3投标保证金的退还时间：</w:t>
      </w:r>
    </w:p>
    <w:p>
      <w:pPr>
        <w:spacing w:line="400" w:lineRule="atLeast"/>
        <w:ind w:left="840" w:hanging="840" w:hangingChars="350"/>
        <w:rPr>
          <w:rFonts w:ascii="Arial" w:hAnsi="Arial" w:cs="Arial"/>
          <w:sz w:val="24"/>
        </w:rPr>
      </w:pPr>
      <w:r>
        <w:rPr>
          <w:rFonts w:ascii="Arial" w:hAnsi="Arial" w:cs="Arial"/>
          <w:sz w:val="24"/>
        </w:rPr>
        <w:t>19.3.1 在中标通知书发出后5个工作日内退还未中标供应商的投标保证金，在采购合同签订后5个工作日内退还中标供应商的投标保证金。</w:t>
      </w:r>
    </w:p>
    <w:p>
      <w:pPr>
        <w:spacing w:line="400" w:lineRule="atLeast"/>
        <w:rPr>
          <w:rFonts w:ascii="Arial" w:hAnsi="Arial" w:cs="Arial"/>
          <w:b/>
          <w:sz w:val="24"/>
        </w:rPr>
      </w:pPr>
      <w:r>
        <w:rPr>
          <w:rFonts w:ascii="Arial" w:hAnsi="Arial" w:cs="Arial"/>
          <w:sz w:val="24"/>
        </w:rPr>
        <w:t>19.4</w:t>
      </w:r>
      <w:r>
        <w:rPr>
          <w:rFonts w:ascii="Arial" w:hAnsi="Arial" w:cs="Arial"/>
          <w:b/>
          <w:sz w:val="24"/>
        </w:rPr>
        <w:t>未按规定提交投标保证金的投标，将被视为投标无效。</w:t>
      </w:r>
    </w:p>
    <w:p>
      <w:pPr>
        <w:pStyle w:val="13"/>
        <w:spacing w:line="400" w:lineRule="atLeast"/>
        <w:rPr>
          <w:rFonts w:ascii="Arial" w:hAnsi="Arial" w:cs="Arial"/>
          <w:sz w:val="24"/>
        </w:rPr>
      </w:pPr>
      <w:r>
        <w:rPr>
          <w:rFonts w:ascii="Arial" w:hAnsi="Arial" w:cs="Arial"/>
          <w:sz w:val="24"/>
        </w:rPr>
        <w:t>19.5下列任何情况发生时，投标保证金将被没收：</w:t>
      </w:r>
    </w:p>
    <w:p>
      <w:pPr>
        <w:pStyle w:val="13"/>
        <w:spacing w:line="400" w:lineRule="atLeast"/>
        <w:rPr>
          <w:rFonts w:ascii="Arial" w:hAnsi="Arial" w:cs="Arial"/>
          <w:sz w:val="24"/>
        </w:rPr>
      </w:pPr>
      <w:r>
        <w:rPr>
          <w:rFonts w:ascii="Arial" w:hAnsi="Arial" w:cs="Arial"/>
          <w:sz w:val="24"/>
        </w:rPr>
        <w:t>19.5.1供应商在招标文件规定的投标有效期内撤回其投标；</w:t>
      </w:r>
    </w:p>
    <w:p>
      <w:pPr>
        <w:pStyle w:val="13"/>
        <w:spacing w:line="400" w:lineRule="atLeast"/>
        <w:rPr>
          <w:rFonts w:ascii="Arial" w:hAnsi="Arial" w:cs="Arial"/>
          <w:sz w:val="24"/>
        </w:rPr>
      </w:pPr>
      <w:r>
        <w:rPr>
          <w:rFonts w:ascii="Arial" w:hAnsi="Arial" w:cs="Arial"/>
          <w:sz w:val="24"/>
        </w:rPr>
        <w:t>19.5.2中标方在规定期限内未能：</w:t>
      </w:r>
    </w:p>
    <w:p>
      <w:pPr>
        <w:pStyle w:val="13"/>
        <w:spacing w:line="400" w:lineRule="atLeast"/>
        <w:rPr>
          <w:rFonts w:ascii="Arial" w:hAnsi="Arial" w:cs="Arial"/>
          <w:sz w:val="24"/>
        </w:rPr>
      </w:pPr>
      <w:r>
        <w:rPr>
          <w:rFonts w:ascii="Arial" w:hAnsi="Arial" w:cs="Arial"/>
          <w:sz w:val="24"/>
        </w:rPr>
        <w:t xml:space="preserve">19.5.2.1按本须知第31条规定签订合同； </w:t>
      </w:r>
    </w:p>
    <w:p>
      <w:pPr>
        <w:pStyle w:val="13"/>
        <w:spacing w:line="400" w:lineRule="atLeast"/>
        <w:rPr>
          <w:rFonts w:ascii="Arial" w:hAnsi="Arial" w:cs="Arial"/>
          <w:sz w:val="24"/>
        </w:rPr>
      </w:pPr>
      <w:r>
        <w:rPr>
          <w:rFonts w:ascii="Arial" w:hAnsi="Arial" w:cs="Arial"/>
          <w:sz w:val="24"/>
        </w:rPr>
        <w:t>19.5.2.2按本须知第33条规定向采购代理机构交纳采购代理服务费。</w:t>
      </w:r>
    </w:p>
    <w:p>
      <w:pPr>
        <w:pStyle w:val="13"/>
        <w:spacing w:line="400" w:lineRule="atLeast"/>
        <w:rPr>
          <w:rFonts w:ascii="Arial" w:hAnsi="Arial" w:cs="Arial"/>
          <w:sz w:val="24"/>
        </w:rPr>
      </w:pPr>
    </w:p>
    <w:p>
      <w:pPr>
        <w:pStyle w:val="4"/>
        <w:spacing w:before="100" w:beforeAutospacing="1" w:after="100" w:afterAutospacing="1" w:line="400" w:lineRule="atLeast"/>
        <w:rPr>
          <w:rFonts w:eastAsia="宋体" w:cs="Arial"/>
          <w:sz w:val="28"/>
          <w:szCs w:val="28"/>
        </w:rPr>
      </w:pPr>
      <w:bookmarkStart w:id="17" w:name="_Toc267301285"/>
      <w:bookmarkStart w:id="18" w:name="_Toc349573124"/>
      <w:bookmarkStart w:id="19" w:name="_Toc349637923"/>
      <w:bookmarkStart w:id="20" w:name="_Toc2096656"/>
      <w:bookmarkStart w:id="21" w:name="_Toc298240408"/>
      <w:r>
        <w:rPr>
          <w:rFonts w:eastAsia="宋体" w:cs="Arial"/>
          <w:sz w:val="28"/>
          <w:szCs w:val="28"/>
        </w:rPr>
        <w:t>D  投标文件的递交</w:t>
      </w:r>
      <w:bookmarkEnd w:id="17"/>
      <w:bookmarkEnd w:id="18"/>
      <w:bookmarkEnd w:id="19"/>
      <w:bookmarkEnd w:id="20"/>
      <w:bookmarkEnd w:id="21"/>
    </w:p>
    <w:p>
      <w:pPr>
        <w:spacing w:line="400" w:lineRule="atLeast"/>
        <w:rPr>
          <w:rFonts w:ascii="Arial" w:hAnsi="Arial" w:cs="Arial"/>
          <w:sz w:val="24"/>
        </w:rPr>
      </w:pPr>
      <w:r>
        <w:rPr>
          <w:rFonts w:ascii="Arial" w:hAnsi="Arial" w:cs="Arial"/>
          <w:sz w:val="24"/>
        </w:rPr>
        <w:t>20. 投标文件的密封与标记</w:t>
      </w:r>
    </w:p>
    <w:p>
      <w:pPr>
        <w:spacing w:line="400" w:lineRule="atLeast"/>
        <w:ind w:left="600" w:hanging="600" w:hangingChars="250"/>
        <w:rPr>
          <w:rFonts w:ascii="Arial" w:hAnsi="Arial" w:cs="Arial"/>
          <w:sz w:val="24"/>
        </w:rPr>
      </w:pPr>
      <w:r>
        <w:rPr>
          <w:rFonts w:ascii="Arial" w:hAnsi="Arial" w:cs="Arial"/>
          <w:sz w:val="24"/>
        </w:rPr>
        <w:t>20.1 供应商应将投标文件正、副本分别密封，在每个密封件的封面上标明供应商名称、法定代表人、单位公章、正本或副本。</w:t>
      </w:r>
    </w:p>
    <w:p>
      <w:pPr>
        <w:spacing w:line="400" w:lineRule="atLeast"/>
        <w:rPr>
          <w:rFonts w:ascii="Arial" w:hAnsi="Arial" w:cs="Arial"/>
          <w:sz w:val="24"/>
        </w:rPr>
      </w:pPr>
      <w:r>
        <w:rPr>
          <w:rFonts w:ascii="Arial" w:hAnsi="Arial" w:cs="Arial"/>
          <w:sz w:val="24"/>
        </w:rPr>
        <w:t>20.2 投标文件袋上应写明：</w:t>
      </w:r>
    </w:p>
    <w:p>
      <w:pPr>
        <w:numPr>
          <w:ilvl w:val="0"/>
          <w:numId w:val="4"/>
        </w:numPr>
        <w:tabs>
          <w:tab w:val="left" w:pos="1080"/>
        </w:tabs>
        <w:spacing w:line="400" w:lineRule="atLeast"/>
        <w:ind w:left="1080" w:hanging="720"/>
        <w:rPr>
          <w:rFonts w:ascii="Arial" w:hAnsi="Arial" w:cs="Arial"/>
          <w:sz w:val="24"/>
        </w:rPr>
      </w:pPr>
      <w:r>
        <w:rPr>
          <w:rFonts w:ascii="Arial" w:hAnsi="Arial" w:cs="Arial"/>
          <w:sz w:val="24"/>
        </w:rPr>
        <w:t>招标机构：新疆招标有限公司</w:t>
      </w:r>
    </w:p>
    <w:p>
      <w:pPr>
        <w:numPr>
          <w:ilvl w:val="0"/>
          <w:numId w:val="4"/>
        </w:numPr>
        <w:tabs>
          <w:tab w:val="left" w:pos="1080"/>
        </w:tabs>
        <w:spacing w:line="400" w:lineRule="atLeast"/>
        <w:ind w:left="1080" w:hanging="720"/>
        <w:rPr>
          <w:rFonts w:ascii="Arial" w:hAnsi="Arial" w:cs="Arial"/>
          <w:sz w:val="24"/>
        </w:rPr>
      </w:pPr>
      <w:r>
        <w:rPr>
          <w:rFonts w:ascii="Arial" w:hAnsi="Arial" w:cs="Arial"/>
          <w:sz w:val="24"/>
        </w:rPr>
        <w:t>项目名称：</w:t>
      </w:r>
      <w:r>
        <w:rPr>
          <w:rFonts w:ascii="Arial" w:hAnsi="Arial" w:cs="Arial"/>
          <w:sz w:val="24"/>
          <w:u w:val="single"/>
        </w:rPr>
        <w:t xml:space="preserve">             </w:t>
      </w:r>
    </w:p>
    <w:p>
      <w:pPr>
        <w:numPr>
          <w:ilvl w:val="0"/>
          <w:numId w:val="4"/>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numPr>
          <w:ilvl w:val="0"/>
          <w:numId w:val="4"/>
        </w:numPr>
        <w:tabs>
          <w:tab w:val="left" w:pos="1080"/>
        </w:tabs>
        <w:spacing w:line="400" w:lineRule="atLeast"/>
        <w:ind w:left="1080" w:hanging="720"/>
        <w:rPr>
          <w:rFonts w:ascii="Arial" w:hAnsi="Arial" w:cs="Arial"/>
          <w:sz w:val="24"/>
        </w:rPr>
      </w:pPr>
      <w:r>
        <w:rPr>
          <w:rFonts w:ascii="Arial" w:hAnsi="Arial" w:cs="Arial"/>
          <w:sz w:val="24"/>
        </w:rPr>
        <w:t>注明“开标时才能启封”</w:t>
      </w:r>
    </w:p>
    <w:p>
      <w:pPr>
        <w:numPr>
          <w:ilvl w:val="0"/>
          <w:numId w:val="4"/>
        </w:numPr>
        <w:tabs>
          <w:tab w:val="left" w:pos="1080"/>
        </w:tabs>
        <w:spacing w:line="400" w:lineRule="atLeast"/>
        <w:ind w:left="1080" w:hanging="720"/>
        <w:rPr>
          <w:rFonts w:ascii="Arial" w:hAnsi="Arial" w:cs="Arial"/>
          <w:sz w:val="24"/>
        </w:rPr>
      </w:pPr>
      <w:r>
        <w:rPr>
          <w:rFonts w:ascii="Arial" w:hAnsi="Arial" w:cs="Arial"/>
          <w:sz w:val="24"/>
        </w:rPr>
        <w:t>投标单位名称：</w:t>
      </w:r>
      <w:r>
        <w:rPr>
          <w:rFonts w:ascii="Arial" w:hAnsi="Arial" w:cs="Arial"/>
          <w:sz w:val="24"/>
          <w:u w:val="single"/>
        </w:rPr>
        <w:t xml:space="preserve">            </w:t>
      </w:r>
    </w:p>
    <w:p>
      <w:pPr>
        <w:spacing w:line="400" w:lineRule="atLeast"/>
        <w:ind w:left="600" w:hanging="600" w:hangingChars="250"/>
        <w:rPr>
          <w:rFonts w:ascii="Arial" w:hAnsi="Arial" w:cs="Arial"/>
          <w:b/>
          <w:bCs/>
          <w:sz w:val="24"/>
        </w:rPr>
      </w:pPr>
      <w:r>
        <w:rPr>
          <w:rFonts w:ascii="Arial" w:hAnsi="Arial" w:cs="Arial"/>
          <w:sz w:val="24"/>
        </w:rPr>
        <w:t>20.3为方便开标唱标，</w:t>
      </w:r>
      <w:r>
        <w:rPr>
          <w:rFonts w:ascii="Arial" w:hAnsi="Arial" w:cs="Arial"/>
          <w:b/>
          <w:bCs/>
          <w:sz w:val="24"/>
        </w:rPr>
        <w:t>供应商须将开标一览表和投标保证金单独密封</w:t>
      </w:r>
      <w:r>
        <w:rPr>
          <w:rFonts w:ascii="Arial" w:hAnsi="Arial" w:cs="Arial"/>
          <w:sz w:val="24"/>
        </w:rPr>
        <w:t>，</w:t>
      </w:r>
      <w:r>
        <w:rPr>
          <w:rFonts w:ascii="Arial" w:hAnsi="Arial" w:cs="Arial"/>
          <w:b/>
          <w:bCs/>
          <w:sz w:val="24"/>
        </w:rPr>
        <w:t>并在信封上标明“开标一览表”字样。</w:t>
      </w:r>
    </w:p>
    <w:p>
      <w:pPr>
        <w:spacing w:line="400" w:lineRule="atLeast"/>
        <w:ind w:left="600" w:hanging="600" w:hangingChars="250"/>
        <w:rPr>
          <w:rFonts w:ascii="Arial" w:hAnsi="Arial" w:cs="Arial"/>
          <w:sz w:val="24"/>
        </w:rPr>
      </w:pPr>
      <w:r>
        <w:rPr>
          <w:rFonts w:ascii="Arial" w:hAnsi="Arial" w:cs="Arial"/>
          <w:sz w:val="24"/>
        </w:rPr>
        <w:t>20.4投标文件装订要求：投标文件要求不得活页装订。</w:t>
      </w:r>
    </w:p>
    <w:p>
      <w:pPr>
        <w:spacing w:line="400" w:lineRule="atLeast"/>
        <w:rPr>
          <w:rFonts w:ascii="Arial" w:hAnsi="Arial" w:cs="Arial"/>
          <w:sz w:val="24"/>
        </w:rPr>
      </w:pPr>
      <w:r>
        <w:rPr>
          <w:rFonts w:ascii="Arial" w:hAnsi="Arial" w:cs="Arial"/>
          <w:sz w:val="24"/>
        </w:rPr>
        <w:t>21. 投标截止时间</w:t>
      </w:r>
    </w:p>
    <w:p>
      <w:pPr>
        <w:spacing w:line="400" w:lineRule="atLeast"/>
        <w:rPr>
          <w:rFonts w:ascii="Arial" w:hAnsi="Arial" w:cs="Arial"/>
          <w:sz w:val="24"/>
        </w:rPr>
      </w:pPr>
      <w:r>
        <w:rPr>
          <w:rFonts w:ascii="Arial" w:hAnsi="Arial" w:cs="Arial"/>
          <w:sz w:val="24"/>
        </w:rPr>
        <w:t>21.1 投标文件的递交不得迟于2021年</w:t>
      </w:r>
      <w:r>
        <w:rPr>
          <w:rFonts w:hint="eastAsia" w:ascii="Arial" w:hAnsi="Arial" w:cs="Arial"/>
          <w:sz w:val="24"/>
          <w:lang w:val="en-US" w:eastAsia="zh-CN"/>
        </w:rPr>
        <w:t>11</w:t>
      </w:r>
      <w:r>
        <w:rPr>
          <w:rFonts w:ascii="Arial" w:hAnsi="Arial" w:cs="Arial"/>
          <w:sz w:val="24"/>
        </w:rPr>
        <w:t>月</w:t>
      </w:r>
      <w:r>
        <w:rPr>
          <w:rFonts w:hint="eastAsia" w:ascii="Arial" w:hAnsi="Arial" w:cs="Arial"/>
          <w:sz w:val="24"/>
          <w:lang w:val="en-US" w:eastAsia="zh-CN"/>
        </w:rPr>
        <w:t>09</w:t>
      </w:r>
      <w:r>
        <w:rPr>
          <w:rFonts w:ascii="Arial" w:hAnsi="Arial" w:cs="Arial"/>
          <w:sz w:val="24"/>
        </w:rPr>
        <w:t>日16：00时</w:t>
      </w:r>
      <w:r>
        <w:rPr>
          <w:rFonts w:ascii="Arial" w:hAnsi="Arial" w:cs="Arial"/>
          <w:sz w:val="24"/>
          <w:szCs w:val="24"/>
        </w:rPr>
        <w:t>（北京时间）。</w:t>
      </w:r>
    </w:p>
    <w:p>
      <w:pPr>
        <w:spacing w:line="400" w:lineRule="atLeast"/>
        <w:ind w:left="540" w:leftChars="257"/>
        <w:rPr>
          <w:rFonts w:ascii="Arial" w:hAnsi="Arial" w:cs="Arial"/>
          <w:sz w:val="24"/>
        </w:rPr>
      </w:pPr>
      <w:r>
        <w:rPr>
          <w:rFonts w:ascii="Arial" w:hAnsi="Arial" w:cs="Arial"/>
          <w:sz w:val="24"/>
        </w:rPr>
        <w:t>投标文件以密封形式递交至：开标现场</w:t>
      </w:r>
    </w:p>
    <w:p>
      <w:pPr>
        <w:spacing w:line="400" w:lineRule="atLeast"/>
        <w:ind w:left="600" w:hanging="600" w:hangingChars="250"/>
        <w:rPr>
          <w:rFonts w:ascii="Arial" w:hAnsi="Arial" w:cs="Arial"/>
          <w:sz w:val="24"/>
        </w:rPr>
      </w:pPr>
      <w:r>
        <w:rPr>
          <w:rFonts w:ascii="Arial" w:hAnsi="Arial" w:cs="Arial"/>
          <w:sz w:val="24"/>
        </w:rPr>
        <w:t>21.2 所有投标文件不论派人送交还是通过邮寄递交，都必须按采购代理机构在招标公告中规定的投标截止时间之前送到招标文件规定的地点。</w:t>
      </w:r>
    </w:p>
    <w:p>
      <w:pPr>
        <w:spacing w:line="400" w:lineRule="atLeast"/>
        <w:ind w:left="600" w:hanging="600" w:hangingChars="250"/>
        <w:rPr>
          <w:rFonts w:ascii="Arial" w:hAnsi="Arial" w:cs="Arial"/>
          <w:sz w:val="24"/>
        </w:rPr>
      </w:pPr>
      <w:r>
        <w:rPr>
          <w:rFonts w:ascii="Arial" w:hAnsi="Arial" w:cs="Arial"/>
          <w:sz w:val="24"/>
        </w:rPr>
        <w:t>21.3 出现第8.2款因投标文件的修改推迟投标截止时间时，则按采购代理机构修改通知规定的时间递交。</w:t>
      </w:r>
    </w:p>
    <w:p>
      <w:pPr>
        <w:spacing w:line="400" w:lineRule="atLeast"/>
        <w:rPr>
          <w:rFonts w:ascii="Arial" w:hAnsi="Arial" w:cs="Arial"/>
          <w:sz w:val="24"/>
        </w:rPr>
      </w:pPr>
      <w:r>
        <w:rPr>
          <w:rFonts w:ascii="Arial" w:hAnsi="Arial" w:cs="Arial"/>
          <w:sz w:val="24"/>
        </w:rPr>
        <w:t>22．投标文件的修改和撤销</w:t>
      </w:r>
    </w:p>
    <w:p>
      <w:pPr>
        <w:spacing w:line="400" w:lineRule="atLeast"/>
        <w:ind w:left="600" w:hanging="600" w:hangingChars="250"/>
        <w:rPr>
          <w:rFonts w:ascii="Arial" w:hAnsi="Arial" w:cs="Arial"/>
          <w:sz w:val="24"/>
        </w:rPr>
      </w:pPr>
      <w:r>
        <w:rPr>
          <w:rFonts w:ascii="Arial" w:hAnsi="Arial" w:cs="Arial"/>
          <w:sz w:val="24"/>
        </w:rPr>
        <w:t>22.1 供应商在提交投标文件后可对其投标文件进行修改或撤销，但采购代理机构须在投标截止时间之前收到该修改或撤销的书面通知，该通知须有经正式授权的</w:t>
      </w:r>
      <w:r>
        <w:rPr>
          <w:rFonts w:hint="eastAsia" w:ascii="Arial" w:hAnsi="Arial" w:cs="Arial"/>
          <w:sz w:val="24"/>
          <w:lang w:eastAsia="zh-CN"/>
        </w:rPr>
        <w:t>法人或授权代表</w:t>
      </w:r>
      <w:r>
        <w:rPr>
          <w:rFonts w:ascii="Arial" w:hAnsi="Arial" w:cs="Arial"/>
          <w:sz w:val="24"/>
        </w:rPr>
        <w:t>签字。</w:t>
      </w:r>
    </w:p>
    <w:p>
      <w:pPr>
        <w:spacing w:line="400" w:lineRule="atLeast"/>
        <w:rPr>
          <w:rFonts w:ascii="Arial" w:hAnsi="Arial" w:cs="Arial"/>
          <w:sz w:val="24"/>
        </w:rPr>
      </w:pPr>
      <w:r>
        <w:rPr>
          <w:rFonts w:ascii="Arial" w:hAnsi="Arial" w:cs="Arial"/>
          <w:sz w:val="24"/>
        </w:rPr>
        <w:t>22.2 投标截止时间以后不得修改投标文件。</w:t>
      </w:r>
    </w:p>
    <w:p>
      <w:pPr>
        <w:spacing w:line="400" w:lineRule="atLeast"/>
        <w:ind w:left="600" w:hanging="600" w:hangingChars="250"/>
        <w:rPr>
          <w:rFonts w:ascii="Arial" w:hAnsi="Arial" w:cs="Arial"/>
          <w:sz w:val="24"/>
        </w:rPr>
      </w:pPr>
      <w:r>
        <w:rPr>
          <w:rFonts w:ascii="Arial" w:hAnsi="Arial" w:cs="Arial"/>
          <w:sz w:val="24"/>
        </w:rPr>
        <w:t>22.3 供应商不得在开标时间起至投标有效期期满前撤销投标文件。否则采购代理机构将没收其投标保证金。</w:t>
      </w:r>
    </w:p>
    <w:p>
      <w:pPr>
        <w:pStyle w:val="4"/>
        <w:spacing w:before="100" w:beforeAutospacing="1" w:after="100" w:afterAutospacing="1" w:line="400" w:lineRule="atLeast"/>
        <w:rPr>
          <w:rFonts w:eastAsia="宋体" w:cs="Arial"/>
          <w:sz w:val="28"/>
          <w:szCs w:val="28"/>
        </w:rPr>
      </w:pPr>
      <w:bookmarkStart w:id="22" w:name="_Toc267301286"/>
      <w:bookmarkStart w:id="23" w:name="_Toc298240409"/>
      <w:bookmarkStart w:id="24" w:name="_Toc349573125"/>
      <w:bookmarkStart w:id="25" w:name="_Toc349637924"/>
      <w:bookmarkStart w:id="26" w:name="_Toc2096657"/>
      <w:r>
        <w:rPr>
          <w:rFonts w:eastAsia="宋体" w:cs="Arial"/>
          <w:sz w:val="28"/>
          <w:szCs w:val="28"/>
        </w:rPr>
        <w:t>E  评标程序</w:t>
      </w:r>
      <w:bookmarkEnd w:id="22"/>
      <w:bookmarkEnd w:id="23"/>
      <w:bookmarkEnd w:id="24"/>
      <w:bookmarkEnd w:id="25"/>
      <w:bookmarkEnd w:id="26"/>
    </w:p>
    <w:p>
      <w:pPr>
        <w:spacing w:line="400" w:lineRule="atLeast"/>
        <w:rPr>
          <w:rFonts w:ascii="Arial" w:hAnsi="Arial" w:cs="Arial"/>
          <w:sz w:val="24"/>
        </w:rPr>
      </w:pPr>
      <w:r>
        <w:rPr>
          <w:rFonts w:ascii="Arial" w:hAnsi="Arial" w:cs="Arial"/>
          <w:sz w:val="24"/>
        </w:rPr>
        <w:t>23．开标</w:t>
      </w:r>
    </w:p>
    <w:p>
      <w:pPr>
        <w:spacing w:line="400" w:lineRule="atLeast"/>
        <w:ind w:left="600" w:hanging="600" w:hangingChars="250"/>
        <w:rPr>
          <w:rFonts w:ascii="Arial" w:hAnsi="Arial" w:cs="Arial"/>
          <w:sz w:val="24"/>
        </w:rPr>
      </w:pPr>
      <w:r>
        <w:rPr>
          <w:rFonts w:ascii="Arial" w:hAnsi="Arial" w:cs="Arial"/>
          <w:sz w:val="24"/>
        </w:rPr>
        <w:t>23.1本次招标按招标文件中招标公告规定的时间地点进行开标，将邀请供应商的法定代表人或其授权委托人准时参加开标会。</w:t>
      </w:r>
    </w:p>
    <w:p>
      <w:pPr>
        <w:spacing w:line="400" w:lineRule="atLeast"/>
        <w:ind w:left="600" w:hanging="600" w:hangingChars="250"/>
        <w:rPr>
          <w:rFonts w:ascii="Arial" w:hAnsi="Arial" w:cs="Arial"/>
          <w:sz w:val="24"/>
        </w:rPr>
      </w:pPr>
      <w:r>
        <w:rPr>
          <w:rFonts w:ascii="Arial" w:hAnsi="Arial" w:cs="Arial"/>
          <w:sz w:val="24"/>
        </w:rPr>
        <w:t>23.2</w:t>
      </w:r>
      <w:r>
        <w:rPr>
          <w:rFonts w:ascii="宋体" w:hAnsi="宋体"/>
          <w:sz w:val="24"/>
          <w:szCs w:val="24"/>
        </w:rPr>
        <w:t>宣布投标文件开启顺序</w:t>
      </w:r>
      <w:r>
        <w:rPr>
          <w:rFonts w:ascii="宋体" w:hAnsi="宋体"/>
          <w:sz w:val="30"/>
          <w:szCs w:val="30"/>
        </w:rPr>
        <w:t>。</w:t>
      </w:r>
    </w:p>
    <w:p>
      <w:pPr>
        <w:spacing w:line="400" w:lineRule="atLeast"/>
        <w:ind w:left="600" w:hanging="600" w:hangingChars="250"/>
        <w:rPr>
          <w:rFonts w:ascii="Arial" w:hAnsi="Arial" w:cs="Arial"/>
          <w:sz w:val="24"/>
        </w:rPr>
      </w:pPr>
      <w:r>
        <w:rPr>
          <w:rFonts w:ascii="Arial" w:hAnsi="Arial" w:cs="Arial"/>
          <w:sz w:val="24"/>
        </w:rPr>
        <w:t>23.3 开标时检查投标文件密封情况，确认无误后拆封唱标，唱正本“开标一览表”内容，以及采购代理机构认为合适的其他内容并记录。</w:t>
      </w:r>
    </w:p>
    <w:p>
      <w:pPr>
        <w:spacing w:line="400" w:lineRule="atLeast"/>
        <w:rPr>
          <w:rFonts w:ascii="Arial" w:hAnsi="Arial" w:cs="Arial"/>
          <w:sz w:val="24"/>
        </w:rPr>
      </w:pPr>
      <w:r>
        <w:rPr>
          <w:rFonts w:ascii="Arial" w:hAnsi="Arial" w:cs="Arial"/>
          <w:sz w:val="24"/>
        </w:rPr>
        <w:t>23.4 评标原则在开标会议上宣布。</w:t>
      </w:r>
    </w:p>
    <w:p>
      <w:pPr>
        <w:spacing w:line="400" w:lineRule="atLeast"/>
        <w:rPr>
          <w:rFonts w:ascii="Arial" w:hAnsi="Arial" w:cs="Arial"/>
          <w:sz w:val="24"/>
        </w:rPr>
      </w:pPr>
      <w:r>
        <w:rPr>
          <w:rFonts w:ascii="Arial" w:hAnsi="Arial" w:cs="Arial"/>
          <w:sz w:val="24"/>
        </w:rPr>
        <w:t>23.5 对采购人的纪律要求</w:t>
      </w:r>
    </w:p>
    <w:p>
      <w:pPr>
        <w:spacing w:line="400" w:lineRule="atLeast"/>
        <w:ind w:left="720" w:hanging="720" w:hangingChars="300"/>
        <w:rPr>
          <w:rFonts w:ascii="Arial" w:hAnsi="Arial" w:cs="Arial"/>
          <w:sz w:val="24"/>
        </w:rPr>
      </w:pPr>
      <w:r>
        <w:rPr>
          <w:rFonts w:ascii="Arial" w:hAnsi="Arial" w:cs="Arial"/>
          <w:sz w:val="24"/>
        </w:rPr>
        <w:t xml:space="preserve">      采购人不得泄露招标投标活动中应当保密的情况和资料，不得与供应商串通损害国家利益、社会公共利益或者他人合法权益。</w:t>
      </w:r>
    </w:p>
    <w:p>
      <w:pPr>
        <w:spacing w:line="400" w:lineRule="atLeast"/>
        <w:rPr>
          <w:rFonts w:ascii="Arial" w:hAnsi="Arial" w:cs="Arial"/>
          <w:sz w:val="24"/>
        </w:rPr>
      </w:pPr>
      <w:r>
        <w:rPr>
          <w:rFonts w:ascii="Arial" w:hAnsi="Arial" w:cs="Arial"/>
          <w:sz w:val="24"/>
        </w:rPr>
        <w:t>23.6对供应商的纪律要求</w:t>
      </w:r>
    </w:p>
    <w:p>
      <w:pPr>
        <w:spacing w:line="400" w:lineRule="atLeast"/>
        <w:ind w:left="598" w:leftChars="285"/>
        <w:rPr>
          <w:rFonts w:ascii="Arial" w:hAnsi="Arial" w:cs="Arial"/>
          <w:sz w:val="24"/>
        </w:rPr>
      </w:pPr>
      <w:r>
        <w:rPr>
          <w:rFonts w:ascii="Arial" w:hAnsi="Arial" w:cs="Arial"/>
          <w:sz w:val="24"/>
        </w:rPr>
        <w:t>供应商不得互相串通投标或者与采购人串通投标，不得向采购人或者评标委员会成员行贿谋取中标，不得以他人名义投标或者以其他方式弄虚作假骗取中标；供应商不得以任何方式干扰、影响评标工作。</w:t>
      </w:r>
    </w:p>
    <w:p>
      <w:pPr>
        <w:spacing w:line="400" w:lineRule="atLeast"/>
        <w:rPr>
          <w:rFonts w:ascii="Arial" w:hAnsi="Arial" w:cs="Arial"/>
          <w:sz w:val="24"/>
        </w:rPr>
      </w:pPr>
      <w:r>
        <w:rPr>
          <w:rFonts w:ascii="Arial" w:hAnsi="Arial" w:cs="Arial"/>
          <w:sz w:val="24"/>
        </w:rPr>
        <w:t>23.7 对与评标活动有关的工作人员的纪律要求</w:t>
      </w:r>
    </w:p>
    <w:p>
      <w:pPr>
        <w:spacing w:line="400" w:lineRule="atLeast"/>
        <w:rPr>
          <w:rFonts w:ascii="Arial" w:hAnsi="Arial" w:cs="Arial"/>
          <w:sz w:val="24"/>
        </w:rPr>
      </w:pPr>
      <w:r>
        <w:rPr>
          <w:rFonts w:ascii="Arial" w:hAnsi="Arial" w:cs="Arial"/>
          <w:sz w:val="24"/>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atLeast"/>
        <w:rPr>
          <w:rFonts w:ascii="Arial" w:hAnsi="Arial" w:cs="Arial"/>
          <w:sz w:val="24"/>
        </w:rPr>
      </w:pPr>
      <w:r>
        <w:rPr>
          <w:rFonts w:ascii="Arial" w:hAnsi="Arial" w:cs="Arial"/>
          <w:sz w:val="24"/>
        </w:rPr>
        <w:t>23.8对评标委员会成员要求评标纪律</w:t>
      </w:r>
    </w:p>
    <w:p>
      <w:pPr>
        <w:spacing w:line="400" w:lineRule="atLeast"/>
        <w:rPr>
          <w:rFonts w:ascii="Arial" w:hAnsi="Arial" w:cs="Arial"/>
          <w:sz w:val="24"/>
        </w:rPr>
      </w:pPr>
      <w:r>
        <w:rPr>
          <w:rFonts w:ascii="Arial" w:hAnsi="Arial" w:cs="Arial"/>
          <w:sz w:val="24"/>
        </w:rPr>
        <w:t>23.8.1评委会应当依照有关法律法规的规定，按照招标文件确定的评标标准和办法客观、公正的对投标文件提出评审意见。招标文件没有规定的评标标准和方法不得作为评标依据。</w:t>
      </w:r>
    </w:p>
    <w:p>
      <w:pPr>
        <w:spacing w:line="400" w:lineRule="atLeast"/>
        <w:rPr>
          <w:rFonts w:ascii="Arial" w:hAnsi="Arial" w:cs="Arial"/>
          <w:sz w:val="24"/>
        </w:rPr>
      </w:pPr>
      <w:r>
        <w:rPr>
          <w:rFonts w:ascii="Arial" w:hAnsi="Arial" w:cs="Arial"/>
          <w:sz w:val="24"/>
        </w:rPr>
        <w:t>23.8.2评标委员会成员不得私下接触供应商，不得收受供应商给予的财务或者其他好处，不得向采购人征询确定中标人意向。</w:t>
      </w:r>
    </w:p>
    <w:p>
      <w:pPr>
        <w:spacing w:line="400" w:lineRule="atLeast"/>
        <w:rPr>
          <w:rFonts w:ascii="Arial" w:hAnsi="Arial" w:cs="Arial"/>
          <w:sz w:val="24"/>
        </w:rPr>
      </w:pPr>
      <w:r>
        <w:rPr>
          <w:rFonts w:ascii="Arial" w:hAnsi="Arial" w:cs="Arial"/>
          <w:sz w:val="24"/>
        </w:rPr>
        <w:t>23.8.3不得接受任何单位或个人明示或暗示提出的倾向或排斥特定供应商的要求。</w:t>
      </w:r>
    </w:p>
    <w:p>
      <w:pPr>
        <w:spacing w:line="400" w:lineRule="atLeast"/>
        <w:rPr>
          <w:rFonts w:ascii="Arial" w:hAnsi="Arial" w:cs="Arial"/>
          <w:sz w:val="24"/>
        </w:rPr>
      </w:pPr>
      <w:r>
        <w:rPr>
          <w:rFonts w:ascii="Arial" w:hAnsi="Arial" w:cs="Arial"/>
          <w:sz w:val="24"/>
        </w:rPr>
        <w:t>23.8.4不得有其他不客观，不公正履行职务的行为。</w:t>
      </w:r>
    </w:p>
    <w:p>
      <w:pPr>
        <w:spacing w:line="400" w:lineRule="atLeast"/>
        <w:rPr>
          <w:rFonts w:ascii="Arial" w:hAnsi="Arial" w:cs="Arial"/>
          <w:sz w:val="24"/>
        </w:rPr>
      </w:pPr>
      <w:r>
        <w:rPr>
          <w:rFonts w:ascii="Arial" w:hAnsi="Arial" w:cs="Arial"/>
          <w:sz w:val="24"/>
        </w:rPr>
        <w:t>24．评标过程</w:t>
      </w:r>
    </w:p>
    <w:p>
      <w:pPr>
        <w:spacing w:line="400" w:lineRule="atLeast"/>
        <w:rPr>
          <w:rFonts w:ascii="Arial" w:hAnsi="Arial" w:cs="Arial"/>
          <w:sz w:val="24"/>
        </w:rPr>
      </w:pPr>
      <w:r>
        <w:rPr>
          <w:rFonts w:ascii="Arial" w:hAnsi="Arial" w:cs="Arial"/>
          <w:sz w:val="24"/>
        </w:rPr>
        <w:t>24.1 评标的依据为找标文件和投标文件。</w:t>
      </w:r>
    </w:p>
    <w:p>
      <w:pPr>
        <w:spacing w:line="400" w:lineRule="atLeast"/>
        <w:rPr>
          <w:rFonts w:ascii="Arial" w:hAnsi="Arial" w:cs="Arial"/>
          <w:sz w:val="24"/>
        </w:rPr>
      </w:pPr>
      <w:r>
        <w:rPr>
          <w:rFonts w:ascii="Arial" w:hAnsi="Arial" w:cs="Arial"/>
          <w:sz w:val="24"/>
        </w:rPr>
        <w:t>24.2开标结束后，</w:t>
      </w:r>
      <w:r>
        <w:rPr>
          <w:rFonts w:ascii="Arial" w:hAnsi="Arial" w:cs="Arial"/>
          <w:sz w:val="24"/>
          <w:szCs w:val="22"/>
        </w:rPr>
        <w:t>监标人将对供应商进行资格审查</w:t>
      </w:r>
      <w:r>
        <w:rPr>
          <w:rFonts w:ascii="Arial" w:hAnsi="Arial" w:cs="Arial"/>
          <w:sz w:val="24"/>
        </w:rPr>
        <w:t>，审查项目：提供“供应商须知附表”第6项内要求的资质文件。确认其是否已具备提交投标文件的资格。</w:t>
      </w:r>
    </w:p>
    <w:p>
      <w:pPr>
        <w:spacing w:line="400" w:lineRule="atLeast"/>
        <w:ind w:left="600" w:hanging="600" w:hangingChars="250"/>
        <w:rPr>
          <w:rFonts w:ascii="Arial" w:hAnsi="Arial" w:cs="Arial"/>
          <w:sz w:val="24"/>
        </w:rPr>
      </w:pPr>
      <w:r>
        <w:rPr>
          <w:rFonts w:ascii="Arial" w:hAnsi="Arial" w:cs="Arial"/>
          <w:sz w:val="24"/>
        </w:rPr>
        <w:t>24.3开标后评委会将组织审查投标文件是否完整，是否有计算错误，要求的保证金是否提供，文件是否恰当地签署。</w:t>
      </w:r>
    </w:p>
    <w:p>
      <w:pPr>
        <w:spacing w:line="400" w:lineRule="atLeast"/>
        <w:ind w:left="600" w:hanging="600" w:hangingChars="250"/>
        <w:rPr>
          <w:rFonts w:ascii="Arial" w:hAnsi="Arial" w:cs="Arial"/>
          <w:sz w:val="24"/>
        </w:rPr>
      </w:pPr>
      <w:r>
        <w:rPr>
          <w:rFonts w:ascii="Arial" w:hAnsi="Arial" w:cs="Arial"/>
          <w:sz w:val="24"/>
        </w:rPr>
        <w:t>24.4 在对投标文件进行详细评估之前，评委会将依据供应商提供的资格证明文件审查供应商的财务、技术和服务能力。如果确定供应商无资格履行合同，其投标将被拒绝。</w:t>
      </w:r>
    </w:p>
    <w:p>
      <w:pPr>
        <w:spacing w:line="400" w:lineRule="atLeast"/>
        <w:ind w:left="600" w:hanging="600" w:hangingChars="250"/>
        <w:rPr>
          <w:rFonts w:ascii="Arial" w:hAnsi="Arial" w:cs="Arial"/>
          <w:sz w:val="24"/>
        </w:rPr>
      </w:pPr>
      <w:r>
        <w:rPr>
          <w:rFonts w:ascii="Arial" w:hAnsi="Arial" w:cs="Arial"/>
          <w:sz w:val="24"/>
        </w:rPr>
        <w:t>24.5 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服务范围、服务质量，或限制了采购人的权利和供应商的义务的规定，而纠正这些偏离将影响到其他提交实质性响应投标的供应商的公平竞争地位。其中，供应商的报价超出采购预算的，视为未实质性响应招标文件的要求，</w:t>
      </w:r>
      <w:r>
        <w:rPr>
          <w:rFonts w:ascii="宋体" w:hAnsi="宋体" w:cs="宋体"/>
          <w:sz w:val="24"/>
        </w:rPr>
        <w:t>其投标文件可能被拒绝或导致废标</w:t>
      </w:r>
      <w:r>
        <w:rPr>
          <w:rFonts w:ascii="Arial" w:hAnsi="Arial" w:cs="Arial"/>
          <w:sz w:val="24"/>
        </w:rPr>
        <w:t>。</w:t>
      </w:r>
    </w:p>
    <w:p>
      <w:pPr>
        <w:spacing w:line="400" w:lineRule="atLeast"/>
        <w:rPr>
          <w:rFonts w:ascii="Arial" w:hAnsi="Arial" w:cs="Arial"/>
          <w:sz w:val="24"/>
        </w:rPr>
      </w:pPr>
      <w:r>
        <w:rPr>
          <w:rFonts w:ascii="Arial" w:hAnsi="Arial" w:cs="Arial"/>
          <w:sz w:val="24"/>
        </w:rPr>
        <w:t>25．投标文件的澄清</w:t>
      </w:r>
    </w:p>
    <w:p>
      <w:pPr>
        <w:spacing w:line="400" w:lineRule="atLeast"/>
        <w:ind w:left="600" w:hanging="600" w:hangingChars="250"/>
        <w:rPr>
          <w:rFonts w:ascii="Arial" w:hAnsi="Arial" w:cs="Arial"/>
          <w:sz w:val="24"/>
        </w:rPr>
      </w:pPr>
      <w:r>
        <w:rPr>
          <w:rFonts w:ascii="Arial" w:hAnsi="Arial" w:cs="Arial"/>
          <w:sz w:val="24"/>
        </w:rPr>
        <w:t>25.1为有助于对投标文件进行审查、评估和比较，评标委员会将对认为需要（不是每一个）的供应商进行询标，请供应商澄清其投标内容，供应商有责任按照采购代理机构通知的时间、地点指派专人进行答疑和澄清。询标时</w:t>
      </w:r>
      <w:r>
        <w:rPr>
          <w:rFonts w:hint="eastAsia" w:ascii="Arial" w:hAnsi="Arial" w:cs="Arial"/>
          <w:sz w:val="24"/>
          <w:lang w:eastAsia="zh-CN"/>
        </w:rPr>
        <w:t>法人或授权代表</w:t>
      </w:r>
      <w:r>
        <w:rPr>
          <w:rFonts w:ascii="Arial" w:hAnsi="Arial" w:cs="Arial"/>
          <w:sz w:val="24"/>
        </w:rPr>
        <w:t>应作书面记录。并对重要内容作出书面答复。</w:t>
      </w:r>
    </w:p>
    <w:p>
      <w:pPr>
        <w:spacing w:line="360" w:lineRule="auto"/>
        <w:rPr>
          <w:rFonts w:ascii="Arial" w:hAnsi="Arial" w:cs="Arial"/>
          <w:sz w:val="24"/>
        </w:rPr>
      </w:pPr>
      <w:r>
        <w:rPr>
          <w:rFonts w:ascii="Arial" w:hAnsi="Arial" w:cs="Arial"/>
          <w:sz w:val="24"/>
        </w:rPr>
        <w:t>25.2 要澄清的答复应是书面的，但不得对投标内容进行实质性修改。澄清文件须由供应商法人代表或法人授权代表签字和/或加盖公章并作为投标文件的组成部分。</w:t>
      </w:r>
    </w:p>
    <w:p>
      <w:pPr>
        <w:spacing w:line="400" w:lineRule="atLeast"/>
        <w:rPr>
          <w:rFonts w:ascii="Arial" w:hAnsi="Arial" w:cs="Arial"/>
          <w:sz w:val="24"/>
        </w:rPr>
      </w:pPr>
      <w:r>
        <w:rPr>
          <w:rFonts w:ascii="Arial" w:hAnsi="Arial" w:cs="Arial"/>
          <w:sz w:val="24"/>
        </w:rPr>
        <w:t>26．对投标文件的评估和比较</w:t>
      </w:r>
    </w:p>
    <w:p>
      <w:pPr>
        <w:spacing w:line="400" w:lineRule="atLeast"/>
        <w:ind w:left="479" w:leftChars="228" w:firstLine="480" w:firstLineChars="200"/>
        <w:rPr>
          <w:rFonts w:ascii="Arial" w:hAnsi="Arial" w:cs="Arial"/>
          <w:bCs/>
          <w:sz w:val="24"/>
        </w:rPr>
      </w:pPr>
      <w:r>
        <w:rPr>
          <w:rFonts w:ascii="Arial" w:hAnsi="Arial" w:cs="Arial"/>
          <w:bCs/>
          <w:sz w:val="24"/>
        </w:rPr>
        <w:t>对投标文件的评估和比较分为两步进行，评标委员会按照招标文件要求对投标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1</w:t>
      </w:r>
      <w:r>
        <w:rPr>
          <w:rFonts w:hint="eastAsia" w:ascii="Arial" w:hAnsi="Arial" w:cs="Arial"/>
          <w:bCs/>
          <w:sz w:val="24"/>
          <w:lang w:val="en-US" w:eastAsia="zh-CN"/>
        </w:rPr>
        <w:t>0</w:t>
      </w:r>
      <w:r>
        <w:rPr>
          <w:rFonts w:ascii="Arial" w:hAnsi="Arial" w:cs="Arial"/>
          <w:bCs/>
          <w:sz w:val="24"/>
        </w:rPr>
        <w:t>分，技术因素、商务因素占</w:t>
      </w:r>
      <w:r>
        <w:rPr>
          <w:rFonts w:hint="eastAsia" w:ascii="Arial" w:hAnsi="Arial" w:cs="Arial"/>
          <w:bCs/>
          <w:sz w:val="24"/>
          <w:lang w:val="en-US" w:eastAsia="zh-CN"/>
        </w:rPr>
        <w:t>90</w:t>
      </w:r>
      <w:r>
        <w:rPr>
          <w:rFonts w:ascii="Arial" w:hAnsi="Arial" w:cs="Arial"/>
          <w:bCs/>
          <w:sz w:val="24"/>
        </w:rPr>
        <w:t>分。将每位供应商的价格得分、技术得分、商务得分相加即为该供应商的总得分。</w:t>
      </w:r>
    </w:p>
    <w:p>
      <w:pPr>
        <w:spacing w:line="440" w:lineRule="exact"/>
        <w:ind w:firstLine="472" w:firstLineChars="200"/>
        <w:rPr>
          <w:rFonts w:ascii="Arial" w:hAnsi="Arial" w:cs="Arial"/>
          <w:bCs/>
          <w:sz w:val="24"/>
        </w:rPr>
      </w:pPr>
      <w:r>
        <w:rPr>
          <w:rFonts w:ascii="宋体" w:hAnsi="宋体"/>
          <w:spacing w:val="-2"/>
          <w:sz w:val="24"/>
          <w:szCs w:val="24"/>
        </w:rPr>
        <w:t>符合性审查</w:t>
      </w:r>
      <w:r>
        <w:rPr>
          <w:rFonts w:ascii="Arial" w:hAnsi="Arial" w:cs="Arial"/>
          <w:bCs/>
          <w:sz w:val="24"/>
        </w:rPr>
        <w:t>标准如下：</w:t>
      </w:r>
    </w:p>
    <w:p>
      <w:pPr>
        <w:spacing w:line="440" w:lineRule="exact"/>
        <w:ind w:firstLine="480" w:firstLineChars="200"/>
        <w:rPr>
          <w:rFonts w:ascii="Arial" w:hAnsi="Arial" w:cs="Arial"/>
          <w:bCs/>
          <w:sz w:val="24"/>
        </w:rPr>
      </w:pPr>
    </w:p>
    <w:tbl>
      <w:tblPr>
        <w:tblStyle w:val="22"/>
        <w:tblW w:w="10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ascii="宋体" w:hAnsi="宋体"/>
                <w:spacing w:val="-2"/>
                <w:sz w:val="24"/>
                <w:szCs w:val="24"/>
              </w:rPr>
              <w:t>序号</w:t>
            </w:r>
          </w:p>
        </w:tc>
        <w:tc>
          <w:tcPr>
            <w:tcW w:w="8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ascii="宋体" w:hAnsi="宋体"/>
                <w:spacing w:val="-2"/>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1</w:t>
            </w:r>
          </w:p>
        </w:tc>
        <w:tc>
          <w:tcPr>
            <w:tcW w:w="8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Calibri" w:hAnsi="Calibri"/>
                <w:sz w:val="24"/>
                <w:szCs w:val="24"/>
              </w:rPr>
              <w:t>供应商按招标文件要求的格式、签字、加盖公章的；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2</w:t>
            </w:r>
          </w:p>
        </w:tc>
        <w:tc>
          <w:tcPr>
            <w:tcW w:w="8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Calibri" w:hAnsi="Calibri"/>
                <w:sz w:val="24"/>
                <w:szCs w:val="24"/>
              </w:rPr>
              <w:t>投标保证金按招标文件要求缴纳；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3</w:t>
            </w:r>
          </w:p>
        </w:tc>
        <w:tc>
          <w:tcPr>
            <w:tcW w:w="8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Calibri" w:hAnsi="Calibri"/>
                <w:sz w:val="24"/>
                <w:szCs w:val="24"/>
              </w:rPr>
              <w:t>投标文件按招标文件内容不存在不全或字迹模糊、辨认不清的；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4</w:t>
            </w:r>
          </w:p>
        </w:tc>
        <w:tc>
          <w:tcPr>
            <w:tcW w:w="8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Calibri" w:hAnsi="Calibri"/>
                <w:sz w:val="24"/>
                <w:szCs w:val="24"/>
              </w:rPr>
              <w:t>投标文件满足招标文件要求的语言、计量单位、报价货币；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5</w:t>
            </w:r>
          </w:p>
        </w:tc>
        <w:tc>
          <w:tcPr>
            <w:tcW w:w="8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Calibri" w:hAnsi="Calibri"/>
                <w:sz w:val="24"/>
                <w:szCs w:val="24"/>
              </w:rPr>
              <w:t>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6</w:t>
            </w:r>
          </w:p>
        </w:tc>
        <w:tc>
          <w:tcPr>
            <w:tcW w:w="86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Calibri" w:hAnsi="Calibri"/>
                <w:sz w:val="24"/>
                <w:szCs w:val="24"/>
              </w:rPr>
              <w:t>投标报价未超出项目预算；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7</w:t>
            </w:r>
          </w:p>
        </w:tc>
        <w:tc>
          <w:tcPr>
            <w:tcW w:w="8649"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ascii="Calibri" w:hAnsi="Calibri"/>
                <w:sz w:val="24"/>
                <w:szCs w:val="24"/>
              </w:rPr>
              <w:t>投标文件中无采购人不能接受的条件；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
                <w:sz w:val="24"/>
                <w:szCs w:val="24"/>
              </w:rPr>
            </w:pPr>
            <w:r>
              <w:rPr>
                <w:rFonts w:hint="eastAsia" w:ascii="宋体" w:hAnsi="宋体"/>
                <w:spacing w:val="-2"/>
                <w:sz w:val="24"/>
                <w:szCs w:val="24"/>
              </w:rPr>
              <w:t>8</w:t>
            </w:r>
          </w:p>
        </w:tc>
        <w:tc>
          <w:tcPr>
            <w:tcW w:w="8649"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ascii="Calibri" w:hAnsi="Calibri"/>
                <w:sz w:val="24"/>
                <w:szCs w:val="24"/>
              </w:rPr>
              <w:t>符合国家有关法律法规的规定。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10100" w:type="dxa"/>
            <w:gridSpan w:val="2"/>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spacing w:val="-2"/>
                <w:sz w:val="24"/>
                <w:szCs w:val="24"/>
              </w:rPr>
            </w:pPr>
            <w:r>
              <w:rPr>
                <w:rFonts w:ascii="宋体" w:hAnsi="宋体"/>
                <w:spacing w:val="-2"/>
                <w:sz w:val="24"/>
                <w:szCs w:val="24"/>
              </w:rPr>
              <w:t>注：投标文件不符合上述情形之一的，作废标处理。出现重大偏差的标记“×”，没有出现重大偏差的标记“√” 。</w:t>
            </w:r>
          </w:p>
        </w:tc>
      </w:tr>
    </w:tbl>
    <w:p>
      <w:pPr>
        <w:spacing w:line="400" w:lineRule="atLeast"/>
        <w:rPr>
          <w:rFonts w:ascii="Arial" w:hAnsi="Arial" w:cs="Arial"/>
          <w:bCs/>
          <w:sz w:val="24"/>
        </w:rPr>
      </w:pPr>
      <w:r>
        <w:rPr>
          <w:rFonts w:ascii="宋体" w:hAnsi="宋体"/>
          <w:sz w:val="24"/>
        </w:rPr>
        <w:t>供应商的投标文件符合初步审查标准的，进入下一步详细评审阶段，未通过初步审查标准的，其投标作为无效标，不进入详细评审阶段。</w:t>
      </w:r>
    </w:p>
    <w:p>
      <w:pPr>
        <w:spacing w:line="400" w:lineRule="atLeast"/>
        <w:ind w:firstLine="480" w:firstLineChars="200"/>
        <w:rPr>
          <w:rFonts w:ascii="Arial" w:hAnsi="Arial" w:cs="Arial"/>
          <w:bCs/>
          <w:sz w:val="24"/>
        </w:rPr>
      </w:pPr>
      <w:r>
        <w:rPr>
          <w:rFonts w:ascii="Arial" w:hAnsi="Arial" w:cs="Arial"/>
          <w:bCs/>
          <w:sz w:val="24"/>
        </w:rPr>
        <w:t>详细评分标准如下：</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jc w:val="both"/>
        <w:textAlignment w:val="auto"/>
        <w:outlineLvl w:val="9"/>
        <w:rPr>
          <w:rFonts w:ascii="宋体" w:hAnsi="宋体" w:cs="宋体"/>
          <w:sz w:val="24"/>
          <w:szCs w:val="22"/>
          <w:lang w:val="zh-CN"/>
        </w:rPr>
      </w:pPr>
      <w:r>
        <w:rPr>
          <w:rFonts w:ascii="Arial" w:hAnsi="Arial" w:cs="Arial"/>
          <w:b/>
          <w:sz w:val="24"/>
          <w:szCs w:val="24"/>
        </w:rPr>
        <w:t>一、</w:t>
      </w:r>
      <w:r>
        <w:rPr>
          <w:rFonts w:ascii="宋体" w:hAnsi="宋体" w:cs="宋体"/>
          <w:sz w:val="24"/>
          <w:szCs w:val="22"/>
          <w:lang w:val="zh-CN"/>
        </w:rPr>
        <w:t>价格部分（</w:t>
      </w:r>
      <w:r>
        <w:rPr>
          <w:rFonts w:ascii="宋体" w:hAnsi="宋体" w:cs="宋体"/>
          <w:sz w:val="24"/>
          <w:szCs w:val="22"/>
        </w:rPr>
        <w:t>1</w:t>
      </w:r>
      <w:r>
        <w:rPr>
          <w:rFonts w:hint="eastAsia" w:ascii="宋体" w:hAnsi="宋体" w:cs="宋体"/>
          <w:sz w:val="24"/>
          <w:szCs w:val="22"/>
          <w:lang w:val="en-US" w:eastAsia="zh-CN"/>
        </w:rPr>
        <w:t>0</w:t>
      </w:r>
      <w:r>
        <w:rPr>
          <w:rFonts w:ascii="宋体" w:hAnsi="宋体" w:cs="宋体"/>
          <w:sz w:val="24"/>
          <w:szCs w:val="22"/>
          <w:lang w:val="zh-CN"/>
        </w:rPr>
        <w:t>分）</w:t>
      </w:r>
    </w:p>
    <w:p>
      <w:pPr>
        <w:keepNext w:val="0"/>
        <w:keepLines w:val="0"/>
        <w:pageBreakBefore w:val="0"/>
        <w:widowControl w:val="0"/>
        <w:kinsoku/>
        <w:wordWrap/>
        <w:overflowPunct/>
        <w:topLinePunct w:val="0"/>
        <w:bidi w:val="0"/>
        <w:adjustRightInd/>
        <w:snapToGrid/>
        <w:spacing w:line="600" w:lineRule="exact"/>
        <w:ind w:left="0" w:leftChars="0" w:right="0" w:rightChars="0" w:firstLine="480" w:firstLineChars="200"/>
        <w:jc w:val="both"/>
        <w:textAlignment w:val="auto"/>
        <w:outlineLvl w:val="9"/>
        <w:rPr>
          <w:rFonts w:ascii="宋体" w:hAnsi="宋体"/>
          <w:sz w:val="24"/>
          <w:szCs w:val="22"/>
          <w:lang w:val="zh-CN"/>
        </w:rPr>
      </w:pPr>
      <w:r>
        <w:rPr>
          <w:rFonts w:ascii="宋体" w:hAnsi="宋体"/>
          <w:sz w:val="24"/>
          <w:szCs w:val="22"/>
          <w:lang w:val="zh-CN"/>
        </w:rPr>
        <w:t>价格得分的评分方法：采用低价优先法计算，即满足招标文件要求且投标价格最低的投标报价为评标基准价，其价格得分为满分。其他供应商的价格得分统一按照下列公式计算：价格得分=（评标基准价/投标报价）×</w:t>
      </w:r>
      <w:r>
        <w:rPr>
          <w:rFonts w:ascii="宋体" w:hAnsi="宋体"/>
          <w:sz w:val="24"/>
          <w:szCs w:val="22"/>
        </w:rPr>
        <w:t>1</w:t>
      </w:r>
      <w:r>
        <w:rPr>
          <w:rFonts w:hint="eastAsia" w:ascii="宋体" w:hAnsi="宋体"/>
          <w:sz w:val="24"/>
          <w:szCs w:val="22"/>
          <w:lang w:val="en-US" w:eastAsia="zh-CN"/>
        </w:rPr>
        <w:t>0</w:t>
      </w:r>
      <w:r>
        <w:rPr>
          <w:rFonts w:ascii="宋体" w:hAnsi="宋体"/>
          <w:sz w:val="24"/>
          <w:szCs w:val="22"/>
          <w:lang w:val="zh-CN"/>
        </w:rPr>
        <w:t>%×100，如此类推，算出所有投标供应商的价格得分。</w:t>
      </w:r>
    </w:p>
    <w:p>
      <w:pPr>
        <w:keepNext w:val="0"/>
        <w:keepLines w:val="0"/>
        <w:pageBreakBefore w:val="0"/>
        <w:widowControl w:val="0"/>
        <w:kinsoku/>
        <w:wordWrap/>
        <w:overflowPunct/>
        <w:topLinePunct w:val="0"/>
        <w:bidi w:val="0"/>
        <w:adjustRightInd/>
        <w:snapToGrid/>
        <w:spacing w:line="600" w:lineRule="exact"/>
        <w:ind w:left="0" w:leftChars="0" w:right="0" w:rightChars="0" w:firstLine="480" w:firstLineChars="200"/>
        <w:jc w:val="both"/>
        <w:textAlignment w:val="auto"/>
        <w:outlineLvl w:val="9"/>
        <w:rPr>
          <w:rFonts w:ascii="宋体" w:hAnsi="宋体" w:cs="宋体"/>
          <w:sz w:val="24"/>
          <w:szCs w:val="22"/>
          <w:lang w:val="zh-CN"/>
        </w:rPr>
      </w:pPr>
      <w:r>
        <w:rPr>
          <w:rFonts w:ascii="宋体" w:hAnsi="宋体"/>
          <w:sz w:val="24"/>
          <w:szCs w:val="22"/>
          <w:lang w:val="zh-CN"/>
        </w:rPr>
        <w:t>注：（1）如供应商为残疾人福利性单位或小微企业（含监狱企业），需提供《小微企业声明函》，对残疾人福利性单位及小型和微型企业产品的价格给予6%的扣除，用扣除后的价格参与评审。残疾人福利性单位属于小型、微型企业的，不重复享受政策。</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480" w:firstLineChars="200"/>
        <w:jc w:val="both"/>
        <w:textAlignment w:val="auto"/>
        <w:outlineLvl w:val="9"/>
        <w:rPr>
          <w:rFonts w:ascii="宋体" w:hAnsi="宋体" w:cs="宋体"/>
          <w:sz w:val="24"/>
          <w:szCs w:val="22"/>
          <w:lang w:val="zh-CN"/>
        </w:rPr>
      </w:pPr>
      <w:r>
        <w:rPr>
          <w:rFonts w:ascii="宋体" w:hAnsi="宋体" w:cs="宋体"/>
          <w:sz w:val="24"/>
          <w:szCs w:val="22"/>
          <w:lang w:val="zh-CN"/>
        </w:rPr>
        <w:t>（</w:t>
      </w:r>
      <w:r>
        <w:rPr>
          <w:rFonts w:ascii="宋体" w:hAnsi="宋体" w:cs="宋体"/>
          <w:sz w:val="24"/>
          <w:szCs w:val="22"/>
        </w:rPr>
        <w:t>2</w:t>
      </w:r>
      <w:r>
        <w:rPr>
          <w:rFonts w:ascii="宋体" w:hAnsi="宋体" w:cs="宋体"/>
          <w:sz w:val="24"/>
          <w:szCs w:val="22"/>
          <w:lang w:val="zh-CN"/>
        </w:rPr>
        <w:t>）加分项：供应商所投产品如涉及环保节能产品将在2分之内（包括2分）给予加分。</w:t>
      </w:r>
    </w:p>
    <w:tbl>
      <w:tblPr>
        <w:tblStyle w:val="22"/>
        <w:tblW w:w="10119" w:type="dxa"/>
        <w:jc w:val="center"/>
        <w:tblInd w:w="0" w:type="dxa"/>
        <w:tblLayout w:type="fixed"/>
        <w:tblCellMar>
          <w:top w:w="0" w:type="dxa"/>
          <w:left w:w="108" w:type="dxa"/>
          <w:bottom w:w="0" w:type="dxa"/>
          <w:right w:w="108" w:type="dxa"/>
        </w:tblCellMar>
      </w:tblPr>
      <w:tblGrid>
        <w:gridCol w:w="769"/>
        <w:gridCol w:w="1390"/>
        <w:gridCol w:w="6721"/>
        <w:gridCol w:w="1239"/>
      </w:tblGrid>
      <w:tr>
        <w:tblPrEx>
          <w:tblLayout w:type="fixed"/>
          <w:tblCellMar>
            <w:top w:w="0" w:type="dxa"/>
            <w:left w:w="108" w:type="dxa"/>
            <w:bottom w:w="0" w:type="dxa"/>
            <w:right w:w="108" w:type="dxa"/>
          </w:tblCellMar>
        </w:tblPrEx>
        <w:trPr>
          <w:cantSplit/>
          <w:trHeight w:val="799"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b/>
                <w:color w:val="auto"/>
                <w:sz w:val="24"/>
                <w:szCs w:val="24"/>
              </w:rPr>
            </w:pPr>
            <w:r>
              <w:rPr>
                <w:rFonts w:ascii="宋体" w:hAnsi="宋体" w:cs="宋体"/>
                <w:b/>
                <w:color w:val="auto"/>
                <w:kern w:val="0"/>
                <w:sz w:val="24"/>
                <w:szCs w:val="24"/>
              </w:rPr>
              <w:t>序号</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b/>
                <w:color w:val="auto"/>
                <w:sz w:val="24"/>
                <w:szCs w:val="24"/>
              </w:rPr>
            </w:pPr>
            <w:r>
              <w:rPr>
                <w:rFonts w:ascii="宋体" w:hAnsi="宋体" w:cs="宋体"/>
                <w:b/>
                <w:color w:val="auto"/>
                <w:kern w:val="0"/>
                <w:sz w:val="24"/>
                <w:szCs w:val="24"/>
              </w:rPr>
              <w:t>评审条款</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b/>
                <w:color w:val="auto"/>
                <w:sz w:val="24"/>
                <w:szCs w:val="24"/>
              </w:rPr>
            </w:pPr>
            <w:r>
              <w:rPr>
                <w:rFonts w:ascii="宋体" w:hAnsi="宋体" w:cs="宋体"/>
                <w:b/>
                <w:color w:val="auto"/>
                <w:kern w:val="0"/>
                <w:sz w:val="24"/>
                <w:szCs w:val="24"/>
              </w:rPr>
              <w:t>评审细则</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b/>
                <w:color w:val="auto"/>
                <w:sz w:val="24"/>
                <w:szCs w:val="24"/>
              </w:rPr>
            </w:pPr>
            <w:r>
              <w:rPr>
                <w:rFonts w:ascii="宋体" w:hAnsi="宋体" w:cs="宋体"/>
                <w:b/>
                <w:color w:val="auto"/>
                <w:kern w:val="0"/>
                <w:sz w:val="24"/>
                <w:szCs w:val="24"/>
              </w:rPr>
              <w:t>标准分</w:t>
            </w:r>
          </w:p>
        </w:tc>
      </w:tr>
      <w:tr>
        <w:tblPrEx>
          <w:tblLayout w:type="fixed"/>
          <w:tblCellMar>
            <w:top w:w="0" w:type="dxa"/>
            <w:left w:w="108" w:type="dxa"/>
            <w:bottom w:w="0" w:type="dxa"/>
            <w:right w:w="108" w:type="dxa"/>
          </w:tblCellMar>
        </w:tblPrEx>
        <w:trPr>
          <w:cantSplit/>
          <w:trHeight w:val="2637"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企业</w:t>
            </w:r>
            <w:r>
              <w:rPr>
                <w:rFonts w:hint="eastAsia" w:ascii="宋体" w:hAnsi="宋体" w:cs="宋体"/>
                <w:color w:val="auto"/>
                <w:kern w:val="0"/>
                <w:sz w:val="24"/>
                <w:szCs w:val="24"/>
                <w:lang w:val="en-US" w:eastAsia="zh-CN"/>
              </w:rPr>
              <w:t>实力</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color w:val="auto"/>
                <w:sz w:val="24"/>
                <w:szCs w:val="24"/>
                <w:highlight w:val="none"/>
              </w:rPr>
            </w:pPr>
            <w:r>
              <w:rPr>
                <w:color w:val="auto"/>
                <w:kern w:val="0"/>
                <w:sz w:val="24"/>
                <w:szCs w:val="24"/>
                <w:highlight w:val="none"/>
              </w:rPr>
              <w:t>1.获得中国合格评定国家认可委员会（CNAS）和中国计量认证（CMA）认可，取得认证证书。两证齐全的得</w:t>
            </w:r>
            <w:r>
              <w:rPr>
                <w:rFonts w:hint="eastAsia"/>
                <w:color w:val="auto"/>
                <w:kern w:val="0"/>
                <w:sz w:val="24"/>
                <w:szCs w:val="24"/>
                <w:highlight w:val="none"/>
                <w:lang w:val="en-US" w:eastAsia="zh-CN"/>
              </w:rPr>
              <w:t>5</w:t>
            </w:r>
            <w:r>
              <w:rPr>
                <w:color w:val="auto"/>
                <w:kern w:val="0"/>
                <w:sz w:val="24"/>
                <w:szCs w:val="24"/>
                <w:highlight w:val="none"/>
              </w:rPr>
              <w:t>分；仅有一证或无证不得分。</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color w:val="auto"/>
                <w:sz w:val="24"/>
                <w:szCs w:val="24"/>
                <w:highlight w:val="none"/>
              </w:rPr>
            </w:pPr>
            <w:r>
              <w:rPr>
                <w:color w:val="auto"/>
                <w:kern w:val="0"/>
                <w:sz w:val="24"/>
                <w:szCs w:val="24"/>
                <w:highlight w:val="none"/>
              </w:rPr>
              <w:t>注：提供资质证书复印件并加盖公章。</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color w:val="auto"/>
                <w:sz w:val="24"/>
                <w:szCs w:val="24"/>
              </w:rPr>
            </w:pPr>
            <w:r>
              <w:rPr>
                <w:color w:val="auto"/>
                <w:kern w:val="0"/>
                <w:sz w:val="24"/>
                <w:szCs w:val="24"/>
              </w:rPr>
              <w:t>2.具有工业和信息化部重点实验室检测资质得</w:t>
            </w:r>
            <w:r>
              <w:rPr>
                <w:rFonts w:hint="eastAsia"/>
                <w:color w:val="auto"/>
                <w:kern w:val="0"/>
                <w:sz w:val="24"/>
                <w:szCs w:val="24"/>
                <w:lang w:val="en-US" w:eastAsia="zh-CN"/>
              </w:rPr>
              <w:t>5</w:t>
            </w:r>
            <w:r>
              <w:rPr>
                <w:color w:val="auto"/>
                <w:kern w:val="0"/>
                <w:sz w:val="24"/>
                <w:szCs w:val="24"/>
              </w:rPr>
              <w:t>分，没有不得分。</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color w:val="auto"/>
                <w:sz w:val="24"/>
                <w:szCs w:val="24"/>
              </w:rPr>
            </w:pPr>
            <w:r>
              <w:rPr>
                <w:color w:val="auto"/>
                <w:kern w:val="0"/>
                <w:sz w:val="24"/>
                <w:szCs w:val="24"/>
              </w:rPr>
              <w:t>注：提供资质证书复印件并加盖公章，不提供的不得分。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10</w:t>
            </w:r>
          </w:p>
        </w:tc>
      </w:tr>
      <w:tr>
        <w:tblPrEx>
          <w:tblLayout w:type="fixed"/>
          <w:tblCellMar>
            <w:top w:w="0" w:type="dxa"/>
            <w:left w:w="108" w:type="dxa"/>
            <w:bottom w:w="0" w:type="dxa"/>
            <w:right w:w="108" w:type="dxa"/>
          </w:tblCellMar>
        </w:tblPrEx>
        <w:trPr>
          <w:cantSplit/>
          <w:trHeight w:val="106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业绩</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numPr>
                <w:ilvl w:val="0"/>
                <w:numId w:val="5"/>
              </w:numPr>
              <w:kinsoku/>
              <w:wordWrap/>
              <w:overflowPunct/>
              <w:topLinePunct w:val="0"/>
              <w:bidi w:val="0"/>
              <w:adjustRightInd/>
              <w:snapToGrid w:val="0"/>
              <w:spacing w:line="0" w:lineRule="atLeast"/>
              <w:ind w:left="0" w:leftChars="0" w:right="0" w:rightChars="0"/>
              <w:textAlignment w:val="auto"/>
              <w:rPr>
                <w:rFonts w:hint="eastAsia" w:eastAsiaTheme="minorEastAsia"/>
                <w:lang w:val="en-US" w:eastAsia="zh-CN"/>
              </w:rPr>
            </w:pPr>
            <w:r>
              <w:rPr>
                <w:color w:val="auto"/>
                <w:kern w:val="0"/>
                <w:sz w:val="24"/>
                <w:szCs w:val="24"/>
              </w:rPr>
              <w:t>提供近三年内</w:t>
            </w:r>
            <w:r>
              <w:rPr>
                <w:color w:val="auto"/>
                <w:kern w:val="0"/>
                <w:sz w:val="24"/>
                <w:szCs w:val="24"/>
                <w:lang w:val="en-US" w:eastAsia="zh-CN"/>
              </w:rPr>
              <w:t>的同类</w:t>
            </w:r>
            <w:r>
              <w:rPr>
                <w:color w:val="auto"/>
                <w:kern w:val="0"/>
                <w:sz w:val="24"/>
                <w:szCs w:val="24"/>
              </w:rPr>
              <w:t>测试验证项目案例</w:t>
            </w:r>
            <w:r>
              <w:rPr>
                <w:rFonts w:hint="eastAsia"/>
                <w:color w:val="auto"/>
                <w:kern w:val="0"/>
                <w:sz w:val="24"/>
                <w:szCs w:val="24"/>
              </w:rPr>
              <w:t>。</w:t>
            </w:r>
            <w:r>
              <w:rPr>
                <w:color w:val="auto"/>
                <w:kern w:val="0"/>
                <w:sz w:val="24"/>
                <w:szCs w:val="24"/>
              </w:rPr>
              <w:t>（须提供该案例项目的中标通知书复印件，合同关键页如封面、内容页、签字页等的复印件，检测评估报告，验收意见文档复印件）的，每提供1个得1分，满分</w:t>
            </w:r>
            <w:r>
              <w:rPr>
                <w:rFonts w:hint="eastAsia"/>
                <w:color w:val="auto"/>
                <w:kern w:val="0"/>
                <w:sz w:val="24"/>
                <w:szCs w:val="24"/>
                <w:lang w:val="en-US" w:eastAsia="zh-CN"/>
              </w:rPr>
              <w:t>12</w:t>
            </w:r>
            <w:r>
              <w:rPr>
                <w:color w:val="auto"/>
                <w:kern w:val="0"/>
                <w:sz w:val="24"/>
                <w:szCs w:val="24"/>
              </w:rPr>
              <w:t>分。未提供或提供不全者不得分</w:t>
            </w:r>
            <w:r>
              <w:rPr>
                <w:rFonts w:hint="eastAsia"/>
                <w:color w:val="auto"/>
                <w:kern w:val="0"/>
                <w:sz w:val="24"/>
                <w:szCs w:val="24"/>
                <w:lang w:eastAsia="zh-CN"/>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12</w:t>
            </w:r>
          </w:p>
        </w:tc>
      </w:tr>
      <w:tr>
        <w:tblPrEx>
          <w:tblLayout w:type="fixed"/>
          <w:tblCellMar>
            <w:top w:w="0" w:type="dxa"/>
            <w:left w:w="108" w:type="dxa"/>
            <w:bottom w:w="0" w:type="dxa"/>
            <w:right w:w="108" w:type="dxa"/>
          </w:tblCellMar>
        </w:tblPrEx>
        <w:trPr>
          <w:cantSplit/>
          <w:trHeight w:val="922"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测试场地</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autoSpaceDE w:val="0"/>
              <w:autoSpaceDN w:val="0"/>
              <w:bidi w:val="0"/>
              <w:adjustRightInd/>
              <w:spacing w:line="0" w:lineRule="atLeast"/>
              <w:ind w:left="0" w:leftChars="0" w:right="0" w:rightChars="0"/>
              <w:textAlignment w:val="auto"/>
              <w:rPr>
                <w:rFonts w:ascii="宋体" w:hAnsi="宋体" w:cs="宋体"/>
                <w:bCs/>
                <w:color w:val="auto"/>
                <w:sz w:val="24"/>
                <w:szCs w:val="24"/>
                <w:highlight w:val="none"/>
              </w:rPr>
            </w:pPr>
            <w:r>
              <w:rPr>
                <w:rFonts w:ascii="宋体" w:hAnsi="宋体" w:cs="宋体"/>
                <w:color w:val="auto"/>
                <w:kern w:val="0"/>
                <w:sz w:val="24"/>
                <w:szCs w:val="24"/>
                <w:highlight w:val="none"/>
              </w:rPr>
              <w:t>具备经CNAS和CMA认可的可以开展GB/T34089-2017或YD/T 2675-2013开场测试的供采购人备选的标准场地，</w:t>
            </w:r>
            <w:r>
              <w:rPr>
                <w:rFonts w:ascii="宋体" w:hAnsi="宋体" w:cs="宋体"/>
                <w:bCs/>
                <w:color w:val="auto"/>
                <w:kern w:val="0"/>
                <w:sz w:val="24"/>
                <w:szCs w:val="24"/>
                <w:highlight w:val="none"/>
              </w:rPr>
              <w:t>能提供1处的得2分，能提供2处的得4分，能提供3处及以上的得5分，没有不得分。</w:t>
            </w:r>
          </w:p>
          <w:p>
            <w:pPr>
              <w:pStyle w:val="30"/>
              <w:pageBreakBefore w:val="0"/>
              <w:widowControl w:val="0"/>
              <w:kinsoku/>
              <w:wordWrap/>
              <w:overflowPunct/>
              <w:topLinePunct w:val="0"/>
              <w:autoSpaceDE w:val="0"/>
              <w:autoSpaceDN w:val="0"/>
              <w:bidi w:val="0"/>
              <w:adjustRightInd/>
              <w:spacing w:line="0" w:lineRule="atLeast"/>
              <w:ind w:left="0" w:leftChars="0" w:right="0" w:rightChars="0"/>
              <w:textAlignment w:val="auto"/>
              <w:rPr>
                <w:rFonts w:ascii="宋体" w:hAnsi="宋体" w:cs="宋体"/>
                <w:bCs/>
                <w:color w:val="auto"/>
                <w:sz w:val="24"/>
                <w:szCs w:val="24"/>
                <w:highlight w:val="yellow"/>
              </w:rPr>
            </w:pPr>
            <w:r>
              <w:rPr>
                <w:rFonts w:ascii="宋体" w:hAnsi="宋体" w:cs="宋体"/>
                <w:bCs/>
                <w:color w:val="auto"/>
                <w:kern w:val="0"/>
                <w:sz w:val="24"/>
                <w:szCs w:val="24"/>
                <w:highlight w:val="none"/>
              </w:rPr>
              <w:t>注：</w:t>
            </w:r>
            <w:r>
              <w:rPr>
                <w:rFonts w:ascii="宋体" w:hAnsi="宋体" w:cs="宋体"/>
                <w:color w:val="auto"/>
                <w:kern w:val="0"/>
                <w:sz w:val="24"/>
                <w:szCs w:val="24"/>
                <w:highlight w:val="none"/>
              </w:rPr>
              <w:t>提供载明该处场地地址及测试标准的CNAS和CMA能力附表复印件</w:t>
            </w:r>
            <w:r>
              <w:rPr>
                <w:rFonts w:ascii="宋体" w:hAnsi="宋体" w:cs="宋体"/>
                <w:bCs/>
                <w:color w:val="auto"/>
                <w:kern w:val="0"/>
                <w:sz w:val="24"/>
                <w:szCs w:val="24"/>
                <w:highlight w:val="none"/>
              </w:rPr>
              <w:t>，加盖公章，无法提供的不得分。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 xml:space="preserve">5 </w:t>
            </w:r>
          </w:p>
        </w:tc>
      </w:tr>
      <w:tr>
        <w:tblPrEx>
          <w:tblLayout w:type="fixed"/>
          <w:tblCellMar>
            <w:top w:w="0" w:type="dxa"/>
            <w:left w:w="108" w:type="dxa"/>
            <w:bottom w:w="0" w:type="dxa"/>
            <w:right w:w="108" w:type="dxa"/>
          </w:tblCellMar>
        </w:tblPrEx>
        <w:trPr>
          <w:cantSplit/>
          <w:trHeight w:val="40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4</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测试能力</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highlight w:val="none"/>
              </w:rPr>
            </w:pPr>
            <w:r>
              <w:rPr>
                <w:rFonts w:ascii="宋体" w:hAnsi="宋体" w:cs="宋体"/>
                <w:color w:val="auto"/>
                <w:kern w:val="0"/>
                <w:sz w:val="24"/>
                <w:szCs w:val="24"/>
                <w:highlight w:val="none"/>
              </w:rPr>
              <w:t>CNAS和CMA认可的检测能力范围</w:t>
            </w:r>
            <w:r>
              <w:rPr>
                <w:rFonts w:ascii="宋体" w:hAnsi="宋体" w:cs="宋体"/>
                <w:bCs/>
                <w:color w:val="auto"/>
                <w:kern w:val="0"/>
                <w:sz w:val="24"/>
                <w:szCs w:val="24"/>
                <w:highlight w:val="none"/>
              </w:rPr>
              <w:t>应包含本项目的无线电监测设施测试验证技术标准（包含GB/T34089-2017或YD/T 2675-2013、GB/T 32401-2015、T/RAC021-2019、T/RAC024-2021、T/RAC025-2021等），每包含1项得1分，全部包含得5分。</w:t>
            </w:r>
            <w:r>
              <w:rPr>
                <w:rFonts w:ascii="宋体" w:hAnsi="宋体" w:cs="宋体"/>
                <w:color w:val="auto"/>
                <w:kern w:val="0"/>
                <w:sz w:val="24"/>
                <w:szCs w:val="24"/>
                <w:highlight w:val="none"/>
              </w:rPr>
              <w:t xml:space="preserve"> </w:t>
            </w:r>
          </w:p>
          <w:p>
            <w:pPr>
              <w:pStyle w:val="33"/>
              <w:pageBreakBefore w:val="0"/>
              <w:widowControl w:val="0"/>
              <w:kinsoku/>
              <w:wordWrap/>
              <w:overflowPunct/>
              <w:topLinePunct w:val="0"/>
              <w:bidi w:val="0"/>
              <w:adjustRightInd/>
              <w:spacing w:before="0" w:beforeAutospacing="0" w:after="0" w:afterAutospacing="0" w:line="0" w:lineRule="atLeast"/>
              <w:ind w:left="0" w:leftChars="0" w:right="0" w:rightChars="0"/>
              <w:textAlignment w:val="auto"/>
              <w:rPr>
                <w:rFonts w:ascii="宋体" w:hAnsi="宋体" w:eastAsia="宋体" w:cs="宋体"/>
                <w:b w:val="0"/>
                <w:bCs/>
                <w:color w:val="auto"/>
                <w:sz w:val="21"/>
                <w:szCs w:val="21"/>
              </w:rPr>
            </w:pPr>
            <w:r>
              <w:rPr>
                <w:rFonts w:ascii="宋体" w:hAnsi="宋体" w:eastAsia="宋体" w:cs="宋体"/>
                <w:b w:val="0"/>
                <w:bCs/>
                <w:color w:val="auto"/>
                <w:sz w:val="24"/>
                <w:szCs w:val="24"/>
                <w:highlight w:val="none"/>
              </w:rPr>
              <w:t>注：提供 CNAS 和 CMA 能力附表关键页证明材料的复印件并加盖公章，无法提供的不得分。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5</w:t>
            </w:r>
          </w:p>
        </w:tc>
      </w:tr>
      <w:tr>
        <w:tblPrEx>
          <w:tblLayout w:type="fixed"/>
          <w:tblCellMar>
            <w:top w:w="0" w:type="dxa"/>
            <w:left w:w="108" w:type="dxa"/>
            <w:bottom w:w="0" w:type="dxa"/>
            <w:right w:w="108" w:type="dxa"/>
          </w:tblCellMar>
        </w:tblPrEx>
        <w:trPr>
          <w:cantSplit/>
          <w:trHeight w:val="18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5</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3"/>
              <w:pageBreakBefore w:val="0"/>
              <w:widowControl w:val="0"/>
              <w:kinsoku/>
              <w:wordWrap/>
              <w:overflowPunct/>
              <w:topLinePunct w:val="0"/>
              <w:bidi w:val="0"/>
              <w:adjustRightInd/>
              <w:spacing w:before="0" w:beforeAutospacing="0" w:after="0" w:afterAutospacing="0" w:line="0" w:lineRule="atLeast"/>
              <w:ind w:left="0" w:leftChars="0" w:right="0" w:rightChars="0"/>
              <w:textAlignment w:val="auto"/>
              <w:rPr>
                <w:rFonts w:ascii="宋体" w:hAnsi="宋体" w:eastAsia="宋体" w:cs="宋体"/>
                <w:b w:val="0"/>
                <w:color w:val="auto"/>
                <w:sz w:val="24"/>
                <w:szCs w:val="24"/>
                <w:highlight w:val="none"/>
              </w:rPr>
            </w:pPr>
            <w:r>
              <w:rPr>
                <w:rFonts w:ascii="宋体" w:hAnsi="宋体" w:eastAsia="宋体" w:cs="宋体"/>
                <w:b w:val="0"/>
                <w:color w:val="auto"/>
                <w:sz w:val="24"/>
                <w:szCs w:val="24"/>
                <w:highlight w:val="none"/>
              </w:rPr>
              <w:t>CNAS和CMA认可的检测能力范围应能覆盖本项目的测试验证项目。每具备一项得1分，全部满足</w:t>
            </w:r>
            <w:r>
              <w:rPr>
                <w:rFonts w:ascii="宋体" w:hAnsi="宋体" w:eastAsia="宋体" w:cs="宋体"/>
                <w:b w:val="0"/>
                <w:bCs/>
                <w:color w:val="auto"/>
                <w:sz w:val="24"/>
                <w:szCs w:val="24"/>
                <w:highlight w:val="none"/>
              </w:rPr>
              <w:t>得10分</w:t>
            </w:r>
            <w:r>
              <w:rPr>
                <w:rFonts w:ascii="宋体" w:hAnsi="宋体" w:eastAsia="宋体" w:cs="宋体"/>
                <w:b w:val="0"/>
                <w:color w:val="auto"/>
                <w:sz w:val="24"/>
                <w:szCs w:val="24"/>
                <w:highlight w:val="none"/>
              </w:rPr>
              <w:t>。</w:t>
            </w:r>
          </w:p>
          <w:p>
            <w:pPr>
              <w:pStyle w:val="33"/>
              <w:pageBreakBefore w:val="0"/>
              <w:widowControl w:val="0"/>
              <w:kinsoku/>
              <w:wordWrap/>
              <w:overflowPunct/>
              <w:topLinePunct w:val="0"/>
              <w:bidi w:val="0"/>
              <w:adjustRightInd/>
              <w:spacing w:before="0" w:beforeAutospacing="0" w:after="0" w:afterAutospacing="0" w:line="0" w:lineRule="atLeast"/>
              <w:ind w:left="0" w:leftChars="0" w:right="0" w:rightChars="0"/>
              <w:textAlignment w:val="auto"/>
              <w:rPr>
                <w:rFonts w:ascii="宋体" w:hAnsi="宋体" w:eastAsia="宋体" w:cs="宋体"/>
                <w:b w:val="0"/>
                <w:color w:val="auto"/>
                <w:sz w:val="24"/>
                <w:szCs w:val="24"/>
                <w:highlight w:val="yellow"/>
              </w:rPr>
            </w:pPr>
            <w:r>
              <w:rPr>
                <w:rFonts w:ascii="宋体" w:hAnsi="宋体" w:eastAsia="宋体" w:cs="宋体"/>
                <w:b w:val="0"/>
                <w:bCs/>
                <w:color w:val="auto"/>
                <w:sz w:val="24"/>
                <w:szCs w:val="24"/>
                <w:highlight w:val="none"/>
              </w:rPr>
              <w:t>注：提供CNAS和CMA附表能</w:t>
            </w:r>
            <w:r>
              <w:rPr>
                <w:rFonts w:ascii="宋体" w:hAnsi="宋体" w:eastAsia="宋体" w:cs="宋体"/>
                <w:b w:val="0"/>
                <w:bCs/>
                <w:color w:val="auto"/>
                <w:sz w:val="24"/>
                <w:szCs w:val="24"/>
              </w:rPr>
              <w:t>力范围关键页复印件并加盖公章，不提供不得分。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10</w:t>
            </w:r>
          </w:p>
        </w:tc>
      </w:tr>
      <w:tr>
        <w:tblPrEx>
          <w:tblLayout w:type="fixed"/>
          <w:tblCellMar>
            <w:top w:w="0" w:type="dxa"/>
            <w:left w:w="108" w:type="dxa"/>
            <w:bottom w:w="0" w:type="dxa"/>
            <w:right w:w="108" w:type="dxa"/>
          </w:tblCellMar>
        </w:tblPrEx>
        <w:trPr>
          <w:cantSplit/>
          <w:trHeight w:val="88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6</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设备</w:t>
            </w:r>
          </w:p>
        </w:tc>
        <w:tc>
          <w:tcPr>
            <w:tcW w:w="6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具有监测接收机和无线电监测/测向系统的自动测试系统，提供测试系统界面截图以及软件说明书的</w:t>
            </w:r>
            <w:r>
              <w:rPr>
                <w:rFonts w:ascii="宋体" w:hAnsi="宋体" w:cs="宋体"/>
                <w:bCs/>
                <w:color w:val="auto"/>
                <w:kern w:val="0"/>
                <w:sz w:val="24"/>
                <w:szCs w:val="24"/>
              </w:rPr>
              <w:t>得3分</w:t>
            </w:r>
            <w:r>
              <w:rPr>
                <w:rFonts w:ascii="宋体" w:hAnsi="宋体" w:cs="宋体"/>
                <w:color w:val="auto"/>
                <w:kern w:val="0"/>
                <w:sz w:val="24"/>
                <w:szCs w:val="24"/>
              </w:rPr>
              <w:t>，没有</w:t>
            </w:r>
            <w:r>
              <w:rPr>
                <w:rFonts w:ascii="宋体" w:hAnsi="宋体" w:cs="宋体"/>
                <w:bCs/>
                <w:color w:val="auto"/>
                <w:kern w:val="0"/>
                <w:sz w:val="24"/>
                <w:szCs w:val="24"/>
              </w:rPr>
              <w:t>不得分</w:t>
            </w:r>
            <w:r>
              <w:rPr>
                <w:rFonts w:ascii="宋体" w:hAnsi="宋体" w:cs="宋体"/>
                <w:color w:val="auto"/>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3</w:t>
            </w:r>
          </w:p>
        </w:tc>
      </w:tr>
      <w:tr>
        <w:tblPrEx>
          <w:tblLayout w:type="fixed"/>
          <w:tblCellMar>
            <w:top w:w="0" w:type="dxa"/>
            <w:left w:w="108" w:type="dxa"/>
            <w:bottom w:w="0" w:type="dxa"/>
            <w:right w:w="108" w:type="dxa"/>
          </w:tblCellMar>
        </w:tblPrEx>
        <w:trPr>
          <w:cantSplit/>
          <w:trHeight w:val="1178"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7</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提供可投入本项目的核心仪器仪表清单（含信号发射设备、天线、频谱分析仪等设备及其备用设备）和相应的校准报告（首页）的，清单设备及校准报告齐全的</w:t>
            </w:r>
            <w:r>
              <w:rPr>
                <w:rFonts w:ascii="宋体" w:hAnsi="宋体" w:cs="宋体"/>
                <w:bCs/>
                <w:color w:val="auto"/>
                <w:kern w:val="0"/>
                <w:sz w:val="24"/>
                <w:szCs w:val="24"/>
              </w:rPr>
              <w:t>得5分</w:t>
            </w:r>
            <w:r>
              <w:rPr>
                <w:rFonts w:ascii="宋体" w:hAnsi="宋体" w:cs="宋体"/>
                <w:color w:val="auto"/>
                <w:kern w:val="0"/>
                <w:sz w:val="24"/>
                <w:szCs w:val="24"/>
              </w:rPr>
              <w:t>，部分提供的得2分，没有</w:t>
            </w:r>
            <w:r>
              <w:rPr>
                <w:rFonts w:ascii="宋体" w:hAnsi="宋体" w:cs="宋体"/>
                <w:bCs/>
                <w:color w:val="auto"/>
                <w:kern w:val="0"/>
                <w:sz w:val="24"/>
                <w:szCs w:val="24"/>
              </w:rPr>
              <w:t>不得分</w:t>
            </w:r>
            <w:r>
              <w:rPr>
                <w:rFonts w:ascii="宋体" w:hAnsi="宋体" w:cs="宋体"/>
                <w:color w:val="auto"/>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5</w:t>
            </w:r>
          </w:p>
        </w:tc>
      </w:tr>
      <w:tr>
        <w:tblPrEx>
          <w:tblLayout w:type="fixed"/>
          <w:tblCellMar>
            <w:top w:w="0" w:type="dxa"/>
            <w:left w:w="108" w:type="dxa"/>
            <w:bottom w:w="0" w:type="dxa"/>
            <w:right w:w="108" w:type="dxa"/>
          </w:tblCellMar>
        </w:tblPrEx>
        <w:trPr>
          <w:cantSplit/>
          <w:trHeight w:val="1178"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8</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highlight w:val="none"/>
              </w:rPr>
            </w:pPr>
            <w:r>
              <w:rPr>
                <w:rFonts w:ascii="宋体" w:hAnsi="宋体" w:cs="宋体"/>
                <w:bCs/>
                <w:color w:val="auto"/>
                <w:kern w:val="0"/>
                <w:sz w:val="24"/>
                <w:szCs w:val="24"/>
                <w:highlight w:val="none"/>
              </w:rPr>
              <w:t>具有详细的测试验证操作流程和完善的作业指导书，提供无线电监测测向系统（固定监测站）现场测试作业指导书和无线电监测测向系统（移动监测系统）开场测试作业指导书，得2分，</w:t>
            </w:r>
            <w:r>
              <w:rPr>
                <w:rFonts w:ascii="宋体" w:hAnsi="宋体" w:cs="宋体"/>
                <w:color w:val="auto"/>
                <w:kern w:val="0"/>
                <w:sz w:val="24"/>
                <w:szCs w:val="24"/>
                <w:highlight w:val="none"/>
              </w:rPr>
              <w:t>未提供或提供不全者不得分。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2</w:t>
            </w:r>
          </w:p>
        </w:tc>
      </w:tr>
      <w:tr>
        <w:tblPrEx>
          <w:tblLayout w:type="fixed"/>
          <w:tblCellMar>
            <w:top w:w="0" w:type="dxa"/>
            <w:left w:w="108" w:type="dxa"/>
            <w:bottom w:w="0" w:type="dxa"/>
            <w:right w:w="108" w:type="dxa"/>
          </w:tblCellMar>
        </w:tblPrEx>
        <w:trPr>
          <w:cantSplit/>
          <w:trHeight w:val="102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val="en-US" w:eastAsia="zh-CN"/>
              </w:rPr>
              <w:t>9</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人员</w:t>
            </w: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4"/>
              <w:pageBreakBefore w:val="0"/>
              <w:widowControl w:val="0"/>
              <w:kinsoku/>
              <w:wordWrap/>
              <w:overflowPunct/>
              <w:topLinePunct w:val="0"/>
              <w:bidi w:val="0"/>
              <w:adjustRightInd/>
              <w:spacing w:line="0" w:lineRule="atLeast"/>
              <w:ind w:left="0" w:leftChars="0" w:right="0" w:rightChars="0"/>
              <w:textAlignment w:val="auto"/>
              <w:rPr>
                <w:rFonts w:ascii="宋体" w:hAnsi="宋体" w:cs="宋体"/>
                <w:color w:val="auto"/>
                <w:sz w:val="24"/>
                <w:szCs w:val="24"/>
                <w:highlight w:val="none"/>
                <w:lang w:bidi="hi-IN"/>
              </w:rPr>
            </w:pPr>
            <w:r>
              <w:rPr>
                <w:rFonts w:ascii="宋体" w:hAnsi="宋体" w:cs="宋体"/>
                <w:color w:val="auto"/>
                <w:sz w:val="24"/>
                <w:szCs w:val="24"/>
                <w:highlight w:val="none"/>
                <w:lang w:bidi="hi-IN"/>
              </w:rPr>
              <w:t>为本项目配备检测技术人员，每人得1分，最多为8分。</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highlight w:val="none"/>
              </w:rPr>
            </w:pPr>
            <w:r>
              <w:rPr>
                <w:rFonts w:ascii="宋体" w:hAnsi="宋体" w:cs="宋体"/>
                <w:color w:val="auto"/>
                <w:kern w:val="0"/>
                <w:sz w:val="24"/>
                <w:szCs w:val="24"/>
                <w:highlight w:val="none"/>
              </w:rPr>
              <w:t>注：提供以上人员在本单位近3个月的缴纳社保证明，加盖公章；</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8</w:t>
            </w:r>
          </w:p>
        </w:tc>
      </w:tr>
      <w:tr>
        <w:tblPrEx>
          <w:tblLayout w:type="fixed"/>
          <w:tblCellMar>
            <w:top w:w="0" w:type="dxa"/>
            <w:left w:w="108" w:type="dxa"/>
            <w:bottom w:w="0" w:type="dxa"/>
            <w:right w:w="108" w:type="dxa"/>
          </w:tblCellMar>
        </w:tblPrEx>
        <w:trPr>
          <w:cantSplit/>
          <w:trHeight w:val="2929"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w:t>
            </w:r>
            <w:r>
              <w:rPr>
                <w:rFonts w:hint="eastAsia" w:ascii="宋体" w:hAnsi="宋体" w:cs="宋体"/>
                <w:color w:val="auto"/>
                <w:kern w:val="0"/>
                <w:sz w:val="24"/>
                <w:szCs w:val="24"/>
                <w:lang w:val="en-US" w:eastAsia="zh-CN"/>
              </w:rPr>
              <w:t>0</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拟投入的项目组人员具有无线电监测设施测试验证经验，且出具过相关检测报告。测试验证经验在3年以上（不含3年）的</w:t>
            </w:r>
            <w:r>
              <w:rPr>
                <w:rFonts w:ascii="宋体" w:hAnsi="宋体" w:cs="宋体"/>
                <w:bCs/>
                <w:color w:val="auto"/>
                <w:kern w:val="0"/>
                <w:sz w:val="24"/>
                <w:szCs w:val="24"/>
              </w:rPr>
              <w:t>得5分</w:t>
            </w:r>
            <w:r>
              <w:rPr>
                <w:rFonts w:ascii="宋体" w:hAnsi="宋体" w:cs="宋体"/>
                <w:color w:val="auto"/>
                <w:kern w:val="0"/>
                <w:sz w:val="24"/>
                <w:szCs w:val="24"/>
              </w:rPr>
              <w:t>，3年（含）至1年（含）的得2分，1年以下不得分。</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bCs/>
                <w:color w:val="auto"/>
                <w:sz w:val="24"/>
                <w:szCs w:val="24"/>
              </w:rPr>
            </w:pPr>
            <w:r>
              <w:rPr>
                <w:rFonts w:ascii="宋体" w:hAnsi="宋体" w:cs="宋体"/>
                <w:bCs/>
                <w:color w:val="auto"/>
                <w:kern w:val="0"/>
                <w:sz w:val="24"/>
                <w:szCs w:val="24"/>
              </w:rPr>
              <w:t>注：1.提供以上人员在本单位近3个月缴纳的人员社保证明，加盖公章；</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2.提供以上人员签署的带有CNAS及CMA标识的无线电监测设施测试验证检测报告复印件（仅须提供检测报告首页和人员签字页，检测报告的出具年份须与人员工作经验年限相匹配），加盖公章。</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5</w:t>
            </w:r>
          </w:p>
        </w:tc>
      </w:tr>
      <w:tr>
        <w:tblPrEx>
          <w:tblLayout w:type="fixed"/>
          <w:tblCellMar>
            <w:top w:w="0" w:type="dxa"/>
            <w:left w:w="108" w:type="dxa"/>
            <w:bottom w:w="0" w:type="dxa"/>
            <w:right w:w="108" w:type="dxa"/>
          </w:tblCellMar>
        </w:tblPrEx>
        <w:trPr>
          <w:cantSplit/>
          <w:trHeight w:val="1178"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w:t>
            </w:r>
            <w:r>
              <w:rPr>
                <w:rFonts w:hint="eastAsia" w:ascii="宋体" w:hAnsi="宋体" w:cs="宋体"/>
                <w:color w:val="auto"/>
                <w:kern w:val="0"/>
                <w:sz w:val="24"/>
                <w:szCs w:val="24"/>
                <w:lang w:val="en-US" w:eastAsia="zh-CN"/>
              </w:rPr>
              <w:t>1</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具有无线电领域高级技术职称人员，每具有1名得1分，</w:t>
            </w:r>
            <w:r>
              <w:rPr>
                <w:rFonts w:ascii="宋体" w:hAnsi="宋体" w:cs="宋体"/>
                <w:bCs/>
                <w:color w:val="auto"/>
                <w:kern w:val="0"/>
                <w:sz w:val="24"/>
                <w:szCs w:val="24"/>
              </w:rPr>
              <w:t>满</w:t>
            </w:r>
            <w:r>
              <w:rPr>
                <w:rFonts w:ascii="宋体" w:hAnsi="宋体" w:cs="宋体"/>
                <w:color w:val="auto"/>
                <w:kern w:val="0"/>
                <w:sz w:val="24"/>
                <w:szCs w:val="24"/>
              </w:rPr>
              <w:t>分5分。</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注：1.提供以上人员</w:t>
            </w:r>
            <w:r>
              <w:rPr>
                <w:rFonts w:ascii="宋体" w:hAnsi="宋体" w:cs="宋体"/>
                <w:bCs/>
                <w:color w:val="auto"/>
                <w:kern w:val="0"/>
                <w:sz w:val="24"/>
                <w:szCs w:val="24"/>
              </w:rPr>
              <w:t>的高级技术职称证明材料，加盖公章；2.近3个月缴纳的人员社保证明，加盖公章。</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5</w:t>
            </w:r>
          </w:p>
        </w:tc>
      </w:tr>
      <w:tr>
        <w:tblPrEx>
          <w:tblLayout w:type="fixed"/>
          <w:tblCellMar>
            <w:top w:w="0" w:type="dxa"/>
            <w:left w:w="108" w:type="dxa"/>
            <w:bottom w:w="0" w:type="dxa"/>
            <w:right w:w="108" w:type="dxa"/>
          </w:tblCellMar>
        </w:tblPrEx>
        <w:trPr>
          <w:cantSplit/>
          <w:trHeight w:val="111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w:t>
            </w:r>
            <w:r>
              <w:rPr>
                <w:rFonts w:hint="eastAsia" w:ascii="宋体" w:hAnsi="宋体" w:cs="宋体"/>
                <w:color w:val="auto"/>
                <w:kern w:val="0"/>
                <w:sz w:val="24"/>
                <w:szCs w:val="24"/>
                <w:lang w:val="en-US" w:eastAsia="zh-CN"/>
              </w:rPr>
              <w:t>2</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实施方案</w:t>
            </w: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kern w:val="0"/>
                <w:sz w:val="24"/>
                <w:szCs w:val="24"/>
              </w:rPr>
            </w:pPr>
            <w:r>
              <w:rPr>
                <w:rFonts w:ascii="宋体" w:hAnsi="宋体" w:cs="宋体"/>
                <w:color w:val="auto"/>
                <w:kern w:val="0"/>
                <w:sz w:val="24"/>
                <w:szCs w:val="24"/>
              </w:rPr>
              <w:t>1.提供科学、完整及可操作的符合相关标准要求的无线电监测设施测试验证的实施方案。</w:t>
            </w:r>
          </w:p>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方案描述详细、清晰、科学、合理，能够完全满足或优于项目需求得</w:t>
            </w:r>
            <w:r>
              <w:rPr>
                <w:rFonts w:hint="eastAsia" w:ascii="宋体" w:hAnsi="宋体" w:cs="宋体"/>
                <w:color w:val="auto"/>
                <w:kern w:val="0"/>
                <w:sz w:val="24"/>
                <w:szCs w:val="24"/>
                <w:lang w:val="en-US" w:eastAsia="zh-CN"/>
              </w:rPr>
              <w:t>10</w:t>
            </w:r>
            <w:r>
              <w:rPr>
                <w:rFonts w:ascii="宋体" w:hAnsi="宋体" w:cs="宋体"/>
                <w:color w:val="auto"/>
                <w:kern w:val="0"/>
                <w:sz w:val="24"/>
                <w:szCs w:val="24"/>
              </w:rPr>
              <w:t>分；方案描述不清晰有缺失内容的每一项扣</w:t>
            </w:r>
            <w:r>
              <w:rPr>
                <w:rFonts w:hint="eastAsia" w:ascii="宋体" w:hAnsi="宋体" w:cs="宋体"/>
                <w:color w:val="auto"/>
                <w:kern w:val="0"/>
                <w:sz w:val="24"/>
                <w:szCs w:val="24"/>
                <w:lang w:val="en-US" w:eastAsia="zh-CN"/>
              </w:rPr>
              <w:t>5</w:t>
            </w:r>
            <w:r>
              <w:rPr>
                <w:rFonts w:ascii="宋体" w:hAnsi="宋体" w:cs="宋体"/>
                <w:color w:val="auto"/>
                <w:kern w:val="0"/>
                <w:sz w:val="24"/>
                <w:szCs w:val="24"/>
              </w:rPr>
              <w:t>分，扣完为止；未提供任何方案得0分。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10</w:t>
            </w:r>
          </w:p>
        </w:tc>
      </w:tr>
      <w:tr>
        <w:tblPrEx>
          <w:tblLayout w:type="fixed"/>
          <w:tblCellMar>
            <w:top w:w="0" w:type="dxa"/>
            <w:left w:w="108" w:type="dxa"/>
            <w:bottom w:w="0" w:type="dxa"/>
            <w:right w:w="108" w:type="dxa"/>
          </w:tblCellMar>
        </w:tblPrEx>
        <w:trPr>
          <w:cantSplit/>
          <w:trHeight w:val="162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w:t>
            </w:r>
            <w:r>
              <w:rPr>
                <w:rFonts w:hint="eastAsia" w:ascii="宋体" w:hAnsi="宋体" w:cs="宋体"/>
                <w:color w:val="auto"/>
                <w:kern w:val="0"/>
                <w:sz w:val="24"/>
                <w:szCs w:val="24"/>
                <w:lang w:val="en-US" w:eastAsia="zh-CN"/>
              </w:rPr>
              <w:t>3</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2.提供现场测试的应急措施方案。</w:t>
            </w:r>
          </w:p>
          <w:p>
            <w:pPr>
              <w:pStyle w:val="31"/>
              <w:pageBreakBefore w:val="0"/>
              <w:widowControl w:val="0"/>
              <w:kinsoku/>
              <w:wordWrap/>
              <w:overflowPunct/>
              <w:topLinePunct w:val="0"/>
              <w:bidi w:val="0"/>
              <w:adjustRightInd/>
              <w:spacing w:beforeLines="0" w:beforeAutospacing="0" w:after="0" w:afterAutospacing="0" w:line="0" w:lineRule="atLeast"/>
              <w:ind w:left="0" w:leftChars="0" w:right="0" w:rightChars="0"/>
              <w:textAlignment w:val="auto"/>
              <w:rPr>
                <w:rFonts w:ascii="宋体" w:hAnsi="宋体" w:cs="宋体"/>
                <w:color w:val="auto"/>
                <w:sz w:val="24"/>
                <w:szCs w:val="24"/>
                <w:lang w:bidi="hi-IN"/>
              </w:rPr>
            </w:pPr>
            <w:r>
              <w:rPr>
                <w:rFonts w:hint="eastAsia" w:ascii="Times New Roman" w:hAnsi="Times New Roman" w:cs="Times New Roman" w:eastAsiaTheme="minorEastAsia"/>
                <w:bCs/>
                <w:color w:val="auto"/>
                <w:kern w:val="0"/>
                <w:sz w:val="24"/>
                <w:szCs w:val="24"/>
                <w:lang w:val="en-US" w:eastAsia="zh-CN" w:bidi="hi-IN"/>
              </w:rPr>
              <w:t>根据项目实施过程中可能发生的紧急情况，提供合理的应急措施方案。方案内容完整、可行、符合项目实际情况的得5分；方案内容存在缺漏但不影响项目主体内容得3分；提供方案但内容与项目实际情况不相符的得1分；未提供不得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5</w:t>
            </w:r>
          </w:p>
        </w:tc>
      </w:tr>
      <w:tr>
        <w:tblPrEx>
          <w:tblLayout w:type="fixed"/>
          <w:tblCellMar>
            <w:top w:w="0" w:type="dxa"/>
            <w:left w:w="108" w:type="dxa"/>
            <w:bottom w:w="0" w:type="dxa"/>
            <w:right w:w="108" w:type="dxa"/>
          </w:tblCellMar>
        </w:tblPrEx>
        <w:trPr>
          <w:cantSplit/>
          <w:trHeight w:val="139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1</w:t>
            </w:r>
            <w:r>
              <w:rPr>
                <w:rFonts w:hint="eastAsia" w:ascii="宋体" w:hAnsi="宋体" w:cs="宋体"/>
                <w:color w:val="auto"/>
                <w:kern w:val="0"/>
                <w:sz w:val="24"/>
                <w:szCs w:val="24"/>
                <w:lang w:val="en-US" w:eastAsia="zh-CN"/>
              </w:rPr>
              <w:t>4</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p>
        </w:tc>
        <w:tc>
          <w:tcPr>
            <w:tcW w:w="6721" w:type="dxa"/>
            <w:tcBorders>
              <w:top w:val="single" w:color="000000" w:sz="4" w:space="0"/>
              <w:left w:val="single" w:color="000000" w:sz="4" w:space="0"/>
              <w:bottom w:val="single" w:color="000000" w:sz="4" w:space="0"/>
              <w:right w:val="single" w:color="000000" w:sz="4" w:space="0"/>
            </w:tcBorders>
            <w:shd w:val="clear" w:color="auto" w:fill="auto"/>
          </w:tcPr>
          <w:p>
            <w:pPr>
              <w:pStyle w:val="30"/>
              <w:pageBreakBefore w:val="0"/>
              <w:widowControl w:val="0"/>
              <w:kinsoku/>
              <w:wordWrap/>
              <w:overflowPunct/>
              <w:topLinePunct w:val="0"/>
              <w:bidi w:val="0"/>
              <w:adjustRightInd/>
              <w:snapToGrid w:val="0"/>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3.提供质量保障方案。</w:t>
            </w:r>
          </w:p>
          <w:p>
            <w:pPr>
              <w:pStyle w:val="30"/>
              <w:pageBreakBefore w:val="0"/>
              <w:widowControl w:val="0"/>
              <w:kinsoku/>
              <w:wordWrap/>
              <w:overflowPunct/>
              <w:topLinePunct w:val="0"/>
              <w:autoSpaceDE w:val="0"/>
              <w:autoSpaceDN w:val="0"/>
              <w:bidi w:val="0"/>
              <w:adjustRightInd/>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（1）方案描述详细、清晰、科学、合理，能够完全满足或优于项目需求得5分；</w:t>
            </w:r>
          </w:p>
          <w:p>
            <w:pPr>
              <w:pStyle w:val="30"/>
              <w:pageBreakBefore w:val="0"/>
              <w:widowControl w:val="0"/>
              <w:kinsoku/>
              <w:wordWrap/>
              <w:overflowPunct/>
              <w:topLinePunct w:val="0"/>
              <w:autoSpaceDE w:val="0"/>
              <w:autoSpaceDN w:val="0"/>
              <w:bidi w:val="0"/>
              <w:adjustRightInd/>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（2）</w:t>
            </w:r>
            <w:r>
              <w:rPr>
                <w:rFonts w:hint="eastAsia" w:ascii="宋体" w:hAnsi="宋体" w:cs="宋体"/>
                <w:color w:val="auto"/>
                <w:kern w:val="0"/>
                <w:sz w:val="24"/>
                <w:szCs w:val="24"/>
              </w:rPr>
              <w:t>方案内容存在缺漏但不影响项目主体内容得3分</w:t>
            </w:r>
            <w:r>
              <w:rPr>
                <w:rFonts w:ascii="宋体" w:hAnsi="宋体" w:cs="宋体"/>
                <w:color w:val="auto"/>
                <w:kern w:val="0"/>
                <w:sz w:val="24"/>
                <w:szCs w:val="24"/>
              </w:rPr>
              <w:t>；</w:t>
            </w:r>
          </w:p>
          <w:p>
            <w:pPr>
              <w:pStyle w:val="30"/>
              <w:pageBreakBefore w:val="0"/>
              <w:widowControl w:val="0"/>
              <w:kinsoku/>
              <w:wordWrap/>
              <w:overflowPunct/>
              <w:topLinePunct w:val="0"/>
              <w:autoSpaceDE w:val="0"/>
              <w:autoSpaceDN w:val="0"/>
              <w:bidi w:val="0"/>
              <w:adjustRightInd/>
              <w:spacing w:line="0" w:lineRule="atLeast"/>
              <w:ind w:left="0" w:leftChars="0" w:right="0" w:rightChars="0"/>
              <w:textAlignment w:val="auto"/>
              <w:rPr>
                <w:rFonts w:ascii="宋体" w:hAnsi="宋体" w:cs="宋体"/>
                <w:color w:val="auto"/>
                <w:sz w:val="24"/>
                <w:szCs w:val="24"/>
              </w:rPr>
            </w:pPr>
            <w:r>
              <w:rPr>
                <w:rFonts w:ascii="宋体" w:hAnsi="宋体" w:cs="宋体"/>
                <w:color w:val="auto"/>
                <w:kern w:val="0"/>
                <w:sz w:val="24"/>
                <w:szCs w:val="24"/>
              </w:rPr>
              <w:t>（3）</w:t>
            </w:r>
            <w:r>
              <w:rPr>
                <w:rFonts w:hint="eastAsia" w:ascii="宋体" w:hAnsi="宋体" w:cs="宋体"/>
                <w:color w:val="auto"/>
                <w:kern w:val="0"/>
                <w:sz w:val="24"/>
                <w:szCs w:val="24"/>
              </w:rPr>
              <w:t>提供方案但内容与项目实际情况不相符的得1分</w:t>
            </w:r>
            <w:r>
              <w:rPr>
                <w:rFonts w:ascii="宋体" w:hAnsi="宋体" w:cs="宋体"/>
                <w:color w:val="auto"/>
                <w:kern w:val="0"/>
                <w:sz w:val="24"/>
                <w:szCs w:val="24"/>
              </w:rPr>
              <w:t>；</w:t>
            </w:r>
          </w:p>
          <w:p>
            <w:pPr>
              <w:pStyle w:val="31"/>
              <w:pageBreakBefore w:val="0"/>
              <w:widowControl w:val="0"/>
              <w:kinsoku/>
              <w:wordWrap/>
              <w:overflowPunct/>
              <w:topLinePunct w:val="0"/>
              <w:bidi w:val="0"/>
              <w:adjustRightInd/>
              <w:spacing w:beforeLines="0" w:beforeAutospacing="0" w:after="0" w:afterAutospacing="0" w:line="0" w:lineRule="atLeast"/>
              <w:ind w:left="0" w:leftChars="0" w:right="0" w:rightChars="0" w:firstLine="0" w:firstLineChars="0"/>
              <w:textAlignment w:val="auto"/>
              <w:rPr>
                <w:rFonts w:ascii="宋体" w:hAnsi="宋体" w:cs="宋体"/>
                <w:color w:val="auto"/>
                <w:sz w:val="24"/>
                <w:szCs w:val="24"/>
                <w:lang w:bidi="hi-IN"/>
              </w:rPr>
            </w:pPr>
            <w:r>
              <w:rPr>
                <w:rFonts w:ascii="宋体" w:hAnsi="宋体" w:cs="宋体"/>
                <w:color w:val="auto"/>
                <w:sz w:val="24"/>
                <w:szCs w:val="24"/>
                <w:lang w:bidi="hi-IN"/>
              </w:rPr>
              <w:t>（4）未提供任何方案得0分。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pageBreakBefore w:val="0"/>
              <w:widowControl w:val="0"/>
              <w:kinsoku/>
              <w:wordWrap/>
              <w:overflowPunct/>
              <w:topLinePunct w:val="0"/>
              <w:bidi w:val="0"/>
              <w:adjustRightInd/>
              <w:snapToGrid w:val="0"/>
              <w:spacing w:line="0" w:lineRule="atLeast"/>
              <w:ind w:left="0" w:leftChars="0" w:right="0" w:rightChars="0"/>
              <w:jc w:val="center"/>
              <w:textAlignment w:val="auto"/>
              <w:rPr>
                <w:rFonts w:ascii="宋体" w:hAnsi="宋体" w:cs="宋体"/>
                <w:color w:val="auto"/>
                <w:sz w:val="24"/>
                <w:szCs w:val="24"/>
              </w:rPr>
            </w:pPr>
            <w:r>
              <w:rPr>
                <w:rFonts w:ascii="宋体" w:hAnsi="宋体" w:cs="宋体"/>
                <w:color w:val="auto"/>
                <w:kern w:val="0"/>
                <w:sz w:val="24"/>
                <w:szCs w:val="24"/>
              </w:rPr>
              <w:t>5</w:t>
            </w:r>
          </w:p>
        </w:tc>
      </w:tr>
    </w:tbl>
    <w:p>
      <w:pPr>
        <w:ind w:firstLine="482" w:firstLineChars="200"/>
        <w:rPr>
          <w:rFonts w:ascii="宋体" w:hAnsi="宋体" w:cs="宋体"/>
          <w:b/>
          <w:sz w:val="24"/>
          <w:szCs w:val="24"/>
        </w:rPr>
      </w:pPr>
    </w:p>
    <w:p>
      <w:pPr>
        <w:spacing w:line="400" w:lineRule="atLeast"/>
        <w:rPr>
          <w:rFonts w:ascii="宋体" w:hAnsi="宋体" w:cs="宋体"/>
          <w:b/>
        </w:rPr>
      </w:pPr>
      <w:r>
        <w:rPr>
          <w:rFonts w:ascii="宋体" w:hAnsi="宋体" w:cs="宋体"/>
          <w:b/>
        </w:rPr>
        <w:t>说明：评委对各供应商二、三项内容量化打分时，二、三项合计最高得分与最低得分相差20%以上时，应当做出合理的解释说明，否则不予计分。</w:t>
      </w:r>
    </w:p>
    <w:p>
      <w:pPr>
        <w:spacing w:line="400" w:lineRule="atLeast"/>
        <w:rPr>
          <w:rFonts w:ascii="Arial" w:hAnsi="Arial" w:cs="Arial"/>
          <w:sz w:val="24"/>
        </w:rPr>
      </w:pPr>
      <w:r>
        <w:rPr>
          <w:rFonts w:ascii="Arial" w:hAnsi="Arial" w:cs="Arial"/>
          <w:sz w:val="24"/>
        </w:rPr>
        <w:t>27．评标过程的保密性</w:t>
      </w:r>
    </w:p>
    <w:p>
      <w:pPr>
        <w:spacing w:line="400" w:lineRule="atLeast"/>
        <w:ind w:left="552" w:hanging="552" w:hangingChars="230"/>
        <w:rPr>
          <w:rFonts w:ascii="Arial" w:hAnsi="Arial" w:cs="Arial"/>
          <w:sz w:val="24"/>
        </w:rPr>
      </w:pPr>
      <w:r>
        <w:rPr>
          <w:rFonts w:ascii="Arial" w:hAnsi="Arial" w:cs="Arial"/>
          <w:sz w:val="24"/>
        </w:rPr>
        <w:t>27.1 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spacing w:line="400" w:lineRule="atLeast"/>
        <w:ind w:left="552" w:hanging="552" w:hangingChars="230"/>
        <w:rPr>
          <w:rFonts w:ascii="Arial" w:hAnsi="Arial" w:cs="Arial"/>
          <w:sz w:val="24"/>
        </w:rPr>
      </w:pPr>
      <w:r>
        <w:rPr>
          <w:rFonts w:ascii="Arial" w:hAnsi="Arial" w:cs="Arial"/>
          <w:sz w:val="24"/>
        </w:rPr>
        <w:t>27.2 供应商在评标过程中，所进行的力图影响评标结果的不符合《政府采购法》及本次招标中有关规定的活动，将被取消其中标资格。</w:t>
      </w:r>
    </w:p>
    <w:p>
      <w:pPr>
        <w:spacing w:line="240" w:lineRule="atLeast"/>
        <w:ind w:left="483" w:hanging="482" w:hangingChars="230"/>
        <w:rPr>
          <w:rFonts w:ascii="Arial" w:hAnsi="Arial" w:cs="Arial"/>
        </w:rPr>
      </w:pPr>
    </w:p>
    <w:p>
      <w:pPr>
        <w:pStyle w:val="4"/>
        <w:spacing w:before="100" w:beforeAutospacing="1" w:after="100" w:afterAutospacing="1" w:line="400" w:lineRule="exact"/>
        <w:rPr>
          <w:rFonts w:eastAsia="宋体" w:cs="Arial"/>
          <w:sz w:val="28"/>
          <w:szCs w:val="28"/>
        </w:rPr>
      </w:pPr>
      <w:bookmarkStart w:id="27" w:name="_Toc349573126"/>
      <w:bookmarkStart w:id="28" w:name="_Toc2096658"/>
      <w:bookmarkStart w:id="29" w:name="_Toc298240410"/>
      <w:bookmarkStart w:id="30" w:name="_Toc349637925"/>
      <w:bookmarkStart w:id="31" w:name="_Toc267301287"/>
      <w:r>
        <w:rPr>
          <w:rFonts w:eastAsia="宋体" w:cs="Arial"/>
          <w:sz w:val="28"/>
          <w:szCs w:val="28"/>
        </w:rPr>
        <w:t>F  授予合同</w:t>
      </w:r>
      <w:bookmarkEnd w:id="27"/>
      <w:bookmarkEnd w:id="28"/>
      <w:bookmarkEnd w:id="29"/>
      <w:bookmarkEnd w:id="30"/>
      <w:bookmarkEnd w:id="31"/>
    </w:p>
    <w:p>
      <w:pPr>
        <w:spacing w:line="400" w:lineRule="atLeast"/>
        <w:rPr>
          <w:rFonts w:ascii="Arial" w:hAnsi="Arial" w:cs="Arial"/>
          <w:sz w:val="24"/>
        </w:rPr>
      </w:pPr>
      <w:r>
        <w:rPr>
          <w:rFonts w:ascii="Arial" w:hAnsi="Arial" w:cs="Arial"/>
          <w:sz w:val="24"/>
        </w:rPr>
        <w:t>28．合同授予标准</w:t>
      </w:r>
    </w:p>
    <w:p>
      <w:pPr>
        <w:spacing w:line="400" w:lineRule="atLeast"/>
        <w:ind w:left="600" w:hanging="600" w:hangingChars="250"/>
        <w:rPr>
          <w:rFonts w:ascii="Arial" w:hAnsi="Arial" w:cs="Arial"/>
          <w:sz w:val="24"/>
        </w:rPr>
      </w:pPr>
      <w:r>
        <w:rPr>
          <w:rFonts w:ascii="Arial" w:hAnsi="Arial" w:cs="Arial"/>
          <w:sz w:val="24"/>
        </w:rPr>
        <w:t>28.1合同将授予被确定为实质上响应招标文件要求，评标认为具备履行合同义务条件、报价合理、服务方案和商务条件都符合条件基础上综合评分得分最高的供应商。</w:t>
      </w:r>
    </w:p>
    <w:p>
      <w:pPr>
        <w:spacing w:line="400" w:lineRule="atLeast"/>
        <w:rPr>
          <w:rFonts w:ascii="Arial" w:hAnsi="Arial" w:cs="Arial"/>
          <w:sz w:val="24"/>
        </w:rPr>
      </w:pPr>
      <w:r>
        <w:rPr>
          <w:rFonts w:ascii="Arial" w:hAnsi="Arial" w:cs="Arial"/>
          <w:sz w:val="24"/>
        </w:rPr>
        <w:t>28.2 最低投标价不一定是被授予合同的保证。</w:t>
      </w:r>
    </w:p>
    <w:p>
      <w:pPr>
        <w:spacing w:line="400" w:lineRule="atLeast"/>
        <w:rPr>
          <w:rFonts w:ascii="Arial" w:hAnsi="Arial" w:cs="Arial"/>
          <w:sz w:val="24"/>
        </w:rPr>
      </w:pPr>
      <w:r>
        <w:rPr>
          <w:rFonts w:ascii="Arial" w:hAnsi="Arial" w:cs="Arial"/>
          <w:sz w:val="24"/>
        </w:rPr>
        <w:t>29．接受和拒绝任何或所有投标的权力</w:t>
      </w:r>
    </w:p>
    <w:p>
      <w:pPr>
        <w:spacing w:line="400" w:lineRule="atLeast"/>
        <w:ind w:left="600" w:hanging="600" w:hangingChars="250"/>
        <w:rPr>
          <w:rFonts w:ascii="Arial" w:hAnsi="Arial" w:cs="Arial"/>
          <w:sz w:val="24"/>
        </w:rPr>
      </w:pPr>
      <w:r>
        <w:rPr>
          <w:rFonts w:ascii="Arial" w:hAnsi="Arial" w:cs="Arial"/>
          <w:sz w:val="24"/>
        </w:rPr>
        <w:t>29.1为维护国家利益，招标方在授予合同之前仍有选择或拒绝任何全部投标的权力，并对所采取的行为不作任何解释。</w:t>
      </w:r>
    </w:p>
    <w:p>
      <w:pPr>
        <w:spacing w:line="400" w:lineRule="atLeast"/>
        <w:rPr>
          <w:rFonts w:ascii="Arial" w:hAnsi="Arial" w:cs="Arial"/>
          <w:sz w:val="24"/>
        </w:rPr>
      </w:pPr>
      <w:r>
        <w:rPr>
          <w:rFonts w:ascii="Arial" w:hAnsi="Arial" w:cs="Arial"/>
          <w:sz w:val="24"/>
        </w:rPr>
        <w:t>30．中标通知书</w:t>
      </w:r>
    </w:p>
    <w:p>
      <w:pPr>
        <w:spacing w:line="400" w:lineRule="atLeast"/>
        <w:ind w:left="552" w:hanging="552" w:hangingChars="230"/>
        <w:rPr>
          <w:rFonts w:ascii="Arial" w:hAnsi="Arial" w:cs="Arial"/>
          <w:sz w:val="24"/>
        </w:rPr>
      </w:pPr>
      <w:r>
        <w:rPr>
          <w:rFonts w:ascii="Arial" w:hAnsi="Arial" w:cs="Arial"/>
          <w:sz w:val="24"/>
        </w:rPr>
        <w:t>30.1评标结束后，采购代理将以书面形式发出《</w:t>
      </w:r>
      <w:r>
        <w:rPr>
          <w:rFonts w:hint="eastAsia" w:ascii="Arial" w:hAnsi="Arial" w:cs="Arial"/>
          <w:sz w:val="24"/>
          <w:lang w:val="en-US" w:eastAsia="zh-CN"/>
        </w:rPr>
        <w:t>中标</w:t>
      </w:r>
      <w:r>
        <w:rPr>
          <w:rFonts w:ascii="Arial" w:hAnsi="Arial" w:cs="Arial"/>
          <w:sz w:val="24"/>
        </w:rPr>
        <w:t>通知书》，但发出时间不超过</w:t>
      </w:r>
      <w:r>
        <w:rPr>
          <w:rFonts w:hint="eastAsia" w:ascii="Arial" w:hAnsi="Arial" w:cs="Arial"/>
          <w:sz w:val="24"/>
          <w:lang w:val="en-US" w:eastAsia="zh-CN"/>
        </w:rPr>
        <w:t>招标</w:t>
      </w:r>
      <w:r>
        <w:rPr>
          <w:rFonts w:ascii="Arial" w:hAnsi="Arial" w:cs="Arial"/>
          <w:sz w:val="24"/>
        </w:rPr>
        <w:t>有效期，《</w:t>
      </w:r>
      <w:r>
        <w:rPr>
          <w:rFonts w:hint="eastAsia" w:ascii="Arial" w:hAnsi="Arial" w:cs="Arial"/>
          <w:sz w:val="24"/>
          <w:lang w:val="en-US" w:eastAsia="zh-CN"/>
        </w:rPr>
        <w:t>中标</w:t>
      </w:r>
      <w:r>
        <w:rPr>
          <w:rFonts w:ascii="Arial" w:hAnsi="Arial" w:cs="Arial"/>
          <w:sz w:val="24"/>
        </w:rPr>
        <w:t>通知书》一经发出即发生法律效力。</w:t>
      </w:r>
    </w:p>
    <w:p>
      <w:pPr>
        <w:spacing w:line="400" w:lineRule="atLeast"/>
        <w:rPr>
          <w:rFonts w:ascii="Arial" w:hAnsi="Arial" w:cs="Arial"/>
          <w:sz w:val="24"/>
        </w:rPr>
      </w:pPr>
      <w:r>
        <w:rPr>
          <w:rFonts w:ascii="Arial" w:hAnsi="Arial" w:cs="Arial"/>
          <w:sz w:val="24"/>
        </w:rPr>
        <w:t>30.2 《中标通知书》将作为签订合同的依据。</w:t>
      </w:r>
    </w:p>
    <w:p>
      <w:pPr>
        <w:spacing w:line="400" w:lineRule="atLeast"/>
        <w:ind w:left="600" w:hanging="600" w:hangingChars="250"/>
        <w:rPr>
          <w:rFonts w:ascii="Arial" w:hAnsi="Arial" w:cs="Arial"/>
          <w:sz w:val="24"/>
        </w:rPr>
      </w:pPr>
      <w:r>
        <w:rPr>
          <w:rFonts w:ascii="Arial" w:hAnsi="Arial" w:cs="Arial"/>
          <w:sz w:val="24"/>
        </w:rPr>
        <w:t>30.3 采购代理机构将在中标方按规定签订合同并提交履约保证金（如适用）后退还其投标保证金。</w:t>
      </w:r>
    </w:p>
    <w:p>
      <w:pPr>
        <w:spacing w:line="400" w:lineRule="atLeast"/>
        <w:rPr>
          <w:rFonts w:ascii="Arial" w:hAnsi="Arial" w:cs="Arial"/>
          <w:sz w:val="24"/>
        </w:rPr>
      </w:pPr>
      <w:r>
        <w:rPr>
          <w:rFonts w:ascii="Arial" w:hAnsi="Arial" w:cs="Arial"/>
          <w:sz w:val="24"/>
        </w:rPr>
        <w:t>31．签订合同</w:t>
      </w:r>
    </w:p>
    <w:p>
      <w:pPr>
        <w:spacing w:line="400" w:lineRule="atLeast"/>
        <w:ind w:left="540" w:hanging="540" w:hangingChars="225"/>
        <w:rPr>
          <w:rFonts w:ascii="Arial" w:hAnsi="Arial" w:cs="Arial"/>
          <w:sz w:val="24"/>
        </w:rPr>
      </w:pPr>
      <w:r>
        <w:rPr>
          <w:rFonts w:ascii="Arial" w:hAnsi="Arial" w:cs="Arial"/>
          <w:sz w:val="24"/>
        </w:rPr>
        <w:t>31.1 供应商收到《中标通知书》后</w:t>
      </w:r>
      <w:r>
        <w:rPr>
          <w:rFonts w:hint="eastAsia" w:ascii="Arial" w:hAnsi="Arial" w:cs="Arial"/>
          <w:sz w:val="24"/>
          <w:lang w:eastAsia="zh-CN"/>
        </w:rPr>
        <w:t>，</w:t>
      </w:r>
      <w:r>
        <w:rPr>
          <w:rFonts w:ascii="Arial" w:hAnsi="Arial" w:cs="Arial"/>
          <w:sz w:val="24"/>
        </w:rPr>
        <w:t>应在30日内与买方签订合同</w:t>
      </w:r>
      <w:r>
        <w:rPr>
          <w:rFonts w:hint="eastAsia" w:ascii="Arial" w:hAnsi="Arial" w:cs="Arial"/>
          <w:sz w:val="24"/>
          <w:lang w:eastAsia="zh-CN"/>
        </w:rPr>
        <w:t>。</w:t>
      </w:r>
      <w:r>
        <w:rPr>
          <w:rFonts w:ascii="Arial" w:hAnsi="Arial" w:cs="Arial"/>
          <w:sz w:val="24"/>
        </w:rPr>
        <w:t>采购人和中标人不得再订立背离合同实质性内容的其他协议。</w:t>
      </w:r>
    </w:p>
    <w:p>
      <w:pPr>
        <w:spacing w:line="400" w:lineRule="atLeast"/>
        <w:rPr>
          <w:rFonts w:ascii="Arial" w:hAnsi="Arial" w:cs="Arial"/>
          <w:sz w:val="24"/>
        </w:rPr>
      </w:pPr>
      <w:r>
        <w:rPr>
          <w:rFonts w:ascii="Arial" w:hAnsi="Arial" w:cs="Arial"/>
          <w:sz w:val="24"/>
        </w:rPr>
        <w:t>31.2如中标方拒签合同，则按违约处理。采购代理机构没收其投标保证金。</w:t>
      </w:r>
    </w:p>
    <w:p>
      <w:pPr>
        <w:spacing w:line="400" w:lineRule="atLeast"/>
        <w:rPr>
          <w:rFonts w:ascii="Arial" w:hAnsi="Arial" w:cs="Arial"/>
          <w:sz w:val="24"/>
        </w:rPr>
      </w:pPr>
      <w:r>
        <w:rPr>
          <w:rFonts w:ascii="Arial" w:hAnsi="Arial" w:cs="Arial"/>
          <w:sz w:val="24"/>
        </w:rPr>
        <w:t>31.3招标文件、中标方的投标文件及其澄清文件等，均为签订经济合同的依据。</w:t>
      </w:r>
    </w:p>
    <w:p>
      <w:pPr>
        <w:spacing w:line="400" w:lineRule="atLeast"/>
        <w:rPr>
          <w:rFonts w:ascii="Arial" w:hAnsi="Arial" w:cs="Arial"/>
          <w:sz w:val="24"/>
        </w:rPr>
      </w:pPr>
    </w:p>
    <w:p>
      <w:pPr>
        <w:pStyle w:val="4"/>
        <w:spacing w:before="100" w:beforeAutospacing="1" w:after="100" w:afterAutospacing="1" w:line="400" w:lineRule="exact"/>
        <w:rPr>
          <w:rFonts w:eastAsia="宋体" w:cs="Arial"/>
          <w:sz w:val="28"/>
          <w:szCs w:val="28"/>
        </w:rPr>
      </w:pPr>
      <w:bookmarkStart w:id="32" w:name="_Toc2096659"/>
      <w:r>
        <w:rPr>
          <w:rFonts w:eastAsia="宋体" w:cs="Arial"/>
          <w:sz w:val="28"/>
          <w:szCs w:val="28"/>
        </w:rPr>
        <w:t>G  招标失败条件</w:t>
      </w:r>
      <w:bookmarkEnd w:id="32"/>
    </w:p>
    <w:p>
      <w:pPr>
        <w:pStyle w:val="13"/>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32.出现影响采购公正的违法、违规行为的；</w:t>
      </w:r>
    </w:p>
    <w:p>
      <w:pPr>
        <w:pStyle w:val="13"/>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33.因重大变故，采购任务取消的；</w:t>
      </w:r>
    </w:p>
    <w:p>
      <w:pPr>
        <w:pStyle w:val="13"/>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34.招标文件截止时间后，实际参与的供应商不足法定家数的；</w:t>
      </w:r>
    </w:p>
    <w:p>
      <w:pPr>
        <w:pStyle w:val="13"/>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35.投标报价超过采购</w:t>
      </w:r>
      <w:r>
        <w:rPr>
          <w:rFonts w:ascii="Arial" w:hAnsi="Arial" w:cs="Arial"/>
          <w:bCs/>
          <w:sz w:val="24"/>
          <w:highlight w:val="none"/>
        </w:rPr>
        <w:t>预算导致有</w:t>
      </w:r>
      <w:r>
        <w:rPr>
          <w:rFonts w:hint="eastAsia" w:ascii="Arial" w:hAnsi="Arial" w:cs="Arial"/>
          <w:bCs/>
          <w:sz w:val="24"/>
          <w:highlight w:val="none"/>
          <w:lang w:val="en-US" w:eastAsia="zh-CN"/>
        </w:rPr>
        <w:t>效</w:t>
      </w:r>
      <w:r>
        <w:rPr>
          <w:rFonts w:ascii="Arial" w:hAnsi="Arial" w:cs="Arial"/>
          <w:bCs/>
          <w:sz w:val="24"/>
          <w:highlight w:val="none"/>
        </w:rPr>
        <w:t>投标单</w:t>
      </w:r>
      <w:r>
        <w:rPr>
          <w:rFonts w:ascii="Arial" w:hAnsi="Arial" w:cs="Arial"/>
          <w:bCs/>
          <w:sz w:val="24"/>
        </w:rPr>
        <w:t>位不足三家；</w:t>
      </w:r>
    </w:p>
    <w:p>
      <w:pPr>
        <w:pStyle w:val="13"/>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36.对招标文件作出实质性响应的供应商不足法定家数的；</w:t>
      </w:r>
    </w:p>
    <w:p>
      <w:pPr>
        <w:spacing w:line="360" w:lineRule="auto"/>
        <w:ind w:firstLine="420" w:firstLineChars="200"/>
        <w:rPr>
          <w:rFonts w:ascii="宋体" w:hAnsi="宋体" w:cs="宋体"/>
          <w:sz w:val="24"/>
          <w:lang w:val="en-GB"/>
        </w:rPr>
      </w:pPr>
      <w:r>
        <w:rPr>
          <w:rFonts w:ascii="宋体" w:hAnsi="宋体" w:cs="宋体"/>
          <w:lang w:val="zh-CN"/>
        </w:rPr>
        <w:br w:type="page"/>
      </w:r>
    </w:p>
    <w:p>
      <w:pPr>
        <w:numPr>
          <w:ilvl w:val="0"/>
          <w:numId w:val="6"/>
        </w:numPr>
        <w:autoSpaceDE w:val="0"/>
        <w:autoSpaceDN w:val="0"/>
        <w:spacing w:line="360" w:lineRule="auto"/>
        <w:ind w:firstLine="482"/>
        <w:jc w:val="center"/>
        <w:rPr>
          <w:rFonts w:ascii="Arial" w:hAnsi="Arial" w:cs="Arial"/>
          <w:sz w:val="32"/>
          <w:szCs w:val="32"/>
        </w:rPr>
      </w:pPr>
      <w:r>
        <w:rPr>
          <w:rFonts w:ascii="Arial" w:hAnsi="Arial" w:cs="Arial"/>
          <w:sz w:val="32"/>
          <w:szCs w:val="32"/>
        </w:rPr>
        <w:t>采购需求</w:t>
      </w:r>
    </w:p>
    <w:p>
      <w:pPr>
        <w:pStyle w:val="35"/>
        <w:keepLines w:val="0"/>
        <w:numPr>
          <w:ilvl w:val="0"/>
          <w:numId w:val="7"/>
        </w:numPr>
        <w:snapToGrid w:val="0"/>
        <w:spacing w:before="0" w:beforeAutospacing="0" w:after="0" w:afterAutospacing="0" w:line="480" w:lineRule="exact"/>
        <w:ind w:left="426" w:hanging="426" w:hangingChars="177"/>
        <w:rPr>
          <w:rFonts w:ascii="宋体" w:hAnsi="宋体" w:cs="宋体"/>
          <w:color w:val="000000"/>
          <w:sz w:val="24"/>
          <w:szCs w:val="24"/>
        </w:rPr>
      </w:pPr>
      <w:bookmarkStart w:id="33" w:name="_Toc267301295"/>
      <w:r>
        <w:rPr>
          <w:rFonts w:ascii="宋体" w:hAnsi="宋体" w:cs="宋体"/>
          <w:sz w:val="24"/>
          <w:szCs w:val="24"/>
        </w:rPr>
        <w:t xml:space="preserve"> </w:t>
      </w:r>
      <w:r>
        <w:rPr>
          <w:rFonts w:ascii="宋体" w:hAnsi="宋体" w:cs="宋体"/>
          <w:color w:val="000000"/>
          <w:sz w:val="24"/>
          <w:szCs w:val="24"/>
        </w:rPr>
        <w:t>项目概述</w:t>
      </w:r>
    </w:p>
    <w:p>
      <w:pPr>
        <w:pStyle w:val="30"/>
        <w:numPr>
          <w:ilvl w:val="0"/>
          <w:numId w:val="8"/>
        </w:numPr>
        <w:snapToGrid w:val="0"/>
        <w:spacing w:line="480" w:lineRule="exact"/>
        <w:ind w:firstLine="482" w:firstLineChars="200"/>
        <w:outlineLvl w:val="1"/>
        <w:rPr>
          <w:rFonts w:ascii="宋体" w:hAnsi="宋体" w:cs="宋体"/>
          <w:b/>
          <w:color w:val="000000"/>
          <w:sz w:val="24"/>
          <w:szCs w:val="24"/>
        </w:rPr>
      </w:pPr>
      <w:r>
        <w:rPr>
          <w:rFonts w:ascii="宋体" w:hAnsi="宋体" w:cs="宋体"/>
          <w:b/>
          <w:color w:val="000000"/>
          <w:sz w:val="24"/>
          <w:szCs w:val="24"/>
        </w:rPr>
        <w:t>项目背景</w:t>
      </w:r>
    </w:p>
    <w:p>
      <w:pPr>
        <w:pStyle w:val="30"/>
        <w:snapToGrid w:val="0"/>
        <w:spacing w:line="480" w:lineRule="exact"/>
        <w:ind w:firstLine="480" w:firstLineChars="200"/>
        <w:rPr>
          <w:rFonts w:ascii="宋体" w:hAnsi="宋体" w:cs="宋体"/>
          <w:color w:val="000000"/>
          <w:sz w:val="24"/>
          <w:szCs w:val="24"/>
        </w:rPr>
      </w:pPr>
      <w:r>
        <w:rPr>
          <w:rFonts w:ascii="宋体" w:hAnsi="宋体" w:cs="宋体"/>
          <w:color w:val="000000"/>
          <w:sz w:val="24"/>
          <w:szCs w:val="24"/>
        </w:rPr>
        <w:t>随着无线电技术和应用的发展，近年来繁重的重大活动和各类考试的无线电保障任务愈加繁重，无线电监测设施愈加凸显其重要性。为确保各类无线电监测设施的可靠稳定运行，保证监测数据的准确性、有效性，充分发挥无线电监测数据在频谱管理、干扰排查、行政和刑事处罚中的支撑作用，2017年底，工业和信息化部无线电管理局开始积极在全国范围内推动对无线电监测设施测试验证工作。</w:t>
      </w:r>
    </w:p>
    <w:p>
      <w:pPr>
        <w:pStyle w:val="30"/>
        <w:numPr>
          <w:ilvl w:val="0"/>
          <w:numId w:val="8"/>
        </w:numPr>
        <w:snapToGrid w:val="0"/>
        <w:spacing w:line="480" w:lineRule="exact"/>
        <w:ind w:firstLine="482" w:firstLineChars="200"/>
        <w:outlineLvl w:val="1"/>
        <w:rPr>
          <w:rFonts w:ascii="宋体" w:hAnsi="宋体" w:cs="宋体"/>
          <w:b/>
          <w:color w:val="000000"/>
          <w:sz w:val="24"/>
          <w:szCs w:val="24"/>
        </w:rPr>
      </w:pPr>
      <w:r>
        <w:rPr>
          <w:rFonts w:ascii="宋体" w:hAnsi="宋体" w:cs="宋体"/>
          <w:b/>
          <w:color w:val="000000"/>
          <w:sz w:val="24"/>
          <w:szCs w:val="24"/>
        </w:rPr>
        <w:t>项目必要性分析</w:t>
      </w:r>
    </w:p>
    <w:p>
      <w:pPr>
        <w:pStyle w:val="30"/>
        <w:snapToGrid w:val="0"/>
        <w:spacing w:line="480" w:lineRule="exact"/>
        <w:ind w:firstLine="480" w:firstLineChars="200"/>
        <w:rPr>
          <w:rFonts w:ascii="宋体" w:hAnsi="宋体" w:cs="宋体"/>
          <w:color w:val="000000"/>
          <w:sz w:val="24"/>
          <w:szCs w:val="24"/>
        </w:rPr>
      </w:pPr>
      <w:r>
        <w:rPr>
          <w:rFonts w:ascii="宋体" w:hAnsi="宋体" w:cs="宋体"/>
          <w:color w:val="000000"/>
          <w:sz w:val="24"/>
          <w:szCs w:val="24"/>
        </w:rPr>
        <w:t>无线电监测设施测试验证工作是工信部于2017年底提出的一项重要工作，旨在提高无线电监测设施日常工作的稳定性、有效性和准确性。通过测试验证，有助于对各类无线电监测设施的设备选型、建设验收、日常使用和退役报废等全生命周期的管理。通过测试验证，获取设施的性能指标实测数据，能够及时发现已投入使用多年的无线电监测设施测试数据的准确与否、指标是否在允许误差范围内，进而发挥无线电监测数据在政策制定、干扰排查、行政和刑事处罚中的支撑作用。</w:t>
      </w:r>
    </w:p>
    <w:p>
      <w:pPr>
        <w:pStyle w:val="30"/>
        <w:numPr>
          <w:ilvl w:val="0"/>
          <w:numId w:val="8"/>
        </w:numPr>
        <w:snapToGrid w:val="0"/>
        <w:spacing w:line="480" w:lineRule="exact"/>
        <w:ind w:firstLine="482" w:firstLineChars="200"/>
        <w:outlineLvl w:val="1"/>
        <w:rPr>
          <w:rFonts w:ascii="宋体" w:hAnsi="宋体" w:cs="宋体"/>
          <w:b/>
          <w:color w:val="000000"/>
          <w:sz w:val="24"/>
          <w:szCs w:val="24"/>
        </w:rPr>
      </w:pPr>
      <w:r>
        <w:rPr>
          <w:rFonts w:ascii="宋体" w:hAnsi="宋体" w:cs="宋体"/>
          <w:b/>
          <w:color w:val="000000"/>
          <w:sz w:val="24"/>
          <w:szCs w:val="24"/>
        </w:rPr>
        <w:t>历年（2018-2020）测试验证项目概况</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为落实对全区无线电监测设施的测试验证工作，新疆维吾尔自治区无线电监测中心依据《工业和信息化部关于印发〈无线电监测设施测试验证工作规定（试行）〉的通知》（工信部无〔2017〕283号）、《工业和信息化部无线电管理局关于进一步加强无线电监测设施测试验证工作的通知》（工无函〔2017〕433号），于2018年9月开始组织对</w:t>
      </w:r>
      <w:r>
        <w:rPr>
          <w:rFonts w:ascii="宋体" w:hAnsi="宋体" w:cs="宋体"/>
          <w:color w:val="0000FF"/>
          <w:sz w:val="24"/>
          <w:szCs w:val="24"/>
        </w:rPr>
        <w:t>全区</w:t>
      </w:r>
      <w:r>
        <w:rPr>
          <w:rFonts w:ascii="宋体" w:hAnsi="宋体" w:cs="宋体"/>
          <w:color w:val="000000"/>
          <w:sz w:val="24"/>
          <w:szCs w:val="24"/>
        </w:rPr>
        <w:t>的无线电监测设施按计划、分类别、有步骤进行测试验证。</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2018年，新疆维吾尔自治区无线电监测中心已组织完成对2011年以前投入使用的26套带有测向功能的固定监测系统、5套不带测向功能的固定监测系统和7套带有测向功能的移动监测系统的测试验证工作。</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2019年，新疆维吾尔自治区无线电监测中心已组织完成对全区2012年至2014年期间投入使用的13套带有测向功能的固定监测系统和20套不带测向功能的固定监测系统、12套移动监测系统、2套可搬移监测系统以及15套便携式监测设备的测试验证工作。</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2020年，新疆维吾尔自治区无线电监测中心已组织开展对全区2014年至2017年期间投入使用的12套带有测向功能的固定监测系统和13套不带测向功能的固定监测系统、12套移动监测系统、11套可搬移监测系统以及6套便携式监测设备的测试验证工作，更进一步推进新疆维吾尔自治区无线电监测设施的测试验证工作。</w:t>
      </w:r>
    </w:p>
    <w:p>
      <w:pPr>
        <w:pStyle w:val="35"/>
        <w:keepLines w:val="0"/>
        <w:numPr>
          <w:ilvl w:val="0"/>
          <w:numId w:val="7"/>
        </w:numPr>
        <w:snapToGrid w:val="0"/>
        <w:spacing w:before="0" w:beforeAutospacing="0" w:after="0" w:afterAutospacing="0" w:line="480" w:lineRule="exact"/>
        <w:ind w:left="426" w:hanging="426" w:hangingChars="177"/>
        <w:rPr>
          <w:rFonts w:ascii="宋体" w:hAnsi="宋体" w:cs="宋体"/>
          <w:bCs w:val="0"/>
          <w:color w:val="000000"/>
          <w:sz w:val="24"/>
          <w:szCs w:val="24"/>
        </w:rPr>
      </w:pPr>
      <w:r>
        <w:rPr>
          <w:rFonts w:ascii="宋体" w:hAnsi="宋体" w:cs="宋体"/>
          <w:bCs w:val="0"/>
          <w:color w:val="000000"/>
          <w:sz w:val="24"/>
          <w:szCs w:val="24"/>
        </w:rPr>
        <w:t>2022年新疆全区监测系统验证项目</w:t>
      </w:r>
    </w:p>
    <w:p>
      <w:pPr>
        <w:pStyle w:val="30"/>
        <w:numPr>
          <w:ilvl w:val="0"/>
          <w:numId w:val="9"/>
        </w:numPr>
        <w:snapToGrid w:val="0"/>
        <w:spacing w:line="480" w:lineRule="exact"/>
        <w:ind w:firstLine="482" w:firstLineChars="200"/>
        <w:outlineLvl w:val="1"/>
        <w:rPr>
          <w:rFonts w:ascii="宋体" w:hAnsi="宋体" w:cs="宋体"/>
          <w:b/>
          <w:color w:val="000000"/>
          <w:sz w:val="24"/>
          <w:szCs w:val="24"/>
        </w:rPr>
      </w:pPr>
      <w:r>
        <w:rPr>
          <w:rFonts w:ascii="宋体" w:hAnsi="宋体" w:cs="宋体"/>
          <w:b/>
          <w:color w:val="000000"/>
          <w:sz w:val="24"/>
          <w:szCs w:val="24"/>
        </w:rPr>
        <w:t>项目总体内容</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1、项目预算情况</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依据《工业和信息化部关于印发〈无线电监测设施测试验证工作规定（试行）〉的通知》（</w:t>
      </w:r>
      <w:bookmarkStart w:id="34" w:name="_Hlk81516176"/>
      <w:r>
        <w:rPr>
          <w:rFonts w:ascii="宋体" w:hAnsi="宋体" w:cs="宋体"/>
          <w:color w:val="000000"/>
          <w:sz w:val="24"/>
          <w:szCs w:val="24"/>
        </w:rPr>
        <w:t>工信部无〔2017〕283号</w:t>
      </w:r>
      <w:bookmarkEnd w:id="34"/>
      <w:r>
        <w:rPr>
          <w:rFonts w:ascii="宋体" w:hAnsi="宋体" w:cs="宋体"/>
          <w:color w:val="000000"/>
          <w:sz w:val="24"/>
          <w:szCs w:val="24"/>
        </w:rPr>
        <w:t>）、《工业和信息化部无线电管理局关于进一步加强无线电监测设施测试验证工作的通知》（工无函〔2017〕433号）和《工业和信息化部无线电管理局关于开展2020年无线电监测设施测试验证工作的通知》（工无函〔2019〕994号）的要求，新疆维吾尔自治区</w:t>
      </w:r>
      <w:r>
        <w:rPr>
          <w:rFonts w:ascii="宋体" w:hAnsi="宋体" w:cs="宋体"/>
          <w:color w:val="0000FF"/>
          <w:sz w:val="24"/>
          <w:szCs w:val="24"/>
        </w:rPr>
        <w:t>工业和信息化厅</w:t>
      </w:r>
      <w:r>
        <w:rPr>
          <w:rFonts w:ascii="宋体" w:hAnsi="宋体" w:cs="宋体"/>
          <w:color w:val="000000"/>
          <w:sz w:val="24"/>
          <w:szCs w:val="24"/>
        </w:rPr>
        <w:t>将持续开展无线电监测设施测试验证工作。本次拟对34套带有测向功能和10套不带测向功能的固定监测系统、6套移动监测系统，共50套监测设施，通过公开招标选择可靠的第三方测试验证机构提供服务，开展测试验证工作。项目总预算为280万元，费用综合考虑了测试频点的增加（包含3G以上频段）、个别设施有多个接收机均需要测试，以及对部分指标差的监测设备报废评估的情况。</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按照工信部无〔2017〕283号文件要求，监测设施测试验证工作应定期进行，对于使用超过10年的，应适当缩短周期。因此本次选择的50套监测设施大多数使用年限超过10年，兼顾考虑部分指标下降明显的设施，通过测试验证及时发现问题并尝试维护维修，确保设施的工作正常。其中，对于无法维修或累计维修费用超过设备原值60%的，可及时申请设备报废。本次开展测试验证的无线电监测设施详情请见附件1。</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2、项目总体要求</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根据工业和信息化部文件的相关要求，结合新疆的实际情况，本次测试验证项目总体要求如下：</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（1）所有测试指标均为工信部无〔2017〕283号文件中的必测指标，测试过程要严格遵循相关的国家、行业标准和技术规范。</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（2）考虑新疆地域情况和固定监测站的测试难度，本次测试验证工作要求在</w:t>
      </w:r>
      <w:r>
        <w:rPr>
          <w:rFonts w:ascii="宋体" w:hAnsi="宋体" w:cs="宋体"/>
          <w:color w:val="FF0000"/>
          <w:sz w:val="24"/>
          <w:szCs w:val="24"/>
        </w:rPr>
        <w:t>12个月</w:t>
      </w:r>
      <w:r>
        <w:rPr>
          <w:rFonts w:ascii="宋体" w:hAnsi="宋体" w:cs="宋体"/>
          <w:color w:val="000000"/>
          <w:sz w:val="24"/>
          <w:szCs w:val="24"/>
        </w:rPr>
        <w:t>内完成，如遇天气等不可抗力影响，可根据实际情况适当延期。</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（3）第三方承建方必须满足工信部无〔2017〕283号文件要求，取得相关资质认定。测试要依据国家相关的技术标准和规范开展，确保检测过程中每个环节都严谨可靠，所出具的测试报告准确无误。</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（4）第三方承建方必须成立专门技术团队，统一调配力量，提高工作效率，缩短测试验证周期。</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3、项目总体原则</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根据《新疆无线电监测系统测试验证工作方案》，完成本年度计划实施验证的监测系统验证工作。应满足以下原则：</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（1）公正性</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不受外界的影响与压力，保证数据的真实性，保证测试验证的公正性。</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（2）科学性</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根据国家的相关法规，流程化管理，确保该项测试的科学性。</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（3）准确性</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根据国家相关的技术标准和规范进行测试，确保检测过程中每个环节都严谨可靠，做到所出具的报告准确无误。</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（4）稳定性</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应具有成熟的测试经验，能够制定相对应的设备检测流程，确保检测的稳定性、一致性。</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（5）有效性</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bCs/>
          <w:color w:val="000000"/>
          <w:sz w:val="24"/>
          <w:szCs w:val="24"/>
        </w:rPr>
        <w:t>严格按照国家规定及标准进行测试，确保用于测试验证</w:t>
      </w:r>
      <w:r>
        <w:rPr>
          <w:rFonts w:ascii="宋体" w:hAnsi="宋体" w:cs="宋体"/>
          <w:color w:val="000000"/>
          <w:sz w:val="24"/>
          <w:szCs w:val="24"/>
        </w:rPr>
        <w:t>工作的仪器设备均处于计量校准有效期内，保证数据的真实有效性。</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（6）保密性</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对被测设备的技术资料、样品及测试结果等做到零扩散，严格遵守保密原则。</w:t>
      </w:r>
    </w:p>
    <w:p>
      <w:pPr>
        <w:pStyle w:val="30"/>
        <w:numPr>
          <w:ilvl w:val="0"/>
          <w:numId w:val="9"/>
        </w:numPr>
        <w:snapToGrid w:val="0"/>
        <w:spacing w:line="480" w:lineRule="exact"/>
        <w:ind w:firstLine="482" w:firstLineChars="200"/>
        <w:outlineLvl w:val="1"/>
        <w:rPr>
          <w:rFonts w:ascii="宋体" w:hAnsi="宋体" w:cs="宋体"/>
          <w:b/>
          <w:color w:val="000000"/>
          <w:sz w:val="24"/>
          <w:szCs w:val="24"/>
        </w:rPr>
      </w:pPr>
      <w:r>
        <w:rPr>
          <w:rFonts w:ascii="宋体" w:hAnsi="宋体" w:cs="宋体"/>
          <w:b/>
          <w:color w:val="000000"/>
          <w:sz w:val="24"/>
          <w:szCs w:val="24"/>
        </w:rPr>
        <w:t>项目技术要求</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1、测试项目</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采用现场测试方式对</w:t>
      </w:r>
      <w:r>
        <w:rPr>
          <w:rFonts w:ascii="宋体" w:hAnsi="宋体" w:cs="宋体"/>
          <w:color w:val="FF0000"/>
          <w:sz w:val="24"/>
          <w:szCs w:val="24"/>
        </w:rPr>
        <w:t>固定监测系统</w:t>
      </w:r>
      <w:r>
        <w:rPr>
          <w:rFonts w:ascii="宋体" w:hAnsi="宋体" w:cs="宋体"/>
          <w:color w:val="000000"/>
          <w:sz w:val="24"/>
          <w:szCs w:val="24"/>
        </w:rPr>
        <w:t>进行测试验证，并出具测试报告；</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采用标准测试场地测试方式对</w:t>
      </w:r>
      <w:r>
        <w:rPr>
          <w:rFonts w:ascii="宋体" w:hAnsi="宋体" w:cs="宋体"/>
          <w:color w:val="FF0000"/>
          <w:sz w:val="24"/>
          <w:szCs w:val="24"/>
        </w:rPr>
        <w:t>移动监测系统</w:t>
      </w:r>
      <w:r>
        <w:rPr>
          <w:rFonts w:ascii="宋体" w:hAnsi="宋体" w:cs="宋体"/>
          <w:color w:val="000000"/>
          <w:sz w:val="24"/>
          <w:szCs w:val="24"/>
        </w:rPr>
        <w:t>进行测试验证，并出具测试报告；</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同步对上述设施中指标较差的设施的外观、机械、电路、功能、性能等方面进行检查测试评估，</w:t>
      </w:r>
      <w:r>
        <w:rPr>
          <w:rFonts w:ascii="宋体" w:hAnsi="宋体" w:cs="宋体"/>
          <w:color w:val="0000FF"/>
          <w:sz w:val="24"/>
          <w:szCs w:val="24"/>
        </w:rPr>
        <w:t>并依据</w:t>
      </w:r>
      <w:r>
        <w:rPr>
          <w:rFonts w:ascii="宋体" w:hAnsi="宋体" w:cs="宋体"/>
          <w:color w:val="000000"/>
          <w:sz w:val="24"/>
          <w:szCs w:val="24"/>
        </w:rPr>
        <w:t>《无线电监测接收机维修与报废技术要求和测试方法》（T/RAC 021-2019）、《VHF/UHF频段无线电监测测向系统维修与报废技术要求及测试方法》（T/RAC 024-2021）和《VHF/UHF频段无线电监测天线维修与报废技术要求及测试方法》（T/RAC 025-2021）</w:t>
      </w:r>
      <w:r>
        <w:rPr>
          <w:rFonts w:ascii="宋体" w:hAnsi="宋体" w:cs="宋体"/>
          <w:color w:val="0000FF"/>
          <w:sz w:val="24"/>
          <w:szCs w:val="24"/>
        </w:rPr>
        <w:t>出具报废评估报告</w:t>
      </w:r>
      <w:r>
        <w:rPr>
          <w:rFonts w:ascii="宋体" w:hAnsi="宋体" w:cs="宋体"/>
          <w:color w:val="000000"/>
          <w:sz w:val="24"/>
          <w:szCs w:val="24"/>
        </w:rPr>
        <w:t>。</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2、测试标准</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开展无线电监测设施测试验证工作应满足工信部文件《工业和信息化部关于印发〈无线电监测设施测试验证工作规定（试行）〉的通知》（工信部无〔2017〕283 号）相关要求，测试验证方法应遵照国家无线电管理有关规定和相关国家标准、行业标准、团体标准、ITU建议书进行：</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（1）《无线电监测设施测试验证工作规定（试行）》（工信部无〔2017〕283号）</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（2）《VHF/UHF 无线电监测测向系统现场测试方法》（2015-0708T-YD，报批稿）</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（3）《VHF/UHF 频段无线电监测接收机技术要求及测试方法》（GB/T 32401-2015）</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（4）《HF 频段无线电监测接收机技术要求及测试方法》（YD/T 3281-2017）</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（5）《VHF/UHF无线电监测测向系统开场测试参数和测试方法》（GB/T 34089-2017或YD/T 2675-2013）</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（6）《测量测向精度的测量程序》（ITU-R SM.2060）</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（7）《固定测向系统测向精度的现场测试程序》（ITU-R SM.2097）</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（8）《无线电监测接收机维修与报废技术要求和测试方法》（T/RAC 021-2019）</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（9）《VHF/UHF频段无线电监测测向系统维修与报废技术要求及测试方法》（T/RAC 024-2021）</w:t>
      </w:r>
    </w:p>
    <w:p>
      <w:pPr>
        <w:pStyle w:val="31"/>
        <w:snapToGrid w:val="0"/>
        <w:spacing w:beforeLines="0" w:beforeAutospacing="0" w:after="0" w:afterAutospacing="0" w:line="480" w:lineRule="exact"/>
        <w:ind w:firstLine="480" w:firstLineChars="200"/>
        <w:rPr>
          <w:rFonts w:ascii="宋体" w:hAnsi="宋体" w:cs="宋体"/>
          <w:color w:val="000000"/>
          <w:sz w:val="24"/>
          <w:szCs w:val="24"/>
        </w:rPr>
      </w:pPr>
      <w:r>
        <w:rPr>
          <w:rFonts w:ascii="宋体" w:hAnsi="宋体" w:cs="宋体"/>
          <w:color w:val="000000"/>
          <w:sz w:val="24"/>
          <w:szCs w:val="24"/>
        </w:rPr>
        <w:t>（10）《VHF/UHF频段无线电监测天线维修与报废技术要求及测试方法》（T/RAC 025-2021）</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3、测试内容</w:t>
      </w:r>
    </w:p>
    <w:p>
      <w:pPr>
        <w:pStyle w:val="31"/>
        <w:snapToGrid w:val="0"/>
        <w:spacing w:beforeLines="0" w:beforeAutospacing="0" w:after="0" w:afterAutospacing="0" w:line="480" w:lineRule="exact"/>
        <w:ind w:firstLine="480" w:firstLineChars="200"/>
        <w:rPr>
          <w:rFonts w:ascii="宋体" w:hAnsi="宋体" w:cs="宋体"/>
          <w:color w:val="00B0F0"/>
          <w:sz w:val="24"/>
          <w:szCs w:val="24"/>
        </w:rPr>
      </w:pPr>
      <w:r>
        <w:rPr>
          <w:rFonts w:ascii="宋体" w:hAnsi="宋体" w:cs="宋体"/>
          <w:color w:val="000000"/>
          <w:sz w:val="24"/>
          <w:szCs w:val="24"/>
        </w:rPr>
        <w:t>依据测试标准，现场测试、标准场地测试主要测试无线电监测设施的如下技术指标：</w:t>
      </w:r>
      <w:r>
        <w:rPr>
          <w:rFonts w:cs="宋体"/>
          <w:color w:val="00B0F0"/>
          <w:sz w:val="24"/>
          <w:szCs w:val="24"/>
        </w:rPr>
        <w:t xml:space="preserve"> </w:t>
      </w:r>
    </w:p>
    <w:p>
      <w:pPr>
        <w:pStyle w:val="36"/>
        <w:tabs>
          <w:tab w:val="left" w:pos="0"/>
        </w:tabs>
        <w:snapToGrid w:val="0"/>
        <w:jc w:val="left"/>
        <w:rPr>
          <w:rFonts w:cs="宋体"/>
          <w:color w:val="00B0F0"/>
          <w:sz w:val="24"/>
          <w:szCs w:val="24"/>
        </w:rPr>
      </w:pPr>
    </w:p>
    <w:tbl>
      <w:tblPr>
        <w:tblStyle w:val="22"/>
        <w:tblW w:w="9820" w:type="dxa"/>
        <w:jc w:val="center"/>
        <w:tblInd w:w="0" w:type="dxa"/>
        <w:tblLayout w:type="fixed"/>
        <w:tblCellMar>
          <w:top w:w="0" w:type="dxa"/>
          <w:left w:w="108" w:type="dxa"/>
          <w:bottom w:w="0" w:type="dxa"/>
          <w:right w:w="108" w:type="dxa"/>
        </w:tblCellMar>
      </w:tblPr>
      <w:tblGrid>
        <w:gridCol w:w="832"/>
        <w:gridCol w:w="1741"/>
        <w:gridCol w:w="2777"/>
        <w:gridCol w:w="2942"/>
        <w:gridCol w:w="1528"/>
      </w:tblGrid>
      <w:tr>
        <w:tblPrEx>
          <w:tblLayout w:type="fixed"/>
          <w:tblCellMar>
            <w:top w:w="0" w:type="dxa"/>
            <w:left w:w="108" w:type="dxa"/>
            <w:bottom w:w="0" w:type="dxa"/>
            <w:right w:w="108" w:type="dxa"/>
          </w:tblCellMar>
        </w:tblPrEx>
        <w:trPr>
          <w:cantSplit/>
          <w:trHeight w:val="567" w:hRule="atLeast"/>
          <w:tblHeader/>
          <w:jc w:val="center"/>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r>
              <w:rPr>
                <w:rFonts w:ascii="宋体" w:hAnsi="宋体" w:cs="宋体"/>
                <w:bCs/>
                <w:color w:val="000000"/>
                <w:kern w:val="0"/>
                <w:sz w:val="24"/>
                <w:szCs w:val="24"/>
              </w:rPr>
              <w:t>序号</w:t>
            </w:r>
          </w:p>
        </w:tc>
        <w:tc>
          <w:tcPr>
            <w:tcW w:w="1741"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r>
              <w:rPr>
                <w:rFonts w:ascii="宋体" w:hAnsi="宋体" w:cs="宋体"/>
                <w:bCs/>
                <w:color w:val="000000"/>
                <w:kern w:val="0"/>
                <w:sz w:val="24"/>
                <w:szCs w:val="24"/>
              </w:rPr>
              <w:t>被测设施</w:t>
            </w:r>
          </w:p>
        </w:tc>
        <w:tc>
          <w:tcPr>
            <w:tcW w:w="5719" w:type="dxa"/>
            <w:gridSpan w:val="2"/>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r>
              <w:rPr>
                <w:rFonts w:ascii="宋体" w:hAnsi="宋体" w:cs="宋体"/>
                <w:bCs/>
                <w:color w:val="000000"/>
                <w:kern w:val="0"/>
                <w:sz w:val="24"/>
                <w:szCs w:val="24"/>
              </w:rPr>
              <w:t>测试指标</w:t>
            </w:r>
          </w:p>
        </w:tc>
        <w:tc>
          <w:tcPr>
            <w:tcW w:w="1528"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r>
              <w:rPr>
                <w:rFonts w:ascii="宋体" w:hAnsi="宋体" w:cs="宋体"/>
                <w:bCs/>
                <w:color w:val="000000"/>
                <w:kern w:val="0"/>
                <w:sz w:val="24"/>
                <w:szCs w:val="24"/>
              </w:rPr>
              <w:t>备注</w:t>
            </w:r>
          </w:p>
        </w:tc>
      </w:tr>
      <w:tr>
        <w:tblPrEx>
          <w:tblLayout w:type="fixed"/>
          <w:tblCellMar>
            <w:top w:w="0" w:type="dxa"/>
            <w:left w:w="108" w:type="dxa"/>
            <w:bottom w:w="0" w:type="dxa"/>
            <w:right w:w="108" w:type="dxa"/>
          </w:tblCellMar>
        </w:tblPrEx>
        <w:trPr>
          <w:cantSplit/>
          <w:trHeight w:val="567" w:hRule="atLeast"/>
          <w:tblHeader/>
          <w:jc w:val="center"/>
        </w:trPr>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p>
        </w:tc>
        <w:tc>
          <w:tcPr>
            <w:tcW w:w="1741" w:type="dxa"/>
            <w:vMerge w:val="continue"/>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r>
              <w:rPr>
                <w:rFonts w:ascii="宋体" w:hAnsi="宋体" w:cs="宋体"/>
                <w:bCs/>
                <w:color w:val="000000"/>
                <w:kern w:val="0"/>
                <w:sz w:val="24"/>
                <w:szCs w:val="24"/>
              </w:rPr>
              <w:t>接收机指标</w:t>
            </w:r>
          </w:p>
        </w:tc>
        <w:tc>
          <w:tcPr>
            <w:tcW w:w="2942" w:type="dxa"/>
            <w:tcBorders>
              <w:top w:val="single" w:color="000000" w:sz="4" w:space="0"/>
              <w:left w:val="single" w:color="000000" w:sz="4" w:space="0"/>
              <w:bottom w:val="single" w:color="000000" w:sz="4" w:space="0"/>
              <w:right w:val="single" w:color="000000" w:sz="4" w:space="0"/>
            </w:tcBorders>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r>
              <w:rPr>
                <w:rFonts w:ascii="宋体" w:hAnsi="宋体" w:cs="宋体"/>
                <w:bCs/>
                <w:color w:val="000000"/>
                <w:kern w:val="0"/>
                <w:sz w:val="24"/>
                <w:szCs w:val="24"/>
              </w:rPr>
              <w:t>系统指标</w:t>
            </w:r>
          </w:p>
        </w:tc>
        <w:tc>
          <w:tcPr>
            <w:tcW w:w="1528" w:type="dxa"/>
            <w:vMerge w:val="continue"/>
            <w:tcBorders>
              <w:top w:val="single" w:color="000000" w:sz="4" w:space="0"/>
              <w:left w:val="single" w:color="000000" w:sz="4" w:space="0"/>
              <w:bottom w:val="single" w:color="000000" w:sz="4" w:space="0"/>
              <w:right w:val="single" w:color="000000" w:sz="4" w:space="0"/>
            </w:tcBorders>
          </w:tcPr>
          <w:p>
            <w:pPr>
              <w:pStyle w:val="30"/>
              <w:widowControl w:val="0"/>
              <w:snapToGrid w:val="0"/>
              <w:spacing w:beforeLines="0" w:beforeAutospacing="0" w:afterLines="0" w:afterAutospacing="0" w:line="0" w:lineRule="atLeast"/>
              <w:contextualSpacing/>
              <w:jc w:val="center"/>
              <w:rPr>
                <w:rFonts w:ascii="宋体" w:hAnsi="宋体" w:cs="宋体"/>
                <w:bCs/>
                <w:color w:val="000000"/>
                <w:sz w:val="24"/>
                <w:szCs w:val="24"/>
              </w:rPr>
            </w:pPr>
          </w:p>
        </w:tc>
      </w:tr>
      <w:tr>
        <w:tblPrEx>
          <w:tblLayout w:type="fixed"/>
          <w:tblCellMar>
            <w:top w:w="0" w:type="dxa"/>
            <w:left w:w="108" w:type="dxa"/>
            <w:bottom w:w="0" w:type="dxa"/>
            <w:right w:w="108" w:type="dxa"/>
          </w:tblCellMar>
        </w:tblPrEx>
        <w:trPr>
          <w:cantSplit/>
          <w:trHeight w:val="1644"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0"/>
              </w:numPr>
              <w:tabs>
                <w:tab w:val="center" w:pos="4201"/>
                <w:tab w:val="right" w:leader="dot" w:pos="9298"/>
              </w:tabs>
              <w:snapToGrid w:val="0"/>
              <w:spacing w:beforeLines="0" w:beforeAutospacing="0" w:afterLines="0" w:afterAutospacing="0" w:line="0" w:lineRule="atLeast"/>
              <w:contextualSpacing/>
              <w:jc w:val="center"/>
              <w:rPr>
                <w:rFonts w:cs="宋体"/>
                <w:color w:val="000000"/>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contextualSpacing/>
              <w:jc w:val="center"/>
              <w:rPr>
                <w:rFonts w:cs="宋体"/>
                <w:color w:val="000000"/>
                <w:sz w:val="24"/>
                <w:szCs w:val="24"/>
              </w:rPr>
            </w:pPr>
            <w:r>
              <w:rPr>
                <w:rFonts w:cs="宋体"/>
                <w:color w:val="000000"/>
                <w:kern w:val="0"/>
                <w:sz w:val="24"/>
                <w:szCs w:val="24"/>
              </w:rPr>
              <w:t>固定监测系统</w:t>
            </w:r>
          </w:p>
          <w:p>
            <w:pPr>
              <w:pStyle w:val="36"/>
              <w:widowControl w:val="0"/>
              <w:snapToGrid w:val="0"/>
              <w:spacing w:beforeLines="0" w:beforeAutospacing="0" w:afterLines="0" w:afterAutospacing="0" w:line="0" w:lineRule="atLeast"/>
              <w:contextualSpacing/>
              <w:jc w:val="center"/>
              <w:rPr>
                <w:rFonts w:cs="宋体"/>
                <w:color w:val="000000"/>
                <w:sz w:val="24"/>
                <w:szCs w:val="24"/>
              </w:rPr>
            </w:pPr>
            <w:r>
              <w:rPr>
                <w:rFonts w:cs="宋体"/>
                <w:color w:val="000000"/>
                <w:kern w:val="0"/>
                <w:sz w:val="24"/>
                <w:szCs w:val="24"/>
              </w:rPr>
              <w:t>（带测向功能）</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（1）监测灵敏度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（2）电平测量误差</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（3）频率准确度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（4）接收机杂散发射</w:t>
            </w:r>
          </w:p>
          <w:p>
            <w:pPr>
              <w:pStyle w:val="36"/>
              <w:widowControl w:val="0"/>
              <w:snapToGrid w:val="0"/>
              <w:spacing w:beforeLines="0" w:beforeAutospacing="0" w:afterLines="0" w:afterAutospacing="0" w:line="0" w:lineRule="atLeast"/>
              <w:jc w:val="left"/>
              <w:rPr>
                <w:rFonts w:cs="宋体"/>
                <w:color w:val="0000FF"/>
                <w:sz w:val="24"/>
                <w:szCs w:val="24"/>
              </w:rPr>
            </w:pPr>
            <w:r>
              <w:rPr>
                <w:rFonts w:cs="宋体"/>
                <w:color w:val="FF0000"/>
                <w:kern w:val="0"/>
                <w:sz w:val="24"/>
                <w:szCs w:val="24"/>
              </w:rPr>
              <w:t>（5）扫描速度</w:t>
            </w:r>
          </w:p>
        </w:tc>
        <w:tc>
          <w:tcPr>
            <w:tcW w:w="294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rPr>
                <w:rFonts w:cs="宋体"/>
                <w:color w:val="FF0000"/>
                <w:sz w:val="24"/>
                <w:szCs w:val="24"/>
              </w:rPr>
            </w:pPr>
            <w:r>
              <w:rPr>
                <w:rFonts w:cs="宋体"/>
                <w:color w:val="FF0000"/>
                <w:kern w:val="0"/>
                <w:sz w:val="24"/>
                <w:szCs w:val="24"/>
              </w:rPr>
              <w:t>（1）天馈系统驻波比</w:t>
            </w:r>
          </w:p>
          <w:p>
            <w:pPr>
              <w:pStyle w:val="36"/>
              <w:widowControl w:val="0"/>
              <w:snapToGrid w:val="0"/>
              <w:spacing w:beforeLines="0" w:beforeAutospacing="0" w:afterLines="0" w:afterAutospacing="0" w:line="0" w:lineRule="atLeast"/>
              <w:rPr>
                <w:rFonts w:cs="宋体"/>
                <w:color w:val="FF0000"/>
                <w:sz w:val="24"/>
                <w:szCs w:val="24"/>
              </w:rPr>
            </w:pPr>
            <w:r>
              <w:rPr>
                <w:rFonts w:cs="宋体"/>
                <w:color w:val="FF0000"/>
                <w:kern w:val="0"/>
                <w:sz w:val="24"/>
                <w:szCs w:val="24"/>
              </w:rPr>
              <w:t>（2）测向精度</w:t>
            </w:r>
          </w:p>
        </w:tc>
        <w:tc>
          <w:tcPr>
            <w:tcW w:w="1528"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rPr>
                <w:rFonts w:ascii="宋体" w:hAnsi="宋体" w:cs="宋体"/>
                <w:color w:val="00B0F0"/>
                <w:sz w:val="24"/>
                <w:szCs w:val="24"/>
              </w:rPr>
            </w:pPr>
            <w:r>
              <w:rPr>
                <w:rFonts w:ascii="宋体" w:hAnsi="宋体" w:cs="宋体"/>
                <w:color w:val="FF0000"/>
                <w:kern w:val="0"/>
                <w:sz w:val="24"/>
                <w:szCs w:val="24"/>
              </w:rPr>
              <w:t>测试频点：12个</w:t>
            </w:r>
            <w:r>
              <w:rPr>
                <w:rFonts w:ascii="宋体" w:hAnsi="宋体" w:cs="宋体"/>
                <w:color w:val="00B0F0"/>
                <w:kern w:val="0"/>
                <w:sz w:val="24"/>
                <w:szCs w:val="24"/>
              </w:rPr>
              <w:t>；</w:t>
            </w:r>
          </w:p>
          <w:p>
            <w:pPr>
              <w:pStyle w:val="30"/>
              <w:widowControl w:val="0"/>
              <w:snapToGrid w:val="0"/>
              <w:spacing w:beforeLines="0" w:beforeAutospacing="0" w:afterLines="0" w:afterAutospacing="0" w:line="0" w:lineRule="atLeast"/>
              <w:rPr>
                <w:rFonts w:cs="宋体"/>
                <w:color w:val="FF0000"/>
                <w:sz w:val="24"/>
                <w:szCs w:val="24"/>
              </w:rPr>
            </w:pPr>
            <w:r>
              <w:rPr>
                <w:rFonts w:cs="宋体"/>
                <w:color w:val="FF0000"/>
                <w:kern w:val="0"/>
                <w:sz w:val="24"/>
                <w:szCs w:val="24"/>
              </w:rPr>
              <w:t>测向测试方位：</w:t>
            </w:r>
            <w:r>
              <w:rPr>
                <w:rFonts w:cs="宋体"/>
                <w:color w:val="00B0F0"/>
                <w:kern w:val="0"/>
                <w:sz w:val="24"/>
                <w:szCs w:val="24"/>
                <w:highlight w:val="yellow"/>
              </w:rPr>
              <w:t>4个</w:t>
            </w:r>
          </w:p>
        </w:tc>
      </w:tr>
      <w:tr>
        <w:tblPrEx>
          <w:tblLayout w:type="fixed"/>
          <w:tblCellMar>
            <w:top w:w="0" w:type="dxa"/>
            <w:left w:w="108" w:type="dxa"/>
            <w:bottom w:w="0" w:type="dxa"/>
            <w:right w:w="108" w:type="dxa"/>
          </w:tblCellMar>
        </w:tblPrEx>
        <w:trPr>
          <w:cantSplit/>
          <w:trHeight w:val="170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0"/>
              </w:numPr>
              <w:tabs>
                <w:tab w:val="center" w:pos="4201"/>
                <w:tab w:val="right" w:leader="dot" w:pos="9298"/>
              </w:tabs>
              <w:snapToGrid w:val="0"/>
              <w:spacing w:beforeLines="0" w:beforeAutospacing="0" w:afterLines="0" w:afterAutospacing="0" w:line="0" w:lineRule="atLeast"/>
              <w:contextualSpacing/>
              <w:jc w:val="center"/>
              <w:rPr>
                <w:rFonts w:cs="宋体"/>
                <w:color w:val="000000"/>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contextualSpacing/>
              <w:jc w:val="center"/>
              <w:rPr>
                <w:rFonts w:cs="宋体"/>
                <w:color w:val="000000"/>
                <w:sz w:val="24"/>
                <w:szCs w:val="24"/>
              </w:rPr>
            </w:pPr>
            <w:r>
              <w:rPr>
                <w:rFonts w:cs="宋体"/>
                <w:color w:val="000000"/>
                <w:kern w:val="0"/>
                <w:sz w:val="24"/>
                <w:szCs w:val="24"/>
              </w:rPr>
              <w:t>固定监测系统</w:t>
            </w:r>
          </w:p>
          <w:p>
            <w:pPr>
              <w:pStyle w:val="36"/>
              <w:widowControl w:val="0"/>
              <w:snapToGrid w:val="0"/>
              <w:spacing w:beforeLines="0" w:beforeAutospacing="0" w:afterLines="0" w:afterAutospacing="0" w:line="0" w:lineRule="atLeast"/>
              <w:contextualSpacing/>
              <w:jc w:val="center"/>
              <w:rPr>
                <w:rFonts w:cs="宋体"/>
                <w:color w:val="000000"/>
                <w:sz w:val="24"/>
                <w:szCs w:val="24"/>
              </w:rPr>
            </w:pPr>
            <w:r>
              <w:rPr>
                <w:rFonts w:cs="宋体"/>
                <w:color w:val="000000"/>
                <w:kern w:val="0"/>
                <w:sz w:val="24"/>
                <w:szCs w:val="24"/>
              </w:rPr>
              <w:t>（不带测向功能）</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（1）监测灵敏度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（2）电平测量误差</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（3）频率准确度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（4）接收机杂散发射</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（5）扫描速度</w:t>
            </w:r>
          </w:p>
        </w:tc>
        <w:tc>
          <w:tcPr>
            <w:tcW w:w="294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rPr>
                <w:rFonts w:cs="宋体"/>
                <w:color w:val="FF0000"/>
                <w:sz w:val="24"/>
                <w:szCs w:val="24"/>
              </w:rPr>
            </w:pPr>
            <w:r>
              <w:rPr>
                <w:rFonts w:cs="宋体"/>
                <w:color w:val="FF0000"/>
                <w:kern w:val="0"/>
                <w:sz w:val="24"/>
                <w:szCs w:val="24"/>
              </w:rPr>
              <w:t>（1）天馈系统驻波比</w:t>
            </w:r>
          </w:p>
        </w:tc>
        <w:tc>
          <w:tcPr>
            <w:tcW w:w="152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rPr>
                <w:rFonts w:cs="宋体"/>
                <w:color w:val="FF0000"/>
                <w:sz w:val="24"/>
                <w:szCs w:val="24"/>
              </w:rPr>
            </w:pPr>
            <w:r>
              <w:rPr>
                <w:rFonts w:cs="宋体"/>
                <w:color w:val="FF0000"/>
                <w:kern w:val="0"/>
                <w:sz w:val="24"/>
                <w:szCs w:val="24"/>
              </w:rPr>
              <w:t>测试频点：12个</w:t>
            </w:r>
          </w:p>
        </w:tc>
      </w:tr>
      <w:tr>
        <w:tblPrEx>
          <w:tblLayout w:type="fixed"/>
          <w:tblCellMar>
            <w:top w:w="0" w:type="dxa"/>
            <w:left w:w="108" w:type="dxa"/>
            <w:bottom w:w="0" w:type="dxa"/>
            <w:right w:w="108" w:type="dxa"/>
          </w:tblCellMar>
        </w:tblPrEx>
        <w:trPr>
          <w:cantSplit/>
          <w:trHeight w:val="2235"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0"/>
              </w:numPr>
              <w:tabs>
                <w:tab w:val="center" w:pos="4201"/>
                <w:tab w:val="right" w:leader="dot" w:pos="9298"/>
              </w:tabs>
              <w:snapToGrid w:val="0"/>
              <w:spacing w:beforeLines="0" w:beforeAutospacing="0" w:afterLines="0" w:afterAutospacing="0" w:line="0" w:lineRule="atLeast"/>
              <w:contextualSpacing/>
              <w:jc w:val="center"/>
              <w:rPr>
                <w:rFonts w:cs="宋体"/>
                <w:color w:val="000000"/>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contextualSpacing/>
              <w:jc w:val="center"/>
              <w:rPr>
                <w:rFonts w:cs="宋体"/>
                <w:color w:val="000000"/>
                <w:sz w:val="24"/>
                <w:szCs w:val="24"/>
              </w:rPr>
            </w:pPr>
            <w:r>
              <w:rPr>
                <w:rFonts w:cs="宋体"/>
                <w:color w:val="000000"/>
                <w:kern w:val="0"/>
                <w:sz w:val="24"/>
                <w:szCs w:val="24"/>
              </w:rPr>
              <w:t>移动监测系统</w:t>
            </w:r>
          </w:p>
          <w:p>
            <w:pPr>
              <w:pStyle w:val="36"/>
              <w:widowControl w:val="0"/>
              <w:snapToGrid w:val="0"/>
              <w:spacing w:beforeLines="0" w:beforeAutospacing="0" w:afterLines="0" w:afterAutospacing="0" w:line="0" w:lineRule="atLeast"/>
              <w:contextualSpacing/>
              <w:jc w:val="center"/>
              <w:rPr>
                <w:rFonts w:cs="宋体"/>
                <w:color w:val="000000"/>
                <w:sz w:val="24"/>
                <w:szCs w:val="24"/>
              </w:rPr>
            </w:pPr>
            <w:r>
              <w:rPr>
                <w:rFonts w:cs="宋体"/>
                <w:color w:val="000000"/>
                <w:kern w:val="0"/>
                <w:sz w:val="24"/>
                <w:szCs w:val="24"/>
              </w:rPr>
              <w:t>（标准场地测试）</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无</w:t>
            </w:r>
          </w:p>
        </w:tc>
        <w:tc>
          <w:tcPr>
            <w:tcW w:w="294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监测系统：</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（1）监测灵敏度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（2）场强测量精度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（3）频率测量精度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测向系统：</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（1）测向灵敏度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（2）测向精度</w:t>
            </w:r>
          </w:p>
        </w:tc>
        <w:tc>
          <w:tcPr>
            <w:tcW w:w="1528"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rPr>
                <w:rFonts w:ascii="宋体" w:hAnsi="宋体" w:cs="宋体"/>
                <w:color w:val="00B0F0"/>
                <w:sz w:val="24"/>
                <w:szCs w:val="24"/>
              </w:rPr>
            </w:pPr>
            <w:r>
              <w:rPr>
                <w:rFonts w:ascii="宋体" w:hAnsi="宋体" w:cs="宋体"/>
                <w:color w:val="FF0000"/>
                <w:kern w:val="0"/>
                <w:sz w:val="24"/>
                <w:szCs w:val="24"/>
              </w:rPr>
              <w:t>测试频点：12个</w:t>
            </w:r>
            <w:r>
              <w:rPr>
                <w:rFonts w:ascii="宋体" w:hAnsi="宋体" w:cs="宋体"/>
                <w:color w:val="00B0F0"/>
                <w:kern w:val="0"/>
                <w:sz w:val="24"/>
                <w:szCs w:val="24"/>
              </w:rPr>
              <w:t>；</w:t>
            </w:r>
          </w:p>
          <w:p>
            <w:pPr>
              <w:pStyle w:val="30"/>
              <w:widowControl w:val="0"/>
              <w:snapToGrid w:val="0"/>
              <w:spacing w:beforeLines="0" w:beforeAutospacing="0" w:afterLines="0" w:afterAutospacing="0" w:line="0" w:lineRule="atLeast"/>
              <w:rPr>
                <w:rFonts w:cs="宋体"/>
                <w:color w:val="FF0000"/>
                <w:sz w:val="24"/>
                <w:szCs w:val="24"/>
              </w:rPr>
            </w:pPr>
            <w:r>
              <w:rPr>
                <w:rFonts w:ascii="宋体" w:hAnsi="宋体" w:cs="宋体"/>
                <w:color w:val="FF0000"/>
                <w:kern w:val="0"/>
                <w:sz w:val="24"/>
                <w:szCs w:val="24"/>
              </w:rPr>
              <w:t>测向测试方位：12个</w:t>
            </w:r>
          </w:p>
        </w:tc>
      </w:tr>
      <w:tr>
        <w:tblPrEx>
          <w:tblLayout w:type="fixed"/>
          <w:tblCellMar>
            <w:top w:w="0" w:type="dxa"/>
            <w:left w:w="108" w:type="dxa"/>
            <w:bottom w:w="0" w:type="dxa"/>
            <w:right w:w="108" w:type="dxa"/>
          </w:tblCellMar>
        </w:tblPrEx>
        <w:trPr>
          <w:cantSplit/>
          <w:trHeight w:val="226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0"/>
              </w:numPr>
              <w:tabs>
                <w:tab w:val="center" w:pos="4201"/>
                <w:tab w:val="right" w:leader="dot" w:pos="9298"/>
              </w:tabs>
              <w:snapToGrid w:val="0"/>
              <w:spacing w:beforeLines="0" w:beforeAutospacing="0" w:afterLines="0" w:afterAutospacing="0" w:line="0" w:lineRule="atLeast"/>
              <w:contextualSpacing/>
              <w:jc w:val="center"/>
              <w:rPr>
                <w:rFonts w:cs="宋体"/>
                <w:color w:val="000000"/>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contextualSpacing/>
              <w:jc w:val="center"/>
              <w:rPr>
                <w:rFonts w:cs="宋体"/>
                <w:color w:val="FF0000"/>
                <w:sz w:val="24"/>
                <w:szCs w:val="24"/>
              </w:rPr>
            </w:pPr>
            <w:r>
              <w:rPr>
                <w:rFonts w:cs="宋体"/>
                <w:color w:val="FF0000"/>
                <w:kern w:val="0"/>
                <w:sz w:val="24"/>
                <w:szCs w:val="24"/>
              </w:rPr>
              <w:t>拟报废固定监测系统</w:t>
            </w:r>
          </w:p>
          <w:p>
            <w:pPr>
              <w:pStyle w:val="36"/>
              <w:widowControl w:val="0"/>
              <w:snapToGrid w:val="0"/>
              <w:spacing w:beforeLines="0" w:beforeAutospacing="0" w:afterLines="0" w:afterAutospacing="0" w:line="0" w:lineRule="atLeast"/>
              <w:contextualSpacing/>
              <w:jc w:val="center"/>
              <w:rPr>
                <w:rFonts w:cs="宋体"/>
                <w:color w:val="FF0000"/>
                <w:sz w:val="24"/>
                <w:szCs w:val="24"/>
              </w:rPr>
            </w:pPr>
            <w:r>
              <w:rPr>
                <w:rFonts w:cs="宋体"/>
                <w:color w:val="FF0000"/>
                <w:kern w:val="0"/>
                <w:sz w:val="24"/>
                <w:szCs w:val="24"/>
              </w:rPr>
              <w:t>（带测向功能）</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（5）监测灵敏度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（6）电平测量误差</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（7）频率准确度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（8）接收机杂散发射</w:t>
            </w:r>
          </w:p>
          <w:p>
            <w:pPr>
              <w:pStyle w:val="36"/>
              <w:widowControl w:val="0"/>
              <w:snapToGrid w:val="0"/>
              <w:spacing w:beforeLines="0" w:beforeAutospacing="0" w:afterLines="0" w:afterAutospacing="0" w:line="0" w:lineRule="atLeast"/>
              <w:contextualSpacing/>
              <w:jc w:val="left"/>
              <w:rPr>
                <w:rFonts w:cs="宋体"/>
                <w:sz w:val="24"/>
                <w:szCs w:val="24"/>
              </w:rPr>
            </w:pPr>
            <w:r>
              <w:rPr>
                <w:rFonts w:cs="宋体"/>
                <w:color w:val="FF0000"/>
                <w:kern w:val="0"/>
                <w:sz w:val="24"/>
                <w:szCs w:val="24"/>
              </w:rPr>
              <w:t>（9）扫描速度</w:t>
            </w:r>
          </w:p>
        </w:tc>
        <w:tc>
          <w:tcPr>
            <w:tcW w:w="294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（5）天馈系统驻波比</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00B0F0"/>
                <w:kern w:val="0"/>
                <w:sz w:val="24"/>
                <w:szCs w:val="24"/>
              </w:rPr>
              <w:t>（6）</w:t>
            </w:r>
            <w:r>
              <w:rPr>
                <w:rFonts w:cs="宋体"/>
                <w:color w:val="FF0000"/>
                <w:kern w:val="0"/>
                <w:sz w:val="24"/>
                <w:szCs w:val="24"/>
              </w:rPr>
              <w:t>测向精度</w:t>
            </w:r>
          </w:p>
        </w:tc>
        <w:tc>
          <w:tcPr>
            <w:tcW w:w="1528"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rPr>
                <w:rFonts w:ascii="宋体" w:hAnsi="宋体" w:cs="宋体"/>
                <w:color w:val="00B0F0"/>
                <w:sz w:val="24"/>
                <w:szCs w:val="24"/>
              </w:rPr>
            </w:pPr>
            <w:r>
              <w:rPr>
                <w:rFonts w:ascii="宋体" w:hAnsi="宋体" w:cs="宋体"/>
                <w:color w:val="FF0000"/>
                <w:kern w:val="0"/>
                <w:sz w:val="24"/>
                <w:szCs w:val="24"/>
              </w:rPr>
              <w:t>测试频点：12个</w:t>
            </w:r>
            <w:r>
              <w:rPr>
                <w:rFonts w:ascii="宋体" w:hAnsi="宋体" w:cs="宋体"/>
                <w:color w:val="00B0F0"/>
                <w:kern w:val="0"/>
                <w:sz w:val="24"/>
                <w:szCs w:val="24"/>
              </w:rPr>
              <w:t>；</w:t>
            </w:r>
          </w:p>
          <w:p>
            <w:pPr>
              <w:pStyle w:val="30"/>
              <w:widowControl w:val="0"/>
              <w:snapToGrid w:val="0"/>
              <w:spacing w:beforeLines="0" w:beforeAutospacing="0" w:afterLines="0" w:afterAutospacing="0" w:line="0" w:lineRule="atLeast"/>
              <w:rPr>
                <w:rFonts w:cs="宋体"/>
                <w:color w:val="FF0000"/>
                <w:sz w:val="24"/>
                <w:szCs w:val="24"/>
              </w:rPr>
            </w:pPr>
            <w:r>
              <w:rPr>
                <w:rFonts w:cs="宋体"/>
                <w:color w:val="FF0000"/>
                <w:kern w:val="0"/>
                <w:sz w:val="24"/>
                <w:szCs w:val="24"/>
              </w:rPr>
              <w:t>测向测试方位：</w:t>
            </w:r>
            <w:r>
              <w:rPr>
                <w:rFonts w:cs="宋体"/>
                <w:color w:val="00B0F0"/>
                <w:kern w:val="0"/>
                <w:sz w:val="24"/>
                <w:szCs w:val="24"/>
                <w:highlight w:val="yellow"/>
              </w:rPr>
              <w:t>4个</w:t>
            </w:r>
          </w:p>
        </w:tc>
      </w:tr>
      <w:tr>
        <w:tblPrEx>
          <w:tblLayout w:type="fixed"/>
          <w:tblCellMar>
            <w:top w:w="0" w:type="dxa"/>
            <w:left w:w="108" w:type="dxa"/>
            <w:bottom w:w="0" w:type="dxa"/>
            <w:right w:w="108" w:type="dxa"/>
          </w:tblCellMar>
        </w:tblPrEx>
        <w:trPr>
          <w:cantSplit/>
          <w:trHeight w:val="226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0"/>
              </w:numPr>
              <w:tabs>
                <w:tab w:val="center" w:pos="4201"/>
                <w:tab w:val="right" w:leader="dot" w:pos="9298"/>
              </w:tabs>
              <w:snapToGrid w:val="0"/>
              <w:spacing w:beforeLines="0" w:beforeAutospacing="0" w:afterLines="0" w:afterAutospacing="0" w:line="0" w:lineRule="atLeast"/>
              <w:contextualSpacing/>
              <w:jc w:val="center"/>
              <w:rPr>
                <w:rFonts w:cs="宋体"/>
                <w:color w:val="000000"/>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contextualSpacing/>
              <w:jc w:val="center"/>
              <w:rPr>
                <w:rFonts w:cs="宋体"/>
                <w:color w:val="FF0000"/>
                <w:sz w:val="24"/>
                <w:szCs w:val="24"/>
              </w:rPr>
            </w:pPr>
            <w:r>
              <w:rPr>
                <w:rFonts w:cs="宋体"/>
                <w:color w:val="FF0000"/>
                <w:kern w:val="0"/>
                <w:sz w:val="24"/>
                <w:szCs w:val="24"/>
              </w:rPr>
              <w:t>拟报废固定监测系统</w:t>
            </w:r>
          </w:p>
          <w:p>
            <w:pPr>
              <w:pStyle w:val="36"/>
              <w:widowControl w:val="0"/>
              <w:snapToGrid w:val="0"/>
              <w:spacing w:beforeLines="0" w:beforeAutospacing="0" w:afterLines="0" w:afterAutospacing="0" w:line="0" w:lineRule="atLeast"/>
              <w:contextualSpacing/>
              <w:jc w:val="center"/>
              <w:rPr>
                <w:rFonts w:cs="宋体"/>
                <w:color w:val="FF0000"/>
                <w:sz w:val="24"/>
                <w:szCs w:val="24"/>
              </w:rPr>
            </w:pPr>
            <w:r>
              <w:rPr>
                <w:rFonts w:cs="宋体"/>
                <w:color w:val="FF0000"/>
                <w:kern w:val="0"/>
                <w:sz w:val="24"/>
                <w:szCs w:val="24"/>
              </w:rPr>
              <w:t>（不带测向功能）</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（5）监测灵敏度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（6）电平测量误差</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（7）频率准确度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（8）接收机杂散发射</w:t>
            </w:r>
          </w:p>
          <w:p>
            <w:pPr>
              <w:pStyle w:val="36"/>
              <w:widowControl w:val="0"/>
              <w:snapToGrid w:val="0"/>
              <w:spacing w:beforeLines="0" w:beforeAutospacing="0" w:afterLines="0" w:afterAutospacing="0" w:line="0" w:lineRule="atLeast"/>
              <w:contextualSpacing/>
              <w:jc w:val="left"/>
              <w:rPr>
                <w:rFonts w:cs="宋体"/>
                <w:color w:val="000000"/>
                <w:sz w:val="24"/>
                <w:szCs w:val="24"/>
              </w:rPr>
            </w:pPr>
            <w:r>
              <w:rPr>
                <w:rFonts w:cs="宋体"/>
                <w:color w:val="FF0000"/>
                <w:kern w:val="0"/>
                <w:sz w:val="24"/>
                <w:szCs w:val="24"/>
              </w:rPr>
              <w:t>（9）扫描速度</w:t>
            </w:r>
          </w:p>
        </w:tc>
        <w:tc>
          <w:tcPr>
            <w:tcW w:w="294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line="0" w:lineRule="atLeast"/>
              <w:contextualSpacing/>
              <w:rPr>
                <w:rFonts w:cs="宋体"/>
                <w:color w:val="000000"/>
                <w:sz w:val="24"/>
                <w:szCs w:val="24"/>
              </w:rPr>
            </w:pPr>
            <w:r>
              <w:rPr>
                <w:rFonts w:cs="宋体"/>
                <w:color w:val="FF0000"/>
                <w:kern w:val="0"/>
                <w:sz w:val="24"/>
                <w:szCs w:val="24"/>
              </w:rPr>
              <w:t>（5）天馈系统驻波比</w:t>
            </w:r>
          </w:p>
        </w:tc>
        <w:tc>
          <w:tcPr>
            <w:tcW w:w="152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rPr>
                <w:rFonts w:cs="宋体"/>
                <w:color w:val="FF0000"/>
                <w:sz w:val="24"/>
                <w:szCs w:val="24"/>
              </w:rPr>
            </w:pPr>
            <w:r>
              <w:rPr>
                <w:rFonts w:cs="宋体"/>
                <w:color w:val="FF0000"/>
                <w:kern w:val="0"/>
                <w:sz w:val="24"/>
                <w:szCs w:val="24"/>
              </w:rPr>
              <w:t>测试频点：12个</w:t>
            </w:r>
          </w:p>
        </w:tc>
      </w:tr>
      <w:tr>
        <w:tblPrEx>
          <w:tblLayout w:type="fixed"/>
          <w:tblCellMar>
            <w:top w:w="0" w:type="dxa"/>
            <w:left w:w="108" w:type="dxa"/>
            <w:bottom w:w="0" w:type="dxa"/>
            <w:right w:w="108" w:type="dxa"/>
          </w:tblCellMar>
        </w:tblPrEx>
        <w:trPr>
          <w:cantSplit/>
          <w:trHeight w:val="226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0"/>
              </w:numPr>
              <w:tabs>
                <w:tab w:val="center" w:pos="4201"/>
                <w:tab w:val="right" w:leader="dot" w:pos="9298"/>
              </w:tabs>
              <w:snapToGrid w:val="0"/>
              <w:spacing w:beforeLines="0" w:beforeAutospacing="0" w:afterLines="0" w:afterAutospacing="0" w:line="0" w:lineRule="atLeast"/>
              <w:contextualSpacing/>
              <w:jc w:val="center"/>
              <w:rPr>
                <w:rFonts w:cs="宋体"/>
                <w:color w:val="000000"/>
                <w:sz w:val="24"/>
                <w:szCs w:val="24"/>
              </w:rPr>
            </w:pP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contextualSpacing/>
              <w:jc w:val="center"/>
              <w:rPr>
                <w:rFonts w:cs="宋体"/>
                <w:color w:val="FF0000"/>
                <w:sz w:val="24"/>
                <w:szCs w:val="24"/>
              </w:rPr>
            </w:pPr>
            <w:r>
              <w:rPr>
                <w:rFonts w:cs="宋体"/>
                <w:color w:val="FF0000"/>
                <w:kern w:val="0"/>
                <w:sz w:val="24"/>
                <w:szCs w:val="24"/>
              </w:rPr>
              <w:t>拟报废移动监测系统</w:t>
            </w:r>
          </w:p>
          <w:p>
            <w:pPr>
              <w:pStyle w:val="36"/>
              <w:widowControl w:val="0"/>
              <w:snapToGrid w:val="0"/>
              <w:spacing w:beforeLines="0" w:beforeAutospacing="0" w:afterLines="0" w:afterAutospacing="0" w:line="0" w:lineRule="atLeast"/>
              <w:contextualSpacing/>
              <w:jc w:val="center"/>
              <w:rPr>
                <w:rFonts w:cs="宋体"/>
                <w:color w:val="FF0000"/>
                <w:sz w:val="24"/>
                <w:szCs w:val="24"/>
              </w:rPr>
            </w:pPr>
            <w:r>
              <w:rPr>
                <w:rFonts w:cs="宋体"/>
                <w:color w:val="FF0000"/>
                <w:kern w:val="0"/>
                <w:sz w:val="24"/>
                <w:szCs w:val="24"/>
              </w:rPr>
              <w:t>（标准场地测试）</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contextualSpacing/>
              <w:jc w:val="left"/>
              <w:rPr>
                <w:rFonts w:cs="宋体"/>
                <w:color w:val="000000"/>
                <w:sz w:val="24"/>
                <w:szCs w:val="24"/>
              </w:rPr>
            </w:pPr>
            <w:r>
              <w:rPr>
                <w:rFonts w:cs="宋体"/>
                <w:color w:val="FF0000"/>
                <w:kern w:val="0"/>
                <w:sz w:val="24"/>
                <w:szCs w:val="24"/>
              </w:rPr>
              <w:t>无</w:t>
            </w:r>
          </w:p>
        </w:tc>
        <w:tc>
          <w:tcPr>
            <w:tcW w:w="294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（5）监测灵敏度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（6）场强测量精度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（7）频率测量精度</w:t>
            </w:r>
          </w:p>
          <w:p>
            <w:pPr>
              <w:pStyle w:val="36"/>
              <w:widowControl w:val="0"/>
              <w:snapToGrid w:val="0"/>
              <w:spacing w:beforeLines="0" w:beforeAutospacing="0" w:afterLines="0" w:afterAutospacing="0" w:line="0" w:lineRule="atLeast"/>
              <w:jc w:val="left"/>
              <w:rPr>
                <w:rFonts w:cs="宋体"/>
                <w:color w:val="FF0000"/>
                <w:sz w:val="24"/>
                <w:szCs w:val="24"/>
              </w:rPr>
            </w:pPr>
            <w:r>
              <w:rPr>
                <w:rFonts w:cs="宋体"/>
                <w:color w:val="FF0000"/>
                <w:kern w:val="0"/>
                <w:sz w:val="24"/>
                <w:szCs w:val="24"/>
              </w:rPr>
              <w:t>（8）测向灵敏度</w:t>
            </w:r>
          </w:p>
          <w:p>
            <w:pPr>
              <w:pStyle w:val="36"/>
              <w:widowControl w:val="0"/>
              <w:snapToGrid w:val="0"/>
              <w:spacing w:beforeLines="0" w:beforeAutospacing="0" w:afterLines="0" w:afterAutospacing="0" w:line="0" w:lineRule="atLeast"/>
              <w:contextualSpacing/>
              <w:jc w:val="left"/>
              <w:rPr>
                <w:rFonts w:cs="宋体"/>
                <w:color w:val="000000"/>
                <w:sz w:val="24"/>
                <w:szCs w:val="24"/>
              </w:rPr>
            </w:pPr>
            <w:r>
              <w:rPr>
                <w:rFonts w:cs="宋体"/>
                <w:color w:val="FF0000"/>
                <w:kern w:val="0"/>
                <w:sz w:val="24"/>
                <w:szCs w:val="24"/>
              </w:rPr>
              <w:t>（9）测向精度</w:t>
            </w:r>
          </w:p>
        </w:tc>
        <w:tc>
          <w:tcPr>
            <w:tcW w:w="1528"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0" w:lineRule="atLeast"/>
              <w:rPr>
                <w:rFonts w:ascii="宋体" w:hAnsi="宋体" w:cs="宋体"/>
                <w:color w:val="00B0F0"/>
                <w:sz w:val="24"/>
                <w:szCs w:val="24"/>
              </w:rPr>
            </w:pPr>
            <w:r>
              <w:rPr>
                <w:rFonts w:ascii="宋体" w:hAnsi="宋体" w:cs="宋体"/>
                <w:color w:val="FF0000"/>
                <w:kern w:val="0"/>
                <w:sz w:val="24"/>
                <w:szCs w:val="24"/>
              </w:rPr>
              <w:t>测试频点：12个</w:t>
            </w:r>
            <w:r>
              <w:rPr>
                <w:rFonts w:ascii="宋体" w:hAnsi="宋体" w:cs="宋体"/>
                <w:color w:val="00B0F0"/>
                <w:kern w:val="0"/>
                <w:sz w:val="24"/>
                <w:szCs w:val="24"/>
              </w:rPr>
              <w:t>；</w:t>
            </w:r>
          </w:p>
          <w:p>
            <w:pPr>
              <w:pStyle w:val="30"/>
              <w:widowControl w:val="0"/>
              <w:snapToGrid w:val="0"/>
              <w:spacing w:beforeLines="0" w:beforeAutospacing="0" w:afterLines="0" w:afterAutospacing="0" w:line="0" w:lineRule="atLeast"/>
              <w:rPr>
                <w:rFonts w:cs="宋体"/>
                <w:color w:val="FF0000"/>
                <w:sz w:val="24"/>
                <w:szCs w:val="24"/>
              </w:rPr>
            </w:pPr>
            <w:r>
              <w:rPr>
                <w:rFonts w:ascii="宋体" w:hAnsi="宋体" w:cs="宋体"/>
                <w:color w:val="FF0000"/>
                <w:kern w:val="0"/>
                <w:sz w:val="24"/>
                <w:szCs w:val="24"/>
              </w:rPr>
              <w:t>测向测试方位：12个</w:t>
            </w:r>
          </w:p>
        </w:tc>
      </w:tr>
    </w:tbl>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4、承建方要求</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本项目承建方需具备如下条件（应提供相关证书和证明材料）：</w:t>
      </w:r>
    </w:p>
    <w:p>
      <w:pPr>
        <w:pStyle w:val="33"/>
        <w:spacing w:before="0" w:beforeAutospacing="0" w:after="0" w:afterAutospacing="0" w:line="480" w:lineRule="exact"/>
        <w:rPr>
          <w:rFonts w:ascii="宋体" w:hAnsi="宋体" w:eastAsia="宋体" w:cs="宋体"/>
          <w:color w:val="00B0F0"/>
          <w:sz w:val="24"/>
          <w:szCs w:val="24"/>
        </w:rPr>
      </w:pPr>
      <w:r>
        <w:rPr>
          <w:rFonts w:ascii="宋体" w:hAnsi="宋体" w:cs="宋体"/>
          <w:bCs/>
          <w:color w:val="000000"/>
          <w:sz w:val="24"/>
          <w:szCs w:val="24"/>
        </w:rPr>
        <w:t>（1）承建方要求</w:t>
      </w:r>
    </w:p>
    <w:p>
      <w:pPr>
        <w:pStyle w:val="31"/>
        <w:numPr>
          <w:ilvl w:val="0"/>
          <w:numId w:val="11"/>
        </w:numPr>
        <w:snapToGrid w:val="0"/>
        <w:spacing w:beforeLines="0" w:beforeAutospacing="0" w:after="0" w:afterAutospacing="0" w:line="480" w:lineRule="exact"/>
        <w:rPr>
          <w:rFonts w:ascii="宋体" w:hAnsi="宋体" w:cs="宋体"/>
          <w:bCs/>
          <w:color w:val="00B0F0"/>
          <w:sz w:val="24"/>
          <w:szCs w:val="24"/>
        </w:rPr>
      </w:pPr>
      <w:r>
        <w:rPr>
          <w:rFonts w:ascii="宋体" w:hAnsi="宋体" w:cs="宋体"/>
          <w:bCs/>
          <w:color w:val="000000"/>
          <w:sz w:val="24"/>
          <w:szCs w:val="24"/>
        </w:rPr>
        <w:t>具备中国合格评定国家认可委员会认可（CNAS）资质</w:t>
      </w:r>
      <w:r>
        <w:rPr>
          <w:rFonts w:ascii="宋体" w:hAnsi="宋体" w:cs="宋体"/>
          <w:bCs/>
          <w:color w:val="000000"/>
          <w:sz w:val="24"/>
          <w:szCs w:val="24"/>
          <w:highlight w:val="yellow"/>
        </w:rPr>
        <w:t>和中国计量认证（CMA）资质</w:t>
      </w:r>
      <w:r>
        <w:rPr>
          <w:rFonts w:ascii="宋体" w:hAnsi="宋体" w:cs="宋体"/>
          <w:bCs/>
          <w:color w:val="000000"/>
          <w:sz w:val="24"/>
          <w:szCs w:val="24"/>
        </w:rPr>
        <w:t>，同时测试验证能力范围应包含无线电监测设施测试验证的技术标准（</w:t>
      </w:r>
      <w:r>
        <w:rPr>
          <w:rFonts w:ascii="宋体" w:hAnsi="宋体" w:cs="宋体"/>
          <w:bCs/>
          <w:color w:val="000000" w:themeColor="text1"/>
          <w:sz w:val="24"/>
          <w:szCs w:val="24"/>
          <w14:textFill>
            <w14:solidFill>
              <w14:schemeClr w14:val="tx1"/>
            </w14:solidFill>
          </w14:textFill>
        </w:rPr>
        <w:t>包含GB/T 34089-2017或YD/T 2675-2013、G</w:t>
      </w:r>
      <w:r>
        <w:rPr>
          <w:rFonts w:ascii="宋体" w:hAnsi="宋体" w:cs="宋体"/>
          <w:bCs/>
          <w:color w:val="000000"/>
          <w:sz w:val="24"/>
          <w:szCs w:val="24"/>
        </w:rPr>
        <w:t>B/T 32401-2015、T/RAC 021-2019、T/RAC 024-2021、T/RAC 025-2021等）和测试项目；</w:t>
      </w:r>
      <w:r>
        <w:rPr>
          <w:rFonts w:ascii="宋体" w:hAnsi="宋体" w:cs="宋体"/>
          <w:bCs/>
          <w:color w:val="00B0F0"/>
          <w:sz w:val="24"/>
          <w:szCs w:val="24"/>
        </w:rPr>
        <w:t xml:space="preserve"> </w:t>
      </w:r>
    </w:p>
    <w:p>
      <w:pPr>
        <w:pStyle w:val="31"/>
        <w:numPr>
          <w:ilvl w:val="0"/>
          <w:numId w:val="11"/>
        </w:numPr>
        <w:snapToGrid w:val="0"/>
        <w:spacing w:beforeLines="0" w:beforeAutospacing="0" w:after="0" w:afterAutospacing="0" w:line="480" w:lineRule="exact"/>
        <w:rPr>
          <w:rFonts w:ascii="宋体" w:hAnsi="宋体" w:cs="宋体"/>
          <w:bCs/>
          <w:color w:val="00B0F0"/>
          <w:sz w:val="24"/>
          <w:szCs w:val="24"/>
        </w:rPr>
      </w:pPr>
      <w:r>
        <w:rPr>
          <w:rFonts w:ascii="宋体" w:hAnsi="宋体" w:cs="宋体"/>
          <w:bCs/>
          <w:color w:val="000000"/>
          <w:sz w:val="24"/>
          <w:szCs w:val="24"/>
        </w:rPr>
        <w:t>能够独立承担无线电监测设施的测试验证工作，具备符合相关要求的测试场地、测试仪器仪表等设施，具有详细的测试验证操作流程和完善的作业指导书；</w:t>
      </w:r>
      <w:r>
        <w:rPr>
          <w:rFonts w:ascii="宋体" w:hAnsi="宋体" w:cs="宋体"/>
          <w:bCs/>
          <w:color w:val="00B0F0"/>
          <w:sz w:val="24"/>
          <w:szCs w:val="24"/>
        </w:rPr>
        <w:t xml:space="preserve"> </w:t>
      </w:r>
    </w:p>
    <w:p>
      <w:pPr>
        <w:pStyle w:val="31"/>
        <w:numPr>
          <w:ilvl w:val="0"/>
          <w:numId w:val="11"/>
        </w:numPr>
        <w:snapToGrid w:val="0"/>
        <w:spacing w:beforeLines="0" w:beforeAutospacing="0" w:after="0" w:afterAutospacing="0" w:line="480" w:lineRule="exact"/>
        <w:rPr>
          <w:rFonts w:ascii="宋体" w:hAnsi="宋体" w:cs="宋体"/>
          <w:bCs/>
          <w:color w:val="000000"/>
          <w:sz w:val="24"/>
          <w:szCs w:val="24"/>
        </w:rPr>
      </w:pPr>
      <w:r>
        <w:rPr>
          <w:rFonts w:ascii="宋体" w:hAnsi="宋体" w:cs="宋体"/>
          <w:bCs/>
          <w:color w:val="000000"/>
          <w:sz w:val="24"/>
          <w:szCs w:val="24"/>
        </w:rPr>
        <w:t>具备相应数量的掌握测试验证标准和实施方法，熟悉仪器仪表操作的专业技术人员。</w:t>
      </w:r>
    </w:p>
    <w:p>
      <w:pPr>
        <w:pStyle w:val="31"/>
        <w:numPr>
          <w:ilvl w:val="0"/>
          <w:numId w:val="11"/>
        </w:numPr>
        <w:snapToGrid w:val="0"/>
        <w:spacing w:beforeLines="0" w:beforeAutospacing="0" w:after="0" w:afterAutospacing="0" w:line="480" w:lineRule="exact"/>
        <w:rPr>
          <w:rFonts w:ascii="宋体" w:hAnsi="宋体" w:cs="宋体"/>
          <w:bCs/>
          <w:color w:val="000000"/>
          <w:sz w:val="24"/>
          <w:szCs w:val="24"/>
        </w:rPr>
      </w:pPr>
      <w:r>
        <w:rPr>
          <w:rFonts w:ascii="宋体" w:hAnsi="宋体" w:cs="宋体"/>
          <w:bCs/>
          <w:color w:val="000000"/>
          <w:sz w:val="24"/>
          <w:szCs w:val="24"/>
        </w:rPr>
        <w:t>具备3年以上的无线电监测设施测试验证工作经历，以及出具无线电监测设施 CMA 和 CNAS 测试验证报告的经历。</w:t>
      </w:r>
    </w:p>
    <w:p>
      <w:pPr>
        <w:pStyle w:val="31"/>
        <w:numPr>
          <w:ilvl w:val="0"/>
          <w:numId w:val="11"/>
        </w:numPr>
        <w:snapToGrid w:val="0"/>
        <w:spacing w:beforeLines="0" w:beforeAutospacing="0" w:after="0" w:afterAutospacing="0" w:line="480" w:lineRule="exact"/>
        <w:rPr>
          <w:rFonts w:ascii="宋体" w:hAnsi="宋体" w:cs="宋体"/>
          <w:bCs/>
          <w:color w:val="000000"/>
          <w:sz w:val="24"/>
          <w:szCs w:val="24"/>
        </w:rPr>
      </w:pPr>
      <w:r>
        <w:rPr>
          <w:rFonts w:ascii="宋体" w:hAnsi="宋体" w:cs="宋体"/>
          <w:bCs/>
          <w:color w:val="000000"/>
          <w:sz w:val="24"/>
          <w:szCs w:val="24"/>
        </w:rPr>
        <w:t>未与被测试无线电监测设施的制造商、供货商、集成商、行政执法主体及可能的行政相对人存在利益关联或利益输送。</w:t>
      </w:r>
      <w:r>
        <w:rPr>
          <w:rFonts w:ascii="宋体" w:hAnsi="宋体" w:cs="宋体"/>
          <w:bCs/>
          <w:color w:val="000000" w:themeColor="text1"/>
          <w:sz w:val="24"/>
          <w:szCs w:val="24"/>
          <w:highlight w:val="yellow"/>
          <w14:textFill>
            <w14:solidFill>
              <w14:schemeClr w14:val="tx1"/>
            </w14:solidFill>
          </w14:textFill>
        </w:rPr>
        <w:t>（须</w:t>
      </w:r>
      <w:r>
        <w:rPr>
          <w:rFonts w:ascii="宋体" w:hAnsi="宋体" w:cs="宋体"/>
          <w:bCs/>
          <w:color w:val="0000FF"/>
          <w:sz w:val="24"/>
          <w:szCs w:val="24"/>
          <w:highlight w:val="yellow"/>
        </w:rPr>
        <w:t>提</w:t>
      </w:r>
      <w:r>
        <w:rPr>
          <w:rFonts w:ascii="宋体" w:hAnsi="宋体" w:cs="宋体"/>
          <w:bCs/>
          <w:color w:val="000000" w:themeColor="text1"/>
          <w:sz w:val="24"/>
          <w:szCs w:val="24"/>
          <w:highlight w:val="yellow"/>
          <w14:textFill>
            <w14:solidFill>
              <w14:schemeClr w14:val="tx1"/>
            </w14:solidFill>
          </w14:textFill>
        </w:rPr>
        <w:t>供承诺书）</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（2）测试人员要求</w:t>
      </w:r>
    </w:p>
    <w:p>
      <w:pPr>
        <w:pStyle w:val="31"/>
        <w:numPr>
          <w:ilvl w:val="0"/>
          <w:numId w:val="12"/>
        </w:numPr>
        <w:snapToGrid w:val="0"/>
        <w:spacing w:beforeLines="0" w:beforeAutospacing="0" w:after="0" w:afterAutospacing="0" w:line="480" w:lineRule="exact"/>
        <w:rPr>
          <w:rFonts w:ascii="宋体" w:hAnsi="宋体" w:cs="宋体"/>
          <w:bCs/>
          <w:color w:val="000000"/>
          <w:sz w:val="24"/>
          <w:szCs w:val="24"/>
        </w:rPr>
      </w:pPr>
      <w:r>
        <w:rPr>
          <w:rFonts w:ascii="宋体" w:hAnsi="宋体" w:cs="宋体"/>
          <w:bCs/>
          <w:color w:val="000000"/>
          <w:sz w:val="24"/>
          <w:szCs w:val="24"/>
        </w:rPr>
        <w:t>应成立专门服务于本项目的项目组，满足该项目测试验证工作对测试人员数量和质量上的需求；</w:t>
      </w:r>
    </w:p>
    <w:p>
      <w:pPr>
        <w:pStyle w:val="31"/>
        <w:numPr>
          <w:ilvl w:val="0"/>
          <w:numId w:val="12"/>
        </w:numPr>
        <w:snapToGrid w:val="0"/>
        <w:spacing w:beforeLines="0" w:beforeAutospacing="0" w:after="0" w:afterAutospacing="0" w:line="480" w:lineRule="exact"/>
        <w:rPr>
          <w:rFonts w:ascii="宋体" w:hAnsi="宋体" w:cs="宋体"/>
          <w:bCs/>
          <w:color w:val="000000"/>
          <w:sz w:val="24"/>
          <w:szCs w:val="24"/>
        </w:rPr>
      </w:pPr>
      <w:r>
        <w:rPr>
          <w:rFonts w:ascii="宋体" w:hAnsi="宋体" w:cs="宋体"/>
          <w:bCs/>
          <w:color w:val="000000"/>
          <w:sz w:val="24"/>
          <w:szCs w:val="24"/>
        </w:rPr>
        <w:t>测试人员应具备无线电监测设施测试验证工作经历，以及出具无线电监测设施CNAS和CMA测试验证报告的经历；</w:t>
      </w:r>
    </w:p>
    <w:p>
      <w:pPr>
        <w:pStyle w:val="31"/>
        <w:numPr>
          <w:ilvl w:val="0"/>
          <w:numId w:val="12"/>
        </w:numPr>
        <w:snapToGrid w:val="0"/>
        <w:spacing w:beforeLines="0" w:beforeAutospacing="0" w:after="0" w:afterAutospacing="0" w:line="480" w:lineRule="exact"/>
        <w:rPr>
          <w:rFonts w:ascii="宋体" w:hAnsi="宋体" w:cs="宋体"/>
          <w:bCs/>
          <w:color w:val="000000"/>
          <w:sz w:val="24"/>
          <w:szCs w:val="24"/>
        </w:rPr>
      </w:pPr>
      <w:r>
        <w:rPr>
          <w:rFonts w:ascii="宋体" w:hAnsi="宋体" w:cs="宋体"/>
          <w:bCs/>
          <w:color w:val="000000"/>
          <w:sz w:val="24"/>
          <w:szCs w:val="24"/>
        </w:rPr>
        <w:t>承建方在承建方案中必须给出确定的项目经理人，并承诺在中标后，实际项目开展时</w:t>
      </w:r>
      <w:r>
        <w:rPr>
          <w:rFonts w:ascii="宋体" w:hAnsi="宋体" w:cs="宋体"/>
          <w:bCs/>
          <w:color w:val="000000" w:themeColor="text1"/>
          <w:sz w:val="24"/>
          <w:szCs w:val="24"/>
          <w14:textFill>
            <w14:solidFill>
              <w14:schemeClr w14:val="tx1"/>
            </w14:solidFill>
          </w14:textFill>
        </w:rPr>
        <w:t>由该人担</w:t>
      </w:r>
      <w:r>
        <w:rPr>
          <w:rFonts w:ascii="宋体" w:hAnsi="宋体" w:cs="宋体"/>
          <w:bCs/>
          <w:color w:val="000000"/>
          <w:sz w:val="24"/>
          <w:szCs w:val="24"/>
        </w:rPr>
        <w:t>任本项目的项目经理，未经采购方许可不得随意更换，若因特殊原因需调整，需经采购方同意。</w:t>
      </w:r>
    </w:p>
    <w:p>
      <w:pPr>
        <w:pStyle w:val="31"/>
        <w:numPr>
          <w:ilvl w:val="0"/>
          <w:numId w:val="12"/>
        </w:numPr>
        <w:snapToGrid w:val="0"/>
        <w:spacing w:beforeLines="0" w:beforeAutospacing="0" w:after="0" w:afterAutospacing="0" w:line="480" w:lineRule="exact"/>
        <w:rPr>
          <w:rFonts w:ascii="宋体" w:hAnsi="宋体" w:cs="宋体"/>
          <w:bCs/>
          <w:color w:val="000000"/>
          <w:sz w:val="24"/>
          <w:szCs w:val="24"/>
        </w:rPr>
      </w:pPr>
      <w:r>
        <w:rPr>
          <w:rFonts w:ascii="宋体" w:hAnsi="宋体" w:cs="宋体"/>
          <w:bCs/>
          <w:color w:val="000000"/>
          <w:sz w:val="24"/>
          <w:szCs w:val="24"/>
        </w:rPr>
        <w:t>采购方有权要求承建方更换不称职的测试人员，承建方在接到采购方通知后10个工作日内完成服务技术人员更换。</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5、测试场地要求</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A.用于现场测试标准信号发射系统架设地点尽量选择在与被测系统天线同等高度的建筑物上，架设地点与被测系统天线之间应无遮挡或障碍物，标准信号发射系统与被测系统天线距离应不小于100米，且标准信号发射系统架设地点应不少于2个，相邻测试点之间的方位角不小于30°，不同测试地点间的垂直高度差应不大于10m。</w:t>
      </w:r>
    </w:p>
    <w:p>
      <w:pPr>
        <w:pStyle w:val="31"/>
        <w:snapToGrid w:val="0"/>
        <w:spacing w:beforeLines="0" w:beforeAutospacing="0" w:after="0" w:afterAutospacing="0" w:line="480" w:lineRule="exact"/>
        <w:ind w:firstLine="480" w:firstLineChars="200"/>
        <w:rPr>
          <w:rFonts w:ascii="宋体" w:hAnsi="宋体" w:cs="宋体"/>
          <w:bCs/>
          <w:color w:val="00B0F0"/>
          <w:sz w:val="24"/>
          <w:szCs w:val="24"/>
        </w:rPr>
      </w:pPr>
      <w:r>
        <w:rPr>
          <w:rFonts w:ascii="宋体" w:hAnsi="宋体" w:cs="宋体"/>
          <w:bCs/>
          <w:color w:val="000000"/>
          <w:sz w:val="24"/>
          <w:szCs w:val="24"/>
        </w:rPr>
        <w:t>B.</w:t>
      </w:r>
      <w:r>
        <w:rPr>
          <w:rFonts w:cs="宋体"/>
          <w:color w:val="000000" w:themeColor="text1"/>
          <w:sz w:val="24"/>
          <w:szCs w:val="24"/>
          <w14:textFill>
            <w14:solidFill>
              <w14:schemeClr w14:val="tx1"/>
            </w14:solidFill>
          </w14:textFill>
        </w:rPr>
        <w:t>用于无线电监测设施开场测试验证的标准校验场地，应通过CNAS和CMA认证。</w:t>
      </w:r>
      <w:r>
        <w:rPr>
          <w:rFonts w:cs="宋体"/>
          <w:color w:val="000000" w:themeColor="text1"/>
          <w:sz w:val="24"/>
          <w14:textFill>
            <w14:solidFill>
              <w14:schemeClr w14:val="tx1"/>
            </w14:solidFill>
          </w14:textFill>
        </w:rPr>
        <w:t>且场地</w:t>
      </w:r>
      <w:r>
        <w:rPr>
          <w:rFonts w:ascii="宋体" w:hAnsi="宋体" w:cs="宋体"/>
          <w:bCs/>
          <w:color w:val="000000"/>
          <w:sz w:val="24"/>
          <w:szCs w:val="24"/>
        </w:rPr>
        <w:t>地面平坦，周围没有高大遮挡物，大小至少要有200米长和150米宽。测试场地应远离强辐射源，无再次辐射场；在测试频点上，干扰信号应不高于被测系统标称灵敏度，电磁环境应符合GB/T 25003-2010中对VHF/UHF频段无线电监测站电磁环境干扰允许值和周边障碍物的限制要求。</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6、测试系统要求</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sz w:val="24"/>
          <w:szCs w:val="24"/>
        </w:rPr>
        <w:t>承建方用于测试验证的测试系统（含仪器仪表等）应满足如下</w:t>
      </w:r>
      <w:r>
        <w:rPr>
          <w:rFonts w:ascii="宋体" w:hAnsi="宋体" w:cs="宋体"/>
          <w:bCs/>
          <w:color w:val="000000"/>
          <w:sz w:val="24"/>
          <w:szCs w:val="24"/>
        </w:rPr>
        <w:t>要求：</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（1）发射系统包括信号发射设备、馈线、发射天线、发射塔等装置，其中发射天线的极化应有垂直和水平两种方式，架设高度不低于被测系统的天线高度，且与被测系统天线间的传播路径无遮挡；</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（2）场强测量系统包括信号电平测量设备、接收天馈线、固定装置等；</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（3）所使用的测试设备和仪器仪表的频率范围、功率容量、输出功率、信号类型等应满足按标准进行测试的要求；</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（4）所使用的设施（含标准场地内转台）和仪器仪表等均应取得计量合格证书；</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（5）测试设备和仪器仪表应具有足够的精度和稳定度，转台和转台位置指示器的测量误差不大于0.2°。</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（6）具有无线电监测/测向系统和监测接收机的自动测试系统。</w:t>
      </w:r>
    </w:p>
    <w:p>
      <w:pPr>
        <w:pStyle w:val="31"/>
        <w:snapToGrid w:val="0"/>
        <w:spacing w:beforeLines="0" w:beforeAutospacing="0" w:after="0" w:afterAutospacing="0" w:line="480" w:lineRule="exact"/>
        <w:ind w:firstLine="482" w:firstLineChars="200"/>
        <w:rPr>
          <w:rFonts w:ascii="宋体" w:hAnsi="宋体" w:cs="宋体"/>
          <w:b/>
          <w:bCs/>
          <w:color w:val="000000"/>
          <w:sz w:val="24"/>
          <w:szCs w:val="24"/>
        </w:rPr>
      </w:pPr>
      <w:r>
        <w:rPr>
          <w:rFonts w:ascii="宋体" w:hAnsi="宋体" w:cs="宋体"/>
          <w:b/>
          <w:bCs/>
          <w:color w:val="000000"/>
          <w:sz w:val="24"/>
          <w:szCs w:val="24"/>
        </w:rPr>
        <w:t>7、质量保障</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承建方应保证测试验证工作的质量，工作内容应纳入承建方自身质量管理体系，从质量策划、组织架构资源、流程管控、输入输出管控、方法改进等多个方面保证测试工作满足采购方需求。</w:t>
      </w:r>
    </w:p>
    <w:p>
      <w:pPr>
        <w:pStyle w:val="30"/>
        <w:numPr>
          <w:ilvl w:val="0"/>
          <w:numId w:val="9"/>
        </w:numPr>
        <w:snapToGrid w:val="0"/>
        <w:spacing w:line="480" w:lineRule="exact"/>
        <w:ind w:firstLine="482" w:firstLineChars="200"/>
        <w:outlineLvl w:val="1"/>
        <w:rPr>
          <w:rFonts w:ascii="宋体" w:hAnsi="宋体" w:cs="宋体"/>
          <w:b/>
          <w:color w:val="000000"/>
          <w:sz w:val="24"/>
          <w:szCs w:val="24"/>
        </w:rPr>
      </w:pPr>
      <w:r>
        <w:rPr>
          <w:rFonts w:ascii="宋体" w:hAnsi="宋体" w:cs="宋体"/>
          <w:b/>
          <w:color w:val="000000"/>
          <w:sz w:val="24"/>
          <w:szCs w:val="24"/>
        </w:rPr>
        <w:t xml:space="preserve">项目文档资料要求 </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本项目覆盖34套带有测向功能的固定监测系统、10套不带测向功能的固定监测系统、6套移动监测系统，共计50套无线电监测测向系统的测试验证工作。在项目文档资料输出方面，具体要求如下：</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1、每套无线电监测设施出具测试报告各一份。</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2、每套无线电监测设施粘贴测试验证专用标签各一张。</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3、每套拟报废无线电监测设施出具</w:t>
      </w:r>
      <w:r>
        <w:rPr>
          <w:rFonts w:ascii="宋体" w:hAnsi="宋体"/>
          <w:color w:val="000000"/>
          <w:sz w:val="24"/>
          <w:highlight w:val="yellow"/>
        </w:rPr>
        <w:t>加盖CNAS和CMA标识的</w:t>
      </w:r>
      <w:r>
        <w:rPr>
          <w:rFonts w:ascii="宋体" w:hAnsi="宋体" w:cs="宋体"/>
          <w:bCs/>
          <w:color w:val="000000"/>
          <w:sz w:val="24"/>
          <w:szCs w:val="24"/>
        </w:rPr>
        <w:t>报废评估报告各一份。</w:t>
      </w:r>
    </w:p>
    <w:p>
      <w:pPr>
        <w:pStyle w:val="31"/>
        <w:snapToGrid w:val="0"/>
        <w:spacing w:beforeLines="0" w:beforeAutospacing="0" w:after="0" w:afterAutospacing="0" w:line="480" w:lineRule="exact"/>
        <w:ind w:firstLine="480" w:firstLineChars="200"/>
        <w:rPr>
          <w:rFonts w:ascii="宋体" w:hAnsi="宋体" w:cs="宋体"/>
          <w:bCs/>
          <w:color w:val="000000"/>
          <w:sz w:val="24"/>
          <w:szCs w:val="24"/>
        </w:rPr>
      </w:pPr>
      <w:r>
        <w:rPr>
          <w:rFonts w:ascii="宋体" w:hAnsi="宋体" w:cs="宋体"/>
          <w:bCs/>
          <w:color w:val="000000"/>
          <w:sz w:val="24"/>
          <w:szCs w:val="24"/>
        </w:rPr>
        <w:t>4、出具项目总结报告一份，主要包含如下内容：</w:t>
      </w:r>
    </w:p>
    <w:p>
      <w:pPr>
        <w:pStyle w:val="31"/>
        <w:snapToGrid w:val="0"/>
        <w:spacing w:beforeLines="0" w:beforeAutospacing="0" w:after="0" w:afterAutospacing="0" w:line="480" w:lineRule="exact"/>
        <w:ind w:firstLine="720" w:firstLineChars="300"/>
        <w:rPr>
          <w:rFonts w:ascii="宋体" w:hAnsi="宋体" w:cs="宋体"/>
          <w:bCs/>
          <w:color w:val="000000"/>
          <w:sz w:val="24"/>
          <w:szCs w:val="24"/>
        </w:rPr>
      </w:pPr>
      <w:r>
        <w:rPr>
          <w:rFonts w:ascii="宋体" w:hAnsi="宋体" w:cs="宋体"/>
          <w:bCs/>
          <w:color w:val="000000"/>
          <w:sz w:val="24"/>
          <w:szCs w:val="24"/>
        </w:rPr>
        <w:t>（1）项目概述</w:t>
      </w:r>
    </w:p>
    <w:p>
      <w:pPr>
        <w:pStyle w:val="31"/>
        <w:snapToGrid w:val="0"/>
        <w:spacing w:beforeLines="0" w:beforeAutospacing="0" w:after="0" w:afterAutospacing="0" w:line="480" w:lineRule="exact"/>
        <w:ind w:firstLine="720" w:firstLineChars="300"/>
        <w:rPr>
          <w:rFonts w:ascii="宋体" w:hAnsi="宋体" w:cs="宋体"/>
          <w:bCs/>
          <w:color w:val="000000"/>
          <w:sz w:val="24"/>
          <w:szCs w:val="24"/>
        </w:rPr>
      </w:pPr>
      <w:r>
        <w:rPr>
          <w:rFonts w:ascii="宋体" w:hAnsi="宋体" w:cs="宋体"/>
          <w:bCs/>
          <w:color w:val="000000"/>
          <w:sz w:val="24"/>
          <w:szCs w:val="24"/>
        </w:rPr>
        <w:t>（2）项目完成情况</w:t>
      </w:r>
    </w:p>
    <w:p>
      <w:pPr>
        <w:pStyle w:val="31"/>
        <w:snapToGrid w:val="0"/>
        <w:spacing w:beforeLines="0" w:beforeAutospacing="0" w:after="0" w:afterAutospacing="0" w:line="480" w:lineRule="exact"/>
        <w:ind w:firstLine="720" w:firstLineChars="300"/>
        <w:rPr>
          <w:rFonts w:ascii="宋体" w:hAnsi="宋体" w:cs="宋体"/>
          <w:bCs/>
          <w:color w:val="000000"/>
          <w:sz w:val="24"/>
          <w:szCs w:val="24"/>
        </w:rPr>
      </w:pPr>
      <w:r>
        <w:rPr>
          <w:rFonts w:ascii="宋体" w:hAnsi="宋体" w:cs="宋体"/>
          <w:bCs/>
          <w:color w:val="000000"/>
          <w:sz w:val="24"/>
          <w:szCs w:val="24"/>
        </w:rPr>
        <w:t>（3）测试结果及数据分析</w:t>
      </w:r>
    </w:p>
    <w:p>
      <w:pPr>
        <w:pStyle w:val="31"/>
        <w:snapToGrid w:val="0"/>
        <w:spacing w:beforeLines="0" w:beforeAutospacing="0" w:after="0" w:afterAutospacing="0" w:line="480" w:lineRule="exact"/>
        <w:ind w:firstLine="720" w:firstLineChars="300"/>
        <w:rPr>
          <w:rFonts w:ascii="宋体" w:hAnsi="宋体" w:cs="宋体"/>
          <w:bCs/>
          <w:color w:val="000000"/>
          <w:sz w:val="24"/>
          <w:szCs w:val="24"/>
        </w:rPr>
      </w:pPr>
      <w:r>
        <w:rPr>
          <w:rFonts w:ascii="宋体" w:hAnsi="宋体" w:cs="宋体"/>
          <w:bCs/>
          <w:color w:val="000000"/>
          <w:sz w:val="24"/>
          <w:szCs w:val="24"/>
        </w:rPr>
        <w:t>（4）项目输出成果</w:t>
      </w:r>
    </w:p>
    <w:p>
      <w:pPr>
        <w:pStyle w:val="31"/>
        <w:snapToGrid w:val="0"/>
        <w:spacing w:beforeLines="0" w:beforeAutospacing="0" w:after="0" w:afterAutospacing="0" w:line="480" w:lineRule="exact"/>
        <w:ind w:firstLine="720" w:firstLineChars="300"/>
        <w:rPr>
          <w:rFonts w:ascii="宋体" w:hAnsi="宋体" w:cs="宋体"/>
          <w:bCs/>
          <w:color w:val="000000"/>
          <w:sz w:val="24"/>
          <w:szCs w:val="24"/>
        </w:rPr>
      </w:pPr>
      <w:r>
        <w:rPr>
          <w:rFonts w:ascii="宋体" w:hAnsi="宋体" w:cs="宋体"/>
          <w:bCs/>
          <w:color w:val="000000"/>
          <w:sz w:val="24"/>
          <w:szCs w:val="24"/>
        </w:rPr>
        <w:t>（5）测试典型场景图片</w:t>
      </w:r>
    </w:p>
    <w:p>
      <w:pPr>
        <w:pStyle w:val="31"/>
        <w:snapToGrid w:val="0"/>
        <w:spacing w:beforeLines="0" w:beforeAutospacing="0" w:after="0" w:afterAutospacing="0" w:line="480" w:lineRule="exact"/>
        <w:ind w:firstLine="720" w:firstLineChars="300"/>
        <w:rPr>
          <w:rFonts w:ascii="宋体" w:hAnsi="宋体" w:cs="宋体"/>
          <w:bCs/>
          <w:color w:val="000000"/>
          <w:sz w:val="24"/>
          <w:szCs w:val="24"/>
        </w:rPr>
      </w:pPr>
      <w:r>
        <w:rPr>
          <w:rFonts w:ascii="宋体" w:hAnsi="宋体" w:cs="宋体"/>
          <w:bCs/>
          <w:color w:val="000000"/>
          <w:sz w:val="24"/>
          <w:szCs w:val="24"/>
        </w:rPr>
        <w:t>（6）测试验证工作总结</w:t>
      </w:r>
    </w:p>
    <w:p>
      <w:pPr>
        <w:pStyle w:val="31"/>
        <w:snapToGrid w:val="0"/>
        <w:spacing w:beforeLines="0" w:beforeAutospacing="0" w:after="0" w:afterAutospacing="0" w:line="480" w:lineRule="exact"/>
        <w:jc w:val="left"/>
        <w:rPr>
          <w:rFonts w:ascii="宋体" w:hAnsi="宋体" w:cs="宋体"/>
          <w:color w:val="000000"/>
          <w:sz w:val="24"/>
          <w:szCs w:val="24"/>
        </w:rPr>
      </w:pPr>
      <w:r>
        <w:br w:type="page"/>
      </w:r>
    </w:p>
    <w:p>
      <w:pPr>
        <w:pStyle w:val="31"/>
        <w:snapToGrid w:val="0"/>
        <w:spacing w:beforeLines="0" w:beforeAutospacing="0" w:after="0" w:afterAutospacing="0" w:line="480" w:lineRule="exact"/>
        <w:jc w:val="left"/>
        <w:rPr>
          <w:rFonts w:ascii="宋体" w:hAnsi="宋体" w:cs="宋体"/>
          <w:color w:val="000000"/>
          <w:sz w:val="24"/>
          <w:szCs w:val="24"/>
        </w:rPr>
      </w:pPr>
      <w:r>
        <w:rPr>
          <w:rFonts w:ascii="宋体" w:hAnsi="宋体" w:cs="宋体"/>
          <w:color w:val="000000"/>
          <w:sz w:val="24"/>
          <w:szCs w:val="24"/>
        </w:rPr>
        <w:t>附件1</w:t>
      </w:r>
    </w:p>
    <w:p>
      <w:pPr>
        <w:pStyle w:val="31"/>
        <w:snapToGrid w:val="0"/>
        <w:spacing w:beforeLines="0" w:beforeAutospacing="0" w:after="0" w:afterAutospacing="0" w:line="480" w:lineRule="exact"/>
        <w:jc w:val="center"/>
        <w:rPr>
          <w:rFonts w:ascii="宋体" w:hAnsi="宋体" w:cs="宋体"/>
          <w:b/>
          <w:bCs/>
          <w:color w:val="000000"/>
          <w:sz w:val="40"/>
          <w:szCs w:val="44"/>
        </w:rPr>
      </w:pPr>
      <w:r>
        <w:rPr>
          <w:rFonts w:ascii="宋体" w:hAnsi="宋体" w:cs="宋体"/>
          <w:b/>
          <w:bCs/>
          <w:color w:val="000000"/>
          <w:sz w:val="40"/>
          <w:szCs w:val="44"/>
        </w:rPr>
        <w:t>全区拟开展测试验证的无线电监测设施清单</w:t>
      </w:r>
    </w:p>
    <w:p>
      <w:pPr>
        <w:pStyle w:val="30"/>
        <w:numPr>
          <w:ilvl w:val="3"/>
          <w:numId w:val="13"/>
        </w:numPr>
        <w:snapToGrid w:val="0"/>
        <w:spacing w:line="480" w:lineRule="exact"/>
        <w:jc w:val="center"/>
        <w:rPr>
          <w:rFonts w:ascii="宋体" w:hAnsi="宋体" w:cs="宋体"/>
          <w:color w:val="000000"/>
          <w:sz w:val="24"/>
          <w:szCs w:val="24"/>
        </w:rPr>
      </w:pPr>
      <w:r>
        <w:rPr>
          <w:rFonts w:ascii="宋体" w:hAnsi="宋体" w:cs="宋体"/>
          <w:color w:val="000000"/>
          <w:sz w:val="24"/>
          <w:szCs w:val="24"/>
        </w:rPr>
        <w:t>固定监测站（带测向功能）</w:t>
      </w:r>
    </w:p>
    <w:tbl>
      <w:tblPr>
        <w:tblStyle w:val="22"/>
        <w:tblW w:w="7718" w:type="dxa"/>
        <w:jc w:val="center"/>
        <w:tblInd w:w="0" w:type="dxa"/>
        <w:tblLayout w:type="fixed"/>
        <w:tblCellMar>
          <w:top w:w="0" w:type="dxa"/>
          <w:left w:w="108" w:type="dxa"/>
          <w:bottom w:w="0" w:type="dxa"/>
          <w:right w:w="108" w:type="dxa"/>
        </w:tblCellMar>
      </w:tblPr>
      <w:tblGrid>
        <w:gridCol w:w="1041"/>
        <w:gridCol w:w="2770"/>
        <w:gridCol w:w="3907"/>
      </w:tblGrid>
      <w:tr>
        <w:tblPrEx>
          <w:tblLayout w:type="fixed"/>
          <w:tblCellMar>
            <w:top w:w="0" w:type="dxa"/>
            <w:left w:w="108" w:type="dxa"/>
            <w:bottom w:w="0" w:type="dxa"/>
            <w:right w:w="108" w:type="dxa"/>
          </w:tblCellMar>
        </w:tblPrEx>
        <w:trPr>
          <w:cantSplit/>
          <w:trHeight w:val="595" w:hRule="atLeast"/>
          <w:tblHeader/>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rPr>
            </w:pPr>
            <w:r>
              <w:rPr>
                <w:rFonts w:ascii="宋体" w:hAnsi="宋体" w:cs="宋体"/>
                <w:b/>
                <w:bCs/>
                <w:color w:val="auto"/>
                <w:kern w:val="0"/>
                <w:sz w:val="24"/>
                <w:szCs w:val="24"/>
              </w:rPr>
              <w:t>序号</w:t>
            </w: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rPr>
            </w:pPr>
            <w:r>
              <w:rPr>
                <w:rFonts w:ascii="宋体" w:hAnsi="宋体" w:cs="宋体"/>
                <w:b/>
                <w:bCs/>
                <w:color w:val="auto"/>
                <w:kern w:val="0"/>
                <w:sz w:val="24"/>
                <w:szCs w:val="24"/>
              </w:rPr>
              <w:t>地州市</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rPr>
            </w:pPr>
            <w:r>
              <w:rPr>
                <w:rFonts w:ascii="宋体" w:hAnsi="宋体" w:cs="宋体"/>
                <w:b/>
                <w:bCs/>
                <w:color w:val="auto"/>
                <w:kern w:val="0"/>
                <w:sz w:val="24"/>
                <w:szCs w:val="24"/>
              </w:rPr>
              <w:t>数量</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lang w:val="en-US"/>
              </w:rPr>
            </w:pPr>
            <w:r>
              <w:rPr>
                <w:rFonts w:ascii="宋体" w:hAnsi="宋体" w:cs="宋体"/>
                <w:b/>
                <w:bCs/>
                <w:color w:val="auto"/>
                <w:kern w:val="0"/>
                <w:sz w:val="24"/>
                <w:szCs w:val="24"/>
                <w:lang w:val="en-US" w:eastAsia="zh-CN"/>
              </w:rPr>
              <w:t>伊犁地区</w:t>
            </w:r>
          </w:p>
        </w:tc>
        <w:tc>
          <w:tcPr>
            <w:tcW w:w="3907" w:type="dxa"/>
            <w:tcBorders>
              <w:top w:val="single" w:color="000000" w:sz="4" w:space="0"/>
              <w:left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2</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rPr>
            </w:pPr>
            <w:r>
              <w:rPr>
                <w:rFonts w:ascii="宋体" w:hAnsi="宋体" w:cs="宋体"/>
                <w:b/>
                <w:bCs/>
                <w:color w:val="auto"/>
                <w:kern w:val="0"/>
                <w:sz w:val="24"/>
                <w:szCs w:val="24"/>
              </w:rPr>
              <w:t>吐鲁番市</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塔城地区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克州地区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rPr>
              <w:t>奎</w:t>
            </w:r>
            <w:r>
              <w:rPr>
                <w:rFonts w:ascii="宋体" w:hAnsi="宋体" w:cs="宋体"/>
                <w:b/>
                <w:bCs/>
                <w:color w:val="auto"/>
                <w:kern w:val="0"/>
                <w:sz w:val="24"/>
                <w:szCs w:val="24"/>
                <w:lang w:val="en-US" w:eastAsia="zh-CN"/>
              </w:rPr>
              <w:t>屯市</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2</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克拉玛依市</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2</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和田地区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哈密地区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昌吉地区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3</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博州地区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2</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rPr>
              <w:t>阿勒泰</w:t>
            </w:r>
            <w:r>
              <w:rPr>
                <w:rFonts w:ascii="宋体" w:hAnsi="宋体" w:cs="宋体"/>
                <w:b/>
                <w:bCs/>
                <w:color w:val="auto"/>
                <w:kern w:val="0"/>
                <w:sz w:val="24"/>
                <w:szCs w:val="24"/>
                <w:lang w:val="en-US" w:eastAsia="zh-CN"/>
              </w:rPr>
              <w:t>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巴州地区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4</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eastAsiaTheme="minorEastAsia"/>
                <w:b/>
                <w:bCs/>
                <w:color w:val="auto"/>
                <w:kern w:val="0"/>
                <w:sz w:val="24"/>
                <w:szCs w:val="24"/>
                <w:lang w:val="en-US" w:eastAsia="zh-CN"/>
              </w:rPr>
              <w:t>乌鲁木齐</w:t>
            </w:r>
            <w:r>
              <w:rPr>
                <w:rFonts w:ascii="宋体" w:hAnsi="宋体" w:cs="宋体"/>
                <w:b/>
                <w:bCs/>
                <w:color w:val="auto"/>
                <w:kern w:val="0"/>
                <w:sz w:val="24"/>
                <w:szCs w:val="24"/>
                <w:lang w:val="en-US" w:eastAsia="zh-CN"/>
              </w:rPr>
              <w:t>市</w:t>
            </w:r>
            <w:r>
              <w:rPr>
                <w:rFonts w:ascii="宋体" w:hAnsi="宋体" w:cs="宋体" w:eastAsiaTheme="minorEastAsia"/>
                <w:b/>
                <w:bCs/>
                <w:color w:val="auto"/>
                <w:kern w:val="0"/>
                <w:sz w:val="24"/>
                <w:szCs w:val="24"/>
                <w:lang w:val="en-US" w:eastAsia="zh-CN"/>
              </w:rPr>
              <w:t>（区中心）</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6</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喀什地区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3</w:t>
            </w:r>
          </w:p>
        </w:tc>
      </w:tr>
      <w:tr>
        <w:tblPrEx>
          <w:tblLayout w:type="fixed"/>
          <w:tblCellMar>
            <w:top w:w="0" w:type="dxa"/>
            <w:left w:w="108" w:type="dxa"/>
            <w:bottom w:w="0" w:type="dxa"/>
            <w:right w:w="108" w:type="dxa"/>
          </w:tblCellMar>
        </w:tblPrEx>
        <w:trPr>
          <w:cantSplit/>
          <w:trHeight w:val="595"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阿克苏地区</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3</w:t>
            </w:r>
          </w:p>
        </w:tc>
      </w:tr>
      <w:tr>
        <w:tblPrEx>
          <w:tblLayout w:type="fixed"/>
          <w:tblCellMar>
            <w:top w:w="0" w:type="dxa"/>
            <w:left w:w="108" w:type="dxa"/>
            <w:bottom w:w="0" w:type="dxa"/>
            <w:right w:w="108" w:type="dxa"/>
          </w:tblCellMar>
        </w:tblPrEx>
        <w:trPr>
          <w:cantSplit/>
          <w:trHeight w:val="606" w:hRule="atLeast"/>
          <w:jc w:val="center"/>
        </w:trPr>
        <w:tc>
          <w:tcPr>
            <w:tcW w:w="1041"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4"/>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770"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rPr>
              <w:t>石河子</w:t>
            </w:r>
            <w:r>
              <w:rPr>
                <w:rFonts w:ascii="宋体" w:hAnsi="宋体" w:cs="宋体"/>
                <w:b/>
                <w:bCs/>
                <w:color w:val="auto"/>
                <w:kern w:val="0"/>
                <w:sz w:val="24"/>
                <w:szCs w:val="24"/>
                <w:lang w:val="en-US" w:eastAsia="zh-CN"/>
              </w:rPr>
              <w:t>市</w:t>
            </w:r>
          </w:p>
        </w:tc>
        <w:tc>
          <w:tcPr>
            <w:tcW w:w="39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bl>
    <w:p>
      <w:pPr>
        <w:pStyle w:val="30"/>
        <w:snapToGrid w:val="0"/>
        <w:spacing w:line="480" w:lineRule="exact"/>
        <w:rPr>
          <w:rFonts w:ascii="宋体" w:hAnsi="宋体" w:cs="宋体"/>
          <w:color w:val="000000"/>
          <w:sz w:val="24"/>
          <w:szCs w:val="24"/>
        </w:rPr>
      </w:pPr>
    </w:p>
    <w:p>
      <w:pPr>
        <w:pStyle w:val="31"/>
        <w:ind w:firstLine="240" w:firstLineChars="100"/>
        <w:rPr>
          <w:rFonts w:ascii="宋体" w:hAnsi="宋体" w:cs="宋体"/>
          <w:color w:val="000000"/>
          <w:sz w:val="24"/>
          <w:szCs w:val="24"/>
        </w:rPr>
      </w:pPr>
    </w:p>
    <w:p>
      <w:pPr>
        <w:pStyle w:val="31"/>
        <w:ind w:firstLine="240" w:firstLineChars="100"/>
        <w:rPr>
          <w:rFonts w:ascii="宋体" w:hAnsi="宋体" w:cs="宋体"/>
          <w:color w:val="000000"/>
          <w:sz w:val="24"/>
          <w:szCs w:val="24"/>
        </w:rPr>
      </w:pPr>
    </w:p>
    <w:p>
      <w:pPr>
        <w:pStyle w:val="31"/>
        <w:ind w:firstLine="240" w:firstLineChars="100"/>
        <w:rPr>
          <w:rFonts w:ascii="宋体" w:hAnsi="宋体" w:cs="宋体"/>
          <w:color w:val="000000"/>
          <w:sz w:val="24"/>
          <w:szCs w:val="24"/>
        </w:rPr>
      </w:pPr>
    </w:p>
    <w:p>
      <w:pPr>
        <w:pStyle w:val="30"/>
        <w:numPr>
          <w:ilvl w:val="3"/>
          <w:numId w:val="13"/>
        </w:numPr>
        <w:snapToGrid w:val="0"/>
        <w:spacing w:line="480" w:lineRule="exact"/>
        <w:jc w:val="center"/>
        <w:rPr>
          <w:rFonts w:ascii="宋体" w:hAnsi="宋体" w:cs="宋体"/>
          <w:color w:val="000000"/>
          <w:sz w:val="24"/>
          <w:szCs w:val="24"/>
        </w:rPr>
      </w:pPr>
      <w:r>
        <w:rPr>
          <w:rFonts w:ascii="宋体" w:hAnsi="宋体" w:cs="宋体"/>
          <w:color w:val="000000"/>
          <w:sz w:val="24"/>
          <w:szCs w:val="24"/>
        </w:rPr>
        <w:t>固定监测站（不带测向功能）</w:t>
      </w:r>
    </w:p>
    <w:tbl>
      <w:tblPr>
        <w:tblStyle w:val="22"/>
        <w:tblW w:w="7078" w:type="dxa"/>
        <w:jc w:val="center"/>
        <w:tblInd w:w="0" w:type="dxa"/>
        <w:tblLayout w:type="fixed"/>
        <w:tblCellMar>
          <w:top w:w="0" w:type="dxa"/>
          <w:left w:w="108" w:type="dxa"/>
          <w:bottom w:w="0" w:type="dxa"/>
          <w:right w:w="108" w:type="dxa"/>
        </w:tblCellMar>
      </w:tblPr>
      <w:tblGrid>
        <w:gridCol w:w="983"/>
        <w:gridCol w:w="2313"/>
        <w:gridCol w:w="3782"/>
      </w:tblGrid>
      <w:tr>
        <w:tblPrEx>
          <w:tblLayout w:type="fixed"/>
          <w:tblCellMar>
            <w:top w:w="0" w:type="dxa"/>
            <w:left w:w="108" w:type="dxa"/>
            <w:bottom w:w="0" w:type="dxa"/>
            <w:right w:w="108" w:type="dxa"/>
          </w:tblCellMar>
        </w:tblPrEx>
        <w:trPr>
          <w:cantSplit/>
          <w:trHeight w:val="649" w:hRule="atLeast"/>
          <w:tblHeader/>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rPr>
            </w:pPr>
            <w:r>
              <w:rPr>
                <w:rFonts w:ascii="宋体" w:hAnsi="宋体" w:cs="宋体"/>
                <w:b/>
                <w:bCs/>
                <w:color w:val="auto"/>
                <w:kern w:val="0"/>
                <w:sz w:val="24"/>
                <w:szCs w:val="24"/>
              </w:rPr>
              <w:t>序号</w:t>
            </w: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rPr>
            </w:pPr>
            <w:r>
              <w:rPr>
                <w:rFonts w:ascii="宋体" w:hAnsi="宋体" w:cs="宋体"/>
                <w:b/>
                <w:bCs/>
                <w:color w:val="auto"/>
                <w:kern w:val="0"/>
                <w:sz w:val="24"/>
                <w:szCs w:val="24"/>
              </w:rPr>
              <w:t>地州市</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b/>
                <w:bCs/>
                <w:color w:val="auto"/>
                <w:sz w:val="24"/>
                <w:szCs w:val="24"/>
              </w:rPr>
            </w:pPr>
            <w:r>
              <w:rPr>
                <w:rFonts w:ascii="宋体" w:hAnsi="宋体" w:cs="宋体"/>
                <w:b/>
                <w:bCs/>
                <w:color w:val="auto"/>
                <w:kern w:val="0"/>
                <w:sz w:val="24"/>
                <w:szCs w:val="24"/>
              </w:rPr>
              <w:t>数量</w:t>
            </w:r>
          </w:p>
        </w:tc>
      </w:tr>
      <w:tr>
        <w:tblPrEx>
          <w:tblLayout w:type="fixed"/>
          <w:tblCellMar>
            <w:top w:w="0" w:type="dxa"/>
            <w:left w:w="108" w:type="dxa"/>
            <w:bottom w:w="0" w:type="dxa"/>
            <w:right w:w="108" w:type="dxa"/>
          </w:tblCellMar>
        </w:tblPrEx>
        <w:trPr>
          <w:cantSplit/>
          <w:trHeight w:val="56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克州地区</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6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阿勒泰地区</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6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喀什地区</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3</w:t>
            </w:r>
          </w:p>
        </w:tc>
      </w:tr>
      <w:tr>
        <w:tblPrEx>
          <w:tblLayout w:type="fixed"/>
          <w:tblCellMar>
            <w:top w:w="0" w:type="dxa"/>
            <w:left w:w="108" w:type="dxa"/>
            <w:bottom w:w="0" w:type="dxa"/>
            <w:right w:w="108" w:type="dxa"/>
          </w:tblCellMar>
        </w:tblPrEx>
        <w:trPr>
          <w:cantSplit/>
          <w:trHeight w:val="56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和田地区</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6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阿克苏地区</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6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巴州地区</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56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val="en-US" w:eastAsia="zh-CN"/>
              </w:rPr>
            </w:pPr>
            <w:r>
              <w:rPr>
                <w:rFonts w:ascii="宋体" w:hAnsi="宋体" w:cs="宋体"/>
                <w:b/>
                <w:bCs/>
                <w:color w:val="auto"/>
                <w:kern w:val="0"/>
                <w:sz w:val="24"/>
                <w:szCs w:val="24"/>
                <w:lang w:val="en-US" w:eastAsia="zh-CN"/>
              </w:rPr>
              <w:t>博州地区</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cantSplit/>
          <w:trHeight w:val="618" w:hRule="atLeast"/>
          <w:jc w:val="center"/>
        </w:trPr>
        <w:tc>
          <w:tcPr>
            <w:tcW w:w="983"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5"/>
              </w:numPr>
              <w:tabs>
                <w:tab w:val="left" w:pos="4111"/>
              </w:tabs>
              <w:snapToGrid w:val="0"/>
              <w:spacing w:beforeLines="0" w:beforeAutospacing="0" w:afterLines="0" w:afterAutospacing="0" w:line="480" w:lineRule="exact"/>
              <w:jc w:val="center"/>
              <w:rPr>
                <w:rFonts w:ascii="宋体" w:hAnsi="宋体" w:cs="宋体"/>
                <w:b/>
                <w:bCs/>
                <w:color w:val="auto"/>
                <w:sz w:val="24"/>
                <w:szCs w:val="24"/>
              </w:rPr>
            </w:pPr>
          </w:p>
        </w:tc>
        <w:tc>
          <w:tcPr>
            <w:tcW w:w="231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rPr>
              <w:t>奎屯</w:t>
            </w:r>
            <w:r>
              <w:rPr>
                <w:rFonts w:ascii="宋体" w:hAnsi="宋体" w:cs="宋体"/>
                <w:b/>
                <w:bCs/>
                <w:color w:val="auto"/>
                <w:kern w:val="0"/>
                <w:sz w:val="24"/>
                <w:szCs w:val="24"/>
                <w:lang w:val="en-US" w:eastAsia="zh-CN"/>
              </w:rPr>
              <w:t>市</w:t>
            </w:r>
          </w:p>
        </w:tc>
        <w:tc>
          <w:tcPr>
            <w:tcW w:w="3782"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ind w:left="-19" w:leftChars="-9"/>
              <w:jc w:val="center"/>
              <w:rPr>
                <w:rFonts w:ascii="宋体" w:hAnsi="宋体" w:cs="宋体" w:eastAsiaTheme="minorEastAsia"/>
                <w:b/>
                <w:bCs/>
                <w:color w:val="auto"/>
                <w:sz w:val="24"/>
                <w:szCs w:val="24"/>
                <w:lang w:eastAsia="zh-CN"/>
              </w:rPr>
            </w:pPr>
            <w:r>
              <w:rPr>
                <w:rFonts w:ascii="宋体" w:hAnsi="宋体" w:cs="宋体"/>
                <w:b/>
                <w:bCs/>
                <w:color w:val="auto"/>
                <w:kern w:val="0"/>
                <w:sz w:val="24"/>
                <w:szCs w:val="24"/>
                <w:lang w:val="en-US" w:eastAsia="zh-CN"/>
              </w:rPr>
              <w:t>1</w:t>
            </w:r>
          </w:p>
        </w:tc>
      </w:tr>
    </w:tbl>
    <w:p>
      <w:pPr>
        <w:pStyle w:val="31"/>
        <w:spacing w:beforeLines="0" w:beforeAutospacing="0" w:after="0" w:afterAutospacing="0" w:line="480" w:lineRule="exact"/>
        <w:rPr>
          <w:rFonts w:ascii="宋体" w:hAnsi="宋体" w:cs="宋体"/>
          <w:color w:val="000000"/>
          <w:sz w:val="24"/>
          <w:szCs w:val="24"/>
        </w:rPr>
      </w:pPr>
    </w:p>
    <w:p>
      <w:pPr>
        <w:pStyle w:val="30"/>
        <w:numPr>
          <w:ilvl w:val="0"/>
          <w:numId w:val="0"/>
        </w:numPr>
        <w:tabs>
          <w:tab w:val="left" w:pos="0"/>
        </w:tabs>
        <w:snapToGrid w:val="0"/>
        <w:spacing w:line="480" w:lineRule="exact"/>
        <w:ind w:left="1260" w:leftChars="0" w:firstLine="2160" w:firstLineChars="900"/>
        <w:jc w:val="both"/>
        <w:rPr>
          <w:rFonts w:ascii="宋体" w:hAnsi="宋体" w:cs="宋体"/>
          <w:color w:val="000000"/>
          <w:sz w:val="24"/>
          <w:szCs w:val="24"/>
        </w:rPr>
      </w:pPr>
      <w:r>
        <w:rPr>
          <w:rFonts w:ascii="宋体" w:hAnsi="宋体" w:cs="宋体"/>
          <w:color w:val="000000"/>
          <w:sz w:val="24"/>
          <w:szCs w:val="24"/>
          <w:lang w:val="en-US" w:eastAsia="zh-CN"/>
        </w:rPr>
        <w:t>3.</w:t>
      </w:r>
      <w:r>
        <w:rPr>
          <w:rFonts w:ascii="宋体" w:hAnsi="宋体" w:cs="宋体"/>
          <w:color w:val="000000"/>
          <w:sz w:val="24"/>
          <w:szCs w:val="24"/>
        </w:rPr>
        <w:t>移动监测站</w:t>
      </w:r>
    </w:p>
    <w:tbl>
      <w:tblPr>
        <w:tblStyle w:val="22"/>
        <w:tblpPr w:leftFromText="180" w:rightFromText="180" w:vertAnchor="text" w:horzAnchor="page" w:tblpX="2420" w:tblpY="85"/>
        <w:tblW w:w="7298" w:type="dxa"/>
        <w:jc w:val="center"/>
        <w:tblInd w:w="0" w:type="dxa"/>
        <w:tblLayout w:type="fixed"/>
        <w:tblCellMar>
          <w:top w:w="0" w:type="dxa"/>
          <w:left w:w="108" w:type="dxa"/>
          <w:bottom w:w="0" w:type="dxa"/>
          <w:right w:w="108" w:type="dxa"/>
        </w:tblCellMar>
      </w:tblPr>
      <w:tblGrid>
        <w:gridCol w:w="1207"/>
        <w:gridCol w:w="2998"/>
        <w:gridCol w:w="3093"/>
      </w:tblGrid>
      <w:tr>
        <w:tblPrEx>
          <w:tblLayout w:type="fixed"/>
          <w:tblCellMar>
            <w:top w:w="0" w:type="dxa"/>
            <w:left w:w="108" w:type="dxa"/>
            <w:bottom w:w="0" w:type="dxa"/>
            <w:right w:w="108" w:type="dxa"/>
          </w:tblCellMar>
        </w:tblPrEx>
        <w:trPr>
          <w:trHeight w:val="478"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r>
              <w:rPr>
                <w:rFonts w:ascii="宋体" w:hAnsi="宋体" w:eastAsia="宋体" w:cs="宋体"/>
                <w:b/>
                <w:bCs/>
                <w:color w:val="auto"/>
                <w:kern w:val="0"/>
                <w:sz w:val="24"/>
                <w:szCs w:val="24"/>
              </w:rPr>
              <w:t>序号</w:t>
            </w:r>
          </w:p>
        </w:tc>
        <w:tc>
          <w:tcPr>
            <w:tcW w:w="2998"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val="en-US" w:eastAsia="zh-CN"/>
              </w:rPr>
            </w:pPr>
            <w:r>
              <w:rPr>
                <w:rFonts w:ascii="宋体" w:hAnsi="宋体" w:eastAsia="宋体" w:cs="宋体"/>
                <w:b/>
                <w:bCs/>
                <w:color w:val="auto"/>
                <w:kern w:val="0"/>
                <w:sz w:val="24"/>
                <w:szCs w:val="24"/>
              </w:rPr>
              <w:t>地州</w:t>
            </w:r>
            <w:r>
              <w:rPr>
                <w:rFonts w:ascii="宋体" w:hAnsi="宋体" w:eastAsia="宋体" w:cs="宋体"/>
                <w:b/>
                <w:bCs/>
                <w:color w:val="auto"/>
                <w:kern w:val="0"/>
                <w:sz w:val="24"/>
                <w:szCs w:val="24"/>
                <w:lang w:val="en-US" w:eastAsia="zh-CN"/>
              </w:rPr>
              <w:t>市</w:t>
            </w:r>
          </w:p>
        </w:tc>
        <w:tc>
          <w:tcPr>
            <w:tcW w:w="309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r>
              <w:rPr>
                <w:rFonts w:ascii="宋体" w:hAnsi="宋体" w:eastAsia="宋体" w:cs="宋体"/>
                <w:b/>
                <w:bCs/>
                <w:color w:val="auto"/>
                <w:kern w:val="0"/>
                <w:sz w:val="24"/>
                <w:szCs w:val="24"/>
              </w:rPr>
              <w:t>数量</w:t>
            </w:r>
          </w:p>
        </w:tc>
      </w:tr>
      <w:tr>
        <w:tblPrEx>
          <w:tblLayout w:type="fixed"/>
          <w:tblCellMar>
            <w:top w:w="0" w:type="dxa"/>
            <w:left w:w="108" w:type="dxa"/>
            <w:bottom w:w="0" w:type="dxa"/>
            <w:right w:w="108" w:type="dxa"/>
          </w:tblCellMar>
        </w:tblPrEx>
        <w:trPr>
          <w:trHeight w:val="464"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6"/>
              </w:numPr>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p>
        </w:tc>
        <w:tc>
          <w:tcPr>
            <w:tcW w:w="2998"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val="en-US" w:eastAsia="zh-CN"/>
              </w:rPr>
            </w:pPr>
            <w:r>
              <w:rPr>
                <w:rFonts w:ascii="宋体" w:hAnsi="宋体" w:eastAsia="宋体" w:cs="宋体"/>
                <w:b/>
                <w:bCs/>
                <w:color w:val="auto"/>
                <w:kern w:val="0"/>
                <w:sz w:val="24"/>
                <w:szCs w:val="24"/>
              </w:rPr>
              <w:t>阿克苏</w:t>
            </w:r>
            <w:r>
              <w:rPr>
                <w:rFonts w:ascii="宋体" w:hAnsi="宋体" w:eastAsia="宋体" w:cs="宋体"/>
                <w:b/>
                <w:bCs/>
                <w:color w:val="auto"/>
                <w:kern w:val="0"/>
                <w:sz w:val="24"/>
                <w:szCs w:val="24"/>
                <w:lang w:val="en-US" w:eastAsia="zh-CN"/>
              </w:rPr>
              <w:t>地区</w:t>
            </w:r>
          </w:p>
        </w:tc>
        <w:tc>
          <w:tcPr>
            <w:tcW w:w="309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eastAsia="zh-CN"/>
              </w:rPr>
            </w:pPr>
            <w:r>
              <w:rPr>
                <w:rFonts w:ascii="宋体" w:hAnsi="宋体" w:eastAsia="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trHeight w:val="464"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6"/>
              </w:numPr>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p>
        </w:tc>
        <w:tc>
          <w:tcPr>
            <w:tcW w:w="2998"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val="en-US" w:eastAsia="zh-CN"/>
              </w:rPr>
            </w:pPr>
            <w:r>
              <w:rPr>
                <w:rFonts w:ascii="宋体" w:hAnsi="宋体" w:eastAsia="宋体" w:cs="宋体"/>
                <w:b/>
                <w:bCs/>
                <w:color w:val="auto"/>
                <w:kern w:val="0"/>
                <w:sz w:val="24"/>
                <w:szCs w:val="24"/>
              </w:rPr>
              <w:t>巴州</w:t>
            </w:r>
            <w:r>
              <w:rPr>
                <w:rFonts w:ascii="宋体" w:hAnsi="宋体" w:eastAsia="宋体" w:cs="宋体"/>
                <w:b/>
                <w:bCs/>
                <w:color w:val="auto"/>
                <w:kern w:val="0"/>
                <w:sz w:val="24"/>
                <w:szCs w:val="24"/>
                <w:lang w:val="en-US" w:eastAsia="zh-CN"/>
              </w:rPr>
              <w:t>地区</w:t>
            </w:r>
          </w:p>
        </w:tc>
        <w:tc>
          <w:tcPr>
            <w:tcW w:w="309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eastAsia="zh-CN"/>
              </w:rPr>
            </w:pPr>
            <w:r>
              <w:rPr>
                <w:rFonts w:ascii="宋体" w:hAnsi="宋体" w:eastAsia="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trHeight w:val="464"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6"/>
              </w:numPr>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p>
        </w:tc>
        <w:tc>
          <w:tcPr>
            <w:tcW w:w="2998"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val="en-US" w:eastAsia="zh-CN"/>
              </w:rPr>
            </w:pPr>
            <w:r>
              <w:rPr>
                <w:rFonts w:ascii="宋体" w:hAnsi="宋体" w:eastAsia="宋体" w:cs="宋体"/>
                <w:b/>
                <w:bCs/>
                <w:color w:val="auto"/>
                <w:kern w:val="0"/>
                <w:sz w:val="24"/>
                <w:szCs w:val="24"/>
              </w:rPr>
              <w:t>克拉玛依</w:t>
            </w:r>
            <w:r>
              <w:rPr>
                <w:rFonts w:ascii="宋体" w:hAnsi="宋体" w:eastAsia="宋体" w:cs="宋体"/>
                <w:b/>
                <w:bCs/>
                <w:color w:val="auto"/>
                <w:kern w:val="0"/>
                <w:sz w:val="24"/>
                <w:szCs w:val="24"/>
                <w:lang w:val="en-US" w:eastAsia="zh-CN"/>
              </w:rPr>
              <w:t>市</w:t>
            </w:r>
          </w:p>
        </w:tc>
        <w:tc>
          <w:tcPr>
            <w:tcW w:w="309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eastAsia="zh-CN"/>
              </w:rPr>
            </w:pPr>
            <w:r>
              <w:rPr>
                <w:rFonts w:ascii="宋体" w:hAnsi="宋体" w:eastAsia="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trHeight w:val="464"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6"/>
              </w:numPr>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p>
        </w:tc>
        <w:tc>
          <w:tcPr>
            <w:tcW w:w="2998"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val="en-US" w:eastAsia="zh-CN"/>
              </w:rPr>
            </w:pPr>
            <w:r>
              <w:rPr>
                <w:rFonts w:ascii="宋体" w:hAnsi="宋体" w:eastAsia="宋体" w:cs="宋体"/>
                <w:b/>
                <w:bCs/>
                <w:color w:val="auto"/>
                <w:kern w:val="0"/>
                <w:sz w:val="24"/>
                <w:szCs w:val="24"/>
              </w:rPr>
              <w:t>克州</w:t>
            </w:r>
            <w:r>
              <w:rPr>
                <w:rFonts w:ascii="宋体" w:hAnsi="宋体" w:eastAsia="宋体" w:cs="宋体"/>
                <w:b/>
                <w:bCs/>
                <w:color w:val="auto"/>
                <w:kern w:val="0"/>
                <w:sz w:val="24"/>
                <w:szCs w:val="24"/>
                <w:lang w:val="en-US" w:eastAsia="zh-CN"/>
              </w:rPr>
              <w:t>地区</w:t>
            </w:r>
          </w:p>
        </w:tc>
        <w:tc>
          <w:tcPr>
            <w:tcW w:w="309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eastAsia="zh-CN"/>
              </w:rPr>
            </w:pPr>
            <w:r>
              <w:rPr>
                <w:rFonts w:ascii="宋体" w:hAnsi="宋体" w:eastAsia="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trHeight w:val="464"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6"/>
              </w:numPr>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p>
        </w:tc>
        <w:tc>
          <w:tcPr>
            <w:tcW w:w="2998"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val="en-US" w:eastAsia="zh-CN"/>
              </w:rPr>
            </w:pPr>
            <w:r>
              <w:rPr>
                <w:rFonts w:ascii="宋体" w:hAnsi="宋体" w:eastAsia="宋体" w:cs="宋体"/>
                <w:b/>
                <w:bCs/>
                <w:color w:val="auto"/>
                <w:kern w:val="0"/>
                <w:sz w:val="24"/>
                <w:szCs w:val="24"/>
              </w:rPr>
              <w:t>石河子</w:t>
            </w:r>
            <w:r>
              <w:rPr>
                <w:rFonts w:ascii="宋体" w:hAnsi="宋体" w:eastAsia="宋体" w:cs="宋体"/>
                <w:b/>
                <w:bCs/>
                <w:color w:val="auto"/>
                <w:kern w:val="0"/>
                <w:sz w:val="24"/>
                <w:szCs w:val="24"/>
                <w:lang w:val="en-US" w:eastAsia="zh-CN"/>
              </w:rPr>
              <w:t>市</w:t>
            </w:r>
          </w:p>
        </w:tc>
        <w:tc>
          <w:tcPr>
            <w:tcW w:w="309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eastAsia="zh-CN"/>
              </w:rPr>
            </w:pPr>
            <w:r>
              <w:rPr>
                <w:rFonts w:ascii="宋体" w:hAnsi="宋体" w:eastAsia="宋体" w:cs="宋体"/>
                <w:b/>
                <w:bCs/>
                <w:color w:val="auto"/>
                <w:kern w:val="0"/>
                <w:sz w:val="24"/>
                <w:szCs w:val="24"/>
                <w:lang w:val="en-US" w:eastAsia="zh-CN"/>
              </w:rPr>
              <w:t>1</w:t>
            </w:r>
          </w:p>
        </w:tc>
      </w:tr>
      <w:tr>
        <w:tblPrEx>
          <w:tblLayout w:type="fixed"/>
          <w:tblCellMar>
            <w:top w:w="0" w:type="dxa"/>
            <w:left w:w="108" w:type="dxa"/>
            <w:bottom w:w="0" w:type="dxa"/>
            <w:right w:w="108" w:type="dxa"/>
          </w:tblCellMar>
        </w:tblPrEx>
        <w:trPr>
          <w:trHeight w:val="506" w:hRule="atLeast"/>
          <w:jc w:val="center"/>
        </w:trPr>
        <w:tc>
          <w:tcPr>
            <w:tcW w:w="1207" w:type="dxa"/>
            <w:tcBorders>
              <w:top w:val="single" w:color="000000" w:sz="4" w:space="0"/>
              <w:left w:val="single" w:color="000000" w:sz="4" w:space="0"/>
              <w:bottom w:val="single" w:color="000000" w:sz="4" w:space="0"/>
              <w:right w:val="single" w:color="000000" w:sz="4" w:space="0"/>
            </w:tcBorders>
            <w:vAlign w:val="center"/>
          </w:tcPr>
          <w:p>
            <w:pPr>
              <w:pStyle w:val="30"/>
              <w:widowControl w:val="0"/>
              <w:numPr>
                <w:ilvl w:val="0"/>
                <w:numId w:val="16"/>
              </w:numPr>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rPr>
            </w:pPr>
          </w:p>
        </w:tc>
        <w:tc>
          <w:tcPr>
            <w:tcW w:w="2998"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val="en-US" w:eastAsia="zh-CN"/>
              </w:rPr>
            </w:pPr>
            <w:r>
              <w:rPr>
                <w:rFonts w:ascii="宋体" w:hAnsi="宋体" w:eastAsia="宋体" w:cs="宋体"/>
                <w:b/>
                <w:bCs/>
                <w:color w:val="auto"/>
                <w:kern w:val="0"/>
                <w:sz w:val="24"/>
                <w:szCs w:val="24"/>
              </w:rPr>
              <w:t>伊犁</w:t>
            </w:r>
            <w:r>
              <w:rPr>
                <w:rFonts w:ascii="宋体" w:hAnsi="宋体" w:eastAsia="宋体" w:cs="宋体"/>
                <w:b/>
                <w:bCs/>
                <w:color w:val="auto"/>
                <w:kern w:val="0"/>
                <w:sz w:val="24"/>
                <w:szCs w:val="24"/>
                <w:lang w:val="en-US" w:eastAsia="zh-CN"/>
              </w:rPr>
              <w:t>地区</w:t>
            </w:r>
          </w:p>
        </w:tc>
        <w:tc>
          <w:tcPr>
            <w:tcW w:w="3093" w:type="dxa"/>
            <w:tcBorders>
              <w:top w:val="single" w:color="000000" w:sz="4" w:space="0"/>
              <w:left w:val="single" w:color="000000" w:sz="4" w:space="0"/>
              <w:bottom w:val="single" w:color="000000" w:sz="4" w:space="0"/>
              <w:right w:val="single" w:color="000000" w:sz="4" w:space="0"/>
            </w:tcBorders>
            <w:vAlign w:val="center"/>
          </w:tcPr>
          <w:p>
            <w:pPr>
              <w:pStyle w:val="30"/>
              <w:widowControl w:val="0"/>
              <w:tabs>
                <w:tab w:val="left" w:pos="4111"/>
              </w:tabs>
              <w:snapToGrid w:val="0"/>
              <w:spacing w:beforeLines="0" w:beforeAutospacing="0" w:afterLines="0" w:afterAutospacing="0" w:line="480" w:lineRule="exact"/>
              <w:jc w:val="center"/>
              <w:rPr>
                <w:rFonts w:ascii="宋体" w:hAnsi="宋体" w:eastAsia="宋体" w:cs="宋体"/>
                <w:b/>
                <w:bCs/>
                <w:color w:val="auto"/>
                <w:sz w:val="24"/>
                <w:szCs w:val="24"/>
                <w:lang w:eastAsia="zh-CN"/>
              </w:rPr>
            </w:pPr>
            <w:r>
              <w:rPr>
                <w:rFonts w:ascii="宋体" w:hAnsi="宋体" w:eastAsia="宋体" w:cs="宋体"/>
                <w:b/>
                <w:bCs/>
                <w:color w:val="auto"/>
                <w:kern w:val="0"/>
                <w:sz w:val="24"/>
                <w:szCs w:val="24"/>
                <w:lang w:val="en-US" w:eastAsia="zh-CN"/>
              </w:rPr>
              <w:t>1</w:t>
            </w:r>
          </w:p>
        </w:tc>
      </w:tr>
    </w:tbl>
    <w:p>
      <w:pPr>
        <w:pStyle w:val="35"/>
        <w:keepLines w:val="0"/>
        <w:tabs>
          <w:tab w:val="left" w:pos="0"/>
        </w:tabs>
        <w:snapToGrid w:val="0"/>
        <w:spacing w:before="0" w:beforeAutospacing="0" w:after="0" w:afterAutospacing="0" w:line="400" w:lineRule="exact"/>
        <w:rPr>
          <w:rFonts w:ascii="宋体" w:hAnsi="宋体" w:cs="宋体"/>
          <w:sz w:val="24"/>
          <w:szCs w:val="24"/>
        </w:rPr>
      </w:pPr>
    </w:p>
    <w:p>
      <w:pPr>
        <w:pStyle w:val="35"/>
        <w:keepLines w:val="0"/>
        <w:tabs>
          <w:tab w:val="left" w:pos="0"/>
        </w:tabs>
        <w:snapToGrid w:val="0"/>
        <w:spacing w:before="0" w:beforeAutospacing="0" w:after="0" w:afterAutospacing="0" w:line="400" w:lineRule="exact"/>
        <w:rPr>
          <w:rFonts w:ascii="宋体" w:hAnsi="宋体" w:cs="宋体"/>
          <w:b w:val="0"/>
          <w:bCs w:val="0"/>
          <w:sz w:val="24"/>
          <w:szCs w:val="24"/>
        </w:rPr>
      </w:pPr>
      <w:r>
        <w:rPr>
          <w:rFonts w:ascii="宋体" w:hAnsi="宋体" w:cs="宋体"/>
          <w:sz w:val="24"/>
          <w:szCs w:val="24"/>
        </w:rPr>
        <w:t>备注 1、报价格式必须参照“第五部分”投标文件格式。</w:t>
      </w:r>
    </w:p>
    <w:p>
      <w:pPr>
        <w:pStyle w:val="28"/>
        <w:spacing w:beforeLines="0" w:beforeAutospacing="0" w:afterLines="0" w:afterAutospacing="0" w:line="400" w:lineRule="exact"/>
        <w:ind w:left="638" w:leftChars="304"/>
        <w:contextualSpacing/>
        <w:rPr>
          <w:rFonts w:ascii="宋体" w:hAnsi="宋体" w:cs="宋体"/>
          <w:b/>
          <w:bCs/>
          <w:sz w:val="24"/>
        </w:rPr>
      </w:pPr>
      <w:r>
        <w:rPr>
          <w:rFonts w:ascii="宋体" w:hAnsi="宋体" w:cs="宋体"/>
          <w:b/>
          <w:bCs/>
          <w:sz w:val="24"/>
        </w:rPr>
        <w:t>2、提供本次项目详细的实施方案。</w:t>
      </w:r>
    </w:p>
    <w:p>
      <w:pPr>
        <w:pStyle w:val="28"/>
        <w:spacing w:beforeLines="0" w:beforeAutospacing="0" w:afterLines="0" w:afterAutospacing="0" w:line="400" w:lineRule="exact"/>
        <w:ind w:left="638" w:leftChars="304"/>
        <w:contextualSpacing/>
        <w:rPr>
          <w:rFonts w:ascii="宋体" w:hAnsi="宋体" w:cs="宋体"/>
          <w:b/>
          <w:bCs/>
          <w:sz w:val="24"/>
        </w:rPr>
      </w:pPr>
      <w:r>
        <w:rPr>
          <w:rFonts w:ascii="宋体" w:hAnsi="宋体" w:cs="宋体"/>
          <w:b/>
          <w:bCs/>
          <w:sz w:val="24"/>
        </w:rPr>
        <w:t>3、为保障项目的顺利实施，提供配备必要的硬件设备。</w:t>
      </w:r>
    </w:p>
    <w:p>
      <w:pPr>
        <w:pStyle w:val="28"/>
        <w:spacing w:beforeLines="0" w:beforeAutospacing="0" w:afterLines="0" w:afterAutospacing="0" w:line="400" w:lineRule="exact"/>
        <w:ind w:left="638" w:leftChars="304"/>
        <w:contextualSpacing/>
        <w:rPr>
          <w:rFonts w:ascii="宋体" w:hAnsi="宋体" w:cs="宋体"/>
          <w:b/>
          <w:bCs/>
          <w:sz w:val="24"/>
        </w:rPr>
      </w:pPr>
      <w:r>
        <w:rPr>
          <w:rFonts w:ascii="宋体" w:hAnsi="宋体" w:cs="宋体"/>
          <w:b/>
          <w:bCs/>
          <w:sz w:val="24"/>
        </w:rPr>
        <w:t>4、提供近三年与该项目类似项目的业绩。</w:t>
      </w:r>
    </w:p>
    <w:p>
      <w:pPr>
        <w:pStyle w:val="28"/>
        <w:keepLines w:val="0"/>
        <w:pageBreakBefore w:val="0"/>
        <w:widowControl w:val="0"/>
        <w:kinsoku/>
        <w:wordWrap/>
        <w:overflowPunct/>
        <w:topLinePunct w:val="0"/>
        <w:autoSpaceDE/>
        <w:autoSpaceDN/>
        <w:bidi w:val="0"/>
        <w:adjustRightInd/>
        <w:spacing w:beforeLines="0" w:beforeAutospacing="0" w:afterAutospacing="0" w:line="400" w:lineRule="exact"/>
        <w:ind w:left="638" w:leftChars="304" w:right="0" w:rightChars="0" w:firstLine="0" w:firstLineChars="0"/>
        <w:contextualSpacing/>
        <w:jc w:val="both"/>
        <w:textAlignment w:val="auto"/>
        <w:rPr>
          <w:rFonts w:ascii="宋体" w:hAnsi="宋体" w:cs="宋体"/>
          <w:b/>
          <w:bCs/>
          <w:sz w:val="24"/>
        </w:rPr>
      </w:pPr>
      <w:r>
        <w:rPr>
          <w:rFonts w:ascii="宋体" w:hAnsi="宋体" w:cs="宋体"/>
          <w:b/>
          <w:bCs/>
          <w:sz w:val="24"/>
        </w:rPr>
        <w:t>5、提出切实可行的售后服务方案。</w:t>
      </w:r>
    </w:p>
    <w:p>
      <w:pPr>
        <w:ind w:firstLine="482" w:firstLineChars="200"/>
        <w:rPr>
          <w:rFonts w:ascii="宋体" w:hAnsi="宋体"/>
          <w:b/>
          <w:sz w:val="24"/>
          <w:szCs w:val="24"/>
        </w:rPr>
      </w:pPr>
    </w:p>
    <w:p>
      <w:pPr>
        <w:ind w:firstLine="482" w:firstLineChars="200"/>
        <w:rPr>
          <w:rFonts w:ascii="宋体" w:hAnsi="宋体"/>
          <w:b/>
          <w:sz w:val="24"/>
          <w:szCs w:val="24"/>
        </w:rPr>
      </w:pPr>
    </w:p>
    <w:bookmarkEnd w:id="33"/>
    <w:p>
      <w:pPr>
        <w:pStyle w:val="3"/>
        <w:tabs>
          <w:tab w:val="left" w:pos="360"/>
        </w:tabs>
        <w:rPr>
          <w:rFonts w:ascii="Arial" w:hAnsi="Arial" w:cs="Arial"/>
          <w:sz w:val="32"/>
          <w:szCs w:val="32"/>
        </w:rPr>
      </w:pPr>
      <w:bookmarkStart w:id="35" w:name="_Toc31415"/>
      <w:bookmarkStart w:id="36" w:name="_Toc349573138"/>
      <w:bookmarkStart w:id="37" w:name="_Toc349637937"/>
      <w:bookmarkStart w:id="38" w:name="_Toc298240423"/>
      <w:bookmarkStart w:id="39" w:name="_Toc267301296"/>
      <w:r>
        <w:rPr>
          <w:rFonts w:ascii="Arial" w:hAnsi="Arial" w:cs="Arial"/>
          <w:sz w:val="32"/>
          <w:szCs w:val="32"/>
        </w:rPr>
        <w:br w:type="page"/>
      </w:r>
      <w:r>
        <w:rPr>
          <w:rFonts w:ascii="Arial" w:hAnsi="Arial" w:cs="Arial"/>
          <w:sz w:val="32"/>
          <w:szCs w:val="32"/>
        </w:rPr>
        <w:t>第四部分  合同条款</w:t>
      </w:r>
      <w:bookmarkEnd w:id="35"/>
      <w:bookmarkEnd w:id="36"/>
      <w:bookmarkEnd w:id="37"/>
      <w:bookmarkEnd w:id="38"/>
      <w:bookmarkEnd w:id="39"/>
    </w:p>
    <w:p>
      <w:pPr>
        <w:spacing w:line="440" w:lineRule="exact"/>
        <w:jc w:val="center"/>
        <w:rPr>
          <w:rFonts w:ascii="宋体" w:hAnsi="宋体"/>
          <w:b/>
          <w:sz w:val="20"/>
        </w:rPr>
      </w:pPr>
      <w:r>
        <w:rPr>
          <w:rFonts w:ascii="宋体" w:hAnsi="宋体"/>
          <w:b/>
          <w:sz w:val="20"/>
        </w:rPr>
        <w:t>（本合同条款仅供参考，具体以实际签订的合同为准）</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 xml:space="preserve">甲方： </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 xml:space="preserve">乙方： </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bookmarkStart w:id="40" w:name="_Toc527480092"/>
      <w:r>
        <w:rPr>
          <w:rFonts w:ascii="宋体" w:hAnsi="宋体" w:cs="宋体"/>
          <w:bCs/>
          <w:color w:val="000000" w:themeColor="text1"/>
          <w:sz w:val="24"/>
          <w:szCs w:val="24"/>
          <w14:textFill>
            <w14:solidFill>
              <w14:schemeClr w14:val="tx1"/>
            </w14:solidFill>
          </w14:textFill>
        </w:rPr>
        <w:t>鉴于：</w:t>
      </w:r>
      <w:bookmarkEnd w:id="40"/>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甲方根据      的          （项目编号：</w:t>
      </w:r>
      <w:r>
        <w:rPr>
          <w:rFonts w:ascii="宋体" w:hAnsi="宋体" w:cs="宋体"/>
          <w:b/>
          <w:color w:val="000000" w:themeColor="text1"/>
          <w:sz w:val="24"/>
          <w:szCs w:val="24"/>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t>）进行公开招标。</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乙方为一家依法成立的事业单位，具有独立法人资格，其事业单位法人营业执照号码为</w:t>
      </w:r>
      <w:r>
        <w:rPr>
          <w:rFonts w:ascii="宋体" w:hAnsi="宋体" w:cs="宋体"/>
          <w:b/>
          <w:bCs/>
          <w:color w:val="000000" w:themeColor="text1"/>
          <w:sz w:val="24"/>
          <w:szCs w:val="24"/>
          <w:u w:val="single"/>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t>。</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 xml:space="preserve">根据《中华人民共和国民法典》、《中华人民共和国政府采购法》、乙方的投标文件，甲乙双方的授权代表就所供的全区监测系统验证服务在平等自愿的基础上签订本合同，并共同遵照执行。 </w:t>
      </w:r>
    </w:p>
    <w:p>
      <w:pPr>
        <w:pStyle w:val="35"/>
        <w:tabs>
          <w:tab w:val="left" w:pos="0"/>
        </w:tabs>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41" w:name="_Toc26977669"/>
      <w:bookmarkStart w:id="42" w:name="_Toc55308052"/>
      <w:r>
        <w:rPr>
          <w:rFonts w:ascii="宋体" w:hAnsi="宋体" w:cs="宋体"/>
          <w:color w:val="000000" w:themeColor="text1"/>
          <w:sz w:val="24"/>
          <w:szCs w:val="24"/>
          <w14:textFill>
            <w14:solidFill>
              <w14:schemeClr w14:val="tx1"/>
            </w14:solidFill>
          </w14:textFill>
        </w:rPr>
        <w:t>一、项目内容</w:t>
      </w:r>
      <w:bookmarkEnd w:id="41"/>
      <w:bookmarkEnd w:id="42"/>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乙方按照       项目（项目编号：</w:t>
      </w:r>
      <w:r>
        <w:rPr>
          <w:rFonts w:ascii="宋体" w:hAnsi="宋体" w:cs="宋体"/>
          <w:b/>
          <w:color w:val="000000" w:themeColor="text1"/>
          <w:sz w:val="24"/>
          <w:szCs w:val="24"/>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t>）目标方案中的具体条件，在甲乙双方共同约定的12个月时间内，完成甲方</w:t>
      </w:r>
      <w:r>
        <w:rPr>
          <w:rFonts w:ascii="宋体" w:hAnsi="宋体" w:cs="宋体"/>
          <w:color w:val="000000" w:themeColor="text1"/>
          <w:sz w:val="24"/>
          <w:szCs w:val="24"/>
          <w14:textFill>
            <w14:solidFill>
              <w14:schemeClr w14:val="tx1"/>
            </w14:solidFill>
          </w14:textFill>
        </w:rPr>
        <w:t xml:space="preserve">  套带有测向功能的固定监测系统和   套不带测向功能的固定监测系统以及  套移动监测系统进行测试验证</w:t>
      </w:r>
      <w:r>
        <w:rPr>
          <w:rFonts w:ascii="宋体" w:hAnsi="宋体" w:cs="宋体"/>
          <w:bCs/>
          <w:color w:val="000000" w:themeColor="text1"/>
          <w:sz w:val="24"/>
          <w:szCs w:val="24"/>
          <w14:textFill>
            <w14:solidFill>
              <w14:schemeClr w14:val="tx1"/>
            </w14:solidFill>
          </w14:textFill>
        </w:rPr>
        <w:t>，同时对上述设施中指标较差的设施的外观、机械、电路、功能、性能等方面进行检查测试评估，并依据实际测试结果，按照已经发布的相关技术标准，向甲方出具相关正式检测报告（提供检测报告及有关的全部资料的电子文档），对指标较差的</w:t>
      </w:r>
      <w:r>
        <w:rPr>
          <w:rFonts w:ascii="宋体" w:hAnsi="宋体" w:cs="宋体"/>
          <w:bCs/>
          <w:color w:val="00B0F0"/>
          <w:sz w:val="24"/>
          <w:szCs w:val="24"/>
        </w:rPr>
        <w:t>设施出具报废评估报告</w:t>
      </w:r>
      <w:r>
        <w:rPr>
          <w:rFonts w:ascii="宋体" w:hAnsi="宋体" w:cs="宋体"/>
          <w:bCs/>
          <w:color w:val="000000" w:themeColor="text1"/>
          <w:sz w:val="24"/>
          <w:szCs w:val="24"/>
          <w14:textFill>
            <w14:solidFill>
              <w14:schemeClr w14:val="tx1"/>
            </w14:solidFill>
          </w14:textFill>
        </w:rPr>
        <w:t>。</w:t>
      </w:r>
    </w:p>
    <w:p>
      <w:pPr>
        <w:pStyle w:val="35"/>
        <w:tabs>
          <w:tab w:val="left" w:pos="0"/>
        </w:tabs>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43" w:name="_Toc26977670"/>
      <w:bookmarkStart w:id="44" w:name="_Toc55308053"/>
      <w:r>
        <w:rPr>
          <w:rFonts w:ascii="宋体" w:hAnsi="宋体" w:cs="宋体"/>
          <w:color w:val="000000" w:themeColor="text1"/>
          <w:sz w:val="24"/>
          <w:szCs w:val="24"/>
          <w14:textFill>
            <w14:solidFill>
              <w14:schemeClr w14:val="tx1"/>
            </w14:solidFill>
          </w14:textFill>
        </w:rPr>
        <w:t>二、服务项目</w:t>
      </w:r>
      <w:bookmarkEnd w:id="43"/>
      <w:bookmarkEnd w:id="44"/>
    </w:p>
    <w:p>
      <w:pPr>
        <w:pStyle w:val="30"/>
        <w:spacing w:beforeLines="0" w:beforeAutospacing="0" w:afterLines="0" w:afterAutospacing="0" w:line="480" w:lineRule="exact"/>
        <w:ind w:left="420" w:leftChars="200" w:firstLine="480"/>
        <w:contextualSpacing/>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依据测试标准，</w:t>
      </w:r>
      <w:r>
        <w:rPr>
          <w:rFonts w:ascii="宋体" w:hAnsi="宋体" w:cs="宋体"/>
          <w:color w:val="000000" w:themeColor="text1"/>
          <w:sz w:val="24"/>
          <w:szCs w:val="24"/>
          <w:highlight w:val="yellow"/>
          <w14:textFill>
            <w14:solidFill>
              <w14:schemeClr w14:val="tx1"/>
            </w14:solidFill>
          </w14:textFill>
        </w:rPr>
        <w:t>采用现场测试、标准场地测试的测试方法</w:t>
      </w:r>
      <w:r>
        <w:rPr>
          <w:rFonts w:ascii="宋体" w:hAnsi="宋体" w:cs="宋体"/>
          <w:color w:val="000000" w:themeColor="text1"/>
          <w:sz w:val="24"/>
          <w:szCs w:val="24"/>
          <w14:textFill>
            <w14:solidFill>
              <w14:schemeClr w14:val="tx1"/>
            </w14:solidFill>
          </w14:textFill>
        </w:rPr>
        <w:t>，主要测试无线电监测设施的如下技术指标：</w:t>
      </w:r>
    </w:p>
    <w:p>
      <w:pPr>
        <w:pStyle w:val="31"/>
        <w:rPr>
          <w:lang w:bidi="hi-IN"/>
        </w:rPr>
      </w:pPr>
    </w:p>
    <w:p>
      <w:pPr>
        <w:pStyle w:val="31"/>
        <w:rPr>
          <w:lang w:bidi="hi-IN"/>
        </w:rPr>
      </w:pPr>
    </w:p>
    <w:p>
      <w:pPr>
        <w:pStyle w:val="31"/>
        <w:rPr>
          <w:lang w:bidi="hi-IN"/>
        </w:rPr>
      </w:pPr>
    </w:p>
    <w:p>
      <w:pPr>
        <w:pStyle w:val="31"/>
        <w:rPr>
          <w:lang w:bidi="hi-IN"/>
        </w:rPr>
      </w:pPr>
    </w:p>
    <w:p>
      <w:pPr>
        <w:pStyle w:val="31"/>
        <w:rPr>
          <w:lang w:bidi="hi-IN"/>
        </w:rPr>
      </w:pPr>
    </w:p>
    <w:p>
      <w:pPr>
        <w:pStyle w:val="31"/>
        <w:rPr>
          <w:lang w:bidi="hi-IN"/>
        </w:rPr>
      </w:pPr>
    </w:p>
    <w:tbl>
      <w:tblPr>
        <w:tblStyle w:val="22"/>
        <w:tblW w:w="9439" w:type="dxa"/>
        <w:jc w:val="center"/>
        <w:tblInd w:w="0" w:type="dxa"/>
        <w:tblLayout w:type="fixed"/>
        <w:tblCellMar>
          <w:top w:w="0" w:type="dxa"/>
          <w:left w:w="108" w:type="dxa"/>
          <w:bottom w:w="0" w:type="dxa"/>
          <w:right w:w="108" w:type="dxa"/>
        </w:tblCellMar>
      </w:tblPr>
      <w:tblGrid>
        <w:gridCol w:w="827"/>
        <w:gridCol w:w="1348"/>
        <w:gridCol w:w="2302"/>
        <w:gridCol w:w="2436"/>
        <w:gridCol w:w="1263"/>
        <w:gridCol w:w="1263"/>
      </w:tblGrid>
      <w:tr>
        <w:tblPrEx>
          <w:tblLayout w:type="fixed"/>
          <w:tblCellMar>
            <w:top w:w="0" w:type="dxa"/>
            <w:left w:w="108" w:type="dxa"/>
            <w:bottom w:w="0" w:type="dxa"/>
            <w:right w:w="108" w:type="dxa"/>
          </w:tblCellMar>
        </w:tblPrEx>
        <w:trPr>
          <w:cantSplit/>
          <w:trHeight w:val="641" w:hRule="atLeast"/>
          <w:tblHeader/>
          <w:jc w:val="center"/>
        </w:trPr>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r>
              <w:rPr>
                <w:rFonts w:ascii="宋体" w:hAnsi="宋体" w:cs="宋体"/>
                <w:bCs/>
                <w:color w:val="000000"/>
                <w:kern w:val="0"/>
                <w:sz w:val="24"/>
                <w:szCs w:val="24"/>
              </w:rPr>
              <w:t>序号</w:t>
            </w:r>
          </w:p>
        </w:tc>
        <w:tc>
          <w:tcPr>
            <w:tcW w:w="1348"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r>
              <w:rPr>
                <w:rFonts w:ascii="宋体" w:hAnsi="宋体" w:cs="宋体"/>
                <w:bCs/>
                <w:color w:val="000000"/>
                <w:kern w:val="0"/>
                <w:sz w:val="24"/>
                <w:szCs w:val="24"/>
              </w:rPr>
              <w:t>被测设施</w:t>
            </w:r>
          </w:p>
        </w:tc>
        <w:tc>
          <w:tcPr>
            <w:tcW w:w="4738" w:type="dxa"/>
            <w:gridSpan w:val="2"/>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r>
              <w:rPr>
                <w:rFonts w:ascii="宋体" w:hAnsi="宋体" w:cs="宋体"/>
                <w:bCs/>
                <w:color w:val="000000"/>
                <w:kern w:val="0"/>
                <w:sz w:val="24"/>
                <w:szCs w:val="24"/>
              </w:rPr>
              <w:t>测试指标</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r>
              <w:rPr>
                <w:rFonts w:ascii="宋体" w:hAnsi="宋体" w:cs="宋体"/>
                <w:bCs/>
                <w:color w:val="000000"/>
                <w:kern w:val="0"/>
                <w:sz w:val="24"/>
                <w:szCs w:val="24"/>
              </w:rPr>
              <w:t>数量</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r>
              <w:rPr>
                <w:rFonts w:ascii="宋体" w:hAnsi="宋体" w:cs="宋体"/>
                <w:bCs/>
                <w:color w:val="000000"/>
                <w:kern w:val="0"/>
                <w:sz w:val="24"/>
                <w:szCs w:val="24"/>
              </w:rPr>
              <w:t>备注</w:t>
            </w:r>
          </w:p>
        </w:tc>
      </w:tr>
      <w:tr>
        <w:tblPrEx>
          <w:tblLayout w:type="fixed"/>
          <w:tblCellMar>
            <w:top w:w="0" w:type="dxa"/>
            <w:left w:w="108" w:type="dxa"/>
            <w:bottom w:w="0" w:type="dxa"/>
            <w:right w:w="108" w:type="dxa"/>
          </w:tblCellMar>
        </w:tblPrEx>
        <w:trPr>
          <w:cantSplit/>
          <w:trHeight w:val="641" w:hRule="atLeast"/>
          <w:tblHeader/>
          <w:jc w:val="center"/>
        </w:trPr>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p>
        </w:tc>
        <w:tc>
          <w:tcPr>
            <w:tcW w:w="1348" w:type="dxa"/>
            <w:vMerge w:val="continue"/>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r>
              <w:rPr>
                <w:rFonts w:ascii="宋体" w:hAnsi="宋体" w:cs="宋体"/>
                <w:bCs/>
                <w:color w:val="000000"/>
                <w:kern w:val="0"/>
                <w:sz w:val="24"/>
                <w:szCs w:val="24"/>
              </w:rPr>
              <w:t>接收机指标</w:t>
            </w:r>
          </w:p>
        </w:tc>
        <w:tc>
          <w:tcPr>
            <w:tcW w:w="2436" w:type="dxa"/>
            <w:tcBorders>
              <w:top w:val="single" w:color="000000" w:sz="4" w:space="0"/>
              <w:left w:val="single" w:color="000000" w:sz="4" w:space="0"/>
              <w:bottom w:val="single" w:color="000000" w:sz="4" w:space="0"/>
              <w:right w:val="single" w:color="000000" w:sz="4" w:space="0"/>
            </w:tcBorders>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r>
              <w:rPr>
                <w:rFonts w:ascii="宋体" w:hAnsi="宋体" w:cs="宋体"/>
                <w:bCs/>
                <w:color w:val="000000"/>
                <w:kern w:val="0"/>
                <w:sz w:val="24"/>
                <w:szCs w:val="24"/>
              </w:rPr>
              <w:t>系统指标</w:t>
            </w:r>
          </w:p>
        </w:tc>
        <w:tc>
          <w:tcPr>
            <w:tcW w:w="1263" w:type="dxa"/>
            <w:vMerge w:val="continue"/>
            <w:tcBorders>
              <w:top w:val="single" w:color="000000" w:sz="4" w:space="0"/>
              <w:left w:val="single" w:color="000000" w:sz="4" w:space="0"/>
              <w:bottom w:val="single" w:color="000000" w:sz="4" w:space="0"/>
              <w:right w:val="single" w:color="000000" w:sz="4" w:space="0"/>
            </w:tcBorders>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p>
        </w:tc>
        <w:tc>
          <w:tcPr>
            <w:tcW w:w="1263" w:type="dxa"/>
            <w:vMerge w:val="continue"/>
            <w:tcBorders>
              <w:top w:val="single" w:color="000000" w:sz="4" w:space="0"/>
              <w:left w:val="single" w:color="000000" w:sz="4" w:space="0"/>
              <w:bottom w:val="single" w:color="000000" w:sz="4" w:space="0"/>
              <w:right w:val="single" w:color="000000" w:sz="4" w:space="0"/>
            </w:tcBorders>
          </w:tcPr>
          <w:p>
            <w:pPr>
              <w:pStyle w:val="30"/>
              <w:widowControl w:val="0"/>
              <w:snapToGrid w:val="0"/>
              <w:spacing w:beforeLines="0" w:beforeAutospacing="0" w:afterLines="0" w:afterAutospacing="0" w:line="480" w:lineRule="exact"/>
              <w:contextualSpacing/>
              <w:jc w:val="center"/>
              <w:rPr>
                <w:rFonts w:ascii="宋体" w:hAnsi="宋体" w:cs="宋体"/>
                <w:bCs/>
                <w:color w:val="000000"/>
                <w:sz w:val="24"/>
                <w:szCs w:val="24"/>
              </w:rPr>
            </w:pPr>
          </w:p>
        </w:tc>
      </w:tr>
      <w:tr>
        <w:tblPrEx>
          <w:tblLayout w:type="fixed"/>
          <w:tblCellMar>
            <w:top w:w="0" w:type="dxa"/>
            <w:left w:w="108" w:type="dxa"/>
            <w:bottom w:w="0" w:type="dxa"/>
            <w:right w:w="108" w:type="dxa"/>
          </w:tblCellMar>
        </w:tblPrEx>
        <w:trPr>
          <w:cantSplit/>
          <w:trHeight w:val="3471"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7"/>
              </w:numPr>
              <w:tabs>
                <w:tab w:val="center" w:pos="4201"/>
                <w:tab w:val="right" w:leader="dot" w:pos="9298"/>
              </w:tabs>
              <w:snapToGrid w:val="0"/>
              <w:spacing w:beforeLines="0" w:beforeAutospacing="0" w:afterLines="0" w:afterAutospacing="0" w:line="480" w:lineRule="exact"/>
              <w:contextualSpacing/>
              <w:rPr>
                <w:rFonts w:cs="宋体"/>
                <w:color w:val="000000"/>
                <w:sz w:val="24"/>
                <w:szCs w:val="24"/>
              </w:rPr>
            </w:pPr>
          </w:p>
        </w:tc>
        <w:tc>
          <w:tcPr>
            <w:tcW w:w="134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480" w:lineRule="exact"/>
              <w:contextualSpacing/>
              <w:jc w:val="center"/>
              <w:rPr>
                <w:rFonts w:cs="宋体"/>
                <w:color w:val="000000"/>
                <w:sz w:val="24"/>
                <w:szCs w:val="24"/>
              </w:rPr>
            </w:pPr>
            <w:r>
              <w:rPr>
                <w:rFonts w:cs="宋体"/>
                <w:color w:val="000000"/>
                <w:kern w:val="0"/>
                <w:sz w:val="24"/>
                <w:szCs w:val="24"/>
              </w:rPr>
              <w:t>固定监测系统</w:t>
            </w:r>
          </w:p>
          <w:p>
            <w:pPr>
              <w:pStyle w:val="36"/>
              <w:widowControl w:val="0"/>
              <w:snapToGrid w:val="0"/>
              <w:spacing w:beforeLines="0" w:beforeAutospacing="0" w:afterLines="0" w:afterAutospacing="0" w:line="480" w:lineRule="exact"/>
              <w:contextualSpacing/>
              <w:jc w:val="center"/>
              <w:rPr>
                <w:rFonts w:cs="宋体"/>
                <w:color w:val="000000"/>
                <w:sz w:val="24"/>
                <w:szCs w:val="24"/>
              </w:rPr>
            </w:pPr>
            <w:r>
              <w:rPr>
                <w:rFonts w:cs="宋体"/>
                <w:color w:val="000000"/>
                <w:kern w:val="0"/>
                <w:sz w:val="24"/>
                <w:szCs w:val="24"/>
              </w:rPr>
              <w:t>（带测向功能）</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（1）监测灵敏度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（2）电平测量误差</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（3）频率准确度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（4）接收机杂散发射</w:t>
            </w:r>
          </w:p>
          <w:p>
            <w:pPr>
              <w:pStyle w:val="36"/>
              <w:widowControl w:val="0"/>
              <w:snapToGrid w:val="0"/>
              <w:spacing w:beforeLines="0" w:beforeAutospacing="0" w:afterLines="0" w:afterAutospacing="0"/>
              <w:jc w:val="left"/>
              <w:rPr>
                <w:rFonts w:cs="宋体"/>
                <w:color w:val="0000FF"/>
                <w:sz w:val="24"/>
                <w:szCs w:val="24"/>
              </w:rPr>
            </w:pPr>
            <w:r>
              <w:rPr>
                <w:rFonts w:cs="宋体"/>
                <w:color w:val="FF0000"/>
                <w:kern w:val="0"/>
                <w:sz w:val="24"/>
                <w:szCs w:val="24"/>
              </w:rPr>
              <w:t>（5）扫描速度</w:t>
            </w:r>
          </w:p>
        </w:tc>
        <w:tc>
          <w:tcPr>
            <w:tcW w:w="2436"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rPr>
                <w:rFonts w:cs="宋体"/>
                <w:color w:val="FF0000"/>
                <w:sz w:val="24"/>
                <w:szCs w:val="24"/>
              </w:rPr>
            </w:pPr>
            <w:r>
              <w:rPr>
                <w:rFonts w:cs="宋体"/>
                <w:color w:val="FF0000"/>
                <w:kern w:val="0"/>
                <w:sz w:val="24"/>
                <w:szCs w:val="24"/>
              </w:rPr>
              <w:t>（1）天馈系统驻波比</w:t>
            </w:r>
          </w:p>
          <w:p>
            <w:pPr>
              <w:pStyle w:val="36"/>
              <w:widowControl w:val="0"/>
              <w:snapToGrid w:val="0"/>
              <w:spacing w:beforeLines="0" w:beforeAutospacing="0" w:afterLines="0" w:afterAutospacing="0"/>
              <w:rPr>
                <w:rFonts w:cs="宋体"/>
                <w:color w:val="FF0000"/>
                <w:sz w:val="24"/>
                <w:szCs w:val="24"/>
              </w:rPr>
            </w:pPr>
            <w:r>
              <w:rPr>
                <w:rFonts w:cs="宋体"/>
                <w:color w:val="FF0000"/>
                <w:kern w:val="0"/>
                <w:sz w:val="24"/>
                <w:szCs w:val="24"/>
              </w:rPr>
              <w:t>（2）测向精度</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jc w:val="center"/>
              <w:rPr>
                <w:rFonts w:ascii="宋体" w:hAnsi="宋体" w:cs="宋体"/>
                <w:color w:val="FF0000"/>
                <w:sz w:val="24"/>
                <w:szCs w:val="24"/>
              </w:rPr>
            </w:pPr>
            <w:r>
              <w:rPr>
                <w:rFonts w:ascii="宋体" w:hAnsi="宋体" w:cs="宋体"/>
                <w:color w:val="FF0000"/>
                <w:kern w:val="0"/>
                <w:sz w:val="24"/>
                <w:szCs w:val="24"/>
              </w:rPr>
              <w:t>34</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rPr>
                <w:rFonts w:ascii="宋体" w:hAnsi="宋体" w:cs="宋体"/>
                <w:color w:val="FF0000"/>
                <w:sz w:val="24"/>
                <w:szCs w:val="24"/>
              </w:rPr>
            </w:pPr>
            <w:r>
              <w:rPr>
                <w:rFonts w:ascii="宋体" w:hAnsi="宋体" w:cs="宋体"/>
                <w:color w:val="FF0000"/>
                <w:kern w:val="0"/>
                <w:sz w:val="24"/>
                <w:szCs w:val="24"/>
              </w:rPr>
              <w:t>测试频点：12个</w:t>
            </w:r>
          </w:p>
          <w:p>
            <w:pPr>
              <w:pStyle w:val="36"/>
              <w:widowControl w:val="0"/>
              <w:snapToGrid w:val="0"/>
              <w:spacing w:beforeLines="0" w:beforeAutospacing="0" w:afterLines="0" w:afterAutospacing="0"/>
              <w:rPr>
                <w:rFonts w:cs="宋体"/>
                <w:color w:val="FF0000"/>
                <w:sz w:val="24"/>
                <w:szCs w:val="24"/>
              </w:rPr>
            </w:pPr>
            <w:r>
              <w:rPr>
                <w:rFonts w:cs="宋体"/>
                <w:color w:val="FF0000"/>
                <w:kern w:val="0"/>
                <w:sz w:val="24"/>
                <w:szCs w:val="24"/>
              </w:rPr>
              <w:t>测向测试方位：</w:t>
            </w:r>
            <w:r>
              <w:rPr>
                <w:rFonts w:cs="宋体"/>
                <w:color w:val="00B0F0"/>
                <w:kern w:val="0"/>
                <w:sz w:val="24"/>
                <w:szCs w:val="24"/>
                <w:highlight w:val="yellow"/>
              </w:rPr>
              <w:t>4个</w:t>
            </w:r>
          </w:p>
        </w:tc>
      </w:tr>
      <w:tr>
        <w:tblPrEx>
          <w:tblLayout w:type="fixed"/>
          <w:tblCellMar>
            <w:top w:w="0" w:type="dxa"/>
            <w:left w:w="108" w:type="dxa"/>
            <w:bottom w:w="0" w:type="dxa"/>
            <w:right w:w="108" w:type="dxa"/>
          </w:tblCellMar>
        </w:tblPrEx>
        <w:trPr>
          <w:cantSplit/>
          <w:trHeight w:val="3471"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7"/>
              </w:numPr>
              <w:tabs>
                <w:tab w:val="center" w:pos="4201"/>
                <w:tab w:val="right" w:leader="dot" w:pos="9298"/>
              </w:tabs>
              <w:snapToGrid w:val="0"/>
              <w:spacing w:beforeLines="0" w:beforeAutospacing="0" w:afterLines="0" w:afterAutospacing="0" w:line="480" w:lineRule="exact"/>
              <w:contextualSpacing/>
              <w:jc w:val="center"/>
              <w:rPr>
                <w:rFonts w:cs="宋体"/>
                <w:color w:val="000000"/>
                <w:sz w:val="24"/>
                <w:szCs w:val="24"/>
              </w:rPr>
            </w:pPr>
          </w:p>
        </w:tc>
        <w:tc>
          <w:tcPr>
            <w:tcW w:w="134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480" w:lineRule="exact"/>
              <w:contextualSpacing/>
              <w:jc w:val="center"/>
              <w:rPr>
                <w:rFonts w:cs="宋体"/>
                <w:color w:val="000000"/>
                <w:sz w:val="24"/>
                <w:szCs w:val="24"/>
              </w:rPr>
            </w:pPr>
            <w:r>
              <w:rPr>
                <w:rFonts w:cs="宋体"/>
                <w:color w:val="000000"/>
                <w:kern w:val="0"/>
                <w:sz w:val="24"/>
                <w:szCs w:val="24"/>
              </w:rPr>
              <w:t>固定监测系统</w:t>
            </w:r>
          </w:p>
          <w:p>
            <w:pPr>
              <w:pStyle w:val="36"/>
              <w:widowControl w:val="0"/>
              <w:snapToGrid w:val="0"/>
              <w:spacing w:beforeLines="0" w:beforeAutospacing="0" w:afterLines="0" w:afterAutospacing="0" w:line="480" w:lineRule="exact"/>
              <w:contextualSpacing/>
              <w:jc w:val="center"/>
              <w:rPr>
                <w:rFonts w:cs="宋体"/>
                <w:color w:val="000000"/>
                <w:sz w:val="24"/>
                <w:szCs w:val="24"/>
              </w:rPr>
            </w:pPr>
            <w:r>
              <w:rPr>
                <w:rFonts w:cs="宋体"/>
                <w:color w:val="000000"/>
                <w:kern w:val="0"/>
                <w:sz w:val="24"/>
                <w:szCs w:val="24"/>
              </w:rPr>
              <w:t>（不带测向功能）</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（1）监测灵敏度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（2）电平测量误差</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（3）频率准确度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（4）接收机杂散发射</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（5）扫描速度</w:t>
            </w:r>
          </w:p>
        </w:tc>
        <w:tc>
          <w:tcPr>
            <w:tcW w:w="2436"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rPr>
                <w:rFonts w:cs="宋体"/>
                <w:color w:val="FF0000"/>
                <w:sz w:val="24"/>
                <w:szCs w:val="24"/>
              </w:rPr>
            </w:pPr>
            <w:r>
              <w:rPr>
                <w:rFonts w:cs="宋体"/>
                <w:color w:val="FF0000"/>
                <w:kern w:val="0"/>
                <w:sz w:val="24"/>
                <w:szCs w:val="24"/>
              </w:rPr>
              <w:t>（1）天馈系统驻波比</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center"/>
              <w:rPr>
                <w:rFonts w:cs="宋体"/>
                <w:color w:val="FF0000"/>
                <w:sz w:val="24"/>
                <w:szCs w:val="24"/>
              </w:rPr>
            </w:pPr>
            <w:r>
              <w:rPr>
                <w:rFonts w:cs="宋体"/>
                <w:color w:val="FF0000"/>
                <w:kern w:val="0"/>
                <w:sz w:val="24"/>
                <w:szCs w:val="24"/>
              </w:rPr>
              <w:t>10</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rPr>
                <w:rFonts w:cs="宋体"/>
                <w:color w:val="FF0000"/>
                <w:sz w:val="24"/>
                <w:szCs w:val="24"/>
              </w:rPr>
            </w:pPr>
            <w:r>
              <w:rPr>
                <w:rFonts w:cs="宋体"/>
                <w:color w:val="FF0000"/>
                <w:kern w:val="0"/>
                <w:sz w:val="24"/>
                <w:szCs w:val="24"/>
              </w:rPr>
              <w:t>测试频点：12个</w:t>
            </w:r>
          </w:p>
        </w:tc>
      </w:tr>
      <w:tr>
        <w:tblPrEx>
          <w:tblLayout w:type="fixed"/>
          <w:tblCellMar>
            <w:top w:w="0" w:type="dxa"/>
            <w:left w:w="108" w:type="dxa"/>
            <w:bottom w:w="0" w:type="dxa"/>
            <w:right w:w="108" w:type="dxa"/>
          </w:tblCellMar>
        </w:tblPrEx>
        <w:trPr>
          <w:cantSplit/>
          <w:trHeight w:val="381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7"/>
              </w:numPr>
              <w:tabs>
                <w:tab w:val="center" w:pos="4201"/>
                <w:tab w:val="right" w:leader="dot" w:pos="9298"/>
              </w:tabs>
              <w:snapToGrid w:val="0"/>
              <w:spacing w:beforeLines="0" w:beforeAutospacing="0" w:afterLines="0" w:afterAutospacing="0" w:line="480" w:lineRule="exact"/>
              <w:contextualSpacing/>
              <w:jc w:val="center"/>
              <w:rPr>
                <w:rFonts w:cs="宋体"/>
                <w:color w:val="000000"/>
                <w:sz w:val="24"/>
                <w:szCs w:val="24"/>
              </w:rPr>
            </w:pPr>
          </w:p>
        </w:tc>
        <w:tc>
          <w:tcPr>
            <w:tcW w:w="134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480" w:lineRule="exact"/>
              <w:contextualSpacing/>
              <w:jc w:val="center"/>
              <w:rPr>
                <w:rFonts w:cs="宋体"/>
                <w:color w:val="000000"/>
                <w:sz w:val="24"/>
                <w:szCs w:val="24"/>
              </w:rPr>
            </w:pPr>
            <w:r>
              <w:rPr>
                <w:rFonts w:cs="宋体"/>
                <w:color w:val="000000"/>
                <w:kern w:val="0"/>
                <w:sz w:val="24"/>
                <w:szCs w:val="24"/>
              </w:rPr>
              <w:t>移动监测系统</w:t>
            </w:r>
          </w:p>
          <w:p>
            <w:pPr>
              <w:pStyle w:val="36"/>
              <w:widowControl w:val="0"/>
              <w:snapToGrid w:val="0"/>
              <w:spacing w:beforeLines="0" w:beforeAutospacing="0" w:afterLines="0" w:afterAutospacing="0" w:line="480" w:lineRule="exact"/>
              <w:contextualSpacing/>
              <w:jc w:val="center"/>
              <w:rPr>
                <w:rFonts w:cs="宋体"/>
                <w:color w:val="000000"/>
                <w:sz w:val="24"/>
                <w:szCs w:val="24"/>
              </w:rPr>
            </w:pPr>
            <w:r>
              <w:rPr>
                <w:rFonts w:cs="宋体"/>
                <w:color w:val="000000"/>
                <w:kern w:val="0"/>
                <w:sz w:val="24"/>
                <w:szCs w:val="24"/>
              </w:rPr>
              <w:t>（标准场地测试）</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无</w:t>
            </w:r>
          </w:p>
        </w:tc>
        <w:tc>
          <w:tcPr>
            <w:tcW w:w="2436"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监测系统：</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（1）监测灵敏度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（2）场强测量精度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（3）频率测量精度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测向系统：</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（1）测向灵敏度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（2）测向精度</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jc w:val="center"/>
              <w:rPr>
                <w:rFonts w:ascii="宋体" w:hAnsi="宋体" w:cs="宋体"/>
                <w:color w:val="FF0000"/>
                <w:sz w:val="24"/>
                <w:szCs w:val="24"/>
              </w:rPr>
            </w:pPr>
            <w:r>
              <w:rPr>
                <w:rFonts w:ascii="宋体" w:hAnsi="宋体" w:cs="宋体"/>
                <w:color w:val="FF0000"/>
                <w:kern w:val="0"/>
                <w:sz w:val="24"/>
                <w:szCs w:val="24"/>
              </w:rPr>
              <w:t>6</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rPr>
                <w:rFonts w:ascii="宋体" w:hAnsi="宋体" w:cs="宋体"/>
                <w:color w:val="FF0000"/>
                <w:sz w:val="24"/>
                <w:szCs w:val="24"/>
              </w:rPr>
            </w:pPr>
            <w:r>
              <w:rPr>
                <w:rFonts w:ascii="宋体" w:hAnsi="宋体" w:cs="宋体"/>
                <w:color w:val="FF0000"/>
                <w:kern w:val="0"/>
                <w:sz w:val="24"/>
                <w:szCs w:val="24"/>
              </w:rPr>
              <w:t>测试频点：12个</w:t>
            </w:r>
          </w:p>
          <w:p>
            <w:pPr>
              <w:pStyle w:val="30"/>
              <w:widowControl w:val="0"/>
              <w:snapToGrid w:val="0"/>
              <w:spacing w:beforeLines="0" w:beforeAutospacing="0" w:afterLines="0" w:afterAutospacing="0"/>
              <w:rPr>
                <w:rFonts w:cs="宋体"/>
                <w:color w:val="FF0000"/>
                <w:sz w:val="24"/>
                <w:szCs w:val="24"/>
              </w:rPr>
            </w:pPr>
            <w:r>
              <w:rPr>
                <w:rFonts w:ascii="宋体" w:hAnsi="宋体" w:cs="宋体"/>
                <w:color w:val="FF0000"/>
                <w:kern w:val="0"/>
                <w:sz w:val="24"/>
                <w:szCs w:val="24"/>
              </w:rPr>
              <w:t>测向测试方位：12个</w:t>
            </w:r>
          </w:p>
        </w:tc>
      </w:tr>
      <w:tr>
        <w:tblPrEx>
          <w:tblLayout w:type="fixed"/>
          <w:tblCellMar>
            <w:top w:w="0" w:type="dxa"/>
            <w:left w:w="108" w:type="dxa"/>
            <w:bottom w:w="0" w:type="dxa"/>
            <w:right w:w="108" w:type="dxa"/>
          </w:tblCellMar>
        </w:tblPrEx>
        <w:trPr>
          <w:cantSplit/>
          <w:trHeight w:val="62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7"/>
              </w:numPr>
              <w:tabs>
                <w:tab w:val="center" w:pos="4201"/>
                <w:tab w:val="right" w:leader="dot" w:pos="9298"/>
              </w:tabs>
              <w:snapToGrid w:val="0"/>
              <w:spacing w:beforeLines="0" w:beforeAutospacing="0" w:afterLines="0" w:afterAutospacing="0" w:line="480" w:lineRule="exact"/>
              <w:contextualSpacing/>
              <w:jc w:val="center"/>
              <w:rPr>
                <w:rFonts w:cs="宋体"/>
                <w:color w:val="000000"/>
                <w:sz w:val="24"/>
                <w:szCs w:val="24"/>
              </w:rPr>
            </w:pPr>
          </w:p>
        </w:tc>
        <w:tc>
          <w:tcPr>
            <w:tcW w:w="134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480" w:lineRule="exact"/>
              <w:contextualSpacing/>
              <w:jc w:val="center"/>
              <w:rPr>
                <w:rFonts w:cs="宋体"/>
                <w:color w:val="FF0000"/>
                <w:sz w:val="24"/>
                <w:szCs w:val="24"/>
              </w:rPr>
            </w:pPr>
            <w:r>
              <w:rPr>
                <w:rFonts w:cs="宋体"/>
                <w:color w:val="FF0000"/>
                <w:kern w:val="0"/>
                <w:sz w:val="24"/>
                <w:szCs w:val="24"/>
              </w:rPr>
              <w:t>拟报废固定监测系统</w:t>
            </w:r>
          </w:p>
          <w:p>
            <w:pPr>
              <w:pStyle w:val="36"/>
              <w:widowControl w:val="0"/>
              <w:snapToGrid w:val="0"/>
              <w:spacing w:beforeLines="0" w:beforeAutospacing="0" w:afterLines="0" w:afterAutospacing="0" w:line="480" w:lineRule="exact"/>
              <w:contextualSpacing/>
              <w:jc w:val="center"/>
              <w:rPr>
                <w:rFonts w:cs="宋体"/>
                <w:color w:val="FF0000"/>
                <w:sz w:val="24"/>
                <w:szCs w:val="24"/>
              </w:rPr>
            </w:pPr>
            <w:r>
              <w:rPr>
                <w:rFonts w:cs="宋体"/>
                <w:color w:val="FF0000"/>
                <w:kern w:val="0"/>
                <w:sz w:val="24"/>
                <w:szCs w:val="24"/>
              </w:rPr>
              <w:t>（带测向功能）</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（5）监测灵敏度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（6）电平测量误差</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（7）频率准确度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（8）接收机杂散发射</w:t>
            </w:r>
          </w:p>
          <w:p>
            <w:pPr>
              <w:pStyle w:val="36"/>
              <w:widowControl w:val="0"/>
              <w:snapToGrid w:val="0"/>
              <w:spacing w:beforeLines="0" w:beforeAutospacing="0" w:afterLines="0" w:afterAutospacing="0"/>
              <w:contextualSpacing/>
              <w:jc w:val="left"/>
              <w:rPr>
                <w:rFonts w:cs="宋体"/>
                <w:sz w:val="24"/>
                <w:szCs w:val="24"/>
              </w:rPr>
            </w:pPr>
            <w:r>
              <w:rPr>
                <w:rFonts w:cs="宋体"/>
                <w:color w:val="FF0000"/>
                <w:kern w:val="0"/>
                <w:sz w:val="24"/>
                <w:szCs w:val="24"/>
              </w:rPr>
              <w:t>（9）扫描速度</w:t>
            </w:r>
          </w:p>
        </w:tc>
        <w:tc>
          <w:tcPr>
            <w:tcW w:w="2436"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（5）天馈系统驻波比</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（6）测向精度</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rPr>
                <w:rFonts w:ascii="宋体" w:hAnsi="宋体" w:cs="宋体"/>
                <w:color w:val="FF0000"/>
                <w:sz w:val="24"/>
                <w:szCs w:val="24"/>
              </w:rPr>
            </w:pPr>
            <w:r>
              <w:rPr>
                <w:rFonts w:cs="宋体"/>
                <w:color w:val="FF0000"/>
                <w:kern w:val="2"/>
                <w:sz w:val="24"/>
                <w:szCs w:val="24"/>
              </w:rPr>
              <w:t>根据实测情况确定</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rPr>
                <w:rFonts w:ascii="宋体" w:hAnsi="宋体" w:cs="宋体"/>
                <w:color w:val="FF0000"/>
                <w:sz w:val="24"/>
                <w:szCs w:val="24"/>
              </w:rPr>
            </w:pPr>
            <w:r>
              <w:rPr>
                <w:rFonts w:ascii="宋体" w:hAnsi="宋体" w:cs="宋体"/>
                <w:color w:val="FF0000"/>
                <w:kern w:val="0"/>
                <w:sz w:val="24"/>
                <w:szCs w:val="24"/>
              </w:rPr>
              <w:t>测试频点：12个</w:t>
            </w:r>
          </w:p>
          <w:p>
            <w:pPr>
              <w:pStyle w:val="36"/>
              <w:widowControl w:val="0"/>
              <w:snapToGrid w:val="0"/>
              <w:spacing w:beforeLines="0" w:beforeAutospacing="0" w:afterLines="0" w:afterAutospacing="0"/>
              <w:rPr>
                <w:rFonts w:cs="宋体"/>
                <w:color w:val="FF0000"/>
                <w:sz w:val="24"/>
                <w:szCs w:val="24"/>
                <w:lang w:bidi="hi-IN"/>
              </w:rPr>
            </w:pPr>
            <w:r>
              <w:rPr>
                <w:rFonts w:cs="宋体"/>
                <w:color w:val="FF0000"/>
                <w:kern w:val="0"/>
                <w:sz w:val="24"/>
                <w:szCs w:val="24"/>
                <w:lang w:bidi="hi-IN"/>
              </w:rPr>
              <w:t>测向测试方位：</w:t>
            </w:r>
            <w:r>
              <w:rPr>
                <w:rFonts w:cs="宋体"/>
                <w:color w:val="00B0F0"/>
                <w:kern w:val="0"/>
                <w:sz w:val="24"/>
                <w:szCs w:val="24"/>
                <w:highlight w:val="yellow"/>
              </w:rPr>
              <w:t>4个</w:t>
            </w:r>
          </w:p>
        </w:tc>
      </w:tr>
      <w:tr>
        <w:tblPrEx>
          <w:tblLayout w:type="fixed"/>
          <w:tblCellMar>
            <w:top w:w="0" w:type="dxa"/>
            <w:left w:w="108" w:type="dxa"/>
            <w:bottom w:w="0" w:type="dxa"/>
            <w:right w:w="108" w:type="dxa"/>
          </w:tblCellMar>
        </w:tblPrEx>
        <w:trPr>
          <w:cantSplit/>
          <w:trHeight w:val="62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7"/>
              </w:numPr>
              <w:tabs>
                <w:tab w:val="center" w:pos="4201"/>
                <w:tab w:val="right" w:leader="dot" w:pos="9298"/>
              </w:tabs>
              <w:snapToGrid w:val="0"/>
              <w:spacing w:beforeLines="0" w:beforeAutospacing="0" w:afterLines="0" w:afterAutospacing="0" w:line="480" w:lineRule="exact"/>
              <w:contextualSpacing/>
              <w:jc w:val="center"/>
              <w:rPr>
                <w:rFonts w:cs="宋体"/>
                <w:color w:val="000000"/>
                <w:sz w:val="24"/>
                <w:szCs w:val="24"/>
              </w:rPr>
            </w:pPr>
          </w:p>
        </w:tc>
        <w:tc>
          <w:tcPr>
            <w:tcW w:w="134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480" w:lineRule="exact"/>
              <w:contextualSpacing/>
              <w:jc w:val="center"/>
              <w:rPr>
                <w:rFonts w:cs="宋体"/>
                <w:color w:val="FF0000"/>
                <w:sz w:val="24"/>
                <w:szCs w:val="24"/>
              </w:rPr>
            </w:pPr>
            <w:r>
              <w:rPr>
                <w:rFonts w:cs="宋体"/>
                <w:color w:val="FF0000"/>
                <w:kern w:val="0"/>
                <w:sz w:val="24"/>
                <w:szCs w:val="24"/>
              </w:rPr>
              <w:t>拟报废固定监测系统</w:t>
            </w:r>
          </w:p>
          <w:p>
            <w:pPr>
              <w:pStyle w:val="36"/>
              <w:widowControl w:val="0"/>
              <w:snapToGrid w:val="0"/>
              <w:spacing w:beforeLines="0" w:beforeAutospacing="0" w:afterLines="0" w:afterAutospacing="0" w:line="480" w:lineRule="exact"/>
              <w:contextualSpacing/>
              <w:jc w:val="center"/>
              <w:rPr>
                <w:rFonts w:cs="宋体"/>
                <w:color w:val="FF0000"/>
                <w:sz w:val="24"/>
                <w:szCs w:val="24"/>
              </w:rPr>
            </w:pPr>
            <w:r>
              <w:rPr>
                <w:rFonts w:cs="宋体"/>
                <w:color w:val="FF0000"/>
                <w:kern w:val="0"/>
                <w:sz w:val="24"/>
                <w:szCs w:val="24"/>
              </w:rPr>
              <w:t>（不带测向功能）</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（5）监测灵敏度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（6）电平测量误差</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（7）频率准确度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（8）接收机杂散发射</w:t>
            </w:r>
          </w:p>
          <w:p>
            <w:pPr>
              <w:pStyle w:val="36"/>
              <w:widowControl w:val="0"/>
              <w:snapToGrid w:val="0"/>
              <w:spacing w:beforeLines="0" w:beforeAutospacing="0" w:afterLines="0" w:afterAutospacing="0"/>
              <w:contextualSpacing/>
              <w:jc w:val="left"/>
              <w:rPr>
                <w:rFonts w:cs="宋体"/>
                <w:color w:val="000000"/>
                <w:sz w:val="24"/>
                <w:szCs w:val="24"/>
              </w:rPr>
            </w:pPr>
            <w:r>
              <w:rPr>
                <w:rFonts w:cs="宋体"/>
                <w:color w:val="FF0000"/>
                <w:kern w:val="0"/>
                <w:sz w:val="24"/>
                <w:szCs w:val="24"/>
              </w:rPr>
              <w:t>（9）扫描速度</w:t>
            </w:r>
          </w:p>
        </w:tc>
        <w:tc>
          <w:tcPr>
            <w:tcW w:w="2436"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contextualSpacing/>
              <w:rPr>
                <w:rFonts w:cs="宋体"/>
                <w:color w:val="000000"/>
                <w:sz w:val="24"/>
                <w:szCs w:val="24"/>
              </w:rPr>
            </w:pPr>
            <w:r>
              <w:rPr>
                <w:rFonts w:cs="宋体"/>
                <w:color w:val="FF0000"/>
                <w:kern w:val="0"/>
                <w:sz w:val="24"/>
                <w:szCs w:val="24"/>
              </w:rPr>
              <w:t>（5）天馈系统驻波比</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rPr>
                <w:rFonts w:cs="宋体"/>
                <w:color w:val="FF0000"/>
                <w:sz w:val="24"/>
                <w:szCs w:val="24"/>
              </w:rPr>
            </w:pPr>
            <w:r>
              <w:rPr>
                <w:rFonts w:cs="宋体"/>
                <w:color w:val="FF0000"/>
                <w:kern w:val="2"/>
                <w:sz w:val="24"/>
                <w:szCs w:val="24"/>
              </w:rPr>
              <w:t>根据实测情况确定</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rPr>
                <w:rFonts w:cs="宋体"/>
                <w:color w:val="FF0000"/>
                <w:sz w:val="24"/>
                <w:szCs w:val="24"/>
              </w:rPr>
            </w:pPr>
            <w:r>
              <w:rPr>
                <w:rFonts w:cs="宋体"/>
                <w:color w:val="FF0000"/>
                <w:kern w:val="0"/>
                <w:sz w:val="24"/>
                <w:szCs w:val="24"/>
              </w:rPr>
              <w:t>测试频点：12个</w:t>
            </w:r>
          </w:p>
        </w:tc>
      </w:tr>
      <w:tr>
        <w:tblPrEx>
          <w:tblLayout w:type="fixed"/>
          <w:tblCellMar>
            <w:top w:w="0" w:type="dxa"/>
            <w:left w:w="108" w:type="dxa"/>
            <w:bottom w:w="0" w:type="dxa"/>
            <w:right w:w="108" w:type="dxa"/>
          </w:tblCellMar>
        </w:tblPrEx>
        <w:trPr>
          <w:cantSplit/>
          <w:trHeight w:val="4521"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pStyle w:val="36"/>
              <w:widowControl w:val="0"/>
              <w:numPr>
                <w:ilvl w:val="0"/>
                <w:numId w:val="17"/>
              </w:numPr>
              <w:tabs>
                <w:tab w:val="center" w:pos="4201"/>
                <w:tab w:val="right" w:leader="dot" w:pos="9298"/>
              </w:tabs>
              <w:snapToGrid w:val="0"/>
              <w:spacing w:beforeLines="0" w:beforeAutospacing="0" w:afterLines="0" w:afterAutospacing="0" w:line="480" w:lineRule="exact"/>
              <w:contextualSpacing/>
              <w:jc w:val="center"/>
              <w:rPr>
                <w:rFonts w:cs="宋体"/>
                <w:color w:val="000000"/>
                <w:sz w:val="24"/>
                <w:szCs w:val="24"/>
              </w:rPr>
            </w:pPr>
          </w:p>
        </w:tc>
        <w:tc>
          <w:tcPr>
            <w:tcW w:w="1348"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line="480" w:lineRule="exact"/>
              <w:contextualSpacing/>
              <w:jc w:val="center"/>
              <w:rPr>
                <w:rFonts w:cs="宋体"/>
                <w:color w:val="FF0000"/>
                <w:sz w:val="24"/>
                <w:szCs w:val="24"/>
              </w:rPr>
            </w:pPr>
            <w:r>
              <w:rPr>
                <w:rFonts w:cs="宋体"/>
                <w:color w:val="FF0000"/>
                <w:kern w:val="0"/>
                <w:sz w:val="24"/>
                <w:szCs w:val="24"/>
              </w:rPr>
              <w:t>拟报废移动监测系统</w:t>
            </w:r>
          </w:p>
          <w:p>
            <w:pPr>
              <w:pStyle w:val="36"/>
              <w:widowControl w:val="0"/>
              <w:snapToGrid w:val="0"/>
              <w:spacing w:beforeLines="0" w:beforeAutospacing="0" w:afterLines="0" w:afterAutospacing="0" w:line="480" w:lineRule="exact"/>
              <w:contextualSpacing/>
              <w:jc w:val="center"/>
              <w:rPr>
                <w:rFonts w:cs="宋体"/>
                <w:color w:val="FF0000"/>
                <w:sz w:val="24"/>
                <w:szCs w:val="24"/>
              </w:rPr>
            </w:pPr>
            <w:r>
              <w:rPr>
                <w:rFonts w:cs="宋体"/>
                <w:color w:val="FF0000"/>
                <w:kern w:val="0"/>
                <w:sz w:val="24"/>
                <w:szCs w:val="24"/>
              </w:rPr>
              <w:t>（标准场地测试）</w:t>
            </w:r>
          </w:p>
        </w:tc>
        <w:tc>
          <w:tcPr>
            <w:tcW w:w="2302"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contextualSpacing/>
              <w:jc w:val="left"/>
              <w:rPr>
                <w:rFonts w:cs="宋体"/>
                <w:color w:val="000000"/>
                <w:sz w:val="24"/>
                <w:szCs w:val="24"/>
              </w:rPr>
            </w:pPr>
            <w:r>
              <w:rPr>
                <w:rFonts w:cs="宋体"/>
                <w:color w:val="FF0000"/>
                <w:kern w:val="0"/>
                <w:sz w:val="24"/>
                <w:szCs w:val="24"/>
              </w:rPr>
              <w:t>无</w:t>
            </w:r>
          </w:p>
        </w:tc>
        <w:tc>
          <w:tcPr>
            <w:tcW w:w="2436" w:type="dxa"/>
            <w:tcBorders>
              <w:top w:val="single" w:color="000000" w:sz="4" w:space="0"/>
              <w:left w:val="single" w:color="000000" w:sz="4" w:space="0"/>
              <w:bottom w:val="single" w:color="000000" w:sz="4" w:space="0"/>
              <w:right w:val="single" w:color="000000" w:sz="4" w:space="0"/>
            </w:tcBorders>
            <w:vAlign w:val="center"/>
          </w:tcPr>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（1）外观检查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（2）机械检查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（3）电路检查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（4）功能检查</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（5）监测灵敏度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（6）场强测量精度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（7）频率测量精度</w:t>
            </w:r>
          </w:p>
          <w:p>
            <w:pPr>
              <w:pStyle w:val="36"/>
              <w:widowControl w:val="0"/>
              <w:snapToGrid w:val="0"/>
              <w:spacing w:beforeLines="0" w:beforeAutospacing="0" w:afterLines="0" w:afterAutospacing="0"/>
              <w:jc w:val="left"/>
              <w:rPr>
                <w:rFonts w:cs="宋体"/>
                <w:color w:val="FF0000"/>
                <w:sz w:val="24"/>
                <w:szCs w:val="24"/>
              </w:rPr>
            </w:pPr>
            <w:r>
              <w:rPr>
                <w:rFonts w:cs="宋体"/>
                <w:color w:val="FF0000"/>
                <w:kern w:val="0"/>
                <w:sz w:val="24"/>
                <w:szCs w:val="24"/>
              </w:rPr>
              <w:t>（8）测向灵敏度</w:t>
            </w:r>
          </w:p>
          <w:p>
            <w:pPr>
              <w:pStyle w:val="36"/>
              <w:widowControl w:val="0"/>
              <w:snapToGrid w:val="0"/>
              <w:spacing w:beforeLines="0" w:beforeAutospacing="0" w:afterLines="0" w:afterAutospacing="0"/>
              <w:contextualSpacing/>
              <w:jc w:val="left"/>
              <w:rPr>
                <w:rFonts w:cs="宋体"/>
                <w:color w:val="000000"/>
                <w:sz w:val="24"/>
                <w:szCs w:val="24"/>
              </w:rPr>
            </w:pPr>
            <w:r>
              <w:rPr>
                <w:rFonts w:cs="宋体"/>
                <w:color w:val="FF0000"/>
                <w:kern w:val="0"/>
                <w:sz w:val="24"/>
                <w:szCs w:val="24"/>
              </w:rPr>
              <w:t>（9）测向精度</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rPr>
                <w:rFonts w:ascii="宋体" w:hAnsi="宋体" w:cs="宋体"/>
                <w:color w:val="FF0000"/>
                <w:sz w:val="24"/>
                <w:szCs w:val="24"/>
              </w:rPr>
            </w:pPr>
            <w:r>
              <w:rPr>
                <w:rFonts w:cs="宋体"/>
                <w:color w:val="FF0000"/>
                <w:kern w:val="2"/>
                <w:sz w:val="24"/>
                <w:szCs w:val="24"/>
              </w:rPr>
              <w:t>根据实测情况确定</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30"/>
              <w:widowControl w:val="0"/>
              <w:snapToGrid w:val="0"/>
              <w:spacing w:beforeLines="0" w:beforeAutospacing="0" w:afterLines="0" w:afterAutospacing="0"/>
              <w:rPr>
                <w:rFonts w:ascii="宋体" w:hAnsi="宋体" w:cs="宋体"/>
                <w:color w:val="FF0000"/>
                <w:sz w:val="24"/>
                <w:szCs w:val="24"/>
              </w:rPr>
            </w:pPr>
            <w:r>
              <w:rPr>
                <w:rFonts w:ascii="宋体" w:hAnsi="宋体" w:cs="宋体"/>
                <w:color w:val="FF0000"/>
                <w:kern w:val="0"/>
                <w:sz w:val="24"/>
                <w:szCs w:val="24"/>
              </w:rPr>
              <w:t>测试频点：12个</w:t>
            </w:r>
          </w:p>
          <w:p>
            <w:pPr>
              <w:pStyle w:val="30"/>
              <w:widowControl w:val="0"/>
              <w:snapToGrid w:val="0"/>
              <w:spacing w:beforeLines="0" w:beforeAutospacing="0" w:afterLines="0" w:afterAutospacing="0"/>
              <w:rPr>
                <w:rFonts w:cs="宋体"/>
                <w:color w:val="FF0000"/>
                <w:sz w:val="24"/>
                <w:szCs w:val="24"/>
              </w:rPr>
            </w:pPr>
            <w:r>
              <w:rPr>
                <w:rFonts w:ascii="宋体" w:hAnsi="宋体" w:cs="宋体"/>
                <w:color w:val="FF0000"/>
                <w:kern w:val="0"/>
                <w:sz w:val="24"/>
                <w:szCs w:val="24"/>
              </w:rPr>
              <w:t>测向测试方位：12个</w:t>
            </w:r>
          </w:p>
        </w:tc>
      </w:tr>
    </w:tbl>
    <w:p>
      <w:pPr>
        <w:pStyle w:val="30"/>
        <w:spacing w:line="480" w:lineRule="exact"/>
        <w:rPr>
          <w:rFonts w:ascii="宋体" w:hAnsi="宋体" w:cs="宋体"/>
          <w:color w:val="000000" w:themeColor="text1"/>
          <w:sz w:val="24"/>
          <w:szCs w:val="24"/>
          <w14:textFill>
            <w14:solidFill>
              <w14:schemeClr w14:val="tx1"/>
            </w14:solidFill>
          </w14:textFill>
        </w:rPr>
      </w:pPr>
    </w:p>
    <w:p>
      <w:pPr>
        <w:pStyle w:val="35"/>
        <w:tabs>
          <w:tab w:val="left" w:pos="0"/>
        </w:tabs>
        <w:spacing w:before="0" w:beforeAutospacing="0" w:after="0" w:afterAutospacing="0" w:line="480" w:lineRule="exact"/>
        <w:ind w:left="420" w:leftChars="200" w:firstLine="424" w:firstLineChars="17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三、服务形式</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乙方完成测试服务工作的形式：</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1.根据甲方委托，在招标文件及合同规定的时限内，按相应的标准要求完成全部测试项目的测试，并提交正式相关检测报告（提供检测报告及有关的全部资料的电子文档）；</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2.提交总结分析报告；</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3.接受甲方关于报告的质询或咨询等后期技术服务。</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45" w:name="_Toc55308055"/>
      <w:r>
        <w:rPr>
          <w:rFonts w:ascii="宋体" w:hAnsi="宋体" w:cs="宋体"/>
          <w:color w:val="000000" w:themeColor="text1"/>
          <w:sz w:val="24"/>
          <w:szCs w:val="24"/>
          <w14:textFill>
            <w14:solidFill>
              <w14:schemeClr w14:val="tx1"/>
            </w14:solidFill>
          </w14:textFill>
        </w:rPr>
        <w:t>四、合同价款及付款方式</w:t>
      </w:r>
      <w:bookmarkEnd w:id="45"/>
    </w:p>
    <w:p>
      <w:pPr>
        <w:pStyle w:val="33"/>
        <w:spacing w:before="0" w:beforeAutospacing="0" w:after="0" w:afterAutospacing="0" w:line="48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（一）合同价款</w:t>
      </w:r>
    </w:p>
    <w:p>
      <w:pPr>
        <w:pStyle w:val="30"/>
        <w:spacing w:line="480" w:lineRule="exact"/>
        <w:ind w:left="420" w:leftChars="200" w:firstLine="566" w:firstLineChars="23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总价（全套人民币计价方式）小写：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元整（人民币大写：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br w:type="textWrapping"/>
      </w:r>
      <w:r>
        <w:rPr>
          <w:rFonts w:ascii="宋体" w:hAnsi="宋体" w:cs="宋体"/>
          <w:color w:val="000000" w:themeColor="text1"/>
          <w:sz w:val="24"/>
          <w:szCs w:val="24"/>
          <w14:textFill>
            <w14:solidFill>
              <w14:schemeClr w14:val="tx1"/>
            </w14:solidFill>
          </w14:textFill>
        </w:rPr>
        <w:t>元整）。该价格是乙方按照甲方及项目要求，完成项目所涉及的全部设备验证服务至最终验收合格的含税价，包含验证设备及其运输、保管、税金、保险、改装、组装、维护、检测、验收、服务、培训等所有乙方承担的费用（开具正式发票），甲方就本合同不再另行支付任何费用。</w:t>
      </w:r>
      <w:bookmarkStart w:id="46" w:name="_Toc26977675"/>
      <w:bookmarkEnd w:id="46"/>
    </w:p>
    <w:p>
      <w:pPr>
        <w:pStyle w:val="33"/>
        <w:spacing w:before="0" w:beforeAutospacing="0" w:after="0" w:afterAutospacing="0" w:line="48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（二）付款方式</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、合同签订后，甲方收到乙方项目合同总金额</w:t>
      </w:r>
      <w:r>
        <w:rPr>
          <w:rFonts w:ascii="宋体" w:hAnsi="宋体" w:cs="宋体"/>
          <w:color w:val="000000" w:themeColor="text1"/>
          <w:sz w:val="24"/>
          <w:szCs w:val="24"/>
          <w:highlight w:val="yellow"/>
          <w14:textFill>
            <w14:solidFill>
              <w14:schemeClr w14:val="tx1"/>
            </w14:solidFill>
          </w14:textFill>
        </w:rPr>
        <w:t>服务类</w:t>
      </w:r>
      <w:r>
        <w:rPr>
          <w:rFonts w:ascii="宋体" w:hAnsi="宋体" w:cs="宋体"/>
          <w:color w:val="000000" w:themeColor="text1"/>
          <w:sz w:val="24"/>
          <w:szCs w:val="24"/>
          <w14:textFill>
            <w14:solidFill>
              <w14:schemeClr w14:val="tx1"/>
            </w14:solidFill>
          </w14:textFill>
        </w:rPr>
        <w:t>全额发票小写：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元整），并开具合同总金额</w:t>
      </w:r>
      <w:r>
        <w:rPr>
          <w:rFonts w:ascii="宋体" w:hAnsi="宋体" w:eastAsia="宋体" w:cs="宋体"/>
          <w:color w:val="000000" w:themeColor="text1"/>
          <w:sz w:val="24"/>
          <w:szCs w:val="24"/>
          <w14:textFill>
            <w14:solidFill>
              <w14:schemeClr w14:val="tx1"/>
            </w14:solidFill>
          </w14:textFill>
        </w:rPr>
        <w:t>50%</w:t>
      </w:r>
      <w:r>
        <w:rPr>
          <w:rFonts w:ascii="宋体" w:hAnsi="宋体" w:cs="宋体"/>
          <w:color w:val="000000" w:themeColor="text1"/>
          <w:sz w:val="24"/>
          <w:szCs w:val="24"/>
          <w14:textFill>
            <w14:solidFill>
              <w14:schemeClr w14:val="tx1"/>
            </w14:solidFill>
          </w14:textFill>
        </w:rPr>
        <w:t>的收据小写：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元整）后，十五个工作日内甲方向当地财政部门申请，根据付款流程支付乙方小写：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w:t>
      </w:r>
      <w:r>
        <w:rPr>
          <w:rFonts w:ascii="宋体" w:hAnsi="宋体" w:eastAsia="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。（乙方指定收款账户见合同落款处。）</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、在全部满足下述</w:t>
      </w:r>
      <w:r>
        <w:rPr>
          <w:rFonts w:ascii="宋体" w:hAnsi="宋体" w:eastAsia="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个条件后十五个工作日内，甲方按合同总金额的</w:t>
      </w:r>
      <w:r>
        <w:rPr>
          <w:rFonts w:ascii="宋体" w:hAnsi="宋体" w:eastAsia="宋体" w:cs="宋体"/>
          <w:color w:val="000000" w:themeColor="text1"/>
          <w:sz w:val="24"/>
          <w:szCs w:val="24"/>
          <w14:textFill>
            <w14:solidFill>
              <w14:schemeClr w14:val="tx1"/>
            </w14:solidFill>
          </w14:textFill>
        </w:rPr>
        <w:t>50%</w:t>
      </w:r>
      <w:r>
        <w:rPr>
          <w:rFonts w:ascii="宋体" w:hAnsi="宋体" w:cs="宋体"/>
          <w:color w:val="000000" w:themeColor="text1"/>
          <w:sz w:val="24"/>
          <w:szCs w:val="24"/>
          <w14:textFill>
            <w14:solidFill>
              <w14:schemeClr w14:val="tx1"/>
            </w14:solidFill>
          </w14:textFill>
        </w:rPr>
        <w:t>向当地财政部门申请支付乙方小写：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乙方向甲方提交合同总金额</w:t>
      </w:r>
      <w:r>
        <w:rPr>
          <w:rFonts w:ascii="宋体" w:hAnsi="宋体" w:eastAsia="宋体" w:cs="宋体"/>
          <w:color w:val="000000" w:themeColor="text1"/>
          <w:sz w:val="24"/>
          <w:szCs w:val="24"/>
          <w14:textFill>
            <w14:solidFill>
              <w14:schemeClr w14:val="tx1"/>
            </w14:solidFill>
          </w14:textFill>
        </w:rPr>
        <w:t>50%</w:t>
      </w:r>
      <w:r>
        <w:rPr>
          <w:rFonts w:ascii="宋体" w:hAnsi="宋体" w:cs="宋体"/>
          <w:color w:val="000000" w:themeColor="text1"/>
          <w:sz w:val="24"/>
          <w:szCs w:val="24"/>
          <w14:textFill>
            <w14:solidFill>
              <w14:schemeClr w14:val="tx1"/>
            </w14:solidFill>
          </w14:textFill>
        </w:rPr>
        <w:t>的收据小写：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）合同签订后，</w:t>
      </w:r>
      <w:r>
        <w:rPr>
          <w:rFonts w:ascii="宋体" w:hAnsi="宋体" w:eastAsia="宋体" w:cs="宋体"/>
          <w:color w:val="000000" w:themeColor="text1"/>
          <w:sz w:val="24"/>
          <w:szCs w:val="24"/>
          <w14:textFill>
            <w14:solidFill>
              <w14:schemeClr w14:val="tx1"/>
            </w14:solidFill>
          </w14:textFill>
        </w:rPr>
        <w:t>7</w:t>
      </w:r>
      <w:r>
        <w:rPr>
          <w:rFonts w:ascii="宋体" w:hAnsi="宋体" w:cs="宋体"/>
          <w:color w:val="000000" w:themeColor="text1"/>
          <w:sz w:val="24"/>
          <w:szCs w:val="24"/>
          <w14:textFill>
            <w14:solidFill>
              <w14:schemeClr w14:val="tx1"/>
            </w14:solidFill>
          </w14:textFill>
        </w:rPr>
        <w:t>个工作日内，乙方向甲方支付合同总金额的</w:t>
      </w:r>
      <w:r>
        <w:rPr>
          <w:rFonts w:ascii="宋体" w:hAnsi="宋体" w:eastAsia="宋体" w:cs="宋体"/>
          <w:color w:val="000000" w:themeColor="text1"/>
          <w:sz w:val="24"/>
          <w:szCs w:val="24"/>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作为履约保证金，小写：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履约保证金收款账号：</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账户名称：</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开户银行：</w:t>
      </w:r>
    </w:p>
    <w:p>
      <w:pPr>
        <w:pStyle w:val="30"/>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行号：</w:t>
      </w:r>
    </w:p>
    <w:p>
      <w:pPr>
        <w:pStyle w:val="30"/>
        <w:numPr>
          <w:ilvl w:val="0"/>
          <w:numId w:val="18"/>
        </w:num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项目最终验收合格后（以正式书面报告为准），如没有出现甲方不可接受的问题，甲方十个工作日内退还乙方合同总金额</w:t>
      </w:r>
      <w:r>
        <w:rPr>
          <w:rFonts w:ascii="宋体" w:hAnsi="宋体" w:eastAsia="宋体" w:cs="宋体"/>
          <w:color w:val="000000" w:themeColor="text1"/>
          <w:sz w:val="24"/>
          <w:szCs w:val="24"/>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的履约保证金，小写：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元整（大写：</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元整）。</w:t>
      </w:r>
    </w:p>
    <w:p>
      <w:pPr>
        <w:pStyle w:val="30"/>
        <w:numPr>
          <w:ilvl w:val="0"/>
          <w:numId w:val="18"/>
        </w:num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因甲方使用的是财政资金，上述条款规定的甲方付款时间均为甲方向政府采购支付部门提出办理财政支付申请手续的时间（不含政府财政支付部门审核的时间），甲方在规定时间内提出支付申请手续后因非甲方的原因导致延期付款的，甲方不承担违约责任。</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47" w:name="_Toc55308056"/>
      <w:r>
        <w:rPr>
          <w:rFonts w:ascii="宋体" w:hAnsi="宋体" w:cs="宋体"/>
          <w:color w:val="000000" w:themeColor="text1"/>
          <w:sz w:val="24"/>
          <w:szCs w:val="24"/>
          <w14:textFill>
            <w14:solidFill>
              <w14:schemeClr w14:val="tx1"/>
            </w14:solidFill>
          </w14:textFill>
        </w:rPr>
        <w:t>五、服务地点</w:t>
      </w:r>
      <w:bookmarkEnd w:id="47"/>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甲方指定地点。</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48" w:name="_Toc55308057"/>
      <w:r>
        <w:rPr>
          <w:rFonts w:ascii="宋体" w:hAnsi="宋体" w:cs="宋体"/>
          <w:color w:val="000000" w:themeColor="text1"/>
          <w:sz w:val="24"/>
          <w:szCs w:val="24"/>
          <w14:textFill>
            <w14:solidFill>
              <w14:schemeClr w14:val="tx1"/>
            </w14:solidFill>
          </w14:textFill>
        </w:rPr>
        <w:t>六、乙方服务要求</w:t>
      </w:r>
      <w:bookmarkEnd w:id="48"/>
    </w:p>
    <w:p>
      <w:pPr>
        <w:pStyle w:val="31"/>
        <w:numPr>
          <w:ilvl w:val="0"/>
          <w:numId w:val="19"/>
        </w:numPr>
        <w:snapToGrid w:val="0"/>
        <w:spacing w:beforeLines="0" w:beforeAutospacing="0" w:after="0" w:afterAutospacing="0" w:line="480" w:lineRule="exact"/>
        <w:rPr>
          <w:rFonts w:ascii="宋体" w:hAnsi="宋体" w:cs="宋体"/>
          <w:bCs/>
          <w:color w:val="00B0F0"/>
          <w:sz w:val="24"/>
          <w:szCs w:val="24"/>
          <w:highlight w:val="yellow"/>
        </w:rPr>
      </w:pPr>
      <w:r>
        <w:rPr>
          <w:rFonts w:ascii="宋体" w:hAnsi="宋体" w:cs="宋体"/>
          <w:bCs/>
          <w:color w:val="000000"/>
          <w:sz w:val="24"/>
          <w:szCs w:val="24"/>
          <w:highlight w:val="yellow"/>
        </w:rPr>
        <w:t>具备中国合格评定国家认可委员会认可（CNAS）资质和中国计量认证（CMA）资质，同时测试验证能力范围应包含无线电监测设施测试验证的技术标准（</w:t>
      </w:r>
      <w:r>
        <w:rPr>
          <w:rFonts w:ascii="宋体" w:hAnsi="宋体" w:cs="宋体"/>
          <w:bCs/>
          <w:color w:val="000000" w:themeColor="text1"/>
          <w:sz w:val="24"/>
          <w:szCs w:val="24"/>
          <w:highlight w:val="yellow"/>
          <w14:textFill>
            <w14:solidFill>
              <w14:schemeClr w14:val="tx1"/>
            </w14:solidFill>
          </w14:textFill>
        </w:rPr>
        <w:t>包含GB/T 34089-2017或YD/T 2675-2013、G</w:t>
      </w:r>
      <w:r>
        <w:rPr>
          <w:rFonts w:ascii="宋体" w:hAnsi="宋体" w:cs="宋体"/>
          <w:bCs/>
          <w:color w:val="000000"/>
          <w:sz w:val="24"/>
          <w:szCs w:val="24"/>
          <w:highlight w:val="yellow"/>
        </w:rPr>
        <w:t>B/T 32401-2015、T/RAC 021-2019、T/RAC 024-2021、T/RAC 025-2021等）和测试项目；</w:t>
      </w:r>
      <w:r>
        <w:rPr>
          <w:rFonts w:ascii="宋体" w:hAnsi="宋体" w:cs="宋体"/>
          <w:bCs/>
          <w:color w:val="00B0F0"/>
          <w:sz w:val="24"/>
          <w:szCs w:val="24"/>
          <w:highlight w:val="yellow"/>
        </w:rPr>
        <w:t xml:space="preserve"> </w:t>
      </w:r>
    </w:p>
    <w:p>
      <w:pPr>
        <w:pStyle w:val="31"/>
        <w:numPr>
          <w:ilvl w:val="0"/>
          <w:numId w:val="19"/>
        </w:numPr>
        <w:snapToGrid w:val="0"/>
        <w:spacing w:beforeLines="0" w:beforeAutospacing="0" w:after="0" w:afterAutospacing="0" w:line="480" w:lineRule="exact"/>
        <w:rPr>
          <w:rFonts w:ascii="宋体" w:hAnsi="宋体" w:cs="宋体"/>
          <w:bCs/>
          <w:color w:val="00B0F0"/>
          <w:sz w:val="24"/>
          <w:szCs w:val="24"/>
          <w:highlight w:val="yellow"/>
        </w:rPr>
      </w:pPr>
      <w:r>
        <w:rPr>
          <w:rFonts w:ascii="宋体" w:hAnsi="宋体" w:cs="宋体"/>
          <w:bCs/>
          <w:color w:val="000000"/>
          <w:sz w:val="24"/>
          <w:szCs w:val="24"/>
          <w:highlight w:val="yellow"/>
        </w:rPr>
        <w:t>能够独立承担无线电监测设施的测试验证工作，具备符合相关要求的测试场地、测试仪器仪表等设施，具有详细的测试验证操作流程和完善的作业指导书；</w:t>
      </w:r>
      <w:r>
        <w:rPr>
          <w:rFonts w:ascii="宋体" w:hAnsi="宋体" w:cs="宋体"/>
          <w:bCs/>
          <w:color w:val="00B0F0"/>
          <w:sz w:val="24"/>
          <w:szCs w:val="24"/>
          <w:highlight w:val="yellow"/>
        </w:rPr>
        <w:t xml:space="preserve"> </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bCs/>
          <w:color w:val="000000"/>
          <w:sz w:val="24"/>
          <w:szCs w:val="24"/>
          <w:highlight w:val="yellow"/>
        </w:rPr>
        <w:t>具备相应数量的掌握测试验证标准和实施方法，熟悉仪器仪表操作的专业技术人员。</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bCs/>
          <w:color w:val="000000"/>
          <w:sz w:val="24"/>
          <w:szCs w:val="24"/>
          <w:highlight w:val="yellow"/>
        </w:rPr>
        <w:t>具备3年以上的无线电监测设施测试验证工作经历，以及出具无线电监测设施 CMA 和 CNAS 测试验证报告的经历。</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bCs/>
          <w:color w:val="000000"/>
          <w:sz w:val="24"/>
          <w:szCs w:val="24"/>
          <w:highlight w:val="yellow"/>
        </w:rPr>
        <w:t>未与被测试无线电监测设施的制造商、供货商、集成商、行政执法主体及可能的行政相对人存在利益关联或利益输送。</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bCs/>
          <w:color w:val="000000"/>
          <w:sz w:val="24"/>
          <w:szCs w:val="24"/>
          <w:highlight w:val="yellow"/>
        </w:rPr>
        <w:t>应成立专门服务于本项目的项目组，满足该项目测试验证工作对测试人员数量和质量上的需求；</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bCs/>
          <w:color w:val="000000"/>
          <w:sz w:val="24"/>
          <w:szCs w:val="24"/>
          <w:highlight w:val="yellow"/>
        </w:rPr>
        <w:t>测试人员应具备无线电监测设施测试验证工作经历，以及出具无线电监测设施CNAS和CMA测试验证报告的经历；</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bCs/>
          <w:color w:val="000000"/>
          <w:sz w:val="24"/>
          <w:szCs w:val="24"/>
          <w:highlight w:val="yellow"/>
        </w:rPr>
        <w:t>乙方须给出确定的项目经理人，并实际项目开展时</w:t>
      </w:r>
      <w:r>
        <w:rPr>
          <w:rFonts w:ascii="宋体" w:hAnsi="宋体" w:cs="宋体"/>
          <w:bCs/>
          <w:color w:val="000000" w:themeColor="text1"/>
          <w:sz w:val="24"/>
          <w:szCs w:val="24"/>
          <w:highlight w:val="yellow"/>
          <w14:textFill>
            <w14:solidFill>
              <w14:schemeClr w14:val="tx1"/>
            </w14:solidFill>
          </w14:textFill>
        </w:rPr>
        <w:t>由该人担</w:t>
      </w:r>
      <w:r>
        <w:rPr>
          <w:rFonts w:ascii="宋体" w:hAnsi="宋体" w:cs="宋体"/>
          <w:bCs/>
          <w:color w:val="000000"/>
          <w:sz w:val="24"/>
          <w:szCs w:val="24"/>
          <w:highlight w:val="yellow"/>
        </w:rPr>
        <w:t>任本项目的项目经理，未经甲方许可不得随意更换，若因特殊原因需调整，需经甲方同意。</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bCs/>
          <w:color w:val="000000"/>
          <w:sz w:val="24"/>
          <w:szCs w:val="24"/>
          <w:highlight w:val="yellow"/>
        </w:rPr>
        <w:t>甲方有权要求乙方更换不称职的测试人员，乙方在接到采购方通知后10个工作日内完成服务技术人员更换。</w:t>
      </w:r>
    </w:p>
    <w:p>
      <w:pPr>
        <w:pStyle w:val="31"/>
        <w:numPr>
          <w:ilvl w:val="0"/>
          <w:numId w:val="19"/>
        </w:numPr>
        <w:snapToGrid w:val="0"/>
        <w:spacing w:beforeLines="0" w:beforeAutospacing="0" w:after="0" w:afterAutospacing="0" w:line="480" w:lineRule="exact"/>
        <w:rPr>
          <w:rFonts w:ascii="宋体" w:hAnsi="宋体" w:cs="宋体"/>
          <w:bCs/>
          <w:color w:val="000000"/>
          <w:sz w:val="24"/>
          <w:szCs w:val="24"/>
          <w:highlight w:val="yellow"/>
        </w:rPr>
      </w:pPr>
      <w:r>
        <w:rPr>
          <w:rFonts w:ascii="宋体" w:hAnsi="宋体" w:cs="宋体"/>
          <w:color w:val="000000" w:themeColor="text1"/>
          <w:sz w:val="24"/>
          <w:szCs w:val="24"/>
          <w:highlight w:val="yellow"/>
          <w14:textFill>
            <w14:solidFill>
              <w14:schemeClr w14:val="tx1"/>
            </w14:solidFill>
          </w14:textFill>
        </w:rPr>
        <w:t>乙方</w:t>
      </w:r>
      <w:r>
        <w:rPr>
          <w:rFonts w:ascii="宋体" w:hAnsi="宋体" w:cs="宋体"/>
          <w:color w:val="000000"/>
          <w:sz w:val="24"/>
          <w:szCs w:val="24"/>
        </w:rPr>
        <w:t>对其人员在服务期间的人身安全等负全责。</w:t>
      </w:r>
      <w:r>
        <w:rPr>
          <w:rFonts w:ascii="宋体" w:hAnsi="宋体" w:cs="宋体"/>
          <w:color w:val="000000" w:themeColor="text1"/>
          <w:sz w:val="24"/>
          <w:szCs w:val="24"/>
          <w:highlight w:val="yellow"/>
          <w14:textFill>
            <w14:solidFill>
              <w14:schemeClr w14:val="tx1"/>
            </w14:solidFill>
          </w14:textFill>
        </w:rPr>
        <w:t>乙方人员在服务期间发生人身伤害事故的，由乙方承担赔偿或工伤保险责任，甲方不承担任何赔偿责任。</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49" w:name="_Toc55308058"/>
      <w:r>
        <w:rPr>
          <w:rFonts w:ascii="宋体" w:hAnsi="宋体" w:cs="宋体"/>
          <w:color w:val="000000" w:themeColor="text1"/>
          <w:sz w:val="24"/>
          <w:szCs w:val="24"/>
          <w14:textFill>
            <w14:solidFill>
              <w14:schemeClr w14:val="tx1"/>
            </w14:solidFill>
          </w14:textFill>
        </w:rPr>
        <w:t>七、质量保障</w:t>
      </w:r>
      <w:bookmarkEnd w:id="49"/>
    </w:p>
    <w:p>
      <w:pPr>
        <w:pStyle w:val="30"/>
        <w:shd w:val="clear" w:color="auto" w:fill="FFFFFF"/>
        <w:snapToGrid w:val="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kern w:val="2"/>
          <w:sz w:val="24"/>
          <w:szCs w:val="24"/>
          <w14:textFill>
            <w14:solidFill>
              <w14:schemeClr w14:val="tx1"/>
            </w14:solidFill>
          </w14:textFill>
        </w:rPr>
        <w:t>乙方应保证测试验证工作的质量，工作内容应纳入乙方自身质量管理体系，从质量策划、组织架构资源、流程管控、输入输出管控、方法改进等多个方面保证测试工作满足甲方需求。</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0" w:name="_Toc55308059"/>
      <w:r>
        <w:rPr>
          <w:rFonts w:ascii="宋体" w:hAnsi="宋体" w:cs="宋体"/>
          <w:color w:val="000000" w:themeColor="text1"/>
          <w:sz w:val="24"/>
          <w:szCs w:val="24"/>
          <w14:textFill>
            <w14:solidFill>
              <w14:schemeClr w14:val="tx1"/>
            </w14:solidFill>
          </w14:textFill>
        </w:rPr>
        <w:t>八、测试系统要求</w:t>
      </w:r>
      <w:bookmarkEnd w:id="50"/>
    </w:p>
    <w:p>
      <w:pPr>
        <w:pStyle w:val="30"/>
        <w:spacing w:beforeLines="0" w:beforeAutospacing="0" w:afterLines="0" w:afterAutospacing="0" w:line="480" w:lineRule="exact"/>
        <w:ind w:left="420" w:leftChars="200" w:firstLine="424" w:firstLineChars="177"/>
        <w:contextualSpacing/>
        <w:rPr>
          <w:rFonts w:ascii="宋体" w:hAnsi="宋体" w:cs="宋体"/>
          <w:color w:val="000000" w:themeColor="text1"/>
          <w:sz w:val="24"/>
          <w:szCs w:val="24"/>
          <w:lang w:val="de-DE"/>
          <w14:textFill>
            <w14:solidFill>
              <w14:schemeClr w14:val="tx1"/>
            </w14:solidFill>
          </w14:textFill>
        </w:rPr>
      </w:pPr>
      <w:r>
        <w:rPr>
          <w:rFonts w:ascii="宋体" w:hAnsi="宋体" w:cs="宋体"/>
          <w:color w:val="000000" w:themeColor="text1"/>
          <w:sz w:val="24"/>
          <w:szCs w:val="24"/>
          <w:lang w:val="de-DE"/>
          <w14:textFill>
            <w14:solidFill>
              <w14:schemeClr w14:val="tx1"/>
            </w14:solidFill>
          </w14:textFill>
        </w:rPr>
        <w:t>乙方用于测试验证的测试系统（含仪器仪表等）应满足如下要求：</w:t>
      </w:r>
    </w:p>
    <w:p>
      <w:pPr>
        <w:pStyle w:val="30"/>
        <w:spacing w:beforeLines="0" w:beforeAutospacing="0" w:afterLines="0" w:afterAutospacing="0" w:line="480" w:lineRule="exact"/>
        <w:ind w:left="420" w:leftChars="200" w:firstLine="424" w:firstLineChars="177"/>
        <w:contextualSpacing/>
        <w:rPr>
          <w:rFonts w:ascii="宋体" w:hAnsi="宋体" w:cs="宋体"/>
          <w:color w:val="000000" w:themeColor="text1"/>
          <w:sz w:val="24"/>
          <w:szCs w:val="24"/>
          <w:lang w:val="de-DE"/>
          <w14:textFill>
            <w14:solidFill>
              <w14:schemeClr w14:val="tx1"/>
            </w14:solidFill>
          </w14:textFill>
        </w:rPr>
      </w:pPr>
      <w:r>
        <w:rPr>
          <w:rFonts w:ascii="宋体" w:hAnsi="宋体" w:cs="宋体"/>
          <w:color w:val="000000" w:themeColor="text1"/>
          <w:sz w:val="24"/>
          <w:szCs w:val="24"/>
          <w:lang w:val="de-DE"/>
          <w14:textFill>
            <w14:solidFill>
              <w14:schemeClr w14:val="tx1"/>
            </w14:solidFill>
          </w14:textFill>
        </w:rPr>
        <w:t>1.发射系统包括信号发射设备、馈线、发射天线、发射塔等装置，其中发射天线的极化应有垂直和水平两种方式，架设高度不低于被测系统的天线高度，且与被测系统天线间的传播路径无遮挡；</w:t>
      </w:r>
    </w:p>
    <w:p>
      <w:pPr>
        <w:pStyle w:val="30"/>
        <w:snapToGrid w:val="0"/>
        <w:spacing w:beforeLines="0" w:beforeAutospacing="0" w:afterLines="0" w:afterAutospacing="0" w:line="480" w:lineRule="exact"/>
        <w:ind w:left="482"/>
        <w:contextualSpacing/>
        <w:rPr>
          <w:rFonts w:ascii="宋体" w:hAnsi="宋体" w:cs="宋体"/>
          <w:color w:val="000000" w:themeColor="text1"/>
          <w:sz w:val="24"/>
          <w:szCs w:val="24"/>
          <w:lang w:val="de-DE"/>
          <w14:textFill>
            <w14:solidFill>
              <w14:schemeClr w14:val="tx1"/>
            </w14:solidFill>
          </w14:textFill>
        </w:rPr>
      </w:pPr>
      <w:r>
        <w:rPr>
          <w:rFonts w:ascii="宋体" w:hAnsi="宋体" w:cs="宋体"/>
          <w:color w:val="000000" w:themeColor="text1"/>
          <w:sz w:val="24"/>
          <w:szCs w:val="24"/>
          <w:lang w:val="de-DE"/>
          <w14:textFill>
            <w14:solidFill>
              <w14:schemeClr w14:val="tx1"/>
            </w14:solidFill>
          </w14:textFill>
        </w:rPr>
        <w:t>2.场强测量系统包括信号电平测量设备、接收天馈线、固定装置等；</w:t>
      </w:r>
    </w:p>
    <w:p>
      <w:pPr>
        <w:pStyle w:val="30"/>
        <w:snapToGrid w:val="0"/>
        <w:spacing w:beforeLines="0" w:beforeAutospacing="0" w:afterLines="0" w:afterAutospacing="0" w:line="480" w:lineRule="exact"/>
        <w:ind w:left="420" w:leftChars="200" w:firstLine="480" w:firstLineChars="200"/>
        <w:contextualSpacing/>
        <w:rPr>
          <w:rFonts w:ascii="宋体" w:hAnsi="宋体" w:cs="宋体"/>
          <w:color w:val="000000" w:themeColor="text1"/>
          <w:sz w:val="24"/>
          <w:szCs w:val="24"/>
          <w:lang w:val="de-DE"/>
          <w14:textFill>
            <w14:solidFill>
              <w14:schemeClr w14:val="tx1"/>
            </w14:solidFill>
          </w14:textFill>
        </w:rPr>
      </w:pPr>
      <w:r>
        <w:rPr>
          <w:rFonts w:ascii="宋体" w:hAnsi="宋体" w:cs="宋体"/>
          <w:color w:val="000000" w:themeColor="text1"/>
          <w:sz w:val="24"/>
          <w:szCs w:val="24"/>
          <w:lang w:val="de-DE"/>
          <w14:textFill>
            <w14:solidFill>
              <w14:schemeClr w14:val="tx1"/>
            </w14:solidFill>
          </w14:textFill>
        </w:rPr>
        <w:t>3.所使用的测试设备和仪器仪表的频率范围、功率容量、输出功率、信号类型等应满足按标准进行测试的要求；</w:t>
      </w:r>
    </w:p>
    <w:p>
      <w:pPr>
        <w:pStyle w:val="30"/>
        <w:snapToGrid w:val="0"/>
        <w:spacing w:beforeLines="0" w:beforeAutospacing="0" w:afterLines="0" w:afterAutospacing="0" w:line="480" w:lineRule="exact"/>
        <w:ind w:left="420" w:leftChars="200" w:firstLine="480" w:firstLineChars="200"/>
        <w:contextualSpacing/>
        <w:rPr>
          <w:rFonts w:ascii="宋体" w:hAnsi="宋体" w:cs="宋体"/>
          <w:color w:val="000000" w:themeColor="text1"/>
          <w:sz w:val="24"/>
          <w:szCs w:val="24"/>
          <w:lang w:val="de-DE"/>
          <w14:textFill>
            <w14:solidFill>
              <w14:schemeClr w14:val="tx1"/>
            </w14:solidFill>
          </w14:textFill>
        </w:rPr>
      </w:pPr>
      <w:r>
        <w:rPr>
          <w:rFonts w:ascii="宋体" w:hAnsi="宋体" w:cs="宋体"/>
          <w:color w:val="000000" w:themeColor="text1"/>
          <w:sz w:val="24"/>
          <w:szCs w:val="24"/>
          <w:lang w:val="de-DE"/>
          <w14:textFill>
            <w14:solidFill>
              <w14:schemeClr w14:val="tx1"/>
            </w14:solidFill>
          </w14:textFill>
        </w:rPr>
        <w:t>4.所使用的设施（含标准场地内转台）和仪器仪表等均应取得计量合格证书，并在有效期内使用；</w:t>
      </w:r>
    </w:p>
    <w:p>
      <w:pPr>
        <w:pStyle w:val="30"/>
        <w:snapToGrid w:val="0"/>
        <w:spacing w:beforeLines="0" w:beforeAutospacing="0" w:afterLines="0" w:afterAutospacing="0" w:line="480" w:lineRule="exact"/>
        <w:ind w:left="420" w:leftChars="200" w:firstLine="480" w:firstLineChars="200"/>
        <w:contextualSpacing/>
        <w:rPr>
          <w:rFonts w:ascii="宋体" w:hAnsi="宋体" w:cs="宋体"/>
          <w:color w:val="000000" w:themeColor="text1"/>
          <w:sz w:val="24"/>
          <w:szCs w:val="24"/>
          <w:lang w:val="de-DE"/>
          <w14:textFill>
            <w14:solidFill>
              <w14:schemeClr w14:val="tx1"/>
            </w14:solidFill>
          </w14:textFill>
        </w:rPr>
      </w:pPr>
      <w:r>
        <w:rPr>
          <w:rFonts w:ascii="宋体" w:hAnsi="宋体" w:cs="宋体"/>
          <w:color w:val="000000" w:themeColor="text1"/>
          <w:sz w:val="24"/>
          <w:szCs w:val="24"/>
          <w:lang w:val="de-DE"/>
          <w14:textFill>
            <w14:solidFill>
              <w14:schemeClr w14:val="tx1"/>
            </w14:solidFill>
          </w14:textFill>
        </w:rPr>
        <w:t>5.测试设备和仪器仪表应具有足够的精度和稳定度，转台和转台位置指示器的测量误差不大于0.2°；</w:t>
      </w:r>
    </w:p>
    <w:p>
      <w:pPr>
        <w:pStyle w:val="30"/>
        <w:snapToGrid w:val="0"/>
        <w:spacing w:beforeLines="0" w:beforeAutospacing="0" w:afterLines="0" w:afterAutospacing="0" w:line="480" w:lineRule="exact"/>
        <w:ind w:left="420" w:leftChars="200" w:firstLine="480" w:firstLineChars="200"/>
        <w:contextualSpacing/>
        <w:rPr>
          <w:rFonts w:ascii="宋体" w:hAnsi="宋体" w:cs="宋体"/>
          <w:b/>
          <w:color w:val="000000" w:themeColor="text1"/>
          <w:sz w:val="24"/>
          <w:szCs w:val="24"/>
          <w14:textFill>
            <w14:solidFill>
              <w14:schemeClr w14:val="tx1"/>
            </w14:solidFill>
          </w14:textFill>
        </w:rPr>
      </w:pPr>
      <w:r>
        <w:rPr>
          <w:rFonts w:ascii="宋体" w:hAnsi="宋体" w:cs="宋体"/>
          <w:color w:val="000000" w:themeColor="text1"/>
          <w:sz w:val="24"/>
          <w:szCs w:val="24"/>
          <w:lang w:val="de-DE"/>
          <w14:textFill>
            <w14:solidFill>
              <w14:schemeClr w14:val="tx1"/>
            </w14:solidFill>
          </w14:textFill>
        </w:rPr>
        <w:t>6.具有监测接收机和无线电监测/测向系统的自动测试系统。</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1" w:name="_Toc55308060"/>
      <w:r>
        <w:rPr>
          <w:rFonts w:ascii="宋体" w:hAnsi="宋体" w:cs="宋体"/>
          <w:color w:val="000000" w:themeColor="text1"/>
          <w:sz w:val="24"/>
          <w:szCs w:val="24"/>
          <w14:textFill>
            <w14:solidFill>
              <w14:schemeClr w14:val="tx1"/>
            </w14:solidFill>
          </w14:textFill>
        </w:rPr>
        <w:t>九、测试期限</w:t>
      </w:r>
      <w:bookmarkEnd w:id="51"/>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乙方应在合同签订生效后的12个月内完成项目中所涉及的无线电监测设施、设备测试验证工作。如由于甲方的原因或不可抗力的因素造成合同延迟签订或测试延期的，时间顺延。</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2" w:name="_Toc55308061"/>
      <w:r>
        <w:rPr>
          <w:rFonts w:ascii="宋体" w:hAnsi="宋体" w:cs="宋体"/>
          <w:color w:val="000000" w:themeColor="text1"/>
          <w:sz w:val="24"/>
          <w:szCs w:val="24"/>
          <w14:textFill>
            <w14:solidFill>
              <w14:schemeClr w14:val="tx1"/>
            </w14:solidFill>
          </w14:textFill>
        </w:rPr>
        <w:t>十、验收</w:t>
      </w:r>
      <w:bookmarkEnd w:id="52"/>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（一）乙方在合同签订生效后的12个月内完成本合同项目的交付验收。由于甲方的原因造成合同延迟签订或验收的，时间顺延。验收时须提供测试验证总结报告、检测报告等相应的成果。</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（二）验收由甲方组织，乙方配合进行。</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1.乙方应在测试验证服务完毕后10个工作日内提出验收申请。经甲方同意后方可验收。验收工作由甲方组织，由甲方选派专家。验收所产生的费用由乙方承担。</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2.验收标准按照招标文件、合同等相关文件执行。</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3" w:name="_Toc55308062"/>
      <w:r>
        <w:rPr>
          <w:rFonts w:ascii="宋体" w:hAnsi="宋体" w:cs="宋体"/>
          <w:color w:val="000000" w:themeColor="text1"/>
          <w:sz w:val="24"/>
          <w:szCs w:val="24"/>
          <w14:textFill>
            <w14:solidFill>
              <w14:schemeClr w14:val="tx1"/>
            </w14:solidFill>
          </w14:textFill>
        </w:rPr>
        <w:t>十一、绩效评估</w:t>
      </w:r>
      <w:bookmarkEnd w:id="53"/>
    </w:p>
    <w:p>
      <w:pPr>
        <w:pStyle w:val="30"/>
        <w:spacing w:line="480" w:lineRule="exact"/>
        <w:ind w:left="420" w:leftChars="200" w:firstLine="480" w:firstLineChars="200"/>
        <w:jc w:val="left"/>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乙方承接服务项目后，由甲方对项目实施情况进行全程跟踪和监督，甲方有权会同相关部门对项目的工作绩效、服务对象受益情况和满意度等进行评估，乙方应当积极配合。项目绩效评估指标见附件。</w:t>
      </w:r>
    </w:p>
    <w:p>
      <w:pPr>
        <w:pStyle w:val="30"/>
        <w:spacing w:line="480" w:lineRule="exact"/>
        <w:ind w:left="420" w:leftChars="200" w:firstLine="480" w:firstLineChars="200"/>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甲方对乙方参与验证人员的工作质量进行综合绩效评估，评价结果达90分以上，甲方退还乙方合同总额10%的履约保证金，计</w:t>
      </w:r>
      <w:r>
        <w:rPr>
          <w:rFonts w:ascii="宋体" w:hAnsi="宋体" w:cs="宋体"/>
          <w:bCs/>
          <w:color w:val="000000" w:themeColor="text1"/>
          <w:sz w:val="24"/>
          <w:szCs w:val="24"/>
          <w:u w:val="single"/>
          <w14:textFill>
            <w14:solidFill>
              <w14:schemeClr w14:val="tx1"/>
            </w14:solidFill>
          </w14:textFill>
        </w:rPr>
        <w:t xml:space="preserve">   元整</w:t>
      </w:r>
      <w:r>
        <w:rPr>
          <w:rFonts w:ascii="宋体" w:hAnsi="宋体" w:cs="宋体"/>
          <w:bCs/>
          <w:color w:val="000000" w:themeColor="text1"/>
          <w:sz w:val="24"/>
          <w:szCs w:val="24"/>
          <w14:textFill>
            <w14:solidFill>
              <w14:schemeClr w14:val="tx1"/>
            </w14:solidFill>
          </w14:textFill>
        </w:rPr>
        <w:t>人民币（大写：</w:t>
      </w:r>
      <w:r>
        <w:rPr>
          <w:rFonts w:ascii="宋体" w:hAnsi="宋体" w:cs="宋体"/>
          <w:bCs/>
          <w:color w:val="000000" w:themeColor="text1"/>
          <w:sz w:val="24"/>
          <w:szCs w:val="24"/>
          <w:u w:val="single"/>
          <w14:textFill>
            <w14:solidFill>
              <w14:schemeClr w14:val="tx1"/>
            </w14:solidFill>
          </w14:textFill>
        </w:rPr>
        <w:t xml:space="preserve">  元整</w:t>
      </w:r>
      <w:r>
        <w:rPr>
          <w:rFonts w:ascii="宋体" w:hAnsi="宋体" w:cs="宋体"/>
          <w:bCs/>
          <w:color w:val="000000" w:themeColor="text1"/>
          <w:sz w:val="24"/>
          <w:szCs w:val="24"/>
          <w14:textFill>
            <w14:solidFill>
              <w14:schemeClr w14:val="tx1"/>
            </w14:solidFill>
          </w14:textFill>
        </w:rPr>
        <w:t>人民币）；评价结果低于90分，甲方将不予退还乙方履约保证金。</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4" w:name="_Toc55308063"/>
      <w:r>
        <w:rPr>
          <w:rFonts w:ascii="宋体" w:hAnsi="宋体" w:cs="宋体"/>
          <w:color w:val="000000" w:themeColor="text1"/>
          <w:sz w:val="24"/>
          <w:szCs w:val="24"/>
          <w14:textFill>
            <w14:solidFill>
              <w14:schemeClr w14:val="tx1"/>
            </w14:solidFill>
          </w14:textFill>
        </w:rPr>
        <w:t>十二、违约赔偿</w:t>
      </w:r>
      <w:bookmarkEnd w:id="54"/>
    </w:p>
    <w:p>
      <w:pPr>
        <w:pStyle w:val="30"/>
        <w:snapToGrid w:val="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一）除下一条规定的不可抗力外，如果乙方没有按照合同规定的时间交货和提供服务，甲方可从合同款中扣除违约赔偿费，每延迟一个工作日迟交货物（含软件及相关服务）或未提供服务或提供产品及服务不满足项目需求，按合同金额的1％计扣违约赔偿费。如果乙方延迟交货时间超过一个月，甲方有权终止合同，并按合同约定及法律规定追究乙方的违约责任。</w:t>
      </w:r>
    </w:p>
    <w:p>
      <w:pPr>
        <w:pStyle w:val="30"/>
        <w:snapToGrid w:val="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（二）如果双方中任何一方由于战争、严重火灾、水灾、台风和地震以及其它经双方同意属于不可抗力的事故，致使合同履行受阻时，履行合同的期限应予以延长，延长的期限应相当于事故所影响的时间。</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5" w:name="_Toc55308064"/>
      <w:r>
        <w:rPr>
          <w:rFonts w:ascii="宋体" w:hAnsi="宋体" w:cs="宋体"/>
          <w:color w:val="000000" w:themeColor="text1"/>
          <w:sz w:val="24"/>
          <w:szCs w:val="24"/>
          <w14:textFill>
            <w14:solidFill>
              <w14:schemeClr w14:val="tx1"/>
            </w14:solidFill>
          </w14:textFill>
        </w:rPr>
        <w:t>十三、保密义务</w:t>
      </w:r>
      <w:bookmarkEnd w:id="55"/>
    </w:p>
    <w:p>
      <w:pPr>
        <w:pStyle w:val="30"/>
        <w:spacing w:line="480" w:lineRule="exact"/>
        <w:ind w:left="420" w:leftChars="200" w:firstLine="480" w:firstLineChars="200"/>
        <w:jc w:val="left"/>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一）双方应当对本协议的内容、因履行本合同或在本合同期间获得的或收到的对方的商务、财务、技术、产品的信息、用户资料或其他标明保密的文件或信息的内容(统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pStyle w:val="30"/>
        <w:spacing w:line="480" w:lineRule="exact"/>
        <w:ind w:left="420" w:leftChars="200" w:firstLine="480" w:firstLineChars="200"/>
        <w:jc w:val="left"/>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（二）除非得到另一方的书面许可，乙方不得将本合同中的内容及在本合同执行过程中获得的对方的商业信息向任何第三方泄露。</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（三）本保密义务应在本协议期满、解除或终止后仍然有效。</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6" w:name="_Toc55308065"/>
      <w:bookmarkStart w:id="57" w:name="_Toc26977681"/>
      <w:r>
        <w:rPr>
          <w:rFonts w:ascii="宋体" w:hAnsi="宋体" w:cs="宋体"/>
          <w:color w:val="000000" w:themeColor="text1"/>
          <w:sz w:val="24"/>
          <w:szCs w:val="24"/>
          <w14:textFill>
            <w14:solidFill>
              <w14:schemeClr w14:val="tx1"/>
            </w14:solidFill>
          </w14:textFill>
        </w:rPr>
        <w:t>十四、合同的生效</w:t>
      </w:r>
      <w:bookmarkEnd w:id="56"/>
      <w:bookmarkEnd w:id="57"/>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本合同在甲、乙方签字及加盖公章后生效。</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58" w:name="_Toc55308066"/>
      <w:bookmarkStart w:id="59" w:name="_Toc26977682"/>
      <w:r>
        <w:rPr>
          <w:rFonts w:ascii="宋体" w:hAnsi="宋体" w:cs="宋体"/>
          <w:color w:val="000000" w:themeColor="text1"/>
          <w:sz w:val="24"/>
          <w:szCs w:val="24"/>
          <w14:textFill>
            <w14:solidFill>
              <w14:schemeClr w14:val="tx1"/>
            </w14:solidFill>
          </w14:textFill>
        </w:rPr>
        <w:t>十五、争议的解决</w:t>
      </w:r>
      <w:bookmarkEnd w:id="58"/>
      <w:bookmarkEnd w:id="59"/>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在执行本合同中发生的或与本合同有关的争端，双方应通过友好协商解决，经协商在</w:t>
      </w:r>
      <w:r>
        <w:rPr>
          <w:rFonts w:ascii="宋体" w:hAnsi="宋体" w:cs="宋体"/>
          <w:b/>
          <w:bCs/>
          <w:color w:val="000000" w:themeColor="text1"/>
          <w:sz w:val="24"/>
          <w:szCs w:val="24"/>
          <w14:textFill>
            <w14:solidFill>
              <w14:schemeClr w14:val="tx1"/>
            </w14:solidFill>
          </w14:textFill>
        </w:rPr>
        <w:t>15</w:t>
      </w:r>
      <w:r>
        <w:rPr>
          <w:rFonts w:ascii="宋体" w:hAnsi="宋体" w:cs="宋体"/>
          <w:color w:val="000000" w:themeColor="text1"/>
          <w:sz w:val="24"/>
          <w:szCs w:val="24"/>
          <w14:textFill>
            <w14:solidFill>
              <w14:schemeClr w14:val="tx1"/>
            </w14:solidFill>
          </w14:textFill>
        </w:rPr>
        <w:t>日内不能达成协议时，可以向甲方住所地的法院提出诉讼。</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由于不可抗力致合同不能履行的，双方均不承担违约责任，共同协商变更或解除合同。</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60" w:name="_Toc26977683"/>
      <w:bookmarkStart w:id="61" w:name="_Toc527480431"/>
      <w:bookmarkStart w:id="62" w:name="_Toc55308067"/>
      <w:r>
        <w:rPr>
          <w:rFonts w:ascii="宋体" w:hAnsi="宋体" w:cs="宋体"/>
          <w:color w:val="000000" w:themeColor="text1"/>
          <w:sz w:val="24"/>
          <w:szCs w:val="24"/>
          <w14:textFill>
            <w14:solidFill>
              <w14:schemeClr w14:val="tx1"/>
            </w14:solidFill>
          </w14:textFill>
        </w:rPr>
        <w:t>十六、不可抗力</w:t>
      </w:r>
      <w:bookmarkEnd w:id="60"/>
      <w:bookmarkEnd w:id="61"/>
      <w:bookmarkEnd w:id="62"/>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（一）不可抗力是指如战争、火灾、台风、洪水、地震或其它双方共认为属于不可抗力的因素，不可抗力的确认要依据双方共同认可的权威机构所提供的具有法律效应的证明文件。</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（二）如果双方中任何一方因为不可抗力，而被迫停止或者推迟合同的执行，经双方协商一致，则合同执行可相应延迟，延迟的时间等于不可抗力发生作用的时间。</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（三）受影响的一方应将不可抗力的发生尽快通过书面形式通知另一方。</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（四）受影响的一方应在不可抗力终止或被排除后 7 日内通过书面形式通知另一方，告之另一方不可抗力已终结或排除。</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（五）如果不可抗力的影响超过 1个月，一方应与对方取得联系，以便解决履行合同的问题。如果不可抗力的影响持续超过2个月，经甲乙双方协商一致，可变更或终止本合同。</w:t>
      </w:r>
    </w:p>
    <w:p>
      <w:pPr>
        <w:pStyle w:val="35"/>
        <w:spacing w:before="0" w:beforeAutospacing="0" w:after="0" w:afterAutospacing="0" w:line="480" w:lineRule="exact"/>
        <w:rPr>
          <w:rFonts w:ascii="宋体" w:hAnsi="宋体" w:cs="宋体"/>
          <w:color w:val="000000" w:themeColor="text1"/>
          <w:sz w:val="24"/>
          <w:szCs w:val="24"/>
          <w14:textFill>
            <w14:solidFill>
              <w14:schemeClr w14:val="tx1"/>
            </w14:solidFill>
          </w14:textFill>
        </w:rPr>
      </w:pPr>
      <w:bookmarkStart w:id="63" w:name="_Toc514318596"/>
      <w:bookmarkStart w:id="64" w:name="_Toc55308068"/>
      <w:bookmarkStart w:id="65" w:name="_Toc26977684"/>
      <w:r>
        <w:rPr>
          <w:rFonts w:ascii="宋体" w:hAnsi="宋体" w:cs="宋体"/>
          <w:color w:val="000000" w:themeColor="text1"/>
          <w:sz w:val="24"/>
          <w:szCs w:val="24"/>
          <w14:textFill>
            <w14:solidFill>
              <w14:schemeClr w14:val="tx1"/>
            </w14:solidFill>
          </w14:textFill>
        </w:rPr>
        <w:t>十七、其它</w:t>
      </w:r>
      <w:bookmarkEnd w:id="63"/>
      <w:bookmarkEnd w:id="64"/>
      <w:bookmarkEnd w:id="65"/>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（一）除甲方事先同意外，乙方不得转让部分或全部其应履行的合同义务。乙方应书面通知甲方本合同项下所授予的所有分包合同，但该通知不解除乙方承担的本合同项下的任何责任或义务。</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（二）乙方须保障甲方在使用其提供的服务时不受到第三方关于侵犯专利权、商标权等知识产权的指控。任何第三方如果提出侵权指控，乙方须承担由此而引起的一切法律责任和费用。</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（三）下述文件为本合同不可分割的组成部分，并与本合同具有同等法律效力，本合同没有约定的，按下列文件的相关规定执行：</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招标文件及修改与补充、澄清；中标通知书和本合同所有附件；乙方的投标文件及询标过程中的书面答疑记录；投标中的承诺函、报价。</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（四）在履行合同中，乙方需根据甲方的需求提供相应资料。</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（五）本合同按中华人民共和国的相关法律解释。</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（六）本合同文本不得涂改，如需修改，经双方一致同意，共同签署补充协议。 </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（七）本合同用中文书写，买卖双方所有的来往函电以及与合同有关的文件均应以中文书写。除另有规定外，本合同计量单位均使用中华人民共和国法定计量单位。</w:t>
      </w:r>
    </w:p>
    <w:p>
      <w:pPr>
        <w:pStyle w:val="30"/>
        <w:spacing w:line="480" w:lineRule="exact"/>
        <w:ind w:left="420" w:leftChars="200"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（八）本合同任何一方给另一方的通知都应以书面或传真的形式发送，而另一方应以书面形式确认并发送到对方明确的地址。</w:t>
      </w:r>
    </w:p>
    <w:p>
      <w:pPr>
        <w:pStyle w:val="30"/>
        <w:spacing w:line="480" w:lineRule="exact"/>
        <w:ind w:left="420" w:leftChars="200" w:firstLine="480" w:firstLineChars="200"/>
        <w:rPr>
          <w:rFonts w:ascii="宋体" w:hAnsi="宋体" w:cs="宋体"/>
          <w:color w:val="00B0F0"/>
          <w:sz w:val="24"/>
          <w:szCs w:val="24"/>
        </w:rPr>
      </w:pPr>
    </w:p>
    <w:p>
      <w:pPr>
        <w:pStyle w:val="30"/>
        <w:spacing w:line="480" w:lineRule="exact"/>
        <w:rPr>
          <w:rFonts w:ascii="宋体" w:hAnsi="宋体" w:cs="宋体"/>
          <w:b/>
          <w:color w:val="000000" w:themeColor="text1"/>
          <w:sz w:val="24"/>
          <w:szCs w:val="24"/>
          <w14:textFill>
            <w14:solidFill>
              <w14:schemeClr w14:val="tx1"/>
            </w14:solidFill>
          </w14:textFill>
        </w:rPr>
      </w:pPr>
      <w:bookmarkStart w:id="66" w:name="_Toc26977685"/>
      <w:r>
        <w:rPr>
          <w:rFonts w:ascii="宋体" w:hAnsi="宋体" w:cs="宋体"/>
          <w:b/>
          <w:color w:val="000000" w:themeColor="text1"/>
          <w:sz w:val="24"/>
          <w:szCs w:val="24"/>
          <w14:textFill>
            <w14:solidFill>
              <w14:schemeClr w14:val="tx1"/>
            </w14:solidFill>
          </w14:textFill>
        </w:rPr>
        <w:t>本合同一式捌份，甲方持肆份，乙方持肆份。</w:t>
      </w:r>
      <w:bookmarkEnd w:id="66"/>
    </w:p>
    <w:p>
      <w:pPr>
        <w:pStyle w:val="31"/>
        <w:spacing w:beforeLines="0" w:beforeAutospacing="0" w:after="0" w:afterAutospacing="0" w:line="480" w:lineRule="exact"/>
        <w:rPr>
          <w:rFonts w:ascii="宋体" w:hAnsi="宋体" w:cs="宋体"/>
          <w:color w:val="000000" w:themeColor="text1"/>
          <w:sz w:val="24"/>
          <w:szCs w:val="24"/>
          <w14:textFill>
            <w14:solidFill>
              <w14:schemeClr w14:val="tx1"/>
            </w14:solidFill>
          </w14:textFill>
        </w:rPr>
      </w:pPr>
    </w:p>
    <w:p>
      <w:pPr>
        <w:pStyle w:val="30"/>
        <w:spacing w:line="480" w:lineRule="exact"/>
        <w:rPr>
          <w:rFonts w:ascii="宋体" w:hAnsi="宋体" w:cs="宋体"/>
          <w:b/>
          <w:color w:val="000000" w:themeColor="text1"/>
          <w:sz w:val="24"/>
          <w:szCs w:val="24"/>
          <w14:textFill>
            <w14:solidFill>
              <w14:schemeClr w14:val="tx1"/>
            </w14:solidFill>
          </w14:textFill>
        </w:rPr>
      </w:pPr>
      <w:bookmarkStart w:id="67" w:name="_Toc26977686"/>
      <w:r>
        <w:rPr>
          <w:rFonts w:ascii="宋体" w:hAnsi="宋体" w:cs="宋体"/>
          <w:b/>
          <w:color w:val="000000" w:themeColor="text1"/>
          <w:sz w:val="24"/>
          <w:szCs w:val="24"/>
          <w14:textFill>
            <w14:solidFill>
              <w14:schemeClr w14:val="tx1"/>
            </w14:solidFill>
          </w14:textFill>
        </w:rPr>
        <w:t>附件一：合同分项价款明细表</w:t>
      </w:r>
      <w:bookmarkEnd w:id="67"/>
    </w:p>
    <w:p>
      <w:pPr>
        <w:pStyle w:val="30"/>
        <w:spacing w:line="480" w:lineRule="exact"/>
        <w:rPr>
          <w:rFonts w:ascii="宋体" w:hAnsi="宋体" w:cs="宋体"/>
          <w:b/>
          <w:color w:val="000000" w:themeColor="text1"/>
          <w:sz w:val="24"/>
          <w:szCs w:val="24"/>
          <w14:textFill>
            <w14:solidFill>
              <w14:schemeClr w14:val="tx1"/>
            </w14:solidFill>
          </w14:textFill>
        </w:rPr>
      </w:pPr>
      <w:bookmarkStart w:id="68" w:name="_Toc26977687"/>
      <w:r>
        <w:rPr>
          <w:rFonts w:ascii="宋体" w:hAnsi="宋体" w:cs="宋体"/>
          <w:b/>
          <w:color w:val="000000" w:themeColor="text1"/>
          <w:sz w:val="24"/>
          <w:szCs w:val="24"/>
          <w14:textFill>
            <w14:solidFill>
              <w14:schemeClr w14:val="tx1"/>
            </w14:solidFill>
          </w14:textFill>
        </w:rPr>
        <w:t>附件二：监测设施详细表</w:t>
      </w:r>
      <w:bookmarkEnd w:id="68"/>
    </w:p>
    <w:p>
      <w:pPr>
        <w:pStyle w:val="30"/>
        <w:spacing w:line="480" w:lineRule="exact"/>
        <w:rPr>
          <w:rFonts w:ascii="宋体" w:hAnsi="宋体" w:cs="宋体"/>
          <w:b/>
          <w:color w:val="000000" w:themeColor="text1"/>
          <w:sz w:val="24"/>
          <w:szCs w:val="24"/>
          <w14:textFill>
            <w14:solidFill>
              <w14:schemeClr w14:val="tx1"/>
            </w14:solidFill>
          </w14:textFill>
        </w:rPr>
        <w:sectPr>
          <w:headerReference r:id="rId4" w:type="default"/>
          <w:footerReference r:id="rId5" w:type="default"/>
          <w:pgSz w:w="11906" w:h="16838"/>
          <w:pgMar w:top="1440" w:right="1800" w:bottom="1440" w:left="1800" w:header="851" w:footer="992" w:gutter="0"/>
          <w:pgNumType w:fmt="numberInDash" w:start="1"/>
          <w:formProt w:val="0"/>
          <w:docGrid w:type="lines" w:linePitch="312" w:charSpace="233266"/>
        </w:sectPr>
      </w:pPr>
      <w:r>
        <w:rPr>
          <w:rFonts w:ascii="宋体" w:hAnsi="宋体" w:cs="宋体"/>
          <w:b/>
          <w:color w:val="000000" w:themeColor="text1"/>
          <w:sz w:val="24"/>
          <w:szCs w:val="24"/>
          <w14:textFill>
            <w14:solidFill>
              <w14:schemeClr w14:val="tx1"/>
            </w14:solidFill>
          </w14:textFill>
        </w:rPr>
        <w:t>附件三：项目绩效</w:t>
      </w:r>
      <w:bookmarkStart w:id="69" w:name="_Toc26977688"/>
      <w:bookmarkEnd w:id="69"/>
      <w:r>
        <w:rPr>
          <w:rFonts w:ascii="宋体" w:hAnsi="宋体" w:cs="宋体"/>
          <w:b/>
          <w:color w:val="000000" w:themeColor="text1"/>
          <w:sz w:val="24"/>
          <w:szCs w:val="24"/>
          <w14:textFill>
            <w14:solidFill>
              <w14:schemeClr w14:val="tx1"/>
            </w14:solidFill>
          </w14:textFill>
        </w:rPr>
        <w:t>评估指标</w:t>
      </w:r>
    </w:p>
    <w:p>
      <w:pPr>
        <w:pStyle w:val="30"/>
        <w:spacing w:line="480" w:lineRule="exact"/>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(此页为签字页，无正文)</w:t>
      </w:r>
    </w:p>
    <w:p>
      <w:pPr>
        <w:pStyle w:val="31"/>
        <w:spacing w:beforeLines="0" w:beforeAutospacing="0" w:after="0" w:afterAutospacing="0" w:line="480" w:lineRule="exact"/>
        <w:rPr>
          <w:rFonts w:ascii="宋体" w:hAnsi="宋体" w:cs="宋体"/>
          <w:color w:val="000000" w:themeColor="text1"/>
          <w:sz w:val="24"/>
          <w:szCs w:val="24"/>
          <w14:textFill>
            <w14:solidFill>
              <w14:schemeClr w14:val="tx1"/>
            </w14:solidFill>
          </w14:textFill>
        </w:rPr>
      </w:pPr>
    </w:p>
    <w:p>
      <w:pPr>
        <w:pStyle w:val="30"/>
        <w:spacing w:line="480" w:lineRule="exact"/>
        <w:rPr>
          <w:rFonts w:ascii="宋体" w:hAnsi="宋体" w:cs="宋体"/>
          <w:bCs/>
          <w:sz w:val="24"/>
          <w:szCs w:val="24"/>
        </w:rPr>
      </w:pPr>
    </w:p>
    <w:p>
      <w:pPr>
        <w:pStyle w:val="30"/>
        <w:spacing w:line="480" w:lineRule="exact"/>
        <w:rPr>
          <w:rFonts w:ascii="宋体" w:hAnsi="宋体" w:cs="宋体"/>
          <w:bCs/>
          <w:sz w:val="24"/>
          <w:szCs w:val="24"/>
        </w:rPr>
      </w:pPr>
      <w:r>
        <w:rPr>
          <w:rFonts w:ascii="宋体" w:hAnsi="宋体" w:cs="宋体"/>
          <w:bCs/>
          <w:sz w:val="24"/>
          <w:szCs w:val="24"/>
        </w:rPr>
        <w:t xml:space="preserve">甲方：  </w:t>
      </w:r>
      <w:r>
        <w:rPr>
          <w:rFonts w:ascii="宋体" w:hAnsi="宋体" w:cs="宋体"/>
          <w:bCs/>
          <w:sz w:val="24"/>
          <w:szCs w:val="24"/>
        </w:rPr>
        <w:tab/>
      </w:r>
      <w:r>
        <w:rPr>
          <w:rFonts w:ascii="宋体" w:hAnsi="宋体" w:cs="宋体"/>
          <w:bCs/>
          <w:sz w:val="24"/>
          <w:szCs w:val="24"/>
        </w:rPr>
        <w:t>负责人或授权代表（签字）：</w:t>
      </w:r>
    </w:p>
    <w:p>
      <w:pPr>
        <w:pStyle w:val="30"/>
        <w:spacing w:line="480" w:lineRule="exact"/>
        <w:rPr>
          <w:rFonts w:ascii="宋体" w:hAnsi="宋体" w:cs="宋体"/>
          <w:bCs/>
          <w:sz w:val="24"/>
          <w:szCs w:val="24"/>
        </w:rPr>
      </w:pPr>
      <w:r>
        <w:rPr>
          <w:rFonts w:ascii="宋体" w:hAnsi="宋体" w:cs="宋体"/>
          <w:bCs/>
          <w:sz w:val="24"/>
          <w:szCs w:val="24"/>
        </w:rPr>
        <w:t>地址：</w:t>
      </w:r>
    </w:p>
    <w:p>
      <w:pPr>
        <w:pStyle w:val="30"/>
        <w:spacing w:line="480" w:lineRule="exact"/>
        <w:rPr>
          <w:rFonts w:ascii="宋体" w:hAnsi="宋体" w:cs="宋体"/>
          <w:bCs/>
          <w:sz w:val="24"/>
          <w:szCs w:val="24"/>
        </w:rPr>
      </w:pPr>
      <w:r>
        <w:rPr>
          <w:rFonts w:ascii="宋体" w:hAnsi="宋体" w:cs="宋体"/>
          <w:bCs/>
          <w:sz w:val="24"/>
          <w:szCs w:val="24"/>
        </w:rPr>
        <w:t>开户银行：</w:t>
      </w:r>
      <w:r>
        <w:rPr>
          <w:rFonts w:ascii="宋体" w:hAnsi="宋体" w:cs="宋体"/>
          <w:sz w:val="24"/>
          <w:szCs w:val="24"/>
        </w:rPr>
        <w:t xml:space="preserve"> </w:t>
      </w:r>
      <w:r>
        <w:rPr>
          <w:rFonts w:ascii="宋体" w:hAnsi="宋体" w:cs="宋体"/>
          <w:bCs/>
          <w:sz w:val="24"/>
          <w:szCs w:val="24"/>
        </w:rPr>
        <w:t>帐号：</w:t>
      </w:r>
      <w:r>
        <w:rPr>
          <w:rFonts w:ascii="宋体" w:hAnsi="宋体" w:cs="宋体"/>
          <w:sz w:val="24"/>
          <w:szCs w:val="24"/>
        </w:rPr>
        <w:t xml:space="preserve"> </w:t>
      </w:r>
    </w:p>
    <w:p>
      <w:pPr>
        <w:pStyle w:val="30"/>
        <w:spacing w:line="480" w:lineRule="exact"/>
        <w:rPr>
          <w:rFonts w:ascii="宋体" w:hAnsi="宋体" w:cs="宋体"/>
          <w:bCs/>
          <w:sz w:val="24"/>
          <w:szCs w:val="24"/>
        </w:rPr>
      </w:pPr>
      <w:r>
        <w:rPr>
          <w:rFonts w:ascii="宋体" w:hAnsi="宋体" w:cs="宋体"/>
          <w:bCs/>
          <w:sz w:val="24"/>
          <w:szCs w:val="24"/>
        </w:rPr>
        <w:t>邮编：</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固定电话：</w:t>
      </w:r>
      <w:r>
        <w:rPr>
          <w:rFonts w:ascii="宋体" w:hAnsi="宋体" w:cs="宋体"/>
          <w:sz w:val="24"/>
          <w:szCs w:val="24"/>
        </w:rPr>
        <w:t xml:space="preserve"> </w:t>
      </w:r>
      <w:r>
        <w:rPr>
          <w:rFonts w:ascii="宋体" w:hAnsi="宋体" w:cs="宋体"/>
          <w:bCs/>
          <w:sz w:val="24"/>
          <w:szCs w:val="24"/>
        </w:rPr>
        <w:tab/>
      </w:r>
      <w:r>
        <w:rPr>
          <w:rFonts w:ascii="宋体" w:hAnsi="宋体" w:cs="宋体"/>
          <w:bCs/>
          <w:sz w:val="24"/>
          <w:szCs w:val="24"/>
        </w:rPr>
        <w:t xml:space="preserve">传真： </w:t>
      </w:r>
    </w:p>
    <w:p>
      <w:pPr>
        <w:pStyle w:val="30"/>
        <w:spacing w:line="480" w:lineRule="exact"/>
        <w:rPr>
          <w:rFonts w:ascii="宋体" w:hAnsi="宋体" w:cs="宋体"/>
          <w:bCs/>
          <w:sz w:val="24"/>
          <w:szCs w:val="24"/>
          <w:u w:val="single"/>
        </w:rPr>
      </w:pPr>
      <w:r>
        <w:rPr>
          <w:rFonts w:ascii="宋体" w:hAnsi="宋体" w:cs="宋体"/>
          <w:bCs/>
          <w:sz w:val="24"/>
          <w:szCs w:val="24"/>
        </w:rPr>
        <w:t>联系人：</w:t>
      </w:r>
      <w:r>
        <w:rPr>
          <w:rFonts w:ascii="宋体" w:hAnsi="宋体" w:cs="宋体"/>
          <w:sz w:val="24"/>
          <w:szCs w:val="24"/>
        </w:rPr>
        <w:t xml:space="preserve"> </w:t>
      </w:r>
      <w:r>
        <w:rPr>
          <w:rFonts w:ascii="宋体" w:hAnsi="宋体" w:cs="宋体"/>
          <w:bCs/>
          <w:sz w:val="24"/>
          <w:szCs w:val="24"/>
        </w:rPr>
        <w:tab/>
      </w:r>
      <w:r>
        <w:rPr>
          <w:rFonts w:ascii="宋体" w:hAnsi="宋体" w:cs="宋体"/>
          <w:bCs/>
          <w:sz w:val="24"/>
          <w:szCs w:val="24"/>
        </w:rPr>
        <w:t>手机：</w:t>
      </w:r>
      <w:r>
        <w:rPr>
          <w:rFonts w:ascii="宋体" w:hAnsi="宋体" w:cs="宋体"/>
          <w:sz w:val="24"/>
          <w:szCs w:val="24"/>
        </w:rPr>
        <w:t xml:space="preserve"> </w:t>
      </w:r>
      <w:r>
        <w:rPr>
          <w:rFonts w:ascii="宋体" w:hAnsi="宋体" w:cs="宋体"/>
          <w:bCs/>
          <w:sz w:val="24"/>
          <w:szCs w:val="24"/>
        </w:rPr>
        <w:t>　</w:t>
      </w:r>
      <w:r>
        <w:rPr>
          <w:rFonts w:ascii="宋体" w:hAnsi="宋体" w:cs="宋体"/>
          <w:bCs/>
          <w:sz w:val="24"/>
          <w:szCs w:val="24"/>
        </w:rPr>
        <w:tab/>
      </w:r>
      <w:r>
        <w:rPr>
          <w:rFonts w:ascii="宋体" w:hAnsi="宋体" w:cs="宋体"/>
          <w:bCs/>
          <w:sz w:val="24"/>
          <w:szCs w:val="24"/>
        </w:rPr>
        <w:t xml:space="preserve">E－mail: </w:t>
      </w:r>
      <w:r>
        <w:rPr>
          <w:rFonts w:ascii="宋体" w:hAnsi="宋体" w:cs="宋体"/>
          <w:sz w:val="24"/>
          <w:szCs w:val="24"/>
        </w:rPr>
        <w:t xml:space="preserve"> </w:t>
      </w:r>
    </w:p>
    <w:p>
      <w:pPr>
        <w:pStyle w:val="30"/>
        <w:spacing w:line="480" w:lineRule="exact"/>
        <w:rPr>
          <w:rFonts w:ascii="宋体" w:hAnsi="宋体" w:cs="宋体"/>
          <w:bCs/>
          <w:sz w:val="24"/>
          <w:szCs w:val="24"/>
        </w:rPr>
      </w:pPr>
    </w:p>
    <w:p>
      <w:pPr>
        <w:pStyle w:val="30"/>
        <w:spacing w:line="480" w:lineRule="exact"/>
        <w:rPr>
          <w:rFonts w:ascii="宋体" w:hAnsi="宋体" w:cs="宋体"/>
          <w:bCs/>
          <w:sz w:val="24"/>
          <w:szCs w:val="24"/>
        </w:rPr>
      </w:pPr>
      <w:r>
        <w:rPr>
          <w:rFonts w:ascii="宋体" w:hAnsi="宋体" w:cs="宋体"/>
          <w:bCs/>
          <w:sz w:val="24"/>
          <w:szCs w:val="24"/>
        </w:rPr>
        <w:t>乙方：</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负责人或授权代表（签字）：</w:t>
      </w:r>
    </w:p>
    <w:p>
      <w:pPr>
        <w:pStyle w:val="30"/>
        <w:spacing w:line="480" w:lineRule="exact"/>
        <w:rPr>
          <w:rFonts w:ascii="宋体" w:hAnsi="宋体" w:cs="宋体"/>
          <w:bCs/>
          <w:sz w:val="24"/>
          <w:szCs w:val="24"/>
        </w:rPr>
      </w:pPr>
      <w:r>
        <w:rPr>
          <w:rFonts w:ascii="宋体" w:hAnsi="宋体" w:cs="宋体"/>
          <w:bCs/>
          <w:sz w:val="24"/>
          <w:szCs w:val="24"/>
        </w:rPr>
        <w:t>地址:</w:t>
      </w:r>
    </w:p>
    <w:p>
      <w:pPr>
        <w:pStyle w:val="30"/>
        <w:spacing w:line="480" w:lineRule="exact"/>
        <w:rPr>
          <w:rFonts w:ascii="宋体" w:hAnsi="宋体" w:cs="宋体"/>
          <w:bCs/>
          <w:sz w:val="24"/>
          <w:szCs w:val="24"/>
        </w:rPr>
      </w:pPr>
      <w:r>
        <w:rPr>
          <w:rFonts w:ascii="宋体" w:hAnsi="宋体" w:cs="宋体"/>
          <w:bCs/>
          <w:sz w:val="24"/>
          <w:szCs w:val="24"/>
        </w:rPr>
        <w:t>开户银行：</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帐号：</w:t>
      </w:r>
    </w:p>
    <w:p>
      <w:pPr>
        <w:pStyle w:val="30"/>
        <w:spacing w:line="480" w:lineRule="exact"/>
        <w:rPr>
          <w:rFonts w:ascii="宋体" w:hAnsi="宋体" w:cs="宋体"/>
          <w:bCs/>
          <w:sz w:val="24"/>
          <w:szCs w:val="24"/>
        </w:rPr>
      </w:pPr>
      <w:r>
        <w:rPr>
          <w:rFonts w:ascii="宋体" w:hAnsi="宋体" w:cs="宋体"/>
          <w:bCs/>
          <w:sz w:val="24"/>
          <w:szCs w:val="24"/>
        </w:rPr>
        <w:t>邮编：</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固定电话：</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传真：　</w:t>
      </w:r>
    </w:p>
    <w:p>
      <w:pPr>
        <w:pStyle w:val="30"/>
        <w:spacing w:line="480" w:lineRule="exact"/>
        <w:rPr>
          <w:rFonts w:ascii="宋体" w:hAnsi="宋体" w:cs="宋体"/>
          <w:bCs/>
          <w:sz w:val="24"/>
          <w:szCs w:val="24"/>
        </w:rPr>
      </w:pPr>
      <w:r>
        <w:rPr>
          <w:rFonts w:ascii="宋体" w:hAnsi="宋体" w:cs="宋体"/>
          <w:bCs/>
          <w:sz w:val="24"/>
          <w:szCs w:val="24"/>
        </w:rPr>
        <w:t>联系人：</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手机：</w:t>
      </w:r>
      <w:r>
        <w:rPr>
          <w:rFonts w:ascii="宋体" w:hAnsi="宋体" w:cs="宋体"/>
          <w:bCs/>
          <w:sz w:val="24"/>
          <w:szCs w:val="24"/>
        </w:rPr>
        <w:tab/>
      </w:r>
      <w:r>
        <w:rPr>
          <w:rFonts w:ascii="宋体" w:hAnsi="宋体" w:cs="宋体"/>
          <w:bCs/>
          <w:sz w:val="24"/>
          <w:szCs w:val="24"/>
        </w:rPr>
        <w:tab/>
      </w:r>
      <w:r>
        <w:rPr>
          <w:rFonts w:ascii="宋体" w:hAnsi="宋体" w:cs="宋体"/>
          <w:bCs/>
          <w:sz w:val="24"/>
          <w:szCs w:val="24"/>
        </w:rPr>
        <w:t>E－mail:</w:t>
      </w:r>
    </w:p>
    <w:p>
      <w:pPr>
        <w:pStyle w:val="30"/>
        <w:spacing w:line="480" w:lineRule="exact"/>
        <w:rPr>
          <w:rFonts w:ascii="宋体" w:hAnsi="宋体" w:cs="宋体"/>
          <w:bCs/>
          <w:sz w:val="24"/>
          <w:szCs w:val="24"/>
        </w:rPr>
      </w:pPr>
      <w:r>
        <w:rPr>
          <w:rFonts w:ascii="宋体" w:hAnsi="宋体" w:cs="宋体"/>
          <w:bCs/>
          <w:sz w:val="24"/>
          <w:szCs w:val="24"/>
        </w:rPr>
        <w:tab/>
      </w:r>
      <w:r>
        <w:rPr>
          <w:rFonts w:ascii="宋体" w:hAnsi="宋体" w:cs="宋体"/>
          <w:bCs/>
          <w:sz w:val="24"/>
          <w:szCs w:val="24"/>
        </w:rPr>
        <w:tab/>
      </w:r>
    </w:p>
    <w:p>
      <w:pPr>
        <w:spacing w:line="460" w:lineRule="exact"/>
        <w:rPr>
          <w:rStyle w:val="26"/>
          <w:rFonts w:hint="eastAsia" w:ascii="仿宋_GB2312" w:hAnsi="仿宋_GB2312" w:eastAsia="仿宋_GB2312" w:cs="仿宋_GB2312"/>
          <w:b w:val="0"/>
          <w:sz w:val="32"/>
          <w:szCs w:val="32"/>
        </w:rPr>
      </w:pPr>
      <w:r>
        <w:rPr>
          <w:rFonts w:ascii="宋体" w:hAnsi="宋体" w:cs="宋体"/>
          <w:bCs/>
          <w:sz w:val="24"/>
          <w:szCs w:val="24"/>
        </w:rPr>
        <w:t>签订时间：   年    月     日</w:t>
      </w:r>
    </w:p>
    <w:p>
      <w:pPr>
        <w:spacing w:line="520" w:lineRule="exact"/>
        <w:rPr>
          <w:rFonts w:ascii="宋体" w:hAnsi="宋体"/>
          <w:bCs/>
          <w:sz w:val="24"/>
        </w:rPr>
      </w:pPr>
    </w:p>
    <w:p>
      <w:pPr>
        <w:pStyle w:val="8"/>
        <w:ind w:firstLine="240"/>
        <w:rPr>
          <w:rFonts w:ascii="宋体" w:hAnsi="宋体"/>
          <w:bCs/>
          <w:sz w:val="24"/>
        </w:rPr>
      </w:pPr>
    </w:p>
    <w:p>
      <w:pPr>
        <w:pStyle w:val="8"/>
        <w:ind w:firstLine="240"/>
        <w:rPr>
          <w:rFonts w:ascii="宋体" w:hAnsi="宋体"/>
          <w:bCs/>
          <w:sz w:val="24"/>
        </w:rPr>
      </w:pPr>
    </w:p>
    <w:p>
      <w:pPr>
        <w:pStyle w:val="8"/>
        <w:ind w:firstLine="240"/>
        <w:rPr>
          <w:rFonts w:ascii="宋体" w:hAnsi="宋体"/>
          <w:bCs/>
          <w:sz w:val="24"/>
        </w:rPr>
      </w:pPr>
    </w:p>
    <w:p>
      <w:pPr>
        <w:pStyle w:val="8"/>
        <w:ind w:firstLine="240"/>
        <w:rPr>
          <w:rFonts w:ascii="宋体" w:hAnsi="宋体"/>
          <w:bCs/>
          <w:sz w:val="24"/>
        </w:rPr>
      </w:pPr>
    </w:p>
    <w:p>
      <w:pPr>
        <w:pStyle w:val="8"/>
        <w:ind w:firstLine="240"/>
        <w:rPr>
          <w:rFonts w:ascii="宋体" w:hAnsi="宋体"/>
          <w:bCs/>
          <w:sz w:val="24"/>
        </w:rPr>
      </w:pPr>
    </w:p>
    <w:p>
      <w:pPr>
        <w:pStyle w:val="3"/>
        <w:tabs>
          <w:tab w:val="left" w:pos="360"/>
        </w:tabs>
        <w:spacing w:after="100" w:afterAutospacing="1" w:line="400" w:lineRule="atLeast"/>
        <w:rPr>
          <w:rFonts w:ascii="Arial" w:hAnsi="Arial" w:cs="Arial"/>
          <w:sz w:val="32"/>
          <w:szCs w:val="32"/>
        </w:rPr>
      </w:pPr>
      <w:r>
        <w:rPr>
          <w:rFonts w:ascii="Arial" w:hAnsi="Arial" w:cs="Arial"/>
          <w:sz w:val="32"/>
          <w:szCs w:val="32"/>
        </w:rPr>
        <w:br w:type="page"/>
      </w:r>
    </w:p>
    <w:p>
      <w:pPr>
        <w:pStyle w:val="3"/>
        <w:tabs>
          <w:tab w:val="left" w:pos="360"/>
        </w:tabs>
        <w:spacing w:after="100" w:afterAutospacing="1" w:line="400" w:lineRule="atLeast"/>
        <w:rPr>
          <w:rFonts w:ascii="Arial" w:hAnsi="Arial" w:cs="Arial"/>
          <w:sz w:val="32"/>
          <w:szCs w:val="32"/>
        </w:rPr>
      </w:pPr>
      <w:r>
        <w:rPr>
          <w:rFonts w:ascii="Arial" w:hAnsi="Arial" w:cs="Arial"/>
          <w:sz w:val="32"/>
          <w:szCs w:val="32"/>
        </w:rPr>
        <w:t>第五部分　</w:t>
      </w:r>
      <w:r>
        <w:rPr>
          <w:rFonts w:ascii="Arial" w:hAnsi="Arial" w:cs="Arial"/>
          <w:sz w:val="32"/>
          <w:szCs w:val="32"/>
          <w:lang w:val="zh-CN"/>
        </w:rPr>
        <w:t>投标文件格式</w:t>
      </w:r>
    </w:p>
    <w:p>
      <w:pPr>
        <w:spacing w:line="400" w:lineRule="atLeast"/>
        <w:jc w:val="center"/>
        <w:rPr>
          <w:rFonts w:ascii="Arial" w:hAnsi="Arial" w:cs="Arial"/>
          <w:sz w:val="24"/>
        </w:rPr>
      </w:pPr>
      <w:r>
        <w:rPr>
          <w:rFonts w:ascii="Arial" w:hAnsi="Arial" w:cs="Arial"/>
          <w:sz w:val="24"/>
        </w:rPr>
        <w:t>1、 投标文件封面</w:t>
      </w:r>
    </w:p>
    <w:p>
      <w:pPr>
        <w:spacing w:line="400" w:lineRule="exact"/>
        <w:jc w:val="center"/>
        <w:rPr>
          <w:rFonts w:ascii="宋体" w:hAnsi="宋体"/>
          <w:sz w:val="32"/>
          <w:szCs w:val="32"/>
        </w:rPr>
      </w:pPr>
      <w:r>
        <w:rPr>
          <w:rFonts w:ascii="宋体" w:hAnsi="宋体"/>
          <w:sz w:val="32"/>
          <w:szCs w:val="32"/>
        </w:rPr>
        <w:t>（投标文件封面）</w:t>
      </w:r>
    </w:p>
    <w:p>
      <w:pPr>
        <w:spacing w:line="400" w:lineRule="exact"/>
        <w:jc w:val="center"/>
        <w:rPr>
          <w:rFonts w:ascii="宋体" w:hAnsi="宋体"/>
          <w:sz w:val="32"/>
          <w:szCs w:val="32"/>
        </w:rPr>
      </w:pPr>
      <w:r>
        <w:rPr>
          <w:rFonts w:ascii="宋体" w:hAnsi="宋体" w:cs="宋体"/>
          <w:sz w:val="28"/>
        </w:rPr>
        <w:t xml:space="preserve">                                                     </w:t>
      </w:r>
      <w:r>
        <w:rPr>
          <w:rFonts w:ascii="宋体" w:hAnsi="宋体" w:cs="宋体"/>
          <w:sz w:val="28"/>
          <w:lang w:val="zh-CN"/>
        </w:rPr>
        <w:t>【正</w:t>
      </w:r>
      <w:r>
        <w:rPr>
          <w:rFonts w:ascii="宋体" w:hAnsi="宋体" w:cs="宋体"/>
          <w:sz w:val="28"/>
        </w:rPr>
        <w:t>/</w:t>
      </w:r>
      <w:r>
        <w:rPr>
          <w:rFonts w:ascii="宋体" w:hAnsi="宋体" w:cs="宋体"/>
          <w:sz w:val="28"/>
          <w:lang w:val="zh-CN"/>
        </w:rPr>
        <w:t>副本】</w:t>
      </w: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ind w:firstLine="420" w:firstLineChars="200"/>
        <w:rPr>
          <w:rFonts w:ascii="宋体" w:hAnsi="宋体"/>
        </w:rPr>
      </w:pPr>
    </w:p>
    <w:p>
      <w:pPr>
        <w:jc w:val="center"/>
        <w:rPr>
          <w:rFonts w:ascii="宋体" w:hAnsi="宋体"/>
          <w:sz w:val="28"/>
          <w:szCs w:val="28"/>
        </w:rPr>
      </w:pPr>
      <w:r>
        <w:rPr>
          <w:rFonts w:ascii="宋体" w:hAnsi="宋体"/>
          <w:sz w:val="28"/>
          <w:szCs w:val="28"/>
          <w:u w:val="single"/>
        </w:rPr>
        <w:t>（项目名称）</w:t>
      </w:r>
    </w:p>
    <w:p>
      <w:pPr>
        <w:pStyle w:val="8"/>
        <w:ind w:firstLine="1400" w:firstLineChars="500"/>
        <w:rPr>
          <w:rFonts w:ascii="宋体" w:hAnsi="宋体"/>
          <w:sz w:val="28"/>
          <w:szCs w:val="28"/>
        </w:rPr>
      </w:pPr>
    </w:p>
    <w:p>
      <w:pPr>
        <w:pStyle w:val="8"/>
        <w:ind w:firstLine="4200" w:firstLineChars="1500"/>
        <w:rPr>
          <w:rFonts w:ascii="宋体" w:hAnsi="宋体"/>
          <w:b/>
          <w:bCs/>
          <w:sz w:val="44"/>
          <w:szCs w:val="44"/>
        </w:rPr>
      </w:pPr>
      <w:r>
        <w:rPr>
          <w:rFonts w:ascii="宋体" w:hAnsi="宋体"/>
          <w:sz w:val="28"/>
          <w:szCs w:val="28"/>
        </w:rPr>
        <w:t>项目编号：</w:t>
      </w:r>
    </w:p>
    <w:p>
      <w:pPr>
        <w:pStyle w:val="8"/>
        <w:ind w:firstLine="442"/>
        <w:rPr>
          <w:rFonts w:ascii="宋体" w:hAnsi="宋体"/>
          <w:b/>
          <w:bCs/>
          <w:sz w:val="44"/>
          <w:szCs w:val="44"/>
        </w:rPr>
      </w:pPr>
    </w:p>
    <w:p>
      <w:pPr>
        <w:pStyle w:val="8"/>
        <w:ind w:firstLine="210"/>
        <w:rPr>
          <w:rFonts w:ascii="宋体" w:hAnsi="宋体"/>
          <w:b/>
          <w:bCs/>
          <w:sz w:val="44"/>
          <w:szCs w:val="44"/>
        </w:rPr>
      </w:pPr>
      <w:r>
        <w:t xml:space="preserve">                               </w:t>
      </w:r>
    </w:p>
    <w:p>
      <w:pPr>
        <w:rPr>
          <w:rFonts w:ascii="宋体" w:hAnsi="宋体"/>
          <w:b/>
          <w:bCs/>
          <w:sz w:val="28"/>
          <w:szCs w:val="28"/>
        </w:rPr>
      </w:pPr>
    </w:p>
    <w:p>
      <w:pPr>
        <w:spacing w:line="380" w:lineRule="exact"/>
        <w:rPr>
          <w:rFonts w:ascii="宋体" w:hAnsi="宋体"/>
        </w:rPr>
      </w:pPr>
    </w:p>
    <w:p>
      <w:pPr>
        <w:spacing w:line="500" w:lineRule="exact"/>
        <w:rPr>
          <w:rFonts w:ascii="宋体" w:hAnsi="宋体"/>
          <w:bCs/>
          <w:sz w:val="30"/>
          <w:szCs w:val="30"/>
        </w:rPr>
      </w:pPr>
    </w:p>
    <w:p>
      <w:pPr>
        <w:spacing w:line="500" w:lineRule="exact"/>
        <w:rPr>
          <w:rFonts w:ascii="宋体" w:hAnsi="宋体"/>
          <w:bCs/>
          <w:sz w:val="30"/>
          <w:szCs w:val="30"/>
        </w:rPr>
      </w:pPr>
    </w:p>
    <w:p>
      <w:pPr>
        <w:pStyle w:val="8"/>
        <w:ind w:firstLine="0" w:firstLineChars="0"/>
        <w:rPr>
          <w:rFonts w:ascii="宋体" w:hAnsi="宋体"/>
          <w:bCs/>
          <w:sz w:val="30"/>
          <w:szCs w:val="30"/>
        </w:rPr>
      </w:pPr>
    </w:p>
    <w:p>
      <w:pPr>
        <w:spacing w:line="500" w:lineRule="exact"/>
        <w:rPr>
          <w:rFonts w:ascii="宋体" w:hAnsi="宋体"/>
          <w:bCs/>
          <w:sz w:val="30"/>
          <w:szCs w:val="30"/>
        </w:rPr>
      </w:pPr>
    </w:p>
    <w:p>
      <w:pPr>
        <w:jc w:val="center"/>
        <w:rPr>
          <w:rFonts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（盖单位章）</w:t>
      </w:r>
    </w:p>
    <w:p>
      <w:pPr>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jc w:val="center"/>
        <w:rPr>
          <w:rFonts w:ascii="宋体" w:hAnsi="宋体"/>
          <w:sz w:val="28"/>
          <w:szCs w:val="28"/>
        </w:rPr>
      </w:pPr>
      <w:r>
        <w:t xml:space="preserve">    </w:t>
      </w:r>
      <w:r>
        <w:rPr>
          <w:rFonts w:ascii="宋体" w:hAnsi="宋体"/>
          <w:sz w:val="28"/>
          <w:szCs w:val="28"/>
        </w:rPr>
        <w:t xml:space="preserve">   年        月        日</w:t>
      </w:r>
    </w:p>
    <w:p>
      <w:pPr>
        <w:jc w:val="center"/>
        <w:rPr>
          <w:rFonts w:ascii="宋体" w:hAnsi="宋体"/>
          <w:sz w:val="28"/>
          <w:szCs w:val="28"/>
        </w:rPr>
        <w:sectPr>
          <w:footerReference r:id="rId8" w:type="first"/>
          <w:headerReference r:id="rId6" w:type="default"/>
          <w:footerReference r:id="rId7" w:type="default"/>
          <w:pgSz w:w="11907" w:h="16840"/>
          <w:pgMar w:top="1440" w:right="1080" w:bottom="1440" w:left="1080" w:header="851" w:footer="68" w:gutter="0"/>
          <w:pgNumType w:fmt="numberInDash"/>
          <w:cols w:space="720" w:num="1"/>
          <w:titlePg/>
          <w:docGrid w:type="lines" w:linePitch="409" w:charSpace="0"/>
        </w:sectPr>
      </w:pPr>
    </w:p>
    <w:p>
      <w:pPr>
        <w:keepNext/>
        <w:keepLines/>
        <w:autoSpaceDE w:val="0"/>
        <w:autoSpaceDN w:val="0"/>
        <w:spacing w:before="120" w:after="120" w:line="300" w:lineRule="auto"/>
        <w:rPr>
          <w:rFonts w:ascii="Arial" w:hAnsi="Arial" w:cs="Arial"/>
          <w:sz w:val="24"/>
        </w:rPr>
      </w:pPr>
    </w:p>
    <w:p>
      <w:pPr>
        <w:spacing w:line="400" w:lineRule="atLeast"/>
        <w:jc w:val="center"/>
        <w:rPr>
          <w:rFonts w:ascii="Arial" w:hAnsi="Arial" w:cs="Arial"/>
          <w:sz w:val="28"/>
          <w:szCs w:val="28"/>
        </w:rPr>
      </w:pPr>
      <w:r>
        <w:rPr>
          <w:rFonts w:ascii="Arial" w:hAnsi="Arial" w:cs="Arial"/>
          <w:sz w:val="28"/>
          <w:szCs w:val="28"/>
        </w:rPr>
        <w:t>1、 投标函</w:t>
      </w:r>
    </w:p>
    <w:p>
      <w:pPr>
        <w:spacing w:line="400" w:lineRule="atLeast"/>
        <w:rPr>
          <w:rFonts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pPr>
        <w:spacing w:line="400" w:lineRule="atLeast"/>
        <w:ind w:firstLine="555"/>
        <w:rPr>
          <w:rFonts w:ascii="Arial" w:hAnsi="Arial" w:cs="Arial"/>
          <w:sz w:val="24"/>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w:t>
      </w:r>
      <w:r>
        <w:rPr>
          <w:rFonts w:ascii="Arial" w:hAnsi="Arial" w:cs="Arial"/>
          <w:sz w:val="24"/>
          <w:u w:val="single"/>
        </w:rPr>
        <w:t>（姓名、职务）</w:t>
      </w:r>
      <w:r>
        <w:rPr>
          <w:rFonts w:ascii="Arial" w:hAnsi="Arial" w:cs="Arial"/>
          <w:sz w:val="24"/>
        </w:rPr>
        <w:t>经正式授权并代表供应商</w:t>
      </w:r>
      <w:r>
        <w:rPr>
          <w:rFonts w:ascii="Arial" w:hAnsi="Arial" w:cs="Arial"/>
          <w:sz w:val="24"/>
          <w:u w:val="single"/>
        </w:rPr>
        <w:t>（供应商名称、地址）</w:t>
      </w:r>
      <w:r>
        <w:rPr>
          <w:rFonts w:ascii="Arial" w:hAnsi="Arial" w:cs="Arial"/>
          <w:sz w:val="24"/>
        </w:rPr>
        <w:t>提交下述文件正本一份和副本四份。</w:t>
      </w:r>
    </w:p>
    <w:p>
      <w:pPr>
        <w:numPr>
          <w:ilvl w:val="0"/>
          <w:numId w:val="20"/>
        </w:numPr>
        <w:spacing w:line="400" w:lineRule="atLeast"/>
        <w:ind w:left="1258"/>
        <w:rPr>
          <w:rFonts w:ascii="Arial" w:hAnsi="Arial" w:cs="Arial"/>
          <w:sz w:val="24"/>
        </w:rPr>
      </w:pPr>
      <w:r>
        <w:rPr>
          <w:rFonts w:ascii="Arial" w:hAnsi="Arial" w:cs="Arial"/>
          <w:sz w:val="24"/>
        </w:rPr>
        <w:t>开标一览表</w:t>
      </w:r>
    </w:p>
    <w:p>
      <w:pPr>
        <w:numPr>
          <w:ilvl w:val="0"/>
          <w:numId w:val="20"/>
        </w:numPr>
        <w:spacing w:line="400" w:lineRule="atLeast"/>
        <w:ind w:left="1258"/>
        <w:rPr>
          <w:rFonts w:ascii="Arial" w:hAnsi="Arial" w:cs="Arial"/>
          <w:sz w:val="24"/>
        </w:rPr>
      </w:pPr>
      <w:r>
        <w:rPr>
          <w:rFonts w:ascii="Arial" w:hAnsi="Arial" w:cs="Arial"/>
          <w:sz w:val="24"/>
        </w:rPr>
        <w:t>投标分项报价表</w:t>
      </w:r>
    </w:p>
    <w:p>
      <w:pPr>
        <w:numPr>
          <w:ilvl w:val="0"/>
          <w:numId w:val="20"/>
        </w:numPr>
        <w:spacing w:line="400" w:lineRule="atLeast"/>
        <w:ind w:left="1258"/>
        <w:rPr>
          <w:rFonts w:ascii="Arial" w:hAnsi="Arial" w:cs="Arial"/>
          <w:sz w:val="24"/>
        </w:rPr>
      </w:pPr>
      <w:r>
        <w:rPr>
          <w:rFonts w:hint="eastAsia" w:ascii="Arial" w:hAnsi="Arial" w:cs="Arial"/>
          <w:sz w:val="24"/>
        </w:rPr>
        <w:t>服务需求偏离表</w:t>
      </w:r>
    </w:p>
    <w:p>
      <w:pPr>
        <w:numPr>
          <w:ilvl w:val="0"/>
          <w:numId w:val="20"/>
        </w:numPr>
        <w:spacing w:line="400" w:lineRule="atLeast"/>
        <w:ind w:left="1258"/>
        <w:rPr>
          <w:rFonts w:ascii="Arial" w:hAnsi="Arial" w:cs="Arial"/>
          <w:sz w:val="24"/>
        </w:rPr>
      </w:pPr>
      <w:r>
        <w:rPr>
          <w:rFonts w:ascii="Arial" w:hAnsi="Arial" w:cs="Arial"/>
          <w:sz w:val="24"/>
        </w:rPr>
        <w:t>商务条款偏离表</w:t>
      </w:r>
    </w:p>
    <w:p>
      <w:pPr>
        <w:numPr>
          <w:ilvl w:val="0"/>
          <w:numId w:val="20"/>
        </w:numPr>
        <w:spacing w:line="400" w:lineRule="atLeast"/>
        <w:ind w:left="1258"/>
        <w:rPr>
          <w:rFonts w:ascii="Arial" w:hAnsi="Arial" w:cs="Arial"/>
          <w:sz w:val="24"/>
        </w:rPr>
      </w:pPr>
      <w:r>
        <w:rPr>
          <w:rFonts w:ascii="Arial" w:hAnsi="Arial" w:cs="Arial"/>
          <w:sz w:val="24"/>
        </w:rPr>
        <w:t>按招标文件技术规格要求及其他要求提供有关文件</w:t>
      </w:r>
    </w:p>
    <w:p>
      <w:pPr>
        <w:numPr>
          <w:ilvl w:val="0"/>
          <w:numId w:val="20"/>
        </w:numPr>
        <w:spacing w:line="400" w:lineRule="atLeast"/>
        <w:ind w:left="1258"/>
        <w:rPr>
          <w:rFonts w:ascii="Arial" w:hAnsi="Arial" w:cs="Arial"/>
          <w:sz w:val="24"/>
        </w:rPr>
      </w:pPr>
      <w:r>
        <w:rPr>
          <w:rFonts w:ascii="Arial" w:hAnsi="Arial" w:cs="Arial"/>
          <w:sz w:val="24"/>
        </w:rPr>
        <w:t>资格证明文件</w:t>
      </w:r>
    </w:p>
    <w:p>
      <w:pPr>
        <w:spacing w:line="400" w:lineRule="atLeast"/>
        <w:ind w:firstLine="480" w:firstLineChars="200"/>
        <w:rPr>
          <w:rFonts w:ascii="Arial" w:hAnsi="Arial" w:cs="Arial"/>
          <w:sz w:val="24"/>
          <w:u w:val="single"/>
        </w:rPr>
      </w:pPr>
      <w:r>
        <w:rPr>
          <w:rFonts w:ascii="Arial" w:hAnsi="Arial" w:cs="Arial"/>
          <w:sz w:val="24"/>
        </w:rPr>
        <w:t>（7）投标保证金，形式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spacing w:line="400" w:lineRule="atLeast"/>
        <w:ind w:firstLine="240" w:firstLineChars="100"/>
        <w:rPr>
          <w:rFonts w:ascii="Arial" w:hAnsi="Arial" w:cs="Arial"/>
          <w:sz w:val="24"/>
        </w:rPr>
      </w:pPr>
      <w:r>
        <w:rPr>
          <w:rFonts w:ascii="Arial" w:hAnsi="Arial" w:cs="Arial"/>
          <w:sz w:val="24"/>
        </w:rPr>
        <w:t>据此函，签字代表宣布同意如下：</w:t>
      </w:r>
    </w:p>
    <w:p>
      <w:pPr>
        <w:spacing w:line="400" w:lineRule="atLeast"/>
        <w:ind w:left="1112" w:hanging="560"/>
        <w:rPr>
          <w:rFonts w:ascii="Arial" w:hAnsi="Arial" w:cs="Arial"/>
          <w:sz w:val="24"/>
        </w:rPr>
      </w:pPr>
      <w:r>
        <w:rPr>
          <w:rFonts w:ascii="Arial" w:hAnsi="Arial" w:cs="Arial"/>
          <w:sz w:val="24"/>
        </w:rPr>
        <w:t>1．所附报价表中规定的应提交和交付的货物和服务投标总价为</w:t>
      </w:r>
      <w:r>
        <w:rPr>
          <w:rFonts w:ascii="Arial" w:hAnsi="Arial" w:cs="Arial"/>
          <w:sz w:val="24"/>
          <w:u w:val="single"/>
        </w:rPr>
        <w:t>（注明币种，并用文字和数字表示的投标总价</w:t>
      </w:r>
      <w:r>
        <w:rPr>
          <w:rFonts w:ascii="Arial" w:hAnsi="Arial" w:cs="Arial"/>
          <w:sz w:val="24"/>
        </w:rPr>
        <w:t>）。</w:t>
      </w:r>
    </w:p>
    <w:p>
      <w:pPr>
        <w:spacing w:line="400" w:lineRule="atLeast"/>
        <w:ind w:firstLine="555"/>
        <w:rPr>
          <w:rFonts w:ascii="Arial" w:hAnsi="Arial" w:cs="Arial"/>
          <w:sz w:val="24"/>
        </w:rPr>
      </w:pPr>
      <w:r>
        <w:rPr>
          <w:rFonts w:ascii="Arial" w:hAnsi="Arial" w:cs="Arial"/>
          <w:sz w:val="24"/>
        </w:rPr>
        <w:t>2．供应商将按招标文件的规定履行合同责任和义务；</w:t>
      </w:r>
    </w:p>
    <w:p>
      <w:pPr>
        <w:spacing w:line="400" w:lineRule="atLeast"/>
        <w:ind w:left="1112" w:hanging="560"/>
        <w:rPr>
          <w:rFonts w:ascii="Arial" w:hAnsi="Arial" w:cs="Arial"/>
          <w:sz w:val="24"/>
        </w:rPr>
      </w:pPr>
      <w:r>
        <w:rPr>
          <w:rFonts w:ascii="Arial" w:hAnsi="Arial" w:cs="Arial"/>
          <w:sz w:val="24"/>
        </w:rPr>
        <w:t>3．供应商已详细审查全部招标文件，包括修改文件（如有的话）。我们完全理解并同意放弃对这方面有不明及误解的权利。</w:t>
      </w:r>
    </w:p>
    <w:p>
      <w:pPr>
        <w:spacing w:line="400" w:lineRule="atLeast"/>
        <w:ind w:firstLine="555"/>
        <w:rPr>
          <w:rFonts w:ascii="Arial" w:hAnsi="Arial" w:cs="Arial"/>
          <w:sz w:val="24"/>
        </w:rPr>
      </w:pPr>
      <w:r>
        <w:rPr>
          <w:rFonts w:ascii="Arial" w:hAnsi="Arial" w:cs="Arial"/>
          <w:sz w:val="24"/>
        </w:rPr>
        <w:t>4．本投标有效期自开始之日起</w:t>
      </w:r>
      <w:r>
        <w:rPr>
          <w:rFonts w:ascii="Arial" w:hAnsi="Arial" w:cs="Arial"/>
          <w:sz w:val="24"/>
          <w:u w:val="single"/>
        </w:rPr>
        <w:t>　　　　</w:t>
      </w:r>
      <w:r>
        <w:rPr>
          <w:rFonts w:ascii="Arial" w:hAnsi="Arial" w:cs="Arial"/>
          <w:sz w:val="24"/>
        </w:rPr>
        <w:t>个日历日。</w:t>
      </w:r>
    </w:p>
    <w:p>
      <w:pPr>
        <w:spacing w:line="400" w:lineRule="atLeast"/>
        <w:ind w:left="900" w:hanging="348"/>
        <w:rPr>
          <w:rFonts w:ascii="Arial" w:hAnsi="Arial" w:cs="Arial"/>
          <w:sz w:val="24"/>
        </w:rPr>
      </w:pPr>
      <w:r>
        <w:rPr>
          <w:rFonts w:ascii="Arial" w:hAnsi="Arial" w:cs="Arial"/>
          <w:sz w:val="24"/>
        </w:rPr>
        <w:t>5．如果在规定的招标开始时间后，供应商在招标有效期内撤回，其投标保证金将被贵方没收。</w:t>
      </w:r>
    </w:p>
    <w:p>
      <w:pPr>
        <w:spacing w:line="400" w:lineRule="atLeast"/>
        <w:ind w:left="900" w:hanging="335"/>
        <w:rPr>
          <w:rFonts w:ascii="Arial" w:hAnsi="Arial" w:cs="Arial"/>
          <w:sz w:val="24"/>
        </w:rPr>
      </w:pPr>
      <w:r>
        <w:rPr>
          <w:rFonts w:ascii="Arial" w:hAnsi="Arial" w:cs="Arial"/>
          <w:sz w:val="24"/>
        </w:rPr>
        <w:t>6．供应商同意提供按照贵方可能要求的与其招标有关的一切数据或资料，完全理解贵方不一定要接受最低价的响应或收到的任何响应。</w:t>
      </w:r>
    </w:p>
    <w:p>
      <w:pPr>
        <w:spacing w:line="400" w:lineRule="atLeast"/>
        <w:ind w:firstLine="570"/>
        <w:rPr>
          <w:rFonts w:ascii="Arial" w:hAnsi="Arial" w:cs="Arial"/>
          <w:sz w:val="24"/>
        </w:rPr>
      </w:pPr>
      <w:r>
        <w:rPr>
          <w:rFonts w:ascii="Arial" w:hAnsi="Arial" w:cs="Arial"/>
          <w:sz w:val="24"/>
        </w:rPr>
        <w:t>7．与本招标有关的一切正式往来信函请寄：</w:t>
      </w:r>
    </w:p>
    <w:p>
      <w:pPr>
        <w:spacing w:line="400" w:lineRule="atLeast"/>
        <w:rPr>
          <w:rFonts w:ascii="Arial" w:hAnsi="Arial" w:cs="Arial"/>
          <w:sz w:val="24"/>
        </w:rPr>
      </w:pPr>
    </w:p>
    <w:p>
      <w:pPr>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spacing w:line="400" w:lineRule="atLeast"/>
        <w:rPr>
          <w:rFonts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spacing w:line="400" w:lineRule="atLeast"/>
        <w:rPr>
          <w:rFonts w:ascii="Arial" w:hAnsi="Arial" w:cs="Arial"/>
          <w:sz w:val="24"/>
        </w:rPr>
      </w:pPr>
      <w:r>
        <w:rPr>
          <w:rFonts w:ascii="Arial" w:hAnsi="Arial" w:cs="Arial"/>
          <w:sz w:val="24"/>
        </w:rPr>
        <w:t>　　</w:t>
      </w:r>
    </w:p>
    <w:p>
      <w:pPr>
        <w:spacing w:line="400" w:lineRule="atLeast"/>
        <w:rPr>
          <w:rFonts w:ascii="Arial" w:hAnsi="Arial" w:cs="Arial"/>
          <w:sz w:val="24"/>
        </w:rPr>
      </w:pPr>
      <w:r>
        <w:rPr>
          <w:rFonts w:ascii="Arial" w:hAnsi="Arial" w:cs="Arial"/>
          <w:sz w:val="24"/>
          <w:highlight w:val="none"/>
        </w:rPr>
        <w:t>　</w:t>
      </w:r>
      <w:r>
        <w:rPr>
          <w:rFonts w:hint="eastAsia" w:ascii="Arial" w:hAnsi="Arial" w:cs="Arial"/>
          <w:sz w:val="24"/>
          <w:highlight w:val="none"/>
          <w:lang w:eastAsia="zh-CN"/>
        </w:rPr>
        <w:t>法人或授权代表</w:t>
      </w:r>
      <w:r>
        <w:rPr>
          <w:rFonts w:ascii="Arial" w:hAnsi="Arial" w:cs="Arial"/>
          <w:sz w:val="24"/>
          <w:highlight w:val="none"/>
        </w:rPr>
        <w:t>签字：</w:t>
      </w:r>
      <w:r>
        <w:rPr>
          <w:rFonts w:ascii="Arial" w:hAnsi="Arial" w:cs="Arial"/>
          <w:sz w:val="24"/>
          <w:highlight w:val="none"/>
          <w:u w:val="single"/>
        </w:rPr>
        <w:t>　　　　　</w:t>
      </w:r>
      <w:r>
        <w:rPr>
          <w:rFonts w:ascii="Arial" w:hAnsi="Arial" w:cs="Arial"/>
          <w:sz w:val="24"/>
          <w:u w:val="single"/>
        </w:rPr>
        <w:t>　　　　　</w:t>
      </w:r>
    </w:p>
    <w:p>
      <w:pPr>
        <w:spacing w:line="400" w:lineRule="atLeast"/>
        <w:rPr>
          <w:rFonts w:ascii="Arial" w:hAnsi="Arial" w:cs="Arial"/>
          <w:sz w:val="24"/>
        </w:rPr>
      </w:pPr>
      <w:r>
        <w:rPr>
          <w:rFonts w:ascii="Arial" w:hAnsi="Arial" w:cs="Arial"/>
          <w:sz w:val="24"/>
        </w:rPr>
        <w:t>　供应商名称：</w:t>
      </w:r>
      <w:r>
        <w:rPr>
          <w:rFonts w:ascii="Arial" w:hAnsi="Arial" w:cs="Arial"/>
          <w:sz w:val="24"/>
          <w:u w:val="single"/>
        </w:rPr>
        <w:t>　      　　　　　　　　</w:t>
      </w:r>
    </w:p>
    <w:p>
      <w:pPr>
        <w:spacing w:line="400" w:lineRule="atLeast"/>
        <w:rPr>
          <w:rFonts w:ascii="Arial" w:hAnsi="Arial" w:cs="Arial"/>
          <w:sz w:val="24"/>
        </w:rPr>
      </w:pPr>
      <w:r>
        <w:rPr>
          <w:rFonts w:ascii="Arial" w:hAnsi="Arial" w:cs="Arial"/>
          <w:sz w:val="24"/>
        </w:rPr>
        <w:t>　公      章：</w:t>
      </w:r>
      <w:r>
        <w:rPr>
          <w:rFonts w:ascii="Arial" w:hAnsi="Arial" w:cs="Arial"/>
          <w:sz w:val="24"/>
          <w:u w:val="single"/>
        </w:rPr>
        <w:t>　　　　　　　　　　</w:t>
      </w:r>
    </w:p>
    <w:p>
      <w:pPr>
        <w:spacing w:line="400" w:lineRule="atLeast"/>
        <w:rPr>
          <w:rFonts w:ascii="Arial" w:hAnsi="Arial" w:cs="Arial"/>
          <w:sz w:val="24"/>
        </w:r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spacing w:line="400" w:lineRule="atLeast"/>
        <w:rPr>
          <w:rFonts w:ascii="Arial" w:hAnsi="Arial" w:cs="Arial"/>
          <w:sz w:val="24"/>
        </w:rPr>
        <w:sectPr>
          <w:footerReference r:id="rId11" w:type="first"/>
          <w:headerReference r:id="rId9" w:type="default"/>
          <w:footerReference r:id="rId10" w:type="even"/>
          <w:pgSz w:w="11907" w:h="16840"/>
          <w:pgMar w:top="1440" w:right="1080" w:bottom="1440" w:left="1080" w:header="851" w:footer="68" w:gutter="0"/>
          <w:pgNumType w:fmt="numberInDash"/>
          <w:cols w:space="720" w:num="1"/>
          <w:titlePg/>
          <w:docGrid w:type="lines" w:linePitch="409" w:charSpace="0"/>
        </w:sectPr>
      </w:pPr>
    </w:p>
    <w:p>
      <w:pPr>
        <w:tabs>
          <w:tab w:val="left" w:pos="9135"/>
        </w:tabs>
        <w:spacing w:line="400" w:lineRule="atLeast"/>
        <w:jc w:val="center"/>
        <w:rPr>
          <w:rFonts w:ascii="Arial" w:hAnsi="Arial" w:cs="Arial"/>
          <w:sz w:val="24"/>
        </w:rPr>
      </w:pPr>
      <w:r>
        <w:rPr>
          <w:rFonts w:ascii="Arial" w:hAnsi="Arial" w:cs="Arial"/>
          <w:sz w:val="24"/>
        </w:rPr>
        <w:t>　2、报价一览表</w:t>
      </w:r>
    </w:p>
    <w:p>
      <w:pPr>
        <w:tabs>
          <w:tab w:val="left" w:pos="9135"/>
        </w:tabs>
        <w:spacing w:line="400" w:lineRule="atLeast"/>
        <w:rPr>
          <w:rFonts w:ascii="Arial" w:hAnsi="Arial" w:cs="Arial"/>
          <w:sz w:val="24"/>
        </w:rPr>
      </w:pPr>
    </w:p>
    <w:p>
      <w:pPr>
        <w:tabs>
          <w:tab w:val="left" w:pos="9135"/>
        </w:tabs>
        <w:spacing w:line="400" w:lineRule="atLeast"/>
        <w:ind w:firstLine="480" w:firstLineChars="200"/>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22"/>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2136"/>
        <w:gridCol w:w="2136"/>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6" w:type="dxa"/>
            <w:vAlign w:val="center"/>
          </w:tcPr>
          <w:p>
            <w:pPr>
              <w:tabs>
                <w:tab w:val="left" w:pos="9135"/>
              </w:tabs>
              <w:spacing w:line="400" w:lineRule="atLeast"/>
              <w:jc w:val="center"/>
              <w:rPr>
                <w:rFonts w:ascii="Arial" w:hAnsi="Arial" w:cs="Arial"/>
                <w:sz w:val="24"/>
              </w:rPr>
            </w:pPr>
            <w:r>
              <w:rPr>
                <w:rFonts w:ascii="Arial" w:hAnsi="Arial" w:cs="Arial"/>
                <w:sz w:val="24"/>
              </w:rPr>
              <w:t>名称</w:t>
            </w:r>
          </w:p>
        </w:tc>
        <w:tc>
          <w:tcPr>
            <w:tcW w:w="2136" w:type="dxa"/>
            <w:vAlign w:val="center"/>
          </w:tcPr>
          <w:p>
            <w:pPr>
              <w:tabs>
                <w:tab w:val="left" w:pos="9135"/>
              </w:tabs>
              <w:spacing w:line="400" w:lineRule="atLeast"/>
              <w:jc w:val="center"/>
              <w:rPr>
                <w:rFonts w:ascii="Arial" w:hAnsi="Arial" w:cs="Arial"/>
                <w:sz w:val="24"/>
              </w:rPr>
            </w:pPr>
            <w:r>
              <w:rPr>
                <w:rFonts w:ascii="Arial" w:hAnsi="Arial" w:cs="Arial"/>
                <w:sz w:val="24"/>
              </w:rPr>
              <w:t>投标总价</w:t>
            </w:r>
          </w:p>
          <w:p>
            <w:pPr>
              <w:tabs>
                <w:tab w:val="left" w:pos="9135"/>
              </w:tabs>
              <w:spacing w:line="400" w:lineRule="atLeast"/>
              <w:jc w:val="center"/>
              <w:rPr>
                <w:rFonts w:ascii="Arial" w:hAnsi="Arial" w:cs="Arial"/>
                <w:sz w:val="24"/>
              </w:rPr>
            </w:pPr>
            <w:r>
              <w:rPr>
                <w:rFonts w:ascii="Arial" w:hAnsi="Arial" w:cs="Arial"/>
                <w:sz w:val="24"/>
              </w:rPr>
              <w:t>（万元）</w:t>
            </w:r>
          </w:p>
        </w:tc>
        <w:tc>
          <w:tcPr>
            <w:tcW w:w="2136" w:type="dxa"/>
            <w:vAlign w:val="center"/>
          </w:tcPr>
          <w:p>
            <w:pPr>
              <w:tabs>
                <w:tab w:val="left" w:pos="9135"/>
              </w:tabs>
              <w:spacing w:line="400" w:lineRule="atLeast"/>
              <w:jc w:val="center"/>
              <w:rPr>
                <w:rFonts w:ascii="Arial" w:hAnsi="Arial" w:cs="Arial"/>
                <w:sz w:val="24"/>
              </w:rPr>
            </w:pPr>
            <w:r>
              <w:rPr>
                <w:rFonts w:ascii="Arial" w:hAnsi="Arial" w:cs="Arial"/>
                <w:sz w:val="24"/>
              </w:rPr>
              <w:t>投标</w:t>
            </w:r>
          </w:p>
          <w:p>
            <w:pPr>
              <w:tabs>
                <w:tab w:val="left" w:pos="9135"/>
              </w:tabs>
              <w:spacing w:line="400" w:lineRule="atLeast"/>
              <w:jc w:val="center"/>
              <w:rPr>
                <w:rFonts w:ascii="Arial" w:hAnsi="Arial" w:cs="Arial"/>
                <w:sz w:val="24"/>
              </w:rPr>
            </w:pPr>
            <w:r>
              <w:rPr>
                <w:rFonts w:ascii="Arial" w:hAnsi="Arial" w:cs="Arial"/>
                <w:sz w:val="24"/>
              </w:rPr>
              <w:t>保证金</w:t>
            </w:r>
          </w:p>
        </w:tc>
        <w:tc>
          <w:tcPr>
            <w:tcW w:w="2137" w:type="dxa"/>
            <w:vAlign w:val="center"/>
          </w:tcPr>
          <w:p>
            <w:pPr>
              <w:tabs>
                <w:tab w:val="left" w:pos="9135"/>
              </w:tabs>
              <w:spacing w:line="400" w:lineRule="atLeast"/>
              <w:jc w:val="center"/>
              <w:rPr>
                <w:rFonts w:ascii="Arial" w:hAnsi="Arial" w:cs="Arial"/>
                <w:sz w:val="24"/>
              </w:rPr>
            </w:pPr>
            <w:r>
              <w:rPr>
                <w:rFonts w:ascii="Arial" w:hAnsi="Arial" w:cs="Arial"/>
                <w:sz w:val="24"/>
              </w:rPr>
              <w:t>服务期</w:t>
            </w:r>
            <w:r>
              <w:rPr>
                <w:rFonts w:hint="eastAsia" w:ascii="Arial" w:hAnsi="Arial" w:cs="Arial"/>
                <w:sz w:val="24"/>
                <w:lang w:val="en-US" w:eastAsia="zh-CN"/>
              </w:rPr>
              <w:t>限</w:t>
            </w:r>
          </w:p>
        </w:tc>
        <w:tc>
          <w:tcPr>
            <w:tcW w:w="2137" w:type="dxa"/>
            <w:vAlign w:val="center"/>
          </w:tcPr>
          <w:p>
            <w:pPr>
              <w:tabs>
                <w:tab w:val="left" w:pos="9135"/>
              </w:tabs>
              <w:spacing w:line="400" w:lineRule="atLeast"/>
              <w:jc w:val="center"/>
              <w:rPr>
                <w:rFonts w:ascii="Arial" w:hAnsi="Arial" w:cs="Arial"/>
                <w:sz w:val="24"/>
              </w:rPr>
            </w:pPr>
            <w:r>
              <w:rPr>
                <w:rFonts w:ascii="Arial" w:hAnsi="Arial"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6" w:type="dxa"/>
            <w:vAlign w:val="top"/>
          </w:tcPr>
          <w:p>
            <w:pPr>
              <w:jc w:val="left"/>
              <w:rPr>
                <w:rFonts w:ascii="宋体" w:hAnsi="宋体"/>
                <w:szCs w:val="21"/>
              </w:rPr>
            </w:pPr>
          </w:p>
          <w:p>
            <w:pPr>
              <w:jc w:val="left"/>
              <w:rPr>
                <w:rFonts w:ascii="宋体" w:hAnsi="宋体"/>
                <w:szCs w:val="21"/>
              </w:rPr>
            </w:pPr>
          </w:p>
        </w:tc>
        <w:tc>
          <w:tcPr>
            <w:tcW w:w="2136" w:type="dxa"/>
            <w:vAlign w:val="top"/>
          </w:tcPr>
          <w:p>
            <w:pPr>
              <w:jc w:val="left"/>
              <w:rPr>
                <w:rFonts w:ascii="宋体" w:hAnsi="宋体"/>
                <w:szCs w:val="21"/>
              </w:rPr>
            </w:pPr>
          </w:p>
          <w:p>
            <w:pPr>
              <w:jc w:val="left"/>
              <w:rPr>
                <w:rFonts w:ascii="宋体" w:hAnsi="宋体"/>
                <w:szCs w:val="21"/>
              </w:rPr>
            </w:pPr>
          </w:p>
          <w:p>
            <w:pPr>
              <w:jc w:val="left"/>
              <w:rPr>
                <w:rFonts w:ascii="宋体" w:hAnsi="宋体"/>
                <w:szCs w:val="21"/>
              </w:rPr>
            </w:pPr>
          </w:p>
        </w:tc>
        <w:tc>
          <w:tcPr>
            <w:tcW w:w="2136" w:type="dxa"/>
            <w:vAlign w:val="top"/>
          </w:tcPr>
          <w:p>
            <w:pPr>
              <w:jc w:val="left"/>
              <w:rPr>
                <w:rFonts w:ascii="宋体" w:hAnsi="宋体"/>
                <w:szCs w:val="21"/>
              </w:rPr>
            </w:pPr>
          </w:p>
        </w:tc>
        <w:tc>
          <w:tcPr>
            <w:tcW w:w="2137" w:type="dxa"/>
            <w:vAlign w:val="top"/>
          </w:tcPr>
          <w:p>
            <w:pPr>
              <w:jc w:val="left"/>
              <w:rPr>
                <w:rFonts w:ascii="宋体" w:hAnsi="宋体"/>
                <w:szCs w:val="21"/>
              </w:rPr>
            </w:pPr>
          </w:p>
        </w:tc>
        <w:tc>
          <w:tcPr>
            <w:tcW w:w="2137" w:type="dxa"/>
            <w:vAlign w:val="top"/>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6" w:type="dxa"/>
            <w:vAlign w:val="top"/>
          </w:tcPr>
          <w:p>
            <w:pPr>
              <w:jc w:val="left"/>
              <w:rPr>
                <w:rFonts w:ascii="宋体" w:hAnsi="宋体"/>
                <w:szCs w:val="21"/>
              </w:rPr>
            </w:pPr>
          </w:p>
          <w:p>
            <w:pPr>
              <w:jc w:val="left"/>
              <w:rPr>
                <w:rFonts w:ascii="宋体" w:hAnsi="宋体"/>
                <w:szCs w:val="21"/>
              </w:rPr>
            </w:pPr>
          </w:p>
        </w:tc>
        <w:tc>
          <w:tcPr>
            <w:tcW w:w="2136" w:type="dxa"/>
            <w:vAlign w:val="top"/>
          </w:tcPr>
          <w:p>
            <w:pPr>
              <w:jc w:val="left"/>
              <w:rPr>
                <w:rFonts w:ascii="宋体" w:hAnsi="宋体"/>
                <w:szCs w:val="21"/>
              </w:rPr>
            </w:pPr>
          </w:p>
          <w:p>
            <w:pPr>
              <w:jc w:val="left"/>
              <w:rPr>
                <w:rFonts w:ascii="宋体" w:hAnsi="宋体"/>
                <w:szCs w:val="21"/>
              </w:rPr>
            </w:pPr>
          </w:p>
          <w:p>
            <w:pPr>
              <w:jc w:val="left"/>
              <w:rPr>
                <w:rFonts w:ascii="宋体" w:hAnsi="宋体"/>
                <w:szCs w:val="21"/>
              </w:rPr>
            </w:pPr>
          </w:p>
        </w:tc>
        <w:tc>
          <w:tcPr>
            <w:tcW w:w="2136" w:type="dxa"/>
            <w:vAlign w:val="top"/>
          </w:tcPr>
          <w:p>
            <w:pPr>
              <w:jc w:val="left"/>
              <w:rPr>
                <w:rFonts w:ascii="宋体" w:hAnsi="宋体"/>
                <w:szCs w:val="21"/>
              </w:rPr>
            </w:pPr>
          </w:p>
        </w:tc>
        <w:tc>
          <w:tcPr>
            <w:tcW w:w="2137" w:type="dxa"/>
            <w:vAlign w:val="top"/>
          </w:tcPr>
          <w:p>
            <w:pPr>
              <w:jc w:val="left"/>
              <w:rPr>
                <w:rFonts w:ascii="宋体" w:hAnsi="宋体"/>
                <w:szCs w:val="21"/>
              </w:rPr>
            </w:pPr>
          </w:p>
        </w:tc>
        <w:tc>
          <w:tcPr>
            <w:tcW w:w="2137" w:type="dxa"/>
            <w:vAlign w:val="top"/>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6" w:type="dxa"/>
            <w:vAlign w:val="top"/>
          </w:tcPr>
          <w:p>
            <w:pPr>
              <w:jc w:val="left"/>
              <w:rPr>
                <w:rFonts w:ascii="宋体" w:hAnsi="宋体"/>
                <w:szCs w:val="21"/>
              </w:rPr>
            </w:pPr>
          </w:p>
        </w:tc>
        <w:tc>
          <w:tcPr>
            <w:tcW w:w="2136" w:type="dxa"/>
            <w:vAlign w:val="top"/>
          </w:tcPr>
          <w:p>
            <w:pPr>
              <w:jc w:val="left"/>
              <w:rPr>
                <w:rFonts w:ascii="宋体" w:hAnsi="宋体"/>
                <w:szCs w:val="21"/>
              </w:rPr>
            </w:pPr>
          </w:p>
        </w:tc>
        <w:tc>
          <w:tcPr>
            <w:tcW w:w="2136" w:type="dxa"/>
            <w:vAlign w:val="top"/>
          </w:tcPr>
          <w:p>
            <w:pPr>
              <w:jc w:val="left"/>
              <w:rPr>
                <w:rFonts w:ascii="宋体" w:hAnsi="宋体"/>
                <w:szCs w:val="21"/>
              </w:rPr>
            </w:pPr>
          </w:p>
          <w:p>
            <w:pPr>
              <w:jc w:val="left"/>
              <w:rPr>
                <w:rFonts w:ascii="宋体" w:hAnsi="宋体"/>
                <w:szCs w:val="21"/>
              </w:rPr>
            </w:pPr>
          </w:p>
          <w:p>
            <w:pPr>
              <w:jc w:val="left"/>
              <w:rPr>
                <w:rFonts w:ascii="宋体" w:hAnsi="宋体"/>
                <w:szCs w:val="21"/>
              </w:rPr>
            </w:pPr>
          </w:p>
        </w:tc>
        <w:tc>
          <w:tcPr>
            <w:tcW w:w="2137" w:type="dxa"/>
            <w:vAlign w:val="top"/>
          </w:tcPr>
          <w:p>
            <w:pPr>
              <w:jc w:val="left"/>
              <w:rPr>
                <w:rFonts w:ascii="宋体" w:hAnsi="宋体"/>
                <w:szCs w:val="21"/>
              </w:rPr>
            </w:pPr>
          </w:p>
        </w:tc>
        <w:tc>
          <w:tcPr>
            <w:tcW w:w="2137" w:type="dxa"/>
            <w:vAlign w:val="top"/>
          </w:tcPr>
          <w:p>
            <w:pPr>
              <w:jc w:val="left"/>
              <w:rPr>
                <w:rFonts w:ascii="宋体" w:hAnsi="宋体"/>
                <w:szCs w:val="21"/>
              </w:rPr>
            </w:pPr>
          </w:p>
        </w:tc>
      </w:tr>
    </w:tbl>
    <w:p>
      <w:pPr>
        <w:jc w:val="left"/>
        <w:rPr>
          <w:rFonts w:ascii="宋体" w:hAnsi="宋体"/>
          <w:szCs w:val="21"/>
        </w:rPr>
      </w:pPr>
    </w:p>
    <w:p>
      <w:pPr>
        <w:autoSpaceDE w:val="0"/>
        <w:autoSpaceDN w:val="0"/>
        <w:adjustRightInd w:val="0"/>
        <w:ind w:firstLine="420" w:firstLineChars="200"/>
        <w:jc w:val="left"/>
        <w:rPr>
          <w:rFonts w:ascii="宋体" w:hAnsi="宋体"/>
          <w:szCs w:val="21"/>
        </w:rPr>
      </w:pPr>
      <w:r>
        <w:rPr>
          <w:rFonts w:ascii="宋体" w:hAnsi="宋体"/>
          <w:szCs w:val="21"/>
        </w:rPr>
        <w:t xml:space="preserve">注：1.表中大小写不一致时，以大写为准。 </w:t>
      </w:r>
    </w:p>
    <w:p>
      <w:pPr>
        <w:autoSpaceDE w:val="0"/>
        <w:autoSpaceDN w:val="0"/>
        <w:adjustRightInd w:val="0"/>
        <w:ind w:firstLine="840" w:firstLineChars="4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pPr>
        <w:autoSpaceDE w:val="0"/>
        <w:autoSpaceDN w:val="0"/>
        <w:adjustRightInd w:val="0"/>
        <w:ind w:firstLine="840" w:firstLineChars="400"/>
        <w:jc w:val="left"/>
        <w:rPr>
          <w:rFonts w:ascii="宋体" w:hAnsi="宋体"/>
          <w:szCs w:val="21"/>
        </w:rPr>
      </w:pPr>
      <w:r>
        <w:rPr>
          <w:rFonts w:ascii="宋体" w:hAnsi="宋体"/>
          <w:szCs w:val="21"/>
        </w:rPr>
        <w:t>3.投标报价为提供本项目服务和与之相关的一切费用。</w:t>
      </w:r>
    </w:p>
    <w:p>
      <w:pPr>
        <w:autoSpaceDE w:val="0"/>
        <w:autoSpaceDN w:val="0"/>
        <w:adjustRightInd w:val="0"/>
        <w:ind w:firstLine="840" w:firstLineChars="400"/>
        <w:jc w:val="left"/>
        <w:rPr>
          <w:rFonts w:ascii="宋体"/>
          <w:szCs w:val="21"/>
        </w:rPr>
      </w:pPr>
      <w:r>
        <w:rPr>
          <w:rFonts w:ascii="宋体" w:hAnsi="宋体"/>
          <w:szCs w:val="21"/>
        </w:rPr>
        <w:t>4.如有需要，可列报价明细表，格式自制。</w:t>
      </w:r>
    </w:p>
    <w:p>
      <w:pPr>
        <w:pStyle w:val="18"/>
        <w:spacing w:line="360" w:lineRule="atLeast"/>
        <w:ind w:firstLine="360"/>
        <w:rPr>
          <w:sz w:val="18"/>
          <w:szCs w:val="18"/>
        </w:rPr>
      </w:pPr>
    </w:p>
    <w:p>
      <w:pPr>
        <w:pStyle w:val="9"/>
        <w:spacing w:line="360" w:lineRule="auto"/>
        <w:ind w:firstLine="4200" w:firstLineChars="1750"/>
        <w:rPr>
          <w:rFonts w:ascii="宋体"/>
          <w:bCs/>
          <w:u w:val="single"/>
        </w:rPr>
      </w:pPr>
      <w:r>
        <w:rPr>
          <w:rFonts w:ascii="宋体" w:hAnsi="宋体"/>
          <w:bCs/>
        </w:rPr>
        <w:t>投标人供应商：</w:t>
      </w:r>
      <w:r>
        <w:rPr>
          <w:rFonts w:ascii="宋体" w:hAnsi="宋体"/>
          <w:bCs/>
          <w:u w:val="single"/>
        </w:rPr>
        <w:t xml:space="preserve">   （全称）（盖章）   </w:t>
      </w:r>
    </w:p>
    <w:p>
      <w:pPr>
        <w:pStyle w:val="9"/>
        <w:spacing w:line="360" w:lineRule="auto"/>
        <w:ind w:firstLine="4200" w:firstLineChars="1750"/>
        <w:rPr>
          <w:rFonts w:ascii="宋体"/>
          <w:bCs/>
        </w:rPr>
      </w:pPr>
      <w:r>
        <w:rPr>
          <w:rFonts w:ascii="宋体" w:hAnsi="宋体"/>
          <w:bCs/>
        </w:rPr>
        <w:t>法定代表人或委托代理人：</w:t>
      </w:r>
      <w:r>
        <w:rPr>
          <w:rFonts w:ascii="宋体" w:hAnsi="宋体"/>
          <w:bCs/>
          <w:u w:val="single"/>
        </w:rPr>
        <w:t>（签字或盖章）</w:t>
      </w:r>
    </w:p>
    <w:p>
      <w:pPr>
        <w:tabs>
          <w:tab w:val="left" w:pos="9135"/>
        </w:tabs>
        <w:spacing w:line="400" w:lineRule="atLeast"/>
        <w:rPr>
          <w:rFonts w:ascii="Arial" w:hAnsi="Arial" w:cs="Arial"/>
          <w:sz w:val="24"/>
        </w:rPr>
      </w:pPr>
      <w:r>
        <w:rPr>
          <w:rFonts w:ascii="宋体" w:hAnsi="宋体"/>
          <w:sz w:val="24"/>
        </w:rPr>
        <w:t xml:space="preserve">                                   日 期：</w:t>
      </w:r>
      <w:r>
        <w:rPr>
          <w:rFonts w:hAnsi="宋体"/>
          <w:bCs/>
          <w:sz w:val="24"/>
          <w:szCs w:val="24"/>
          <w:u w:val="single"/>
        </w:rPr>
        <w:t>　　</w:t>
      </w:r>
      <w:r>
        <w:rPr>
          <w:rFonts w:hAnsi="宋体"/>
          <w:bCs/>
          <w:sz w:val="24"/>
          <w:szCs w:val="24"/>
        </w:rPr>
        <w:t>年</w:t>
      </w:r>
      <w:r>
        <w:rPr>
          <w:rFonts w:hAnsi="宋体"/>
          <w:bCs/>
          <w:sz w:val="24"/>
          <w:szCs w:val="24"/>
          <w:u w:val="single"/>
        </w:rPr>
        <w:t>　</w:t>
      </w:r>
      <w:r>
        <w:rPr>
          <w:rFonts w:hAnsi="宋体"/>
          <w:bCs/>
          <w:sz w:val="24"/>
          <w:szCs w:val="24"/>
        </w:rPr>
        <w:t>月</w:t>
      </w:r>
      <w:r>
        <w:rPr>
          <w:rFonts w:hAnsi="宋体"/>
          <w:bCs/>
          <w:sz w:val="24"/>
          <w:szCs w:val="24"/>
          <w:u w:val="single"/>
        </w:rPr>
        <w:t xml:space="preserve">  </w:t>
      </w:r>
      <w:r>
        <w:rPr>
          <w:rFonts w:hAnsi="宋体"/>
          <w:bCs/>
          <w:sz w:val="24"/>
          <w:szCs w:val="24"/>
        </w:rPr>
        <w:t>日</w:t>
      </w:r>
    </w:p>
    <w:p>
      <w:pPr>
        <w:tabs>
          <w:tab w:val="left" w:pos="9135"/>
        </w:tabs>
        <w:spacing w:line="400" w:lineRule="atLeast"/>
        <w:ind w:firstLine="480"/>
        <w:rPr>
          <w:rFonts w:ascii="Arial" w:hAnsi="Arial" w:cs="Arial"/>
          <w:sz w:val="24"/>
        </w:rPr>
      </w:pPr>
      <w:r>
        <w:rPr>
          <w:rFonts w:ascii="Arial" w:hAnsi="Arial" w:cs="Arial"/>
          <w:sz w:val="24"/>
        </w:rPr>
        <w:t>。</w:t>
      </w:r>
    </w:p>
    <w:p>
      <w:pPr>
        <w:spacing w:line="400" w:lineRule="atLeast"/>
        <w:rPr>
          <w:rFonts w:ascii="Arial" w:hAnsi="Arial" w:cs="Arial"/>
          <w:sz w:val="24"/>
        </w:rPr>
        <w:sectPr>
          <w:pgSz w:w="11906" w:h="16838"/>
          <w:pgMar w:top="720" w:right="720" w:bottom="720" w:left="720" w:header="851" w:footer="992" w:gutter="0"/>
          <w:pgNumType w:fmt="numberInDash"/>
          <w:cols w:space="720" w:num="1"/>
          <w:docGrid w:type="linesAndChars" w:linePitch="312" w:charSpace="0"/>
        </w:sectPr>
      </w:pPr>
    </w:p>
    <w:p>
      <w:pPr>
        <w:spacing w:line="400" w:lineRule="atLeast"/>
        <w:ind w:left="2880" w:hanging="2880"/>
        <w:jc w:val="center"/>
        <w:rPr>
          <w:rFonts w:ascii="Arial" w:hAnsi="Arial" w:cs="Arial"/>
          <w:sz w:val="24"/>
        </w:rPr>
      </w:pPr>
      <w:bookmarkStart w:id="70" w:name="_Toc277841205"/>
      <w:r>
        <w:rPr>
          <w:rFonts w:ascii="Arial" w:hAnsi="Arial" w:cs="Arial"/>
          <w:sz w:val="24"/>
        </w:rPr>
        <w:t>3、分项报价表</w:t>
      </w:r>
      <w:bookmarkEnd w:id="70"/>
    </w:p>
    <w:p>
      <w:pPr>
        <w:spacing w:line="400" w:lineRule="atLeast"/>
        <w:ind w:firstLine="720" w:firstLineChars="30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22"/>
        <w:tblW w:w="9552" w:type="dxa"/>
        <w:jc w:val="center"/>
        <w:tblInd w:w="0" w:type="dxa"/>
        <w:tblLayout w:type="fixed"/>
        <w:tblCellMar>
          <w:top w:w="0" w:type="dxa"/>
          <w:left w:w="28" w:type="dxa"/>
          <w:bottom w:w="0" w:type="dxa"/>
          <w:right w:w="28" w:type="dxa"/>
        </w:tblCellMar>
      </w:tblPr>
      <w:tblGrid>
        <w:gridCol w:w="1386"/>
        <w:gridCol w:w="4055"/>
        <w:gridCol w:w="850"/>
        <w:gridCol w:w="1985"/>
        <w:gridCol w:w="1276"/>
      </w:tblGrid>
      <w:tr>
        <w:tblPrEx>
          <w:tblLayout w:type="fixed"/>
          <w:tblCellMar>
            <w:top w:w="0" w:type="dxa"/>
            <w:left w:w="28" w:type="dxa"/>
            <w:bottom w:w="0" w:type="dxa"/>
            <w:right w:w="28" w:type="dxa"/>
          </w:tblCellMar>
        </w:tblPrEx>
        <w:trPr>
          <w:trHeight w:val="529" w:hRule="atLeast"/>
          <w:jc w:val="center"/>
        </w:trPr>
        <w:tc>
          <w:tcPr>
            <w:tcW w:w="1386"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序号</w:t>
            </w:r>
          </w:p>
        </w:tc>
        <w:tc>
          <w:tcPr>
            <w:tcW w:w="4055"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kern w:val="0"/>
                <w:sz w:val="22"/>
                <w:szCs w:val="22"/>
                <w:lang w:val="zh-CN"/>
              </w:rPr>
            </w:pPr>
            <w:r>
              <w:rPr>
                <w:rFonts w:ascii="宋体" w:hAnsi="宋体" w:cs="宋体"/>
                <w:kern w:val="0"/>
                <w:sz w:val="24"/>
              </w:rPr>
              <w:t>项目内容</w:t>
            </w:r>
          </w:p>
        </w:tc>
        <w:tc>
          <w:tcPr>
            <w:tcW w:w="850"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985"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单价</w:t>
            </w:r>
          </w:p>
        </w:tc>
        <w:tc>
          <w:tcPr>
            <w:tcW w:w="1276"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总价</w:t>
            </w:r>
          </w:p>
        </w:tc>
      </w:tr>
      <w:tr>
        <w:tblPrEx>
          <w:tblLayout w:type="fixed"/>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1</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p>
        </w:tc>
        <w:tc>
          <w:tcPr>
            <w:tcW w:w="1276"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r>
      <w:tr>
        <w:tblPrEx>
          <w:tblLayout w:type="fixed"/>
          <w:tblCellMar>
            <w:top w:w="0" w:type="dxa"/>
            <w:left w:w="28" w:type="dxa"/>
            <w:bottom w:w="0" w:type="dxa"/>
            <w:right w:w="28" w:type="dxa"/>
          </w:tblCellMar>
        </w:tblPrEx>
        <w:trPr>
          <w:trHeight w:val="693"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2</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rPr>
                <w:rFonts w:ascii="宋体" w:hAnsi="宋体" w:cs="宋体"/>
                <w:kern w:val="0"/>
                <w:sz w:val="22"/>
                <w:szCs w:val="22"/>
                <w:lang w:val="zh-CN"/>
              </w:rPr>
            </w:pPr>
            <w:r>
              <w:rPr>
                <w:rFonts w:ascii="宋体" w:hAnsi="宋体" w:cs="宋体"/>
                <w:kern w:val="0"/>
                <w:sz w:val="24"/>
                <w:lang w:val="zh-CN"/>
              </w:rPr>
              <w:t xml:space="preserve">         </w:t>
            </w:r>
          </w:p>
        </w:tc>
        <w:tc>
          <w:tcPr>
            <w:tcW w:w="1276"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r>
      <w:tr>
        <w:tblPrEx>
          <w:tblLayout w:type="fixed"/>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3</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1276"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r>
      <w:tr>
        <w:tblPrEx>
          <w:tblLayout w:type="fixed"/>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4</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1276"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r>
      <w:tr>
        <w:tblPrEx>
          <w:tblLayout w:type="fixed"/>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p>
        </w:tc>
        <w:tc>
          <w:tcPr>
            <w:tcW w:w="198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c>
          <w:tcPr>
            <w:tcW w:w="1276"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kern w:val="0"/>
                <w:sz w:val="22"/>
                <w:szCs w:val="22"/>
                <w:lang w:val="zh-CN"/>
              </w:rPr>
            </w:pPr>
            <w:r>
              <w:rPr>
                <w:rFonts w:ascii="宋体" w:hAnsi="宋体" w:cs="宋体"/>
                <w:kern w:val="0"/>
                <w:sz w:val="24"/>
                <w:lang w:val="zh-CN"/>
              </w:rPr>
              <w:t> </w:t>
            </w:r>
          </w:p>
        </w:tc>
      </w:tr>
      <w:tr>
        <w:tblPrEx>
          <w:tblLayout w:type="fixed"/>
          <w:tblCellMar>
            <w:top w:w="0" w:type="dxa"/>
            <w:left w:w="28" w:type="dxa"/>
            <w:bottom w:w="0" w:type="dxa"/>
            <w:right w:w="28" w:type="dxa"/>
          </w:tblCellMar>
        </w:tblPrEx>
        <w:trPr>
          <w:trHeight w:val="780" w:hRule="atLeast"/>
          <w:jc w:val="center"/>
        </w:trPr>
        <w:tc>
          <w:tcPr>
            <w:tcW w:w="9552" w:type="dxa"/>
            <w:gridSpan w:val="5"/>
            <w:tcBorders>
              <w:top w:val="single" w:color="000000" w:sz="6" w:space="0"/>
              <w:left w:val="single" w:color="000000" w:sz="8"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jc w:val="left"/>
              <w:rPr>
                <w:rFonts w:ascii="宋体" w:hAnsi="宋体" w:cs="宋体"/>
                <w:kern w:val="0"/>
                <w:sz w:val="24"/>
                <w:szCs w:val="24"/>
                <w:lang w:val="zh-CN"/>
              </w:rPr>
            </w:pPr>
            <w:r>
              <w:rPr>
                <w:rFonts w:ascii="宋体" w:hAnsi="宋体"/>
                <w:sz w:val="24"/>
                <w:szCs w:val="24"/>
              </w:rPr>
              <w:t>合计：</w:t>
            </w:r>
            <w:r>
              <w:rPr>
                <w:rFonts w:ascii="宋体" w:hAnsi="宋体" w:cs="宋体"/>
                <w:kern w:val="0"/>
                <w:sz w:val="24"/>
                <w:szCs w:val="24"/>
                <w:lang w:val="zh-CN"/>
              </w:rPr>
              <w:t xml:space="preserve"> </w:t>
            </w:r>
          </w:p>
        </w:tc>
      </w:tr>
      <w:tr>
        <w:tblPrEx>
          <w:tblLayout w:type="fixed"/>
          <w:tblCellMar>
            <w:top w:w="0" w:type="dxa"/>
            <w:left w:w="28" w:type="dxa"/>
            <w:bottom w:w="0" w:type="dxa"/>
            <w:right w:w="28" w:type="dxa"/>
          </w:tblCellMar>
        </w:tblPrEx>
        <w:trPr>
          <w:trHeight w:val="780" w:hRule="atLeast"/>
          <w:jc w:val="center"/>
        </w:trPr>
        <w:tc>
          <w:tcPr>
            <w:tcW w:w="9552" w:type="dxa"/>
            <w:gridSpan w:val="5"/>
            <w:tcBorders>
              <w:top w:val="single" w:color="000000" w:sz="6" w:space="0"/>
              <w:left w:val="single" w:color="000000" w:sz="8"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pPr>
        <w:spacing w:line="400" w:lineRule="atLeast"/>
        <w:rPr>
          <w:rFonts w:ascii="Arial" w:hAnsi="Arial" w:cs="Arial"/>
          <w:sz w:val="24"/>
        </w:rPr>
      </w:pPr>
    </w:p>
    <w:p>
      <w:pPr>
        <w:spacing w:line="400" w:lineRule="atLeast"/>
        <w:rPr>
          <w:rFonts w:ascii="Arial" w:hAnsi="Arial" w:cs="Arial"/>
          <w:sz w:val="24"/>
        </w:rPr>
      </w:pPr>
    </w:p>
    <w:p>
      <w:pPr>
        <w:spacing w:line="400" w:lineRule="atLeast"/>
        <w:ind w:left="210" w:leftChars="100" w:firstLine="960" w:firstLineChars="400"/>
        <w:rPr>
          <w:rFonts w:ascii="Arial" w:hAnsi="Arial" w:cs="Arial"/>
          <w:sz w:val="24"/>
          <w:u w:val="single"/>
        </w:rPr>
      </w:pPr>
      <w:r>
        <w:rPr>
          <w:rFonts w:hint="eastAsia" w:ascii="Arial" w:hAnsi="Arial" w:cs="Arial"/>
          <w:sz w:val="24"/>
          <w:highlight w:val="none"/>
          <w:lang w:eastAsia="zh-CN"/>
        </w:rPr>
        <w:t>法人或授权代表</w:t>
      </w:r>
      <w:r>
        <w:rPr>
          <w:rFonts w:ascii="Arial" w:hAnsi="Arial" w:cs="Arial"/>
          <w:sz w:val="24"/>
          <w:highlight w:val="none"/>
        </w:rPr>
        <w:t>签字：</w:t>
      </w:r>
      <w:r>
        <w:rPr>
          <w:rFonts w:ascii="Arial" w:hAnsi="Arial" w:cs="Arial"/>
          <w:sz w:val="24"/>
          <w:highlight w:val="none"/>
          <w:u w:val="single"/>
        </w:rPr>
        <w:t>　　　　　　　</w:t>
      </w:r>
      <w:r>
        <w:rPr>
          <w:rFonts w:ascii="Arial" w:hAnsi="Arial" w:cs="Arial"/>
          <w:sz w:val="24"/>
          <w:u w:val="single"/>
        </w:rPr>
        <w:t>　　　　　　　　</w:t>
      </w:r>
    </w:p>
    <w:p>
      <w:pPr>
        <w:spacing w:line="400" w:lineRule="atLeast"/>
        <w:rPr>
          <w:rFonts w:ascii="Arial" w:hAnsi="Arial" w:cs="Arial"/>
          <w:sz w:val="24"/>
        </w:rPr>
      </w:pPr>
    </w:p>
    <w:p>
      <w:pPr>
        <w:spacing w:line="400" w:lineRule="atLeast"/>
        <w:ind w:left="2880" w:hanging="2880"/>
        <w:jc w:val="center"/>
        <w:rPr>
          <w:rFonts w:ascii="Arial" w:hAnsi="Arial" w:cs="Arial"/>
          <w:b/>
          <w:sz w:val="24"/>
        </w:rPr>
      </w:pPr>
    </w:p>
    <w:p>
      <w:pPr>
        <w:rPr>
          <w:rFonts w:ascii="Arial" w:hAnsi="Arial" w:cs="Arial"/>
          <w:sz w:val="24"/>
        </w:rPr>
        <w:sectPr>
          <w:headerReference r:id="rId12" w:type="default"/>
          <w:pgSz w:w="11907" w:h="16840"/>
          <w:pgMar w:top="720" w:right="720" w:bottom="720" w:left="720" w:header="851" w:footer="68" w:gutter="0"/>
          <w:pgNumType w:fmt="numberInDash"/>
          <w:cols w:space="720" w:num="1"/>
          <w:titlePg/>
          <w:docGrid w:linePitch="409" w:charSpace="0"/>
        </w:sectPr>
      </w:pPr>
    </w:p>
    <w:p>
      <w:pPr>
        <w:spacing w:line="400" w:lineRule="atLeast"/>
        <w:ind w:left="2880" w:hanging="2880"/>
        <w:jc w:val="center"/>
        <w:rPr>
          <w:rFonts w:ascii="宋体" w:hAnsi="宋体" w:cs="Arial"/>
          <w:sz w:val="24"/>
        </w:rPr>
      </w:pPr>
      <w:r>
        <w:rPr>
          <w:rFonts w:ascii="宋体" w:hAnsi="宋体" w:cs="Arial"/>
          <w:sz w:val="24"/>
        </w:rPr>
        <w:t>4、服务需求偏离表</w:t>
      </w:r>
    </w:p>
    <w:p>
      <w:pPr>
        <w:spacing w:line="400" w:lineRule="atLeast"/>
        <w:rPr>
          <w:rFonts w:ascii="Arial" w:hAnsi="Arial" w:cs="Arial"/>
          <w:sz w:val="24"/>
        </w:rPr>
      </w:pPr>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22"/>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669"/>
        <w:gridCol w:w="2548"/>
        <w:gridCol w:w="2353"/>
        <w:gridCol w:w="168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523" w:type="dxa"/>
            <w:vAlign w:val="center"/>
          </w:tcPr>
          <w:p>
            <w:pPr>
              <w:spacing w:line="400" w:lineRule="atLeast"/>
              <w:jc w:val="center"/>
              <w:rPr>
                <w:rFonts w:ascii="Arial" w:hAnsi="Arial" w:cs="Arial"/>
                <w:sz w:val="24"/>
              </w:rPr>
            </w:pPr>
            <w:r>
              <w:rPr>
                <w:rFonts w:ascii="Arial" w:hAnsi="Arial" w:cs="Arial"/>
                <w:sz w:val="24"/>
              </w:rPr>
              <w:t>序号</w:t>
            </w:r>
          </w:p>
        </w:tc>
        <w:tc>
          <w:tcPr>
            <w:tcW w:w="1669" w:type="dxa"/>
            <w:vAlign w:val="center"/>
          </w:tcPr>
          <w:p>
            <w:pPr>
              <w:spacing w:line="400" w:lineRule="atLeast"/>
              <w:jc w:val="center"/>
              <w:rPr>
                <w:rFonts w:ascii="Arial" w:hAnsi="Arial" w:cs="Arial"/>
                <w:sz w:val="24"/>
              </w:rPr>
            </w:pPr>
            <w:r>
              <w:rPr>
                <w:rFonts w:ascii="Arial" w:hAnsi="Arial" w:cs="Arial"/>
                <w:sz w:val="24"/>
              </w:rPr>
              <w:t>招标文件规格条目号</w:t>
            </w:r>
          </w:p>
        </w:tc>
        <w:tc>
          <w:tcPr>
            <w:tcW w:w="2548" w:type="dxa"/>
            <w:vAlign w:val="center"/>
          </w:tcPr>
          <w:p>
            <w:pPr>
              <w:spacing w:line="400" w:lineRule="atLeast"/>
              <w:jc w:val="center"/>
              <w:rPr>
                <w:rFonts w:ascii="Arial" w:hAnsi="Arial" w:cs="Arial"/>
                <w:sz w:val="24"/>
              </w:rPr>
            </w:pPr>
            <w:r>
              <w:rPr>
                <w:rFonts w:ascii="Arial" w:hAnsi="Arial" w:cs="Arial"/>
                <w:sz w:val="24"/>
              </w:rPr>
              <w:t>招标文件服务需求</w:t>
            </w:r>
          </w:p>
        </w:tc>
        <w:tc>
          <w:tcPr>
            <w:tcW w:w="2353" w:type="dxa"/>
            <w:vAlign w:val="center"/>
          </w:tcPr>
          <w:p>
            <w:pPr>
              <w:spacing w:line="400" w:lineRule="atLeast"/>
              <w:jc w:val="center"/>
              <w:rPr>
                <w:rFonts w:ascii="Arial" w:hAnsi="Arial" w:cs="Arial"/>
                <w:sz w:val="24"/>
              </w:rPr>
            </w:pPr>
            <w:r>
              <w:rPr>
                <w:rFonts w:ascii="Arial" w:hAnsi="Arial" w:cs="Arial"/>
                <w:sz w:val="24"/>
              </w:rPr>
              <w:t>投标规格</w:t>
            </w:r>
          </w:p>
        </w:tc>
        <w:tc>
          <w:tcPr>
            <w:tcW w:w="1683" w:type="dxa"/>
            <w:vAlign w:val="center"/>
          </w:tcPr>
          <w:p>
            <w:pPr>
              <w:spacing w:line="400" w:lineRule="atLeast"/>
              <w:jc w:val="center"/>
              <w:rPr>
                <w:rFonts w:ascii="Arial" w:hAnsi="Arial" w:cs="Arial"/>
                <w:sz w:val="24"/>
              </w:rPr>
            </w:pPr>
            <w:r>
              <w:rPr>
                <w:rFonts w:ascii="Arial" w:hAnsi="Arial" w:cs="Arial"/>
                <w:sz w:val="24"/>
              </w:rPr>
              <w:t>偏离</w:t>
            </w:r>
          </w:p>
        </w:tc>
        <w:tc>
          <w:tcPr>
            <w:tcW w:w="1184" w:type="dxa"/>
            <w:vAlign w:val="center"/>
          </w:tcPr>
          <w:p>
            <w:pPr>
              <w:spacing w:line="400" w:lineRule="atLeast"/>
              <w:jc w:val="center"/>
              <w:rPr>
                <w:rFonts w:ascii="Arial" w:hAnsi="Arial" w:cs="Arial"/>
                <w:sz w:val="24"/>
              </w:rPr>
            </w:pPr>
            <w:r>
              <w:rPr>
                <w:rFonts w:ascii="Arial" w:hAnsi="Arial"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23"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669"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23" w:type="dxa"/>
            <w:vAlign w:val="top"/>
          </w:tcPr>
          <w:p>
            <w:pPr>
              <w:spacing w:line="400" w:lineRule="atLeast"/>
              <w:rPr>
                <w:rFonts w:ascii="Arial" w:hAnsi="Arial" w:cs="Arial"/>
                <w:sz w:val="24"/>
              </w:rPr>
            </w:pPr>
          </w:p>
        </w:tc>
        <w:tc>
          <w:tcPr>
            <w:tcW w:w="1669" w:type="dxa"/>
            <w:vAlign w:val="top"/>
          </w:tcPr>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p>
            <w:pPr>
              <w:spacing w:line="400" w:lineRule="atLeast"/>
              <w:rPr>
                <w:rFonts w:ascii="Arial" w:hAnsi="Arial" w:cs="Arial"/>
                <w:sz w:val="24"/>
              </w:rPr>
            </w:pPr>
          </w:p>
        </w:tc>
        <w:tc>
          <w:tcPr>
            <w:tcW w:w="235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23" w:type="dxa"/>
            <w:vAlign w:val="top"/>
          </w:tcPr>
          <w:p>
            <w:pPr>
              <w:spacing w:line="400" w:lineRule="atLeast"/>
              <w:rPr>
                <w:rFonts w:ascii="Arial" w:hAnsi="Arial" w:cs="Arial"/>
                <w:sz w:val="24"/>
              </w:rPr>
            </w:pPr>
          </w:p>
        </w:tc>
        <w:tc>
          <w:tcPr>
            <w:tcW w:w="1669" w:type="dxa"/>
            <w:vAlign w:val="top"/>
          </w:tcPr>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widowControl/>
              <w:spacing w:line="400" w:lineRule="atLeast"/>
              <w:jc w:val="lef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23" w:type="dxa"/>
            <w:vAlign w:val="top"/>
          </w:tcPr>
          <w:p>
            <w:pPr>
              <w:spacing w:line="400" w:lineRule="atLeast"/>
              <w:rPr>
                <w:rFonts w:ascii="Arial" w:hAnsi="Arial" w:cs="Arial"/>
                <w:sz w:val="24"/>
              </w:rPr>
            </w:pPr>
          </w:p>
        </w:tc>
        <w:tc>
          <w:tcPr>
            <w:tcW w:w="1669" w:type="dxa"/>
            <w:vAlign w:val="top"/>
          </w:tcPr>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widowControl/>
              <w:spacing w:line="400" w:lineRule="atLeast"/>
              <w:jc w:val="lef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523" w:type="dxa"/>
            <w:vAlign w:val="top"/>
          </w:tcPr>
          <w:p>
            <w:pPr>
              <w:spacing w:line="400" w:lineRule="atLeast"/>
              <w:rPr>
                <w:rFonts w:ascii="Arial" w:hAnsi="Arial" w:cs="Arial"/>
                <w:sz w:val="24"/>
              </w:rPr>
            </w:pPr>
          </w:p>
        </w:tc>
        <w:tc>
          <w:tcPr>
            <w:tcW w:w="1669" w:type="dxa"/>
            <w:vAlign w:val="top"/>
          </w:tcPr>
          <w:p>
            <w:pPr>
              <w:spacing w:line="400" w:lineRule="atLeast"/>
              <w:rPr>
                <w:rFonts w:ascii="Arial" w:hAnsi="Arial" w:cs="Arial"/>
                <w:sz w:val="24"/>
              </w:rPr>
            </w:pPr>
          </w:p>
        </w:tc>
        <w:tc>
          <w:tcPr>
            <w:tcW w:w="2548" w:type="dxa"/>
            <w:vAlign w:val="top"/>
          </w:tcPr>
          <w:p>
            <w:pPr>
              <w:spacing w:line="400" w:lineRule="atLeast"/>
              <w:rPr>
                <w:rFonts w:ascii="Arial" w:hAnsi="Arial" w:cs="Arial"/>
                <w:sz w:val="24"/>
              </w:rPr>
            </w:pPr>
          </w:p>
        </w:tc>
        <w:tc>
          <w:tcPr>
            <w:tcW w:w="2353" w:type="dxa"/>
            <w:vAlign w:val="top"/>
          </w:tcPr>
          <w:p>
            <w:pPr>
              <w:widowControl/>
              <w:spacing w:line="400" w:lineRule="atLeast"/>
              <w:jc w:val="left"/>
              <w:rPr>
                <w:rFonts w:ascii="Arial" w:hAnsi="Arial" w:cs="Arial"/>
                <w:sz w:val="24"/>
              </w:rPr>
            </w:pPr>
          </w:p>
        </w:tc>
        <w:tc>
          <w:tcPr>
            <w:tcW w:w="1683" w:type="dxa"/>
            <w:vAlign w:val="top"/>
          </w:tcPr>
          <w:p>
            <w:pPr>
              <w:spacing w:line="400" w:lineRule="atLeast"/>
              <w:rPr>
                <w:rFonts w:ascii="Arial" w:hAnsi="Arial" w:cs="Arial"/>
                <w:sz w:val="24"/>
              </w:rPr>
            </w:pPr>
          </w:p>
        </w:tc>
        <w:tc>
          <w:tcPr>
            <w:tcW w:w="1184" w:type="dxa"/>
            <w:vAlign w:val="top"/>
          </w:tcPr>
          <w:p>
            <w:pPr>
              <w:spacing w:line="400" w:lineRule="atLeast"/>
              <w:rPr>
                <w:rFonts w:ascii="Arial" w:hAnsi="Arial" w:cs="Arial"/>
                <w:sz w:val="24"/>
              </w:rPr>
            </w:pPr>
          </w:p>
        </w:tc>
      </w:tr>
    </w:tbl>
    <w:p>
      <w:pPr>
        <w:spacing w:line="400" w:lineRule="atLeast"/>
        <w:rPr>
          <w:rFonts w:ascii="Arial" w:hAnsi="Arial" w:cs="Arial"/>
          <w:sz w:val="24"/>
        </w:rPr>
      </w:pPr>
      <w:r>
        <w:rPr>
          <w:rFonts w:ascii="Arial" w:hAnsi="Arial" w:cs="Arial"/>
          <w:sz w:val="24"/>
        </w:rPr>
        <w:t>注：与招标文件中“第三部分 服务需求”逐条对应填写。</w:t>
      </w:r>
    </w:p>
    <w:p>
      <w:pPr>
        <w:spacing w:line="400" w:lineRule="atLeast"/>
        <w:rPr>
          <w:rFonts w:ascii="Arial" w:hAnsi="Arial" w:cs="Arial"/>
          <w:sz w:val="24"/>
          <w:u w:val="single"/>
        </w:rPr>
      </w:pPr>
      <w:r>
        <w:rPr>
          <w:rFonts w:hint="eastAsia" w:ascii="Arial" w:hAnsi="Arial" w:cs="Arial"/>
          <w:sz w:val="24"/>
          <w:highlight w:val="none"/>
          <w:lang w:eastAsia="zh-CN"/>
        </w:rPr>
        <w:t>法人或授权代表</w:t>
      </w:r>
      <w:r>
        <w:rPr>
          <w:rFonts w:ascii="Arial" w:hAnsi="Arial" w:cs="Arial"/>
          <w:sz w:val="24"/>
          <w:highlight w:val="none"/>
        </w:rPr>
        <w:t>签字：</w:t>
      </w:r>
      <w:r>
        <w:rPr>
          <w:rFonts w:ascii="Arial" w:hAnsi="Arial" w:cs="Arial"/>
          <w:sz w:val="24"/>
          <w:highlight w:val="none"/>
          <w:u w:val="single"/>
        </w:rPr>
        <w:t xml:space="preserve">　  </w:t>
      </w:r>
      <w:r>
        <w:rPr>
          <w:rFonts w:ascii="Arial" w:hAnsi="Arial" w:cs="Arial"/>
          <w:sz w:val="24"/>
          <w:u w:val="single"/>
        </w:rPr>
        <w:t xml:space="preserve">               </w:t>
      </w:r>
    </w:p>
    <w:p>
      <w:pPr>
        <w:spacing w:line="400" w:lineRule="atLeast"/>
        <w:jc w:val="center"/>
        <w:rPr>
          <w:rFonts w:ascii="Arial" w:hAnsi="Arial" w:cs="Arial"/>
          <w:sz w:val="24"/>
          <w:u w:val="single"/>
        </w:rPr>
      </w:pPr>
    </w:p>
    <w:p>
      <w:pPr>
        <w:spacing w:line="400" w:lineRule="atLeast"/>
        <w:jc w:val="center"/>
        <w:rPr>
          <w:rFonts w:ascii="Arial" w:hAnsi="Arial" w:cs="Arial"/>
          <w:sz w:val="24"/>
          <w:u w:val="single"/>
        </w:rPr>
      </w:pPr>
    </w:p>
    <w:p>
      <w:pPr>
        <w:spacing w:line="400" w:lineRule="atLeast"/>
        <w:jc w:val="center"/>
        <w:rPr>
          <w:rFonts w:ascii="Arial" w:hAnsi="Arial" w:cs="Arial"/>
          <w:sz w:val="24"/>
          <w:u w:val="single"/>
        </w:rPr>
      </w:pPr>
    </w:p>
    <w:p>
      <w:pPr>
        <w:spacing w:line="400" w:lineRule="atLeast"/>
        <w:jc w:val="center"/>
        <w:rPr>
          <w:rFonts w:ascii="Arial" w:hAnsi="Arial" w:cs="Arial"/>
          <w:sz w:val="24"/>
        </w:rPr>
      </w:pPr>
    </w:p>
    <w:p>
      <w:pPr>
        <w:spacing w:line="400" w:lineRule="atLeast"/>
        <w:jc w:val="center"/>
        <w:rPr>
          <w:rFonts w:ascii="Arial" w:hAnsi="Arial" w:cs="Arial"/>
          <w:sz w:val="24"/>
        </w:rPr>
      </w:pPr>
      <w:r>
        <w:rPr>
          <w:rFonts w:ascii="Arial" w:hAnsi="Arial" w:cs="Arial"/>
          <w:sz w:val="24"/>
        </w:rPr>
        <w:t>5、商务条款偏离表</w:t>
      </w:r>
    </w:p>
    <w:p>
      <w:pPr>
        <w:spacing w:line="400" w:lineRule="atLeast"/>
        <w:ind w:firstLine="2640"/>
        <w:rPr>
          <w:rFonts w:ascii="Arial" w:hAnsi="Arial" w:cs="Arial"/>
          <w:sz w:val="24"/>
        </w:rPr>
      </w:pPr>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22"/>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83"/>
        <w:gridCol w:w="2642"/>
        <w:gridCol w:w="2936"/>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center"/>
          </w:tcPr>
          <w:p>
            <w:pPr>
              <w:spacing w:line="400" w:lineRule="atLeast"/>
              <w:jc w:val="center"/>
              <w:rPr>
                <w:rFonts w:ascii="Arial" w:hAnsi="Arial" w:cs="Arial"/>
                <w:sz w:val="24"/>
              </w:rPr>
            </w:pPr>
            <w:r>
              <w:rPr>
                <w:rFonts w:ascii="Arial" w:hAnsi="Arial" w:cs="Arial"/>
                <w:sz w:val="24"/>
              </w:rPr>
              <w:t>序号</w:t>
            </w:r>
          </w:p>
        </w:tc>
        <w:tc>
          <w:tcPr>
            <w:tcW w:w="1483" w:type="dxa"/>
            <w:vAlign w:val="center"/>
          </w:tcPr>
          <w:p>
            <w:pPr>
              <w:spacing w:line="400" w:lineRule="atLeast"/>
              <w:jc w:val="center"/>
              <w:rPr>
                <w:rFonts w:ascii="Arial" w:hAnsi="Arial" w:cs="Arial"/>
                <w:sz w:val="24"/>
              </w:rPr>
            </w:pPr>
            <w:r>
              <w:rPr>
                <w:rFonts w:ascii="Arial" w:hAnsi="Arial" w:cs="Arial"/>
                <w:sz w:val="24"/>
              </w:rPr>
              <w:t>招标文件</w:t>
            </w:r>
          </w:p>
          <w:p>
            <w:pPr>
              <w:spacing w:line="400" w:lineRule="atLeast"/>
              <w:jc w:val="center"/>
              <w:rPr>
                <w:rFonts w:ascii="Arial" w:hAnsi="Arial" w:cs="Arial"/>
                <w:sz w:val="24"/>
              </w:rPr>
            </w:pPr>
            <w:r>
              <w:rPr>
                <w:rFonts w:ascii="Arial" w:hAnsi="Arial" w:cs="Arial"/>
                <w:sz w:val="24"/>
              </w:rPr>
              <w:t>条目号</w:t>
            </w:r>
          </w:p>
        </w:tc>
        <w:tc>
          <w:tcPr>
            <w:tcW w:w="2642" w:type="dxa"/>
            <w:vAlign w:val="center"/>
          </w:tcPr>
          <w:p>
            <w:pPr>
              <w:spacing w:line="400" w:lineRule="atLeast"/>
              <w:jc w:val="center"/>
              <w:rPr>
                <w:rFonts w:ascii="Arial" w:hAnsi="Arial" w:cs="Arial"/>
                <w:sz w:val="24"/>
              </w:rPr>
            </w:pPr>
            <w:r>
              <w:rPr>
                <w:rFonts w:ascii="Arial" w:hAnsi="Arial" w:cs="Arial"/>
                <w:sz w:val="24"/>
              </w:rPr>
              <w:t>招标文件的商务条款</w:t>
            </w:r>
          </w:p>
        </w:tc>
        <w:tc>
          <w:tcPr>
            <w:tcW w:w="2936" w:type="dxa"/>
            <w:vAlign w:val="center"/>
          </w:tcPr>
          <w:p>
            <w:pPr>
              <w:spacing w:line="400" w:lineRule="atLeast"/>
              <w:jc w:val="center"/>
              <w:rPr>
                <w:rFonts w:ascii="Arial" w:hAnsi="Arial" w:cs="Arial"/>
                <w:sz w:val="24"/>
              </w:rPr>
            </w:pPr>
            <w:r>
              <w:rPr>
                <w:rFonts w:ascii="Arial" w:hAnsi="Arial" w:cs="Arial"/>
                <w:sz w:val="24"/>
              </w:rPr>
              <w:t>响应内容</w:t>
            </w:r>
          </w:p>
        </w:tc>
        <w:tc>
          <w:tcPr>
            <w:tcW w:w="2052" w:type="dxa"/>
            <w:vAlign w:val="center"/>
          </w:tcPr>
          <w:p>
            <w:pPr>
              <w:spacing w:line="400" w:lineRule="atLeast"/>
              <w:jc w:val="center"/>
              <w:rPr>
                <w:rFonts w:ascii="Arial" w:hAnsi="Arial" w:cs="Arial"/>
                <w:sz w:val="24"/>
              </w:rPr>
            </w:pPr>
            <w:r>
              <w:rPr>
                <w:rFonts w:ascii="Arial" w:hAnsi="Arial"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407" w:type="dxa"/>
            <w:vAlign w:val="top"/>
          </w:tcPr>
          <w:p>
            <w:pPr>
              <w:spacing w:line="400" w:lineRule="atLeast"/>
              <w:rPr>
                <w:rFonts w:ascii="Arial" w:hAnsi="Arial" w:cs="Arial"/>
                <w:sz w:val="24"/>
              </w:rPr>
            </w:pPr>
          </w:p>
          <w:p>
            <w:pPr>
              <w:spacing w:line="400" w:lineRule="atLeast"/>
              <w:rPr>
                <w:rFonts w:ascii="Arial" w:hAnsi="Arial" w:cs="Arial"/>
                <w:sz w:val="24"/>
              </w:rPr>
            </w:pPr>
          </w:p>
        </w:tc>
        <w:tc>
          <w:tcPr>
            <w:tcW w:w="1483" w:type="dxa"/>
            <w:vAlign w:val="top"/>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642" w:type="dxa"/>
            <w:vAlign w:val="top"/>
          </w:tcPr>
          <w:p>
            <w:pPr>
              <w:spacing w:line="400" w:lineRule="atLeast"/>
              <w:rPr>
                <w:rFonts w:ascii="Arial" w:hAnsi="Arial" w:cs="Arial"/>
                <w:sz w:val="24"/>
              </w:rPr>
            </w:pPr>
          </w:p>
        </w:tc>
        <w:tc>
          <w:tcPr>
            <w:tcW w:w="2936" w:type="dxa"/>
            <w:vAlign w:val="top"/>
          </w:tcPr>
          <w:p>
            <w:pPr>
              <w:spacing w:line="400" w:lineRule="atLeast"/>
              <w:rPr>
                <w:rFonts w:ascii="Arial" w:hAnsi="Arial" w:cs="Arial"/>
                <w:sz w:val="24"/>
              </w:rPr>
            </w:pPr>
          </w:p>
        </w:tc>
        <w:tc>
          <w:tcPr>
            <w:tcW w:w="2052" w:type="dxa"/>
            <w:vAlign w:val="top"/>
          </w:tcPr>
          <w:p>
            <w:pPr>
              <w:spacing w:line="400" w:lineRule="atLeast"/>
              <w:rPr>
                <w:rFonts w:ascii="Arial" w:hAnsi="Arial" w:cs="Arial"/>
                <w:sz w:val="24"/>
              </w:rPr>
            </w:pPr>
          </w:p>
        </w:tc>
      </w:tr>
    </w:tbl>
    <w:p>
      <w:pPr>
        <w:spacing w:line="400" w:lineRule="atLeast"/>
        <w:rPr>
          <w:rFonts w:ascii="Arial" w:hAnsi="Arial" w:cs="Arial"/>
          <w:sz w:val="24"/>
        </w:rPr>
      </w:pPr>
      <w:r>
        <w:rPr>
          <w:rFonts w:ascii="Arial" w:hAnsi="Arial" w:cs="Arial"/>
          <w:sz w:val="24"/>
        </w:rPr>
        <w:t>　注：与招标文件中“第四部分  商务部分”逐条对应填写。</w:t>
      </w:r>
    </w:p>
    <w:p>
      <w:pPr>
        <w:spacing w:line="400" w:lineRule="atLeast"/>
        <w:rPr>
          <w:rFonts w:ascii="Arial" w:hAnsi="Arial" w:cs="Arial"/>
          <w:sz w:val="24"/>
        </w:rPr>
      </w:pPr>
      <w:r>
        <w:rPr>
          <w:rFonts w:hint="eastAsia" w:ascii="Arial" w:hAnsi="Arial" w:cs="Arial"/>
          <w:sz w:val="24"/>
          <w:highlight w:val="none"/>
          <w:lang w:eastAsia="zh-CN"/>
        </w:rPr>
        <w:t>法人或授权代表</w:t>
      </w:r>
      <w:r>
        <w:rPr>
          <w:rFonts w:ascii="Arial" w:hAnsi="Arial" w:cs="Arial"/>
          <w:sz w:val="24"/>
          <w:highlight w:val="none"/>
        </w:rPr>
        <w:t>签字：</w:t>
      </w:r>
      <w:r>
        <w:rPr>
          <w:rFonts w:ascii="Arial" w:hAnsi="Arial" w:cs="Arial"/>
          <w:sz w:val="24"/>
          <w:highlight w:val="none"/>
          <w:u w:val="single"/>
        </w:rPr>
        <w:t>　</w:t>
      </w:r>
      <w:r>
        <w:rPr>
          <w:rFonts w:ascii="Arial" w:hAnsi="Arial" w:cs="Arial"/>
          <w:sz w:val="24"/>
          <w:u w:val="single"/>
        </w:rPr>
        <w:t>　　　　　　　　　　　　　　</w:t>
      </w:r>
      <w:r>
        <w:rPr>
          <w:rFonts w:ascii="Arial" w:hAnsi="Arial" w:cs="Arial"/>
          <w:sz w:val="24"/>
        </w:rPr>
        <w:t>　</w:t>
      </w:r>
    </w:p>
    <w:p>
      <w:pPr>
        <w:spacing w:line="400" w:lineRule="atLeast"/>
        <w:jc w:val="center"/>
        <w:rPr>
          <w:rFonts w:ascii="宋体" w:hAnsi="宋体" w:cs="Arial"/>
          <w:sz w:val="24"/>
        </w:rPr>
      </w:pPr>
      <w:r>
        <w:rPr>
          <w:rFonts w:ascii="宋体" w:hAnsi="宋体" w:cs="Arial"/>
          <w:sz w:val="24"/>
        </w:rPr>
        <w:t>6、法人授权委托书</w:t>
      </w:r>
    </w:p>
    <w:p>
      <w:pPr>
        <w:pStyle w:val="12"/>
        <w:spacing w:line="400" w:lineRule="atLeast"/>
        <w:rPr>
          <w:rFonts w:cs="Arial"/>
        </w:rPr>
      </w:pPr>
    </w:p>
    <w:p>
      <w:pPr>
        <w:widowControl/>
        <w:shd w:val="clear" w:color="auto" w:fill="FFFFFF"/>
        <w:snapToGrid w:val="0"/>
        <w:spacing w:line="384" w:lineRule="auto"/>
        <w:ind w:firstLine="480" w:firstLineChars="200"/>
        <w:jc w:val="left"/>
        <w:rPr>
          <w:rFonts w:asci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（投标人名称）的负责人，现拟派我单位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（招标项目名称）的投标，以本单位名义处理一切与之有关的事务，其法律后果由我方承担。</w:t>
      </w:r>
    </w:p>
    <w:p>
      <w:pPr>
        <w:widowControl/>
        <w:shd w:val="clear" w:color="auto" w:fill="FFFFFF"/>
        <w:snapToGrid w:val="0"/>
        <w:spacing w:line="384" w:lineRule="auto"/>
        <w:ind w:firstLine="480" w:firstLineChars="200"/>
        <w:jc w:val="left"/>
        <w:rPr>
          <w:rFonts w:asci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widowControl/>
        <w:shd w:val="clear" w:color="auto" w:fill="FFFFFF"/>
        <w:snapToGrid w:val="0"/>
        <w:spacing w:line="384" w:lineRule="auto"/>
        <w:ind w:firstLine="480" w:firstLineChars="200"/>
        <w:jc w:val="left"/>
        <w:rPr>
          <w:rFonts w:asci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widowControl/>
        <w:shd w:val="clear" w:color="auto" w:fill="FFFFFF"/>
        <w:snapToGrid w:val="0"/>
        <w:spacing w:line="384" w:lineRule="auto"/>
        <w:ind w:firstLine="480" w:firstLineChars="200"/>
        <w:jc w:val="left"/>
        <w:rPr>
          <w:rFonts w:ascii="宋体" w:cs="Arial"/>
          <w:kern w:val="0"/>
          <w:sz w:val="24"/>
        </w:rPr>
      </w:pPr>
      <w:r>
        <w:rPr>
          <w:rFonts w:ascii="宋体" w:hAnsi="宋体" w:cs="Arial"/>
          <w:kern w:val="0"/>
          <w:sz w:val="24"/>
        </w:rPr>
        <w:t>代理人无转委权，特此申明。</w:t>
      </w:r>
    </w:p>
    <w:p>
      <w:pPr>
        <w:widowControl/>
        <w:shd w:val="clear" w:color="auto" w:fill="FFFFFF"/>
        <w:snapToGrid w:val="0"/>
        <w:spacing w:line="360" w:lineRule="auto"/>
        <w:jc w:val="left"/>
        <w:rPr>
          <w:rFonts w:ascii="宋体" w:cs="Arial"/>
          <w:kern w:val="0"/>
          <w:sz w:val="24"/>
        </w:rPr>
      </w:pPr>
      <w:r>
        <w:rPr>
          <w:rFonts w:ascii="宋体" w:hAnsi="宋体" w:cs="Arial"/>
          <w:kern w:val="0"/>
          <w:sz w:val="24"/>
        </w:rPr>
        <w:t>附：授权委托人身份证明。</w:t>
      </w:r>
    </w:p>
    <w:p>
      <w:pPr>
        <w:widowControl/>
        <w:shd w:val="clear" w:color="auto" w:fill="FFFFFF"/>
        <w:snapToGrid w:val="0"/>
        <w:spacing w:line="360" w:lineRule="auto"/>
        <w:jc w:val="left"/>
        <w:rPr>
          <w:rFonts w:ascii="宋体" w:cs="Arial"/>
          <w:kern w:val="0"/>
          <w:sz w:val="24"/>
        </w:rPr>
      </w:pPr>
    </w:p>
    <w:tbl>
      <w:tblPr>
        <w:tblStyle w:val="22"/>
        <w:tblW w:w="4096" w:type="dxa"/>
        <w:jc w:val="center"/>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jc w:val="center"/>
        </w:trPr>
        <w:tc>
          <w:tcPr>
            <w:tcW w:w="4096" w:type="dxa"/>
            <w:vAlign w:val="center"/>
          </w:tcPr>
          <w:p>
            <w:pPr>
              <w:spacing w:line="360" w:lineRule="auto"/>
              <w:jc w:val="center"/>
              <w:rPr>
                <w:rFonts w:ascii="宋体"/>
                <w:kern w:val="0"/>
                <w:sz w:val="24"/>
              </w:rPr>
            </w:pPr>
            <w:r>
              <w:rPr>
                <w:rFonts w:ascii="宋体" w:hAnsi="宋体"/>
                <w:kern w:val="0"/>
                <w:sz w:val="24"/>
              </w:rPr>
              <w:t>代理人身份证复印件（正面）</w:t>
            </w:r>
          </w:p>
        </w:tc>
      </w:tr>
    </w:tbl>
    <w:p>
      <w:pPr>
        <w:rPr>
          <w:vanish/>
          <w:szCs w:val="22"/>
        </w:rPr>
      </w:pPr>
    </w:p>
    <w:tbl>
      <w:tblPr>
        <w:tblStyle w:val="22"/>
        <w:tblpPr w:leftFromText="180" w:rightFromText="180" w:vertAnchor="text" w:horzAnchor="page" w:tblpXSpec="center" w:tblpY="-2431"/>
        <w:tblW w:w="41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8" w:hRule="exact"/>
          <w:jc w:val="center"/>
        </w:trPr>
        <w:tc>
          <w:tcPr>
            <w:tcW w:w="4132" w:type="dxa"/>
            <w:vAlign w:val="center"/>
          </w:tcPr>
          <w:p>
            <w:pPr>
              <w:spacing w:line="360" w:lineRule="auto"/>
              <w:jc w:val="center"/>
              <w:rPr>
                <w:rFonts w:ascii="宋体"/>
                <w:kern w:val="0"/>
                <w:sz w:val="24"/>
              </w:rPr>
            </w:pPr>
            <w:r>
              <w:rPr>
                <w:rFonts w:ascii="宋体" w:hAnsi="宋体"/>
                <w:kern w:val="0"/>
                <w:sz w:val="24"/>
              </w:rPr>
              <w:t>代理人身份证复印件（反面）</w:t>
            </w:r>
          </w:p>
        </w:tc>
      </w:tr>
    </w:tbl>
    <w:p>
      <w:pPr>
        <w:widowControl/>
        <w:shd w:val="clear" w:color="auto" w:fill="FFFFFF"/>
        <w:snapToGrid w:val="0"/>
        <w:spacing w:line="360" w:lineRule="auto"/>
        <w:jc w:val="left"/>
        <w:rPr>
          <w:rFonts w:ascii="宋体" w:cs="Arial"/>
          <w:kern w:val="0"/>
          <w:sz w:val="24"/>
        </w:rPr>
      </w:pPr>
    </w:p>
    <w:p>
      <w:pPr>
        <w:widowControl/>
        <w:shd w:val="clear" w:color="auto" w:fill="FFFFFF"/>
        <w:snapToGrid w:val="0"/>
        <w:spacing w:line="360" w:lineRule="auto"/>
        <w:jc w:val="left"/>
        <w:rPr>
          <w:rFonts w:ascii="宋体" w:cs="Arial"/>
          <w:kern w:val="0"/>
          <w:sz w:val="24"/>
        </w:rPr>
      </w:pPr>
    </w:p>
    <w:p>
      <w:pPr>
        <w:widowControl/>
        <w:shd w:val="clear" w:color="auto" w:fill="FFFFFF"/>
        <w:snapToGrid w:val="0"/>
        <w:spacing w:line="360" w:lineRule="auto"/>
        <w:jc w:val="left"/>
        <w:rPr>
          <w:rFonts w:ascii="宋体" w:cs="Arial"/>
          <w:kern w:val="0"/>
          <w:sz w:val="24"/>
        </w:rPr>
      </w:pPr>
      <w:r>
        <w:rPr>
          <w:rFonts w:ascii="宋体" w:hAnsi="宋体" w:cs="Arial"/>
          <w:kern w:val="0"/>
          <w:sz w:val="24"/>
        </w:rPr>
        <w:t>投标人名称：</w:t>
      </w:r>
      <w:r>
        <w:rPr>
          <w:rFonts w:ascii="宋体" w:hAnsi="宋体" w:cs="Arial"/>
          <w:kern w:val="0"/>
          <w:sz w:val="24"/>
          <w:u w:val="single"/>
        </w:rPr>
        <w:t xml:space="preserve">               </w:t>
      </w:r>
      <w:r>
        <w:rPr>
          <w:rFonts w:ascii="宋体" w:hAnsi="宋体" w:cs="Arial"/>
          <w:kern w:val="0"/>
          <w:sz w:val="24"/>
        </w:rPr>
        <w:t>（盖章）</w:t>
      </w:r>
    </w:p>
    <w:p>
      <w:pPr>
        <w:widowControl/>
        <w:shd w:val="clear" w:color="auto" w:fill="FFFFFF"/>
        <w:snapToGrid w:val="0"/>
        <w:spacing w:line="360" w:lineRule="auto"/>
        <w:jc w:val="left"/>
        <w:rPr>
          <w:rFonts w:ascii="宋体" w:cs="Arial"/>
          <w:kern w:val="0"/>
          <w:sz w:val="24"/>
        </w:rPr>
      </w:pPr>
    </w:p>
    <w:p>
      <w:pPr>
        <w:widowControl/>
        <w:shd w:val="clear" w:color="auto" w:fill="FFFFFF"/>
        <w:snapToGrid w:val="0"/>
        <w:spacing w:line="360" w:lineRule="auto"/>
        <w:jc w:val="left"/>
        <w:rPr>
          <w:rFonts w:ascii="宋体" w:cs="Arial"/>
          <w:kern w:val="0"/>
          <w:sz w:val="24"/>
        </w:rPr>
      </w:pPr>
      <w:r>
        <w:rPr>
          <w:rFonts w:hint="eastAsia" w:ascii="宋体" w:hAnsi="宋体" w:cs="Arial"/>
          <w:kern w:val="0"/>
          <w:sz w:val="24"/>
          <w:lang w:eastAsia="zh-CN"/>
        </w:rPr>
        <w:t>法人或授权代表</w:t>
      </w:r>
      <w:r>
        <w:rPr>
          <w:rFonts w:ascii="宋体" w:hAnsi="宋体" w:cs="Arial"/>
          <w:kern w:val="0"/>
          <w:sz w:val="24"/>
        </w:rPr>
        <w:t>签字：</w:t>
      </w:r>
      <w:r>
        <w:rPr>
          <w:rFonts w:ascii="宋体" w:hAnsi="宋体" w:cs="Arial"/>
          <w:kern w:val="0"/>
          <w:sz w:val="24"/>
          <w:u w:val="single"/>
        </w:rPr>
        <w:t xml:space="preserve">           </w:t>
      </w:r>
      <w:r>
        <w:rPr>
          <w:rFonts w:ascii="宋体" w:hAnsi="宋体" w:cs="Arial"/>
          <w:kern w:val="0"/>
          <w:sz w:val="24"/>
        </w:rPr>
        <w:t>（盖章）</w:t>
      </w:r>
    </w:p>
    <w:p>
      <w:pPr>
        <w:spacing w:line="400" w:lineRule="atLeast"/>
        <w:ind w:firstLine="480"/>
        <w:rPr>
          <w:rFonts w:ascii="宋体" w:hAnsi="宋体" w:cs="Arial"/>
          <w:sz w:val="24"/>
        </w:rPr>
      </w:pPr>
      <w:r>
        <w:rPr>
          <w:rFonts w:ascii="宋体" w:hAnsi="宋体" w:cs="Arial"/>
          <w:kern w:val="0"/>
          <w:sz w:val="24"/>
        </w:rPr>
        <w:t xml:space="preserve">                                               日期： 年  月  日</w:t>
      </w:r>
    </w:p>
    <w:p>
      <w:pPr>
        <w:spacing w:line="400" w:lineRule="atLeast"/>
        <w:ind w:firstLine="480"/>
        <w:rPr>
          <w:rFonts w:ascii="宋体" w:hAnsi="宋体" w:cs="Arial"/>
          <w:sz w:val="24"/>
        </w:rPr>
      </w:pPr>
    </w:p>
    <w:p>
      <w:pPr>
        <w:spacing w:line="400" w:lineRule="atLeast"/>
        <w:rPr>
          <w:rFonts w:ascii="Arial" w:hAnsi="Arial" w:cs="Arial"/>
          <w:sz w:val="24"/>
        </w:rPr>
      </w:pPr>
      <w:r>
        <w:rPr>
          <w:rFonts w:ascii="Arial" w:hAnsi="Arial" w:cs="Arial"/>
          <w:sz w:val="24"/>
        </w:rPr>
        <w:t>注：凡公司法人前来参加投标的供应商，可以不提供此项证明文件。</w:t>
      </w:r>
    </w:p>
    <w:p>
      <w:pPr>
        <w:spacing w:line="400" w:lineRule="atLeast"/>
        <w:jc w:val="center"/>
        <w:rPr>
          <w:rFonts w:ascii="Arial" w:hAnsi="Arial" w:cs="Arial"/>
          <w:sz w:val="24"/>
        </w:rPr>
      </w:pPr>
    </w:p>
    <w:p>
      <w:pPr>
        <w:spacing w:line="400" w:lineRule="atLeast"/>
        <w:jc w:val="center"/>
        <w:rPr>
          <w:rFonts w:ascii="宋体" w:hAnsi="宋体" w:cs="Arial"/>
          <w:sz w:val="24"/>
        </w:rPr>
      </w:pPr>
      <w:r>
        <w:rPr>
          <w:rFonts w:ascii="宋体" w:hAnsi="宋体" w:cs="Arial"/>
          <w:sz w:val="24"/>
        </w:rPr>
        <w:t>7、关于资格的声明函</w:t>
      </w:r>
    </w:p>
    <w:p>
      <w:pPr>
        <w:spacing w:line="400" w:lineRule="atLeast"/>
        <w:rPr>
          <w:rFonts w:ascii="Arial" w:hAnsi="Arial" w:cs="Arial"/>
          <w:sz w:val="24"/>
        </w:rPr>
      </w:pPr>
    </w:p>
    <w:p>
      <w:pPr>
        <w:spacing w:line="400" w:lineRule="atLeast"/>
        <w:rPr>
          <w:rFonts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ascii="Arial" w:hAnsi="Arial" w:cs="Arial"/>
          <w:sz w:val="24"/>
        </w:rPr>
        <w:t>招标通告，本签字人愿意参加投标，并有能力提供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ascii="Arial" w:hAnsi="Arial" w:cs="Arial"/>
          <w:sz w:val="24"/>
        </w:rPr>
        <w:t>招标货物及相关服务，并证明所提交的所有文件和说明是准确和真实的。</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r>
        <w:rPr>
          <w:rFonts w:ascii="Arial" w:hAnsi="Arial" w:cs="Arial"/>
          <w:sz w:val="24"/>
        </w:rPr>
        <w:t>　制造商或贸易公司的　　　　　　　受权签署本资格文件人：</w:t>
      </w:r>
    </w:p>
    <w:p>
      <w:pPr>
        <w:spacing w:line="400" w:lineRule="atLeast"/>
        <w:rPr>
          <w:rFonts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spacing w:line="400" w:lineRule="atLeast"/>
        <w:rPr>
          <w:rFonts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spacing w:line="400" w:lineRule="atLeast"/>
        <w:rPr>
          <w:rFonts w:ascii="Arial" w:hAnsi="Arial" w:cs="Arial"/>
          <w:sz w:val="24"/>
        </w:rPr>
      </w:pPr>
      <w:r>
        <w:rPr>
          <w:rFonts w:ascii="Arial" w:hAnsi="Arial" w:cs="Arial"/>
          <w:sz w:val="24"/>
        </w:rPr>
        <w:t>　传真</w:t>
      </w:r>
      <w:r>
        <w:rPr>
          <w:rFonts w:ascii="Arial" w:hAnsi="Arial" w:cs="Arial"/>
          <w:sz w:val="24"/>
          <w:u w:val="single"/>
        </w:rPr>
        <w:t xml:space="preserve">：            </w:t>
      </w:r>
    </w:p>
    <w:p>
      <w:pPr>
        <w:spacing w:line="400" w:lineRule="atLeast"/>
        <w:rPr>
          <w:rFonts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spacing w:line="400" w:lineRule="atLeast"/>
        <w:rPr>
          <w:rFonts w:ascii="Arial" w:hAnsi="Arial" w:cs="Arial"/>
          <w:sz w:val="24"/>
        </w:rPr>
      </w:pPr>
      <w:r>
        <w:rPr>
          <w:rFonts w:ascii="Arial" w:hAnsi="Arial" w:cs="Arial"/>
          <w:sz w:val="24"/>
        </w:rPr>
        <w:t>　盖章：</w:t>
      </w: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宋体" w:hAnsi="宋体" w:cs="Arial"/>
          <w:sz w:val="24"/>
        </w:rPr>
      </w:pPr>
      <w:r>
        <w:rPr>
          <w:rFonts w:ascii="宋体" w:hAnsi="宋体" w:cs="Arial"/>
          <w:sz w:val="24"/>
        </w:rPr>
        <w:br w:type="page"/>
      </w:r>
      <w:r>
        <w:rPr>
          <w:rFonts w:ascii="宋体" w:hAnsi="宋体" w:cs="Arial"/>
          <w:sz w:val="24"/>
        </w:rPr>
        <w:t>8、供应商概况</w:t>
      </w:r>
    </w:p>
    <w:p>
      <w:pPr>
        <w:spacing w:line="400" w:lineRule="atLeast"/>
        <w:jc w:val="center"/>
        <w:rPr>
          <w:rFonts w:ascii="宋体" w:hAnsi="宋体" w:cs="Arial"/>
          <w:sz w:val="24"/>
        </w:rPr>
      </w:pPr>
    </w:p>
    <w:tbl>
      <w:tblPr>
        <w:tblStyle w:val="22"/>
        <w:tblW w:w="896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供应商名称</w:t>
            </w:r>
          </w:p>
        </w:tc>
        <w:tc>
          <w:tcPr>
            <w:tcW w:w="7300" w:type="dxa"/>
            <w:gridSpan w:val="5"/>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注册地址</w:t>
            </w:r>
          </w:p>
        </w:tc>
        <w:tc>
          <w:tcPr>
            <w:tcW w:w="7300" w:type="dxa"/>
            <w:gridSpan w:val="5"/>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成立时间</w:t>
            </w:r>
          </w:p>
        </w:tc>
        <w:tc>
          <w:tcPr>
            <w:tcW w:w="7300" w:type="dxa"/>
            <w:gridSpan w:val="5"/>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cs="宋体"/>
                <w:kern w:val="0"/>
                <w:sz w:val="24"/>
              </w:rPr>
              <w:t>执业许可证</w:t>
            </w:r>
            <w:r>
              <w:rPr>
                <w:rFonts w:ascii="宋体" w:hAnsi="宋体"/>
                <w:kern w:val="0"/>
                <w:sz w:val="24"/>
              </w:rPr>
              <w:t>号</w:t>
            </w:r>
          </w:p>
        </w:tc>
        <w:tc>
          <w:tcPr>
            <w:tcW w:w="7300" w:type="dxa"/>
            <w:gridSpan w:val="5"/>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cs="Arial"/>
                <w:kern w:val="0"/>
                <w:sz w:val="24"/>
              </w:rPr>
              <w:t>负责人</w:t>
            </w:r>
          </w:p>
        </w:tc>
        <w:tc>
          <w:tcPr>
            <w:tcW w:w="3165" w:type="dxa"/>
            <w:gridSpan w:val="2"/>
            <w:vAlign w:val="center"/>
          </w:tcPr>
          <w:p>
            <w:pPr>
              <w:autoSpaceDE w:val="0"/>
              <w:autoSpaceDN w:val="0"/>
              <w:adjustRightInd w:val="0"/>
              <w:snapToGrid w:val="0"/>
              <w:spacing w:line="360" w:lineRule="auto"/>
              <w:jc w:val="center"/>
              <w:rPr>
                <w:rFonts w:ascii="宋体"/>
                <w:kern w:val="0"/>
                <w:sz w:val="24"/>
              </w:rPr>
            </w:pPr>
          </w:p>
        </w:tc>
        <w:tc>
          <w:tcPr>
            <w:tcW w:w="1995" w:type="dxa"/>
            <w:gridSpan w:val="2"/>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电话</w:t>
            </w:r>
          </w:p>
        </w:tc>
        <w:tc>
          <w:tcPr>
            <w:tcW w:w="2140" w:type="dxa"/>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联系人</w:t>
            </w:r>
          </w:p>
        </w:tc>
        <w:tc>
          <w:tcPr>
            <w:tcW w:w="3165" w:type="dxa"/>
            <w:gridSpan w:val="2"/>
            <w:vAlign w:val="center"/>
          </w:tcPr>
          <w:p>
            <w:pPr>
              <w:autoSpaceDE w:val="0"/>
              <w:autoSpaceDN w:val="0"/>
              <w:adjustRightInd w:val="0"/>
              <w:snapToGrid w:val="0"/>
              <w:spacing w:line="360" w:lineRule="auto"/>
              <w:jc w:val="center"/>
              <w:rPr>
                <w:rFonts w:ascii="宋体"/>
                <w:kern w:val="0"/>
                <w:sz w:val="24"/>
              </w:rPr>
            </w:pPr>
          </w:p>
        </w:tc>
        <w:tc>
          <w:tcPr>
            <w:tcW w:w="1995" w:type="dxa"/>
            <w:gridSpan w:val="2"/>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电话</w:t>
            </w:r>
          </w:p>
        </w:tc>
        <w:tc>
          <w:tcPr>
            <w:tcW w:w="2140" w:type="dxa"/>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传真</w:t>
            </w:r>
          </w:p>
        </w:tc>
        <w:tc>
          <w:tcPr>
            <w:tcW w:w="3165" w:type="dxa"/>
            <w:gridSpan w:val="2"/>
            <w:vAlign w:val="center"/>
          </w:tcPr>
          <w:p>
            <w:pPr>
              <w:autoSpaceDE w:val="0"/>
              <w:autoSpaceDN w:val="0"/>
              <w:adjustRightInd w:val="0"/>
              <w:snapToGrid w:val="0"/>
              <w:spacing w:line="360" w:lineRule="auto"/>
              <w:jc w:val="center"/>
              <w:rPr>
                <w:rFonts w:ascii="宋体"/>
                <w:kern w:val="0"/>
                <w:sz w:val="24"/>
              </w:rPr>
            </w:pPr>
          </w:p>
        </w:tc>
        <w:tc>
          <w:tcPr>
            <w:tcW w:w="1995" w:type="dxa"/>
            <w:gridSpan w:val="2"/>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网址</w:t>
            </w:r>
          </w:p>
        </w:tc>
        <w:tc>
          <w:tcPr>
            <w:tcW w:w="2140" w:type="dxa"/>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开户银行</w:t>
            </w:r>
          </w:p>
        </w:tc>
        <w:tc>
          <w:tcPr>
            <w:tcW w:w="3165" w:type="dxa"/>
            <w:gridSpan w:val="2"/>
            <w:vAlign w:val="center"/>
          </w:tcPr>
          <w:p>
            <w:pPr>
              <w:autoSpaceDE w:val="0"/>
              <w:autoSpaceDN w:val="0"/>
              <w:adjustRightInd w:val="0"/>
              <w:snapToGrid w:val="0"/>
              <w:spacing w:line="360" w:lineRule="auto"/>
              <w:jc w:val="center"/>
              <w:rPr>
                <w:rFonts w:ascii="宋体"/>
                <w:kern w:val="0"/>
                <w:sz w:val="24"/>
              </w:rPr>
            </w:pPr>
          </w:p>
        </w:tc>
        <w:tc>
          <w:tcPr>
            <w:tcW w:w="1995" w:type="dxa"/>
            <w:gridSpan w:val="2"/>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银行帐号</w:t>
            </w:r>
          </w:p>
        </w:tc>
        <w:tc>
          <w:tcPr>
            <w:tcW w:w="2140" w:type="dxa"/>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宋体"/>
                <w:kern w:val="0"/>
                <w:sz w:val="24"/>
              </w:rPr>
            </w:pPr>
            <w:r>
              <w:rPr>
                <w:rFonts w:ascii="宋体" w:hAnsi="宋体"/>
                <w:kern w:val="0"/>
                <w:sz w:val="24"/>
              </w:rPr>
              <w:t>企业相关概况</w:t>
            </w:r>
          </w:p>
        </w:tc>
        <w:tc>
          <w:tcPr>
            <w:tcW w:w="7300" w:type="dxa"/>
            <w:gridSpan w:val="5"/>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Merge w:val="restart"/>
            <w:vAlign w:val="center"/>
          </w:tcPr>
          <w:p>
            <w:pPr>
              <w:widowControl/>
              <w:adjustRightInd w:val="0"/>
              <w:snapToGrid w:val="0"/>
              <w:spacing w:line="360" w:lineRule="auto"/>
              <w:jc w:val="center"/>
              <w:rPr>
                <w:rFonts w:ascii="宋体"/>
                <w:kern w:val="0"/>
                <w:sz w:val="24"/>
              </w:rPr>
            </w:pPr>
            <w:r>
              <w:rPr>
                <w:rFonts w:ascii="宋体" w:hAnsi="宋体"/>
                <w:kern w:val="0"/>
                <w:sz w:val="24"/>
              </w:rPr>
              <w:t>单位负责人</w:t>
            </w:r>
          </w:p>
        </w:tc>
        <w:tc>
          <w:tcPr>
            <w:tcW w:w="1590"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姓名</w:t>
            </w:r>
          </w:p>
        </w:tc>
        <w:tc>
          <w:tcPr>
            <w:tcW w:w="1837" w:type="dxa"/>
            <w:gridSpan w:val="2"/>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职务及职称</w:t>
            </w:r>
          </w:p>
        </w:tc>
        <w:tc>
          <w:tcPr>
            <w:tcW w:w="1733" w:type="dxa"/>
            <w:vAlign w:val="center"/>
          </w:tcPr>
          <w:p>
            <w:pPr>
              <w:autoSpaceDE w:val="0"/>
              <w:autoSpaceDN w:val="0"/>
              <w:adjustRightInd w:val="0"/>
              <w:snapToGrid w:val="0"/>
              <w:spacing w:line="360" w:lineRule="auto"/>
              <w:ind w:firstLine="480" w:firstLineChars="200"/>
              <w:jc w:val="center"/>
              <w:rPr>
                <w:rFonts w:ascii="宋体"/>
                <w:kern w:val="0"/>
                <w:sz w:val="24"/>
              </w:rPr>
            </w:pPr>
            <w:r>
              <w:rPr>
                <w:rFonts w:ascii="宋体" w:hAnsi="宋体"/>
                <w:kern w:val="0"/>
                <w:sz w:val="24"/>
              </w:rPr>
              <w:t>年龄</w:t>
            </w:r>
          </w:p>
        </w:tc>
        <w:tc>
          <w:tcPr>
            <w:tcW w:w="2140" w:type="dxa"/>
            <w:vAlign w:val="center"/>
          </w:tcPr>
          <w:p>
            <w:pPr>
              <w:autoSpaceDE w:val="0"/>
              <w:autoSpaceDN w:val="0"/>
              <w:adjustRightInd w:val="0"/>
              <w:snapToGrid w:val="0"/>
              <w:spacing w:line="360" w:lineRule="auto"/>
              <w:jc w:val="center"/>
              <w:rPr>
                <w:rFonts w:ascii="宋体"/>
                <w:kern w:val="0"/>
                <w:sz w:val="24"/>
              </w:rPr>
            </w:pPr>
            <w:r>
              <w:rPr>
                <w:rFonts w:ascii="宋体" w:hAnsi="宋体"/>
                <w:kern w:val="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kern w:val="0"/>
                <w:sz w:val="24"/>
              </w:rPr>
            </w:pPr>
          </w:p>
        </w:tc>
        <w:tc>
          <w:tcPr>
            <w:tcW w:w="1590" w:type="dxa"/>
            <w:vAlign w:val="center"/>
          </w:tcPr>
          <w:p>
            <w:pPr>
              <w:autoSpaceDE w:val="0"/>
              <w:autoSpaceDN w:val="0"/>
              <w:adjustRightInd w:val="0"/>
              <w:snapToGrid w:val="0"/>
              <w:spacing w:line="360" w:lineRule="auto"/>
              <w:jc w:val="center"/>
              <w:rPr>
                <w:rFonts w:ascii="宋体"/>
                <w:kern w:val="0"/>
                <w:sz w:val="24"/>
              </w:rPr>
            </w:pPr>
          </w:p>
        </w:tc>
        <w:tc>
          <w:tcPr>
            <w:tcW w:w="1837" w:type="dxa"/>
            <w:gridSpan w:val="2"/>
            <w:vAlign w:val="center"/>
          </w:tcPr>
          <w:p>
            <w:pPr>
              <w:autoSpaceDE w:val="0"/>
              <w:autoSpaceDN w:val="0"/>
              <w:adjustRightInd w:val="0"/>
              <w:snapToGrid w:val="0"/>
              <w:spacing w:line="360" w:lineRule="auto"/>
              <w:jc w:val="center"/>
              <w:rPr>
                <w:rFonts w:ascii="宋体"/>
                <w:kern w:val="0"/>
                <w:sz w:val="24"/>
              </w:rPr>
            </w:pPr>
          </w:p>
        </w:tc>
        <w:tc>
          <w:tcPr>
            <w:tcW w:w="1733" w:type="dxa"/>
            <w:vAlign w:val="center"/>
          </w:tcPr>
          <w:p>
            <w:pPr>
              <w:autoSpaceDE w:val="0"/>
              <w:autoSpaceDN w:val="0"/>
              <w:adjustRightInd w:val="0"/>
              <w:snapToGrid w:val="0"/>
              <w:spacing w:line="360" w:lineRule="auto"/>
              <w:jc w:val="center"/>
              <w:rPr>
                <w:rFonts w:ascii="宋体"/>
                <w:kern w:val="0"/>
                <w:sz w:val="24"/>
              </w:rPr>
            </w:pPr>
          </w:p>
        </w:tc>
        <w:tc>
          <w:tcPr>
            <w:tcW w:w="2140" w:type="dxa"/>
            <w:vAlign w:val="center"/>
          </w:tcPr>
          <w:p>
            <w:pPr>
              <w:autoSpaceDE w:val="0"/>
              <w:autoSpaceDN w:val="0"/>
              <w:adjustRightInd w:val="0"/>
              <w:snapToGrid w:val="0"/>
              <w:spacing w:line="360" w:lineRule="auto"/>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1665" w:type="dxa"/>
            <w:vAlign w:val="center"/>
          </w:tcPr>
          <w:p>
            <w:pPr>
              <w:widowControl/>
              <w:adjustRightInd w:val="0"/>
              <w:snapToGrid w:val="0"/>
              <w:spacing w:line="360" w:lineRule="auto"/>
              <w:jc w:val="center"/>
              <w:rPr>
                <w:rFonts w:ascii="宋体"/>
                <w:kern w:val="0"/>
                <w:sz w:val="24"/>
              </w:rPr>
            </w:pPr>
            <w:r>
              <w:rPr>
                <w:rFonts w:ascii="宋体" w:hAnsi="宋体"/>
                <w:kern w:val="0"/>
                <w:sz w:val="24"/>
              </w:rPr>
              <w:t>经营范围</w:t>
            </w:r>
          </w:p>
        </w:tc>
        <w:tc>
          <w:tcPr>
            <w:tcW w:w="7300" w:type="dxa"/>
            <w:gridSpan w:val="5"/>
            <w:vAlign w:val="center"/>
          </w:tcPr>
          <w:p>
            <w:pPr>
              <w:autoSpaceDE w:val="0"/>
              <w:autoSpaceDN w:val="0"/>
              <w:adjustRightInd w:val="0"/>
              <w:snapToGrid w:val="0"/>
              <w:spacing w:line="360" w:lineRule="auto"/>
              <w:jc w:val="center"/>
              <w:rPr>
                <w:rFonts w:ascii="宋体"/>
                <w:kern w:val="0"/>
                <w:sz w:val="24"/>
              </w:rPr>
            </w:pPr>
          </w:p>
        </w:tc>
      </w:tr>
    </w:tbl>
    <w:p>
      <w:pPr>
        <w:spacing w:line="400" w:lineRule="atLeast"/>
        <w:jc w:val="left"/>
        <w:rPr>
          <w:rFonts w:ascii="宋体" w:hAnsi="宋体" w:cs="Arial"/>
          <w:sz w:val="24"/>
        </w:rPr>
      </w:pPr>
      <w:r>
        <w:rPr>
          <w:rFonts w:ascii="宋体" w:hAnsi="宋体" w:cs="宋体"/>
          <w:kern w:val="0"/>
          <w:sz w:val="24"/>
        </w:rPr>
        <w:t>备注：本表后附相关执业许可证及其他相关材料；</w:t>
      </w:r>
    </w:p>
    <w:p>
      <w:pPr>
        <w:spacing w:line="400" w:lineRule="atLeast"/>
        <w:jc w:val="center"/>
        <w:rPr>
          <w:rFonts w:ascii="宋体" w:hAnsi="宋体" w:cs="Arial"/>
          <w:sz w:val="24"/>
        </w:rPr>
      </w:pPr>
    </w:p>
    <w:p>
      <w:pPr>
        <w:spacing w:line="400" w:lineRule="atLeast"/>
        <w:jc w:val="center"/>
        <w:rPr>
          <w:rFonts w:ascii="宋体" w:hAnsi="宋体" w:cs="Arial"/>
          <w:sz w:val="24"/>
        </w:rPr>
      </w:pPr>
      <w:r>
        <w:rPr>
          <w:rFonts w:ascii="宋体" w:hAnsi="宋体" w:cs="Arial"/>
          <w:sz w:val="24"/>
        </w:rPr>
        <w:br w:type="page"/>
      </w:r>
      <w:r>
        <w:rPr>
          <w:rFonts w:ascii="宋体" w:hAnsi="宋体" w:cs="Arial"/>
          <w:sz w:val="24"/>
        </w:rPr>
        <w:t>9、供应商类似业绩</w:t>
      </w:r>
    </w:p>
    <w:p>
      <w:pPr>
        <w:spacing w:line="400" w:lineRule="atLeast"/>
        <w:jc w:val="center"/>
        <w:rPr>
          <w:rFonts w:ascii="宋体" w:hAnsi="宋体" w:cs="Arial"/>
          <w:sz w:val="24"/>
        </w:rPr>
      </w:pPr>
    </w:p>
    <w:tbl>
      <w:tblPr>
        <w:tblStyle w:val="22"/>
        <w:tblW w:w="91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sz w:val="24"/>
              </w:rPr>
            </w:pPr>
            <w:r>
              <w:rPr>
                <w:rFonts w:ascii="宋体" w:hAnsi="宋体"/>
                <w:sz w:val="24"/>
              </w:rPr>
              <w:t>项目名称</w:t>
            </w:r>
          </w:p>
        </w:tc>
        <w:tc>
          <w:tcPr>
            <w:tcW w:w="6148" w:type="dxa"/>
            <w:vAlign w:val="center"/>
          </w:tcPr>
          <w:p>
            <w:pPr>
              <w:spacing w:line="360" w:lineRule="auto"/>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sz w:val="24"/>
              </w:rPr>
            </w:pPr>
            <w:r>
              <w:rPr>
                <w:rFonts w:ascii="宋体" w:hAnsi="宋体"/>
                <w:sz w:val="24"/>
              </w:rPr>
              <w:t>采购人名称</w:t>
            </w:r>
          </w:p>
        </w:tc>
        <w:tc>
          <w:tcPr>
            <w:tcW w:w="6148" w:type="dxa"/>
            <w:vAlign w:val="center"/>
          </w:tcPr>
          <w:p>
            <w:pPr>
              <w:spacing w:line="360" w:lineRule="auto"/>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sz w:val="24"/>
              </w:rPr>
            </w:pPr>
            <w:r>
              <w:rPr>
                <w:rFonts w:ascii="宋体" w:hAnsi="宋体"/>
                <w:sz w:val="24"/>
              </w:rPr>
              <w:t>采购人地址</w:t>
            </w:r>
          </w:p>
        </w:tc>
        <w:tc>
          <w:tcPr>
            <w:tcW w:w="6148" w:type="dxa"/>
            <w:vAlign w:val="center"/>
          </w:tcPr>
          <w:p>
            <w:pPr>
              <w:spacing w:line="360" w:lineRule="auto"/>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sz w:val="24"/>
              </w:rPr>
            </w:pPr>
            <w:r>
              <w:rPr>
                <w:rFonts w:ascii="宋体" w:hAnsi="宋体"/>
                <w:sz w:val="24"/>
              </w:rPr>
              <w:t>采购人联系人及电话</w:t>
            </w:r>
          </w:p>
        </w:tc>
        <w:tc>
          <w:tcPr>
            <w:tcW w:w="6148" w:type="dxa"/>
            <w:vAlign w:val="center"/>
          </w:tcPr>
          <w:p>
            <w:pPr>
              <w:spacing w:line="360" w:lineRule="auto"/>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hAnsi="宋体"/>
                <w:sz w:val="24"/>
              </w:rPr>
            </w:pPr>
            <w:r>
              <w:rPr>
                <w:rFonts w:ascii="宋体" w:hAnsi="宋体"/>
                <w:sz w:val="24"/>
              </w:rPr>
              <w:t>服务内容</w:t>
            </w:r>
          </w:p>
        </w:tc>
        <w:tc>
          <w:tcPr>
            <w:tcW w:w="6148" w:type="dxa"/>
            <w:vAlign w:val="center"/>
          </w:tcPr>
          <w:p>
            <w:pPr>
              <w:spacing w:line="360" w:lineRule="auto"/>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sz w:val="24"/>
              </w:rPr>
            </w:pPr>
            <w:r>
              <w:rPr>
                <w:rFonts w:ascii="宋体"/>
                <w:sz w:val="24"/>
              </w:rPr>
              <w:t>合同期限</w:t>
            </w:r>
          </w:p>
        </w:tc>
        <w:tc>
          <w:tcPr>
            <w:tcW w:w="6148" w:type="dxa"/>
            <w:vAlign w:val="center"/>
          </w:tcPr>
          <w:p>
            <w:pPr>
              <w:spacing w:line="360" w:lineRule="auto"/>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sz w:val="24"/>
              </w:rPr>
            </w:pPr>
            <w:r>
              <w:rPr>
                <w:rFonts w:ascii="宋体" w:hAnsi="宋体"/>
                <w:sz w:val="24"/>
              </w:rPr>
              <w:t>合同价格</w:t>
            </w:r>
          </w:p>
        </w:tc>
        <w:tc>
          <w:tcPr>
            <w:tcW w:w="6148" w:type="dxa"/>
            <w:vAlign w:val="center"/>
          </w:tcPr>
          <w:p>
            <w:pPr>
              <w:spacing w:line="360" w:lineRule="auto"/>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3032" w:type="dxa"/>
            <w:vAlign w:val="center"/>
          </w:tcPr>
          <w:p>
            <w:pPr>
              <w:spacing w:line="360" w:lineRule="auto"/>
              <w:jc w:val="center"/>
              <w:rPr>
                <w:rFonts w:ascii="宋体"/>
                <w:sz w:val="24"/>
              </w:rPr>
            </w:pPr>
            <w:r>
              <w:rPr>
                <w:rFonts w:ascii="宋体" w:hAnsi="宋体"/>
                <w:sz w:val="24"/>
              </w:rPr>
              <w:t>备注</w:t>
            </w:r>
          </w:p>
        </w:tc>
        <w:tc>
          <w:tcPr>
            <w:tcW w:w="6148" w:type="dxa"/>
            <w:vAlign w:val="center"/>
          </w:tcPr>
          <w:p>
            <w:pPr>
              <w:spacing w:line="360" w:lineRule="auto"/>
              <w:jc w:val="center"/>
              <w:rPr>
                <w:rFonts w:ascii="宋体"/>
                <w:sz w:val="24"/>
              </w:rPr>
            </w:pPr>
          </w:p>
        </w:tc>
      </w:tr>
    </w:tbl>
    <w:p>
      <w:pPr>
        <w:spacing w:line="360" w:lineRule="auto"/>
        <w:jc w:val="left"/>
        <w:rPr>
          <w:rFonts w:ascii="宋体"/>
          <w:sz w:val="24"/>
        </w:rPr>
      </w:pPr>
      <w:r>
        <w:rPr>
          <w:rFonts w:ascii="宋体" w:hAnsi="宋体"/>
          <w:sz w:val="24"/>
        </w:rPr>
        <w:t>备注：</w:t>
      </w:r>
    </w:p>
    <w:p>
      <w:pPr>
        <w:spacing w:line="360" w:lineRule="auto"/>
        <w:rPr>
          <w:rFonts w:ascii="宋体" w:hAnsi="宋体"/>
          <w:sz w:val="24"/>
        </w:rPr>
      </w:pPr>
      <w:r>
        <w:rPr>
          <w:rFonts w:ascii="宋体" w:hAnsi="宋体"/>
          <w:sz w:val="24"/>
        </w:rPr>
        <w:t>1、本表后须附类似业绩的证明资料（中标通知书或成交通知书</w:t>
      </w:r>
      <w:r>
        <w:rPr>
          <w:rFonts w:ascii="宋体"/>
          <w:sz w:val="24"/>
        </w:rPr>
        <w:t>复印件</w:t>
      </w:r>
      <w:r>
        <w:rPr>
          <w:rFonts w:ascii="宋体" w:hAnsi="宋体"/>
          <w:sz w:val="24"/>
        </w:rPr>
        <w:t>及合同复印件）</w:t>
      </w:r>
    </w:p>
    <w:p>
      <w:pPr>
        <w:spacing w:line="360" w:lineRule="auto"/>
        <w:jc w:val="left"/>
        <w:rPr>
          <w:rFonts w:ascii="宋体"/>
          <w:sz w:val="24"/>
          <w:u w:val="single"/>
        </w:rPr>
      </w:pPr>
      <w:r>
        <w:rPr>
          <w:rFonts w:ascii="宋体" w:hAnsi="宋体"/>
          <w:sz w:val="24"/>
        </w:rPr>
        <w:t>2、具体年份要求：</w:t>
      </w:r>
      <w:r>
        <w:rPr>
          <w:rFonts w:ascii="宋体" w:hAnsi="宋体"/>
          <w:sz w:val="24"/>
          <w:u w:val="single"/>
        </w:rPr>
        <w:t>201</w:t>
      </w:r>
      <w:r>
        <w:rPr>
          <w:rFonts w:hint="eastAsia" w:ascii="宋体" w:hAnsi="宋体"/>
          <w:sz w:val="24"/>
          <w:u w:val="single"/>
          <w:lang w:val="en-US" w:eastAsia="zh-CN"/>
        </w:rPr>
        <w:t>8</w:t>
      </w:r>
      <w:r>
        <w:rPr>
          <w:rFonts w:ascii="宋体" w:hAnsi="宋体"/>
          <w:sz w:val="24"/>
          <w:u w:val="single"/>
        </w:rPr>
        <w:t>年1月1日-至今</w:t>
      </w:r>
    </w:p>
    <w:p>
      <w:pPr>
        <w:spacing w:line="400" w:lineRule="atLeast"/>
        <w:jc w:val="left"/>
        <w:rPr>
          <w:rFonts w:ascii="宋体" w:hAnsi="宋体" w:cs="Arial"/>
          <w:sz w:val="24"/>
        </w:rPr>
      </w:pPr>
      <w:r>
        <w:rPr>
          <w:rFonts w:ascii="宋体" w:hAnsi="宋体"/>
          <w:sz w:val="24"/>
        </w:rPr>
        <w:t>3、每张表格只填写一个项目的信息，并注明序号。</w:t>
      </w:r>
    </w:p>
    <w:p>
      <w:pPr>
        <w:spacing w:line="400" w:lineRule="atLeast"/>
        <w:jc w:val="center"/>
        <w:rPr>
          <w:rFonts w:ascii="宋体" w:hAnsi="宋体" w:cs="Arial"/>
          <w:sz w:val="24"/>
        </w:rPr>
      </w:pPr>
    </w:p>
    <w:p>
      <w:pPr>
        <w:spacing w:line="400" w:lineRule="atLeast"/>
        <w:jc w:val="center"/>
        <w:rPr>
          <w:rFonts w:ascii="宋体" w:hAnsi="宋体" w:cs="Arial"/>
          <w:sz w:val="24"/>
        </w:rPr>
      </w:pPr>
      <w:r>
        <w:rPr>
          <w:rFonts w:ascii="宋体" w:hAnsi="宋体" w:cs="Arial"/>
          <w:sz w:val="24"/>
        </w:rPr>
        <w:br w:type="page"/>
      </w:r>
      <w:r>
        <w:rPr>
          <w:rFonts w:ascii="宋体" w:hAnsi="宋体" w:cs="Arial"/>
          <w:sz w:val="24"/>
        </w:rPr>
        <w:t>10、拟派项目负责人简历表</w:t>
      </w:r>
    </w:p>
    <w:p>
      <w:pPr>
        <w:spacing w:line="400" w:lineRule="atLeast"/>
        <w:jc w:val="center"/>
        <w:rPr>
          <w:rFonts w:ascii="宋体" w:hAnsi="宋体" w:cs="Arial"/>
          <w:sz w:val="24"/>
        </w:rPr>
      </w:pPr>
    </w:p>
    <w:tbl>
      <w:tblPr>
        <w:tblStyle w:val="22"/>
        <w:tblW w:w="92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姓名</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性别</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职称</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学历</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参加工作时间</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专业</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毕业学校</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身份证号码</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执业资格</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证书编号</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固定电话</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手机号码</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vAlign w:val="center"/>
          </w:tcPr>
          <w:p>
            <w:pPr>
              <w:spacing w:line="360" w:lineRule="auto"/>
              <w:jc w:val="center"/>
              <w:rPr>
                <w:rFonts w:ascii="宋体" w:hAnsi="宋体" w:cs="宋体"/>
                <w:sz w:val="24"/>
              </w:rPr>
            </w:pPr>
            <w:r>
              <w:rPr>
                <w:rFonts w:ascii="宋体" w:hAnsi="宋体" w:cs="宋体"/>
                <w:sz w:val="24"/>
              </w:rPr>
              <w:t>采购单位</w:t>
            </w:r>
          </w:p>
        </w:tc>
        <w:tc>
          <w:tcPr>
            <w:tcW w:w="1583" w:type="dxa"/>
            <w:gridSpan w:val="2"/>
            <w:vAlign w:val="center"/>
          </w:tcPr>
          <w:p>
            <w:pPr>
              <w:spacing w:line="360" w:lineRule="auto"/>
              <w:jc w:val="center"/>
              <w:rPr>
                <w:rFonts w:ascii="宋体" w:hAnsi="宋体" w:cs="宋体"/>
                <w:sz w:val="24"/>
              </w:rPr>
            </w:pPr>
            <w:r>
              <w:rPr>
                <w:rFonts w:ascii="宋体" w:hAnsi="宋体" w:cs="宋体"/>
                <w:sz w:val="24"/>
              </w:rPr>
              <w:t>项目名称</w:t>
            </w:r>
          </w:p>
        </w:tc>
        <w:tc>
          <w:tcPr>
            <w:tcW w:w="1582" w:type="dxa"/>
            <w:vAlign w:val="center"/>
          </w:tcPr>
          <w:p>
            <w:pPr>
              <w:spacing w:line="360" w:lineRule="auto"/>
              <w:jc w:val="center"/>
              <w:rPr>
                <w:rFonts w:ascii="宋体" w:hAnsi="宋体" w:cs="宋体"/>
                <w:sz w:val="24"/>
              </w:rPr>
            </w:pPr>
            <w:r>
              <w:rPr>
                <w:rFonts w:ascii="宋体" w:hAnsi="宋体"/>
                <w:sz w:val="24"/>
              </w:rPr>
              <w:t>服务内容</w:t>
            </w:r>
          </w:p>
        </w:tc>
        <w:tc>
          <w:tcPr>
            <w:tcW w:w="1583" w:type="dxa"/>
            <w:vAlign w:val="center"/>
          </w:tcPr>
          <w:p>
            <w:pPr>
              <w:spacing w:line="360" w:lineRule="auto"/>
              <w:jc w:val="center"/>
              <w:rPr>
                <w:rFonts w:ascii="宋体" w:hAnsi="宋体" w:cs="宋体"/>
                <w:sz w:val="24"/>
              </w:rPr>
            </w:pPr>
            <w:r>
              <w:rPr>
                <w:rFonts w:ascii="宋体"/>
                <w:sz w:val="24"/>
              </w:rPr>
              <w:t>合同期限</w:t>
            </w:r>
          </w:p>
        </w:tc>
        <w:tc>
          <w:tcPr>
            <w:tcW w:w="1056" w:type="dxa"/>
            <w:vAlign w:val="center"/>
          </w:tcPr>
          <w:p>
            <w:pPr>
              <w:spacing w:line="360" w:lineRule="auto"/>
              <w:jc w:val="center"/>
              <w:rPr>
                <w:rFonts w:ascii="宋体" w:hAnsi="宋体" w:cs="宋体"/>
                <w:sz w:val="24"/>
              </w:rPr>
            </w:pPr>
            <w:r>
              <w:rPr>
                <w:rFonts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bl>
    <w:p>
      <w:pPr>
        <w:spacing w:line="360" w:lineRule="auto"/>
        <w:rPr>
          <w:rFonts w:ascii="宋体"/>
          <w:sz w:val="24"/>
        </w:rPr>
      </w:pPr>
      <w:r>
        <w:rPr>
          <w:rFonts w:ascii="宋体"/>
          <w:sz w:val="24"/>
        </w:rPr>
        <w:t>1、拟派</w:t>
      </w:r>
      <w:r>
        <w:rPr>
          <w:rFonts w:ascii="宋体"/>
          <w:bCs/>
          <w:sz w:val="24"/>
        </w:rPr>
        <w:t>项目负责人（主管）</w:t>
      </w:r>
      <w:r>
        <w:rPr>
          <w:rFonts w:ascii="宋体"/>
          <w:sz w:val="24"/>
        </w:rPr>
        <w:t>应附身份证、</w:t>
      </w:r>
      <w:r>
        <w:rPr>
          <w:rFonts w:ascii="宋体" w:hAnsi="宋体"/>
          <w:sz w:val="24"/>
        </w:rPr>
        <w:t>相关执业</w:t>
      </w:r>
      <w:r>
        <w:rPr>
          <w:rFonts w:ascii="宋体" w:hAnsi="宋体" w:cs="宋体"/>
          <w:sz w:val="24"/>
        </w:rPr>
        <w:t>证书、</w:t>
      </w:r>
      <w:r>
        <w:rPr>
          <w:rFonts w:ascii="宋体"/>
          <w:bCs/>
          <w:sz w:val="24"/>
        </w:rPr>
        <w:t>学历证书及其它一切有利于项目负责人的证明材料</w:t>
      </w:r>
      <w:r>
        <w:rPr>
          <w:rFonts w:ascii="宋体"/>
          <w:sz w:val="24"/>
        </w:rPr>
        <w:t>（上述材料复印件）。</w:t>
      </w:r>
    </w:p>
    <w:p>
      <w:pPr>
        <w:spacing w:line="400" w:lineRule="atLeast"/>
        <w:jc w:val="left"/>
        <w:rPr>
          <w:rFonts w:ascii="宋体" w:hAnsi="宋体" w:cs="Arial"/>
          <w:sz w:val="24"/>
        </w:rPr>
      </w:pPr>
      <w:r>
        <w:rPr>
          <w:rFonts w:ascii="宋体"/>
          <w:sz w:val="24"/>
        </w:rPr>
        <w:t>2、拟派</w:t>
      </w:r>
      <w:r>
        <w:rPr>
          <w:rFonts w:ascii="宋体"/>
          <w:bCs/>
          <w:sz w:val="24"/>
        </w:rPr>
        <w:t>项目负责人（主管）</w:t>
      </w:r>
      <w:r>
        <w:rPr>
          <w:rFonts w:ascii="宋体"/>
          <w:sz w:val="24"/>
        </w:rPr>
        <w:t>近三年（201</w:t>
      </w:r>
      <w:r>
        <w:rPr>
          <w:rFonts w:hint="eastAsia" w:ascii="宋体"/>
          <w:sz w:val="24"/>
          <w:lang w:val="en-US" w:eastAsia="zh-CN"/>
        </w:rPr>
        <w:t>8</w:t>
      </w:r>
      <w:r>
        <w:rPr>
          <w:rFonts w:ascii="宋体"/>
          <w:sz w:val="24"/>
        </w:rPr>
        <w:t>年1月1日至今）类似业绩应附中标通知书或成交通知书复印件及合同复印件。</w:t>
      </w:r>
    </w:p>
    <w:p>
      <w:pPr>
        <w:spacing w:line="400" w:lineRule="atLeast"/>
        <w:jc w:val="center"/>
        <w:rPr>
          <w:rFonts w:ascii="宋体" w:hAnsi="宋体" w:cs="Arial"/>
          <w:sz w:val="24"/>
        </w:rPr>
      </w:pPr>
    </w:p>
    <w:p>
      <w:pPr>
        <w:spacing w:line="400" w:lineRule="atLeast"/>
        <w:jc w:val="center"/>
        <w:rPr>
          <w:rFonts w:ascii="宋体" w:hAnsi="宋体" w:cs="Arial"/>
          <w:sz w:val="24"/>
        </w:rPr>
      </w:pPr>
      <w:r>
        <w:rPr>
          <w:rFonts w:ascii="宋体" w:hAnsi="宋体" w:cs="Arial"/>
          <w:sz w:val="24"/>
        </w:rPr>
        <w:br w:type="page"/>
      </w:r>
      <w:r>
        <w:rPr>
          <w:rFonts w:ascii="宋体" w:hAnsi="宋体" w:cs="Arial"/>
          <w:sz w:val="24"/>
        </w:rPr>
        <w:t>11、拟派本项目服务人员情况一览表</w:t>
      </w:r>
    </w:p>
    <w:p>
      <w:pPr>
        <w:spacing w:line="400" w:lineRule="atLeast"/>
        <w:jc w:val="center"/>
        <w:rPr>
          <w:rFonts w:ascii="宋体" w:hAnsi="宋体" w:cs="Arial"/>
          <w:sz w:val="24"/>
        </w:rPr>
      </w:pPr>
    </w:p>
    <w:tbl>
      <w:tblPr>
        <w:tblStyle w:val="22"/>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833"/>
        <w:gridCol w:w="928"/>
        <w:gridCol w:w="929"/>
        <w:gridCol w:w="929"/>
        <w:gridCol w:w="929"/>
        <w:gridCol w:w="154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r>
              <w:rPr>
                <w:rFonts w:ascii="宋体" w:hAnsi="宋体" w:cs="宋体"/>
                <w:sz w:val="24"/>
              </w:rPr>
              <w:t>姓名</w:t>
            </w:r>
          </w:p>
        </w:tc>
        <w:tc>
          <w:tcPr>
            <w:tcW w:w="1134" w:type="dxa"/>
            <w:vAlign w:val="center"/>
          </w:tcPr>
          <w:p>
            <w:pPr>
              <w:spacing w:line="360" w:lineRule="auto"/>
              <w:jc w:val="center"/>
              <w:rPr>
                <w:rFonts w:ascii="宋体" w:hAnsi="宋体" w:cs="宋体"/>
                <w:sz w:val="24"/>
              </w:rPr>
            </w:pPr>
            <w:r>
              <w:rPr>
                <w:rFonts w:ascii="宋体" w:hAnsi="宋体" w:cs="宋体"/>
                <w:sz w:val="24"/>
              </w:rPr>
              <w:t>身份证号码</w:t>
            </w:r>
          </w:p>
        </w:tc>
        <w:tc>
          <w:tcPr>
            <w:tcW w:w="833" w:type="dxa"/>
            <w:vAlign w:val="center"/>
          </w:tcPr>
          <w:p>
            <w:pPr>
              <w:spacing w:line="360" w:lineRule="auto"/>
              <w:jc w:val="center"/>
              <w:rPr>
                <w:rFonts w:ascii="宋体" w:hAnsi="宋体" w:cs="宋体"/>
                <w:sz w:val="24"/>
              </w:rPr>
            </w:pPr>
            <w:r>
              <w:rPr>
                <w:rFonts w:ascii="宋体" w:hAnsi="宋体" w:cs="宋体"/>
                <w:sz w:val="24"/>
              </w:rPr>
              <w:t>性别</w:t>
            </w:r>
          </w:p>
        </w:tc>
        <w:tc>
          <w:tcPr>
            <w:tcW w:w="928" w:type="dxa"/>
            <w:vAlign w:val="center"/>
          </w:tcPr>
          <w:p>
            <w:pPr>
              <w:spacing w:line="360" w:lineRule="auto"/>
              <w:jc w:val="center"/>
              <w:rPr>
                <w:rFonts w:ascii="宋体" w:hAnsi="宋体" w:cs="宋体"/>
                <w:sz w:val="24"/>
              </w:rPr>
            </w:pPr>
            <w:r>
              <w:rPr>
                <w:rFonts w:ascii="宋体" w:hAnsi="宋体" w:cs="宋体"/>
                <w:sz w:val="24"/>
              </w:rPr>
              <w:t>岗位</w:t>
            </w:r>
          </w:p>
        </w:tc>
        <w:tc>
          <w:tcPr>
            <w:tcW w:w="929" w:type="dxa"/>
            <w:vAlign w:val="center"/>
          </w:tcPr>
          <w:p>
            <w:pPr>
              <w:spacing w:line="360" w:lineRule="auto"/>
              <w:jc w:val="center"/>
              <w:rPr>
                <w:rFonts w:ascii="宋体" w:hAnsi="宋体" w:cs="宋体"/>
                <w:sz w:val="24"/>
              </w:rPr>
            </w:pPr>
            <w:r>
              <w:rPr>
                <w:rFonts w:ascii="宋体" w:hAnsi="宋体" w:cs="宋体"/>
                <w:sz w:val="24"/>
              </w:rPr>
              <w:t>职称</w:t>
            </w:r>
          </w:p>
        </w:tc>
        <w:tc>
          <w:tcPr>
            <w:tcW w:w="929" w:type="dxa"/>
            <w:vAlign w:val="center"/>
          </w:tcPr>
          <w:p>
            <w:pPr>
              <w:spacing w:line="360" w:lineRule="auto"/>
              <w:jc w:val="center"/>
              <w:rPr>
                <w:rFonts w:ascii="宋体" w:hAnsi="宋体" w:cs="宋体"/>
                <w:sz w:val="24"/>
              </w:rPr>
            </w:pPr>
            <w:r>
              <w:rPr>
                <w:rFonts w:ascii="宋体" w:hAnsi="宋体" w:cs="宋体"/>
                <w:sz w:val="24"/>
              </w:rPr>
              <w:t>学历</w:t>
            </w:r>
          </w:p>
        </w:tc>
        <w:tc>
          <w:tcPr>
            <w:tcW w:w="929" w:type="dxa"/>
            <w:vAlign w:val="center"/>
          </w:tcPr>
          <w:p>
            <w:pPr>
              <w:spacing w:line="360" w:lineRule="auto"/>
              <w:jc w:val="center"/>
              <w:rPr>
                <w:rFonts w:ascii="宋体" w:hAnsi="宋体" w:cs="宋体"/>
                <w:sz w:val="24"/>
              </w:rPr>
            </w:pPr>
            <w:r>
              <w:rPr>
                <w:rFonts w:ascii="宋体" w:hAnsi="宋体" w:cs="宋体"/>
                <w:sz w:val="24"/>
              </w:rPr>
              <w:t>专业</w:t>
            </w:r>
          </w:p>
        </w:tc>
        <w:tc>
          <w:tcPr>
            <w:tcW w:w="1547" w:type="dxa"/>
            <w:vAlign w:val="center"/>
          </w:tcPr>
          <w:p>
            <w:pPr>
              <w:spacing w:line="360" w:lineRule="auto"/>
              <w:jc w:val="center"/>
              <w:rPr>
                <w:rFonts w:ascii="宋体" w:hAnsi="宋体" w:cs="宋体"/>
                <w:sz w:val="24"/>
              </w:rPr>
            </w:pPr>
            <w:r>
              <w:rPr>
                <w:rFonts w:ascii="宋体" w:hAnsi="宋体" w:cs="宋体"/>
                <w:sz w:val="24"/>
              </w:rPr>
              <w:t>从事相关</w:t>
            </w:r>
          </w:p>
          <w:p>
            <w:pPr>
              <w:spacing w:line="360" w:lineRule="auto"/>
              <w:jc w:val="center"/>
              <w:rPr>
                <w:rFonts w:ascii="宋体" w:hAnsi="宋体" w:cs="宋体"/>
                <w:sz w:val="24"/>
              </w:rPr>
            </w:pPr>
            <w:r>
              <w:rPr>
                <w:rFonts w:ascii="宋体" w:hAnsi="宋体" w:cs="宋体"/>
                <w:sz w:val="24"/>
              </w:rPr>
              <w:t>工作年限</w:t>
            </w:r>
          </w:p>
        </w:tc>
        <w:tc>
          <w:tcPr>
            <w:tcW w:w="993" w:type="dxa"/>
            <w:vAlign w:val="center"/>
          </w:tcPr>
          <w:p>
            <w:pPr>
              <w:spacing w:line="360" w:lineRule="auto"/>
              <w:jc w:val="center"/>
              <w:rPr>
                <w:rFonts w:ascii="宋体" w:hAnsi="宋体" w:cs="宋体"/>
                <w:sz w:val="24"/>
              </w:rPr>
            </w:pPr>
            <w:r>
              <w:rPr>
                <w:rFonts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bl>
    <w:p>
      <w:pPr>
        <w:spacing w:line="360" w:lineRule="auto"/>
        <w:jc w:val="left"/>
        <w:rPr>
          <w:rFonts w:ascii="宋体" w:hAnsi="宋体"/>
          <w:sz w:val="24"/>
        </w:rPr>
      </w:pPr>
      <w:r>
        <w:rPr>
          <w:rFonts w:ascii="宋体" w:hAnsi="宋体"/>
          <w:sz w:val="24"/>
        </w:rPr>
        <w:t>1、项目服务人员由投标人自行确定，但应能够满足本项目的基本需求。</w:t>
      </w:r>
    </w:p>
    <w:p>
      <w:pPr>
        <w:spacing w:line="400" w:lineRule="atLeast"/>
        <w:jc w:val="left"/>
        <w:rPr>
          <w:rFonts w:ascii="宋体" w:hAnsi="宋体" w:cs="Arial"/>
          <w:sz w:val="24"/>
        </w:rPr>
      </w:pPr>
      <w:r>
        <w:rPr>
          <w:rFonts w:ascii="宋体" w:hAnsi="宋体"/>
          <w:sz w:val="24"/>
        </w:rPr>
        <w:t>2、</w:t>
      </w:r>
      <w:r>
        <w:rPr>
          <w:rFonts w:ascii="宋体" w:hAnsi="宋体" w:cs="宋体"/>
          <w:sz w:val="24"/>
        </w:rPr>
        <w:t>上述人员应</w:t>
      </w:r>
      <w:r>
        <w:rPr>
          <w:rFonts w:ascii="宋体"/>
          <w:sz w:val="24"/>
        </w:rPr>
        <w:t>附身份证、</w:t>
      </w:r>
      <w:r>
        <w:rPr>
          <w:rFonts w:ascii="宋体" w:hAnsi="宋体"/>
          <w:sz w:val="24"/>
        </w:rPr>
        <w:t>相关执业</w:t>
      </w:r>
      <w:r>
        <w:rPr>
          <w:rFonts w:ascii="宋体" w:hAnsi="宋体" w:cs="宋体"/>
          <w:sz w:val="24"/>
        </w:rPr>
        <w:t>证书、</w:t>
      </w:r>
      <w:r>
        <w:rPr>
          <w:rFonts w:ascii="宋体"/>
          <w:bCs/>
          <w:sz w:val="24"/>
        </w:rPr>
        <w:t>学历证书及其它一切有利于项目服务人员的证明材料</w:t>
      </w:r>
      <w:r>
        <w:rPr>
          <w:rFonts w:ascii="宋体"/>
          <w:sz w:val="24"/>
        </w:rPr>
        <w:t>（上述材料复印件）。</w:t>
      </w:r>
    </w:p>
    <w:p>
      <w:pPr>
        <w:spacing w:line="400" w:lineRule="atLeast"/>
        <w:jc w:val="center"/>
        <w:rPr>
          <w:rFonts w:ascii="宋体" w:hAnsi="宋体" w:cs="Arial"/>
          <w:sz w:val="24"/>
        </w:rPr>
      </w:pPr>
    </w:p>
    <w:p>
      <w:pPr>
        <w:spacing w:line="400" w:lineRule="atLeast"/>
        <w:jc w:val="center"/>
        <w:rPr>
          <w:rFonts w:ascii="宋体" w:hAnsi="宋体" w:cs="Arial"/>
          <w:sz w:val="24"/>
        </w:rPr>
      </w:pPr>
      <w:r>
        <w:rPr>
          <w:rFonts w:ascii="宋体" w:hAnsi="宋体" w:cs="Arial"/>
          <w:sz w:val="24"/>
        </w:rPr>
        <w:br w:type="page"/>
      </w:r>
      <w:r>
        <w:rPr>
          <w:rFonts w:ascii="宋体" w:hAnsi="宋体" w:cs="Arial"/>
          <w:sz w:val="24"/>
        </w:rPr>
        <w:t>12、服务团队相关工作经验</w:t>
      </w:r>
    </w:p>
    <w:p>
      <w:pPr>
        <w:spacing w:line="400" w:lineRule="atLeast"/>
        <w:jc w:val="center"/>
        <w:rPr>
          <w:rFonts w:ascii="宋体" w:hAnsi="宋体" w:cs="Arial"/>
          <w:sz w:val="24"/>
        </w:rPr>
      </w:pPr>
    </w:p>
    <w:tbl>
      <w:tblPr>
        <w:tblStyle w:val="22"/>
        <w:tblW w:w="92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姓名</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性别</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职称</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ascii="宋体" w:hAnsi="宋体" w:cs="宋体"/>
                <w:sz w:val="24"/>
              </w:rPr>
              <w:t>学历</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ascii="宋体" w:hAnsi="宋体" w:cs="宋体"/>
                <w:sz w:val="24"/>
              </w:rPr>
              <w:t>在项目中所承担工作</w:t>
            </w:r>
          </w:p>
        </w:tc>
        <w:tc>
          <w:tcPr>
            <w:tcW w:w="7372" w:type="dxa"/>
            <w:gridSpan w:val="6"/>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vAlign w:val="center"/>
          </w:tcPr>
          <w:p>
            <w:pPr>
              <w:spacing w:line="360" w:lineRule="auto"/>
              <w:jc w:val="center"/>
              <w:rPr>
                <w:rFonts w:ascii="宋体" w:hAnsi="宋体" w:cs="宋体"/>
                <w:sz w:val="24"/>
              </w:rPr>
            </w:pPr>
            <w:r>
              <w:rPr>
                <w:rFonts w:ascii="宋体" w:hAnsi="宋体" w:cs="宋体"/>
                <w:sz w:val="24"/>
              </w:rPr>
              <w:t>采购单位</w:t>
            </w:r>
          </w:p>
        </w:tc>
        <w:tc>
          <w:tcPr>
            <w:tcW w:w="1583" w:type="dxa"/>
            <w:gridSpan w:val="2"/>
            <w:vAlign w:val="center"/>
          </w:tcPr>
          <w:p>
            <w:pPr>
              <w:spacing w:line="360" w:lineRule="auto"/>
              <w:jc w:val="center"/>
              <w:rPr>
                <w:rFonts w:ascii="宋体" w:hAnsi="宋体" w:cs="宋体"/>
                <w:sz w:val="24"/>
              </w:rPr>
            </w:pPr>
            <w:r>
              <w:rPr>
                <w:rFonts w:ascii="宋体" w:hAnsi="宋体" w:cs="宋体"/>
                <w:sz w:val="24"/>
              </w:rPr>
              <w:t>项目名称</w:t>
            </w:r>
          </w:p>
        </w:tc>
        <w:tc>
          <w:tcPr>
            <w:tcW w:w="1582" w:type="dxa"/>
            <w:vAlign w:val="center"/>
          </w:tcPr>
          <w:p>
            <w:pPr>
              <w:spacing w:line="360" w:lineRule="auto"/>
              <w:jc w:val="center"/>
              <w:rPr>
                <w:rFonts w:ascii="宋体" w:hAnsi="宋体" w:cs="宋体"/>
                <w:sz w:val="24"/>
              </w:rPr>
            </w:pPr>
            <w:r>
              <w:rPr>
                <w:rFonts w:ascii="宋体" w:hAnsi="宋体"/>
                <w:sz w:val="24"/>
              </w:rPr>
              <w:t>服务内容</w:t>
            </w:r>
          </w:p>
        </w:tc>
        <w:tc>
          <w:tcPr>
            <w:tcW w:w="1583" w:type="dxa"/>
            <w:vAlign w:val="center"/>
          </w:tcPr>
          <w:p>
            <w:pPr>
              <w:spacing w:line="360" w:lineRule="auto"/>
              <w:jc w:val="center"/>
              <w:rPr>
                <w:rFonts w:ascii="宋体" w:hAnsi="宋体" w:cs="宋体"/>
                <w:sz w:val="24"/>
              </w:rPr>
            </w:pPr>
            <w:r>
              <w:rPr>
                <w:rFonts w:ascii="宋体"/>
                <w:sz w:val="24"/>
              </w:rPr>
              <w:t>合同期限</w:t>
            </w:r>
          </w:p>
        </w:tc>
        <w:tc>
          <w:tcPr>
            <w:tcW w:w="1056" w:type="dxa"/>
            <w:vAlign w:val="center"/>
          </w:tcPr>
          <w:p>
            <w:pPr>
              <w:spacing w:line="360" w:lineRule="auto"/>
              <w:jc w:val="center"/>
              <w:rPr>
                <w:rFonts w:ascii="宋体" w:hAnsi="宋体" w:cs="宋体"/>
                <w:sz w:val="24"/>
              </w:rPr>
            </w:pPr>
            <w:r>
              <w:rPr>
                <w:rFonts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bl>
    <w:p>
      <w:pPr>
        <w:spacing w:line="400" w:lineRule="atLeast"/>
        <w:rPr>
          <w:rFonts w:ascii="宋体" w:hAnsi="宋体" w:cs="Arial"/>
          <w:sz w:val="24"/>
        </w:rPr>
      </w:pPr>
      <w:r>
        <w:rPr>
          <w:rFonts w:ascii="宋体"/>
          <w:sz w:val="24"/>
        </w:rPr>
        <w:t>备注：本表后须附相关工作经验的证明资料（中标通知书或成交通知书复印件及合同复印件）。</w:t>
      </w:r>
    </w:p>
    <w:p>
      <w:pPr>
        <w:spacing w:line="400" w:lineRule="atLeast"/>
        <w:jc w:val="center"/>
        <w:rPr>
          <w:rFonts w:ascii="宋体" w:hAnsi="宋体" w:cs="Arial"/>
          <w:sz w:val="24"/>
        </w:rPr>
      </w:pPr>
    </w:p>
    <w:p>
      <w:pPr>
        <w:spacing w:line="400" w:lineRule="atLeast"/>
        <w:jc w:val="center"/>
        <w:rPr>
          <w:rFonts w:ascii="宋体" w:hAnsi="宋体" w:cs="Arial"/>
          <w:sz w:val="24"/>
        </w:rPr>
      </w:pPr>
      <w:r>
        <w:rPr>
          <w:rFonts w:ascii="宋体" w:hAnsi="宋体" w:cs="Arial"/>
          <w:sz w:val="24"/>
        </w:rPr>
        <w:br w:type="page"/>
      </w:r>
      <w:r>
        <w:rPr>
          <w:rFonts w:ascii="宋体" w:hAnsi="宋体" w:cs="Arial"/>
          <w:sz w:val="24"/>
        </w:rPr>
        <w:t>13、服务实施方案</w:t>
      </w:r>
    </w:p>
    <w:p>
      <w:pPr>
        <w:spacing w:line="400" w:lineRule="atLeast"/>
        <w:jc w:val="center"/>
        <w:rPr>
          <w:rFonts w:ascii="Arial" w:hAnsi="Arial" w:cs="Arial"/>
          <w:sz w:val="24"/>
        </w:rPr>
      </w:pPr>
    </w:p>
    <w:p>
      <w:pPr>
        <w:spacing w:line="360" w:lineRule="auto"/>
        <w:ind w:firstLine="480" w:firstLineChars="200"/>
        <w:rPr>
          <w:rFonts w:ascii="宋体"/>
          <w:sz w:val="24"/>
        </w:rPr>
      </w:pPr>
      <w:r>
        <w:rPr>
          <w:rFonts w:ascii="宋体" w:hAnsi="宋体"/>
          <w:bCs/>
          <w:sz w:val="24"/>
        </w:rPr>
        <w:t>投标人须提交拟完成本项目的实施方案，实施方案的格式和内容由投标人根据本项目的具体情况</w:t>
      </w:r>
      <w:r>
        <w:rPr>
          <w:rFonts w:ascii="宋体" w:hAnsi="宋体"/>
          <w:sz w:val="24"/>
        </w:rPr>
        <w:t>自行拟定，应包含但不限于以下内容：</w:t>
      </w:r>
    </w:p>
    <w:p>
      <w:pPr>
        <w:spacing w:line="360" w:lineRule="auto"/>
        <w:ind w:firstLine="480" w:firstLineChars="200"/>
        <w:rPr>
          <w:rFonts w:ascii="宋体" w:hAnsi="宋体"/>
          <w:bCs/>
          <w:sz w:val="24"/>
        </w:rPr>
      </w:pPr>
      <w:r>
        <w:rPr>
          <w:rFonts w:ascii="宋体" w:hAnsi="宋体"/>
          <w:bCs/>
          <w:sz w:val="24"/>
        </w:rPr>
        <w:t>（1）</w:t>
      </w:r>
      <w:r>
        <w:rPr>
          <w:rFonts w:hint="eastAsia" w:ascii="宋体" w:hAnsi="宋体" w:cs="宋体"/>
          <w:kern w:val="0"/>
          <w:sz w:val="24"/>
          <w:szCs w:val="24"/>
          <w:lang w:val="en-US" w:eastAsia="zh-CN"/>
        </w:rPr>
        <w:t>实施方案；</w:t>
      </w:r>
    </w:p>
    <w:p>
      <w:pPr>
        <w:spacing w:line="360" w:lineRule="auto"/>
        <w:ind w:firstLine="480" w:firstLineChars="200"/>
        <w:rPr>
          <w:rFonts w:ascii="宋体" w:hAnsi="宋体"/>
          <w:bCs/>
          <w:sz w:val="24"/>
        </w:rPr>
      </w:pPr>
      <w:r>
        <w:rPr>
          <w:rFonts w:ascii="宋体" w:hAnsi="宋体"/>
          <w:bCs/>
          <w:sz w:val="24"/>
        </w:rPr>
        <w:t>（2）</w:t>
      </w:r>
      <w:r>
        <w:rPr>
          <w:rFonts w:ascii="宋体" w:hAnsi="宋体" w:cs="宋体"/>
          <w:kern w:val="0"/>
          <w:sz w:val="24"/>
          <w:szCs w:val="24"/>
        </w:rPr>
        <w:t>项目理解和方案合理性</w:t>
      </w:r>
    </w:p>
    <w:p>
      <w:pPr>
        <w:tabs>
          <w:tab w:val="left" w:pos="2775"/>
        </w:tabs>
        <w:spacing w:line="360" w:lineRule="auto"/>
        <w:ind w:firstLine="480" w:firstLineChars="200"/>
        <w:rPr>
          <w:rFonts w:ascii="宋体" w:hAnsi="宋体"/>
          <w:bCs/>
          <w:sz w:val="24"/>
        </w:rPr>
      </w:pPr>
      <w:r>
        <w:rPr>
          <w:rFonts w:ascii="宋体" w:hAnsi="宋体"/>
          <w:bCs/>
          <w:sz w:val="24"/>
        </w:rPr>
        <w:t>（3）</w:t>
      </w:r>
      <w:r>
        <w:rPr>
          <w:rFonts w:ascii="宋体" w:hAnsi="宋体" w:cs="宋体"/>
          <w:color w:val="auto"/>
          <w:kern w:val="0"/>
          <w:sz w:val="24"/>
          <w:szCs w:val="24"/>
        </w:rPr>
        <w:t>应急措施方案</w:t>
      </w:r>
      <w:r>
        <w:rPr>
          <w:rFonts w:hint="eastAsia" w:ascii="宋体" w:hAnsi="宋体" w:cs="宋体"/>
          <w:color w:val="auto"/>
          <w:kern w:val="0"/>
          <w:sz w:val="24"/>
          <w:szCs w:val="24"/>
          <w:lang w:eastAsia="zh-CN"/>
        </w:rPr>
        <w:t>；</w:t>
      </w:r>
      <w:r>
        <w:rPr>
          <w:rFonts w:ascii="宋体" w:hAnsi="宋体"/>
          <w:bCs/>
          <w:sz w:val="24"/>
        </w:rPr>
        <w:tab/>
      </w:r>
    </w:p>
    <w:p>
      <w:pPr>
        <w:tabs>
          <w:tab w:val="left" w:pos="2775"/>
        </w:tabs>
        <w:spacing w:line="360" w:lineRule="auto"/>
        <w:ind w:firstLine="480" w:firstLineChars="200"/>
        <w:rPr>
          <w:rFonts w:ascii="宋体" w:hAnsi="宋体"/>
          <w:bCs/>
          <w:sz w:val="24"/>
        </w:rPr>
      </w:pPr>
      <w:r>
        <w:rPr>
          <w:rFonts w:ascii="宋体" w:hAnsi="宋体"/>
          <w:bCs/>
          <w:sz w:val="24"/>
        </w:rPr>
        <w:t>（4）</w:t>
      </w:r>
      <w:r>
        <w:rPr>
          <w:rFonts w:ascii="宋体" w:hAnsi="宋体" w:cs="宋体"/>
          <w:color w:val="auto"/>
          <w:kern w:val="0"/>
          <w:sz w:val="24"/>
          <w:szCs w:val="24"/>
        </w:rPr>
        <w:t>质量保障方案</w:t>
      </w:r>
      <w:r>
        <w:rPr>
          <w:rFonts w:hint="eastAsia" w:ascii="宋体" w:hAnsi="宋体" w:cs="宋体"/>
          <w:color w:val="auto"/>
          <w:kern w:val="0"/>
          <w:sz w:val="24"/>
          <w:szCs w:val="24"/>
          <w:lang w:eastAsia="zh-CN"/>
        </w:rPr>
        <w:t>。</w:t>
      </w:r>
    </w:p>
    <w:p>
      <w:pPr>
        <w:spacing w:line="400" w:lineRule="atLeast"/>
        <w:jc w:val="center"/>
        <w:rPr>
          <w:rFonts w:ascii="Arial" w:hAnsi="Arial" w:cs="Arial"/>
          <w:sz w:val="24"/>
        </w:rPr>
      </w:pPr>
    </w:p>
    <w:p>
      <w:pPr>
        <w:spacing w:line="400" w:lineRule="atLeast"/>
        <w:rPr>
          <w:rFonts w:ascii="Arial" w:hAnsi="Arial" w:cs="Arial"/>
          <w:sz w:val="24"/>
        </w:rPr>
      </w:pPr>
    </w:p>
    <w:p>
      <w:pPr>
        <w:spacing w:line="400" w:lineRule="atLeast"/>
        <w:jc w:val="center"/>
        <w:rPr>
          <w:rFonts w:ascii="宋体" w:hAnsi="宋体" w:cs="Arial"/>
          <w:sz w:val="24"/>
        </w:rPr>
      </w:pPr>
      <w:r>
        <w:rPr>
          <w:rFonts w:ascii="Arial" w:hAnsi="Arial" w:cs="Arial"/>
          <w:sz w:val="24"/>
        </w:rPr>
        <w:br w:type="page"/>
      </w:r>
      <w:r>
        <w:rPr>
          <w:rFonts w:hint="eastAsia" w:ascii="宋体" w:hAnsi="宋体" w:cs="Arial"/>
          <w:sz w:val="24"/>
          <w:lang w:val="en-US" w:eastAsia="zh-CN"/>
        </w:rPr>
        <w:t>14、</w:t>
      </w:r>
      <w:r>
        <w:rPr>
          <w:rFonts w:ascii="宋体" w:hAnsi="宋体" w:cs="Arial"/>
          <w:sz w:val="24"/>
        </w:rPr>
        <w:t>售后服务方案</w:t>
      </w:r>
    </w:p>
    <w:p>
      <w:pPr>
        <w:spacing w:line="400" w:lineRule="atLeast"/>
        <w:jc w:val="center"/>
        <w:rPr>
          <w:rFonts w:ascii="Arial" w:hAnsi="Arial" w:cs="Arial"/>
          <w:sz w:val="24"/>
        </w:rPr>
      </w:pPr>
      <w:r>
        <w:rPr>
          <w:rFonts w:hint="eastAsia" w:ascii="Arial" w:hAnsi="Arial" w:cs="Arial"/>
          <w:sz w:val="24"/>
          <w:lang w:val="en-US" w:eastAsia="zh-CN"/>
        </w:rPr>
        <w:t>（格式自拟）</w:t>
      </w:r>
      <w:r>
        <w:rPr>
          <w:rFonts w:ascii="Arial" w:hAnsi="Arial" w:cs="Arial"/>
          <w:sz w:val="24"/>
        </w:rPr>
        <w:br w:type="page"/>
      </w:r>
      <w:bookmarkStart w:id="71" w:name="_GoBack"/>
      <w:bookmarkEnd w:id="71"/>
    </w:p>
    <w:p>
      <w:pPr>
        <w:spacing w:line="400" w:lineRule="atLeast"/>
        <w:jc w:val="center"/>
        <w:rPr>
          <w:rFonts w:ascii="Arial" w:hAnsi="Arial" w:cs="Arial"/>
          <w:sz w:val="24"/>
        </w:rPr>
      </w:pPr>
      <w:r>
        <w:rPr>
          <w:rFonts w:ascii="Arial" w:hAnsi="Arial" w:cs="Arial"/>
          <w:sz w:val="24"/>
        </w:rPr>
        <w:t>1</w:t>
      </w:r>
      <w:r>
        <w:rPr>
          <w:rFonts w:hint="eastAsia" w:ascii="Arial" w:hAnsi="Arial" w:cs="Arial"/>
          <w:sz w:val="24"/>
          <w:lang w:val="en-US" w:eastAsia="zh-CN"/>
        </w:rPr>
        <w:t>5</w:t>
      </w:r>
      <w:r>
        <w:rPr>
          <w:rFonts w:ascii="Arial" w:hAnsi="Arial" w:cs="Arial"/>
          <w:sz w:val="24"/>
        </w:rPr>
        <w:t>、资质证明文件</w:t>
      </w:r>
    </w:p>
    <w:p>
      <w:pPr>
        <w:spacing w:line="400" w:lineRule="atLeast"/>
        <w:rPr>
          <w:rFonts w:ascii="Arial" w:hAnsi="Arial" w:cs="Arial"/>
          <w:sz w:val="24"/>
        </w:rPr>
      </w:pPr>
      <w:r>
        <w:rPr>
          <w:rFonts w:ascii="Arial" w:hAnsi="Arial" w:cs="Arial"/>
          <w:sz w:val="24"/>
        </w:rPr>
        <w:t>（1）内容见“供应商须知附表”第6条。</w:t>
      </w:r>
    </w:p>
    <w:p>
      <w:pPr>
        <w:rPr>
          <w:rFonts w:ascii="Arial" w:hAnsi="Arial" w:cs="Arial"/>
          <w:sz w:val="24"/>
          <w:szCs w:val="24"/>
        </w:rPr>
      </w:pPr>
      <w:r>
        <w:rPr>
          <w:rFonts w:ascii="Arial" w:hAnsi="Arial" w:cs="Arial"/>
          <w:sz w:val="24"/>
        </w:rPr>
        <w:t>（2）其它一切有利于产品和供应商的证明材料。</w:t>
      </w:r>
    </w:p>
    <w:p>
      <w:pPr>
        <w:autoSpaceDE w:val="0"/>
        <w:autoSpaceDN w:val="0"/>
        <w:jc w:val="center"/>
        <w:rPr>
          <w:rFonts w:ascii="宋体" w:hAnsi="宋体" w:cs="宋体"/>
        </w:rPr>
        <w:sectPr>
          <w:headerReference r:id="rId14" w:type="first"/>
          <w:headerReference r:id="rId13" w:type="default"/>
          <w:footerReference r:id="rId15" w:type="default"/>
          <w:pgSz w:w="11907" w:h="16840"/>
          <w:pgMar w:top="1361" w:right="1474" w:bottom="1361" w:left="1588" w:header="720" w:footer="851" w:gutter="0"/>
          <w:lnNumType w:countBy="0" w:distance="360"/>
          <w:pgNumType w:fmt="numberInDash"/>
          <w:cols w:space="720" w:num="1"/>
        </w:sectPr>
      </w:pPr>
    </w:p>
    <w:p>
      <w:pPr>
        <w:spacing w:line="360" w:lineRule="auto"/>
        <w:jc w:val="center"/>
        <w:rPr>
          <w:b/>
          <w:sz w:val="32"/>
          <w:szCs w:val="32"/>
        </w:rPr>
      </w:pPr>
      <w:r>
        <w:rPr>
          <w:b/>
          <w:sz w:val="32"/>
          <w:szCs w:val="32"/>
        </w:rPr>
        <w:t>开票信息</w:t>
      </w:r>
    </w:p>
    <w:p>
      <w:pPr>
        <w:pStyle w:val="8"/>
        <w:ind w:firstLine="210"/>
      </w:pPr>
    </w:p>
    <w:p>
      <w:pPr>
        <w:pStyle w:val="8"/>
        <w:spacing w:line="360" w:lineRule="auto"/>
        <w:ind w:firstLine="0" w:firstLineChars="0"/>
      </w:pPr>
      <w:r>
        <w:t>致：新疆招标有限公司</w:t>
      </w:r>
    </w:p>
    <w:p>
      <w:pPr>
        <w:pStyle w:val="8"/>
        <w:spacing w:line="360" w:lineRule="auto"/>
        <w:ind w:firstLine="0" w:firstLineChars="0"/>
      </w:pPr>
      <w:r>
        <w:t>请按以下开票信息出具增值税</w:t>
      </w:r>
      <w:r>
        <w:rPr>
          <w:u w:val="single"/>
        </w:rPr>
        <w:t xml:space="preserve">（专用/普通）          </w:t>
      </w:r>
      <w:r>
        <w:t>发票：</w:t>
      </w:r>
    </w:p>
    <w:p>
      <w:pPr>
        <w:pStyle w:val="8"/>
        <w:spacing w:line="360" w:lineRule="auto"/>
        <w:ind w:firstLine="480" w:firstLineChars="0"/>
        <w:rPr>
          <w:u w:val="single"/>
        </w:rPr>
      </w:pPr>
      <w:r>
        <w:t>开票单位名称：</w:t>
      </w:r>
      <w:r>
        <w:rPr>
          <w:u w:val="single"/>
        </w:rPr>
        <w:t xml:space="preserve">                                               </w:t>
      </w:r>
    </w:p>
    <w:p>
      <w:pPr>
        <w:pStyle w:val="8"/>
        <w:spacing w:line="360" w:lineRule="auto"/>
        <w:ind w:firstLine="480" w:firstLineChars="0"/>
      </w:pPr>
      <w:r>
        <w:t>统一社会信用代码：</w:t>
      </w:r>
      <w:r>
        <w:rPr>
          <w:u w:val="single"/>
        </w:rPr>
        <w:t xml:space="preserve">                                           </w:t>
      </w:r>
    </w:p>
    <w:p>
      <w:pPr>
        <w:pStyle w:val="8"/>
        <w:spacing w:line="360" w:lineRule="auto"/>
        <w:ind w:firstLine="480" w:firstLineChars="0"/>
        <w:rPr>
          <w:u w:val="single"/>
        </w:rPr>
      </w:pPr>
      <w:r>
        <w:t>地址：</w:t>
      </w:r>
      <w:r>
        <w:rPr>
          <w:u w:val="single"/>
        </w:rPr>
        <w:t xml:space="preserve">                                     </w:t>
      </w:r>
      <w:r>
        <w:t>开票信息备案电话：</w:t>
      </w:r>
      <w:r>
        <w:rPr>
          <w:u w:val="single"/>
        </w:rPr>
        <w:t xml:space="preserve">               </w:t>
      </w:r>
    </w:p>
    <w:p>
      <w:pPr>
        <w:pStyle w:val="8"/>
        <w:spacing w:line="360" w:lineRule="auto"/>
        <w:ind w:firstLine="480" w:firstLineChars="0"/>
      </w:pPr>
      <w:r>
        <w:t>开户行：</w:t>
      </w:r>
      <w:r>
        <w:rPr>
          <w:u w:val="single"/>
        </w:rPr>
        <w:t xml:space="preserve">                                   </w:t>
      </w:r>
    </w:p>
    <w:p>
      <w:pPr>
        <w:pStyle w:val="8"/>
        <w:spacing w:line="360" w:lineRule="auto"/>
        <w:ind w:firstLine="480" w:firstLineChars="0"/>
      </w:pPr>
      <w:r>
        <w:t>账号：</w:t>
      </w:r>
      <w:r>
        <w:rPr>
          <w:u w:val="single"/>
        </w:rPr>
        <w:t xml:space="preserve">                                     </w:t>
      </w:r>
    </w:p>
    <w:p>
      <w:pPr>
        <w:pStyle w:val="8"/>
        <w:spacing w:line="360" w:lineRule="auto"/>
        <w:ind w:firstLine="480" w:firstLineChars="0"/>
        <w:rPr>
          <w:u w:val="single"/>
        </w:rPr>
      </w:pPr>
      <w:r>
        <w:t>普通电子发票接收邮箱：</w:t>
      </w:r>
      <w:r>
        <w:rPr>
          <w:u w:val="single"/>
        </w:rPr>
        <w:t xml:space="preserve">                     </w:t>
      </w:r>
      <w:r>
        <w:t>（专用发票不填此项）</w:t>
      </w:r>
    </w:p>
    <w:p>
      <w:pPr>
        <w:pStyle w:val="8"/>
        <w:ind w:firstLine="480" w:firstLineChars="0"/>
      </w:pPr>
    </w:p>
    <w:p>
      <w:pPr>
        <w:pStyle w:val="8"/>
        <w:ind w:firstLine="480" w:firstLineChars="0"/>
      </w:pPr>
    </w:p>
    <w:p>
      <w:pPr>
        <w:pStyle w:val="8"/>
        <w:ind w:firstLine="480" w:firstLineChars="0"/>
      </w:pPr>
    </w:p>
    <w:p>
      <w:pPr>
        <w:pStyle w:val="8"/>
        <w:ind w:firstLine="480" w:firstLineChars="0"/>
        <w:rPr>
          <w:u w:val="single"/>
        </w:rPr>
      </w:pPr>
      <w:r>
        <w:t xml:space="preserve">                          供应商名称：</w:t>
      </w:r>
      <w:r>
        <w:rPr>
          <w:u w:val="single"/>
        </w:rPr>
        <w:t xml:space="preserve">                              </w:t>
      </w:r>
    </w:p>
    <w:p>
      <w:pPr>
        <w:pStyle w:val="8"/>
        <w:wordWrap w:val="0"/>
        <w:ind w:right="960" w:firstLine="480" w:firstLineChars="0"/>
        <w:jc w:val="center"/>
      </w:pPr>
      <w:r>
        <w:t xml:space="preserve">                       </w:t>
      </w:r>
    </w:p>
    <w:p>
      <w:pPr>
        <w:pStyle w:val="8"/>
        <w:wordWrap w:val="0"/>
        <w:ind w:right="960" w:firstLine="480" w:firstLineChars="0"/>
        <w:jc w:val="center"/>
      </w:pPr>
      <w:r>
        <w:t xml:space="preserve">              财务专用章：                  </w:t>
      </w:r>
    </w:p>
    <w:p>
      <w:pPr>
        <w:pStyle w:val="8"/>
        <w:ind w:firstLine="480" w:firstLineChars="0"/>
        <w:jc w:val="right"/>
      </w:pPr>
    </w:p>
    <w:p>
      <w:pPr>
        <w:pStyle w:val="8"/>
        <w:ind w:firstLine="480" w:firstLineChars="0"/>
        <w:jc w:val="right"/>
      </w:pPr>
    </w:p>
    <w:p>
      <w:pPr>
        <w:pStyle w:val="8"/>
        <w:ind w:right="-1" w:firstLineChars="0"/>
      </w:pPr>
    </w:p>
    <w:p>
      <w:pPr>
        <w:pStyle w:val="8"/>
        <w:ind w:right="-1" w:firstLineChars="0"/>
      </w:pPr>
      <w:r>
        <w:t>注：1、以上开票信息必须由投标单位财务部门出具或经投标单位财务部门确认。如开票信息有误，发票一经开出，一概不换。</w:t>
      </w:r>
    </w:p>
    <w:p>
      <w:pPr>
        <w:pStyle w:val="8"/>
        <w:ind w:right="-1" w:firstLineChars="0"/>
      </w:pPr>
      <w:r>
        <w:t xml:space="preserve">    2、开票信息于磋商响应文件递交时与《开户许可证》单独提供。</w:t>
      </w:r>
    </w:p>
    <w:p>
      <w:pPr>
        <w:pStyle w:val="8"/>
        <w:ind w:firstLine="210"/>
      </w:pPr>
    </w:p>
    <w:p/>
    <w:sectPr>
      <w:pgSz w:w="11907" w:h="16840"/>
      <w:pgMar w:top="1361" w:right="1474" w:bottom="1361" w:left="1588" w:header="720" w:footer="851"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Mangal">
    <w:altName w:val="Segoe Print"/>
    <w:panose1 w:val="00000000000000000000"/>
    <w:charset w:val="00"/>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Fonts w:hint="eastAsia"/>
      </w:rPr>
    </w:pPr>
    <w:r>
      <w:fldChar w:fldCharType="begin"/>
    </w:r>
    <w:r>
      <w:rPr>
        <w:rStyle w:val="20"/>
        <w:rFonts w:hint="eastAsia"/>
      </w:rPr>
      <w:instrText xml:space="preserve">PAGE  </w:instrText>
    </w:r>
    <w:r>
      <w:fldChar w:fldCharType="end"/>
    </w:r>
  </w:p>
  <w:p>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b/>
      </w:rPr>
      <w:t xml:space="preserve">招标文件   　　　　　　                  　　　　　　　　　　　　　　　　　　　　　　　 新疆招标有限公司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1"/>
      </w:rPr>
    </w:pPr>
    <w:r>
      <w:rPr>
        <w:sz w:val="21"/>
      </w:rPr>
      <w:t xml:space="preserve">招标文件                                                       新疆招标有限公司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CFAFB"/>
    <w:multiLevelType w:val="singleLevel"/>
    <w:tmpl w:val="80BCFAFB"/>
    <w:lvl w:ilvl="0" w:tentative="0">
      <w:start w:val="3"/>
      <w:numFmt w:val="chineseCounting"/>
      <w:suff w:val="space"/>
      <w:lvlText w:val="第%1章"/>
      <w:lvlJc w:val="left"/>
      <w:rPr>
        <w:rFonts w:hint="eastAsia"/>
      </w:rPr>
    </w:lvl>
  </w:abstractNum>
  <w:abstractNum w:abstractNumId="1">
    <w:nsid w:val="B53F3350"/>
    <w:multiLevelType w:val="multilevel"/>
    <w:tmpl w:val="B53F3350"/>
    <w:lvl w:ilvl="0" w:tentative="0">
      <w:start w:val="1"/>
      <w:numFmt w:val="decimal"/>
      <w:suff w:val="nothing"/>
      <w:lvlText w:val="%1"/>
      <w:lvlJc w:val="left"/>
      <w:pPr>
        <w:tabs>
          <w:tab w:val="left" w:pos="0"/>
        </w:tabs>
        <w:ind w:left="401" w:hanging="401"/>
      </w:pPr>
    </w:lvl>
    <w:lvl w:ilvl="1" w:tentative="0">
      <w:start w:val="1"/>
      <w:numFmt w:val="lowerLetter"/>
      <w:lvlText w:val="%2)"/>
      <w:lvlJc w:val="left"/>
      <w:pPr>
        <w:tabs>
          <w:tab w:val="left" w:pos="0"/>
        </w:tabs>
        <w:ind w:left="821" w:hanging="420"/>
      </w:pPr>
    </w:lvl>
    <w:lvl w:ilvl="2" w:tentative="0">
      <w:start w:val="1"/>
      <w:numFmt w:val="lowerRoman"/>
      <w:lvlText w:val="%3."/>
      <w:lvlJc w:val="right"/>
      <w:pPr>
        <w:tabs>
          <w:tab w:val="left" w:pos="0"/>
        </w:tabs>
        <w:ind w:left="1241" w:hanging="420"/>
      </w:pPr>
    </w:lvl>
    <w:lvl w:ilvl="3" w:tentative="0">
      <w:start w:val="1"/>
      <w:numFmt w:val="decimal"/>
      <w:lvlText w:val="%4."/>
      <w:lvlJc w:val="left"/>
      <w:pPr>
        <w:tabs>
          <w:tab w:val="left" w:pos="0"/>
        </w:tabs>
        <w:ind w:left="1661" w:hanging="420"/>
      </w:pPr>
    </w:lvl>
    <w:lvl w:ilvl="4" w:tentative="0">
      <w:start w:val="1"/>
      <w:numFmt w:val="lowerLetter"/>
      <w:lvlText w:val="%5)"/>
      <w:lvlJc w:val="left"/>
      <w:pPr>
        <w:tabs>
          <w:tab w:val="left" w:pos="0"/>
        </w:tabs>
        <w:ind w:left="2081" w:hanging="420"/>
      </w:pPr>
    </w:lvl>
    <w:lvl w:ilvl="5" w:tentative="0">
      <w:start w:val="1"/>
      <w:numFmt w:val="lowerRoman"/>
      <w:lvlText w:val="%6."/>
      <w:lvlJc w:val="right"/>
      <w:pPr>
        <w:tabs>
          <w:tab w:val="left" w:pos="0"/>
        </w:tabs>
        <w:ind w:left="2501" w:hanging="420"/>
      </w:pPr>
    </w:lvl>
    <w:lvl w:ilvl="6" w:tentative="0">
      <w:start w:val="1"/>
      <w:numFmt w:val="decimal"/>
      <w:lvlText w:val="%7."/>
      <w:lvlJc w:val="left"/>
      <w:pPr>
        <w:tabs>
          <w:tab w:val="left" w:pos="0"/>
        </w:tabs>
        <w:ind w:left="2921" w:hanging="420"/>
      </w:pPr>
    </w:lvl>
    <w:lvl w:ilvl="7" w:tentative="0">
      <w:start w:val="1"/>
      <w:numFmt w:val="lowerLetter"/>
      <w:lvlText w:val="%8)"/>
      <w:lvlJc w:val="left"/>
      <w:pPr>
        <w:tabs>
          <w:tab w:val="left" w:pos="0"/>
        </w:tabs>
        <w:ind w:left="3341" w:hanging="420"/>
      </w:pPr>
    </w:lvl>
    <w:lvl w:ilvl="8" w:tentative="0">
      <w:start w:val="1"/>
      <w:numFmt w:val="lowerRoman"/>
      <w:lvlText w:val="%9."/>
      <w:lvlJc w:val="right"/>
      <w:pPr>
        <w:tabs>
          <w:tab w:val="left" w:pos="0"/>
        </w:tabs>
        <w:ind w:left="3761" w:hanging="420"/>
      </w:pPr>
    </w:lvl>
  </w:abstractNum>
  <w:abstractNum w:abstractNumId="2">
    <w:nsid w:val="D7D140E4"/>
    <w:multiLevelType w:val="multilevel"/>
    <w:tmpl w:val="D7D140E4"/>
    <w:lvl w:ilvl="0" w:tentative="0">
      <w:start w:val="1"/>
      <w:numFmt w:val="decimal"/>
      <w:suff w:val="nothing"/>
      <w:lvlText w:val="%1"/>
      <w:lvlJc w:val="center"/>
      <w:pPr>
        <w:tabs>
          <w:tab w:val="left" w:pos="0"/>
        </w:tabs>
        <w:ind w:left="0" w:firstLine="288"/>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F0E89278"/>
    <w:multiLevelType w:val="multilevel"/>
    <w:tmpl w:val="F0E8927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suff w:val="nothing"/>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FBFF1A75"/>
    <w:multiLevelType w:val="singleLevel"/>
    <w:tmpl w:val="FBFF1A75"/>
    <w:lvl w:ilvl="0" w:tentative="0">
      <w:start w:val="2"/>
      <w:numFmt w:val="chineseCounting"/>
      <w:suff w:val="space"/>
      <w:lvlText w:val="第%1章"/>
      <w:lvlJc w:val="left"/>
      <w:rPr>
        <w:rFonts w:hint="eastAsia"/>
      </w:rPr>
    </w:lvl>
  </w:abstractNum>
  <w:abstractNum w:abstractNumId="5">
    <w:nsid w:val="03A63A41"/>
    <w:multiLevelType w:val="multilevel"/>
    <w:tmpl w:val="03A63A41"/>
    <w:lvl w:ilvl="0" w:tentative="0">
      <w:start w:val="1"/>
      <w:numFmt w:val="upperLetter"/>
      <w:lvlText w:val="%1."/>
      <w:lvlJc w:val="left"/>
      <w:pPr>
        <w:tabs>
          <w:tab w:val="left" w:pos="0"/>
        </w:tabs>
        <w:ind w:left="1060" w:hanging="420"/>
      </w:p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6">
    <w:nsid w:val="043C1871"/>
    <w:multiLevelType w:val="singleLevel"/>
    <w:tmpl w:val="043C1871"/>
    <w:lvl w:ilvl="0" w:tentative="0">
      <w:start w:val="1"/>
      <w:numFmt w:val="decimal"/>
      <w:lvlText w:val="%1."/>
      <w:lvlJc w:val="left"/>
      <w:pPr>
        <w:tabs>
          <w:tab w:val="left" w:pos="312"/>
        </w:tabs>
      </w:pPr>
    </w:lvl>
  </w:abstractNum>
  <w:abstractNum w:abstractNumId="7">
    <w:nsid w:val="04E741A3"/>
    <w:multiLevelType w:val="multilevel"/>
    <w:tmpl w:val="04E741A3"/>
    <w:lvl w:ilvl="0" w:tentative="0">
      <w:start w:val="1"/>
      <w:numFmt w:val="decimal"/>
      <w:lvlText w:val="%1、"/>
      <w:lvlJc w:val="left"/>
      <w:pPr>
        <w:ind w:left="1035"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709FD3E"/>
    <w:multiLevelType w:val="multilevel"/>
    <w:tmpl w:val="0709FD3E"/>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0CEF100B"/>
    <w:multiLevelType w:val="multilevel"/>
    <w:tmpl w:val="0CEF100B"/>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0F9F9CCA"/>
    <w:multiLevelType w:val="multilevel"/>
    <w:tmpl w:val="0F9F9CCA"/>
    <w:lvl w:ilvl="0" w:tentative="0">
      <w:start w:val="1"/>
      <w:numFmt w:val="decimal"/>
      <w:suff w:val="nothing"/>
      <w:lvlText w:val="%1"/>
      <w:lvlJc w:val="center"/>
      <w:pPr>
        <w:tabs>
          <w:tab w:val="left" w:pos="0"/>
        </w:tabs>
        <w:ind w:left="0" w:firstLine="288"/>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1C257C7B"/>
    <w:multiLevelType w:val="multilevel"/>
    <w:tmpl w:val="1C257C7B"/>
    <w:lvl w:ilvl="0" w:tentative="0">
      <w:start w:val="1"/>
      <w:numFmt w:val="upperLetter"/>
      <w:lvlText w:val="%1."/>
      <w:lvlJc w:val="left"/>
      <w:pPr>
        <w:tabs>
          <w:tab w:val="left" w:pos="0"/>
        </w:tabs>
        <w:ind w:left="1060" w:hanging="420"/>
      </w:p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2">
    <w:nsid w:val="23E97754"/>
    <w:multiLevelType w:val="multilevel"/>
    <w:tmpl w:val="23E97754"/>
    <w:lvl w:ilvl="0" w:tentative="0">
      <w:start w:val="1"/>
      <w:numFmt w:val="decimal"/>
      <w:suff w:val="nothing"/>
      <w:lvlText w:val="%1"/>
      <w:lvlJc w:val="left"/>
      <w:pPr>
        <w:tabs>
          <w:tab w:val="left" w:pos="0"/>
        </w:tabs>
        <w:ind w:left="401" w:hanging="401"/>
      </w:pPr>
    </w:lvl>
    <w:lvl w:ilvl="1" w:tentative="0">
      <w:start w:val="1"/>
      <w:numFmt w:val="lowerLetter"/>
      <w:lvlText w:val="%2)"/>
      <w:lvlJc w:val="left"/>
      <w:pPr>
        <w:tabs>
          <w:tab w:val="left" w:pos="0"/>
        </w:tabs>
        <w:ind w:left="821" w:hanging="420"/>
      </w:pPr>
    </w:lvl>
    <w:lvl w:ilvl="2" w:tentative="0">
      <w:start w:val="1"/>
      <w:numFmt w:val="lowerRoman"/>
      <w:lvlText w:val="%3."/>
      <w:lvlJc w:val="right"/>
      <w:pPr>
        <w:tabs>
          <w:tab w:val="left" w:pos="0"/>
        </w:tabs>
        <w:ind w:left="1241" w:hanging="420"/>
      </w:pPr>
    </w:lvl>
    <w:lvl w:ilvl="3" w:tentative="0">
      <w:start w:val="1"/>
      <w:numFmt w:val="decimal"/>
      <w:lvlText w:val="%4."/>
      <w:lvlJc w:val="left"/>
      <w:pPr>
        <w:tabs>
          <w:tab w:val="left" w:pos="0"/>
        </w:tabs>
        <w:ind w:left="1661" w:hanging="420"/>
      </w:pPr>
    </w:lvl>
    <w:lvl w:ilvl="4" w:tentative="0">
      <w:start w:val="1"/>
      <w:numFmt w:val="lowerLetter"/>
      <w:lvlText w:val="%5)"/>
      <w:lvlJc w:val="left"/>
      <w:pPr>
        <w:tabs>
          <w:tab w:val="left" w:pos="0"/>
        </w:tabs>
        <w:ind w:left="2081" w:hanging="420"/>
      </w:pPr>
    </w:lvl>
    <w:lvl w:ilvl="5" w:tentative="0">
      <w:start w:val="1"/>
      <w:numFmt w:val="lowerRoman"/>
      <w:lvlText w:val="%6."/>
      <w:lvlJc w:val="right"/>
      <w:pPr>
        <w:tabs>
          <w:tab w:val="left" w:pos="0"/>
        </w:tabs>
        <w:ind w:left="2501" w:hanging="420"/>
      </w:pPr>
    </w:lvl>
    <w:lvl w:ilvl="6" w:tentative="0">
      <w:start w:val="1"/>
      <w:numFmt w:val="decimal"/>
      <w:lvlText w:val="%7."/>
      <w:lvlJc w:val="left"/>
      <w:pPr>
        <w:tabs>
          <w:tab w:val="left" w:pos="0"/>
        </w:tabs>
        <w:ind w:left="2921" w:hanging="420"/>
      </w:pPr>
    </w:lvl>
    <w:lvl w:ilvl="7" w:tentative="0">
      <w:start w:val="1"/>
      <w:numFmt w:val="lowerLetter"/>
      <w:lvlText w:val="%8)"/>
      <w:lvlJc w:val="left"/>
      <w:pPr>
        <w:tabs>
          <w:tab w:val="left" w:pos="0"/>
        </w:tabs>
        <w:ind w:left="3341" w:hanging="420"/>
      </w:pPr>
    </w:lvl>
    <w:lvl w:ilvl="8" w:tentative="0">
      <w:start w:val="1"/>
      <w:numFmt w:val="lowerRoman"/>
      <w:lvlText w:val="%9."/>
      <w:lvlJc w:val="right"/>
      <w:pPr>
        <w:tabs>
          <w:tab w:val="left" w:pos="0"/>
        </w:tabs>
        <w:ind w:left="3761" w:hanging="420"/>
      </w:pPr>
    </w:lvl>
  </w:abstractNum>
  <w:abstractNum w:abstractNumId="13">
    <w:nsid w:val="32A7AF2D"/>
    <w:multiLevelType w:val="multilevel"/>
    <w:tmpl w:val="32A7AF2D"/>
    <w:lvl w:ilvl="0" w:tentative="0">
      <w:start w:val="1"/>
      <w:numFmt w:val="upperLetter"/>
      <w:lvlText w:val="%1."/>
      <w:lvlJc w:val="left"/>
      <w:pPr>
        <w:tabs>
          <w:tab w:val="left" w:pos="0"/>
        </w:tabs>
        <w:ind w:left="1060" w:hanging="420"/>
      </w:p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4">
    <w:nsid w:val="35E83B33"/>
    <w:multiLevelType w:val="multilevel"/>
    <w:tmpl w:val="35E83B33"/>
    <w:lvl w:ilvl="0" w:tentative="0">
      <w:start w:val="3"/>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5">
    <w:nsid w:val="38E72660"/>
    <w:multiLevelType w:val="multilevel"/>
    <w:tmpl w:val="38E72660"/>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16">
    <w:nsid w:val="40B249F9"/>
    <w:multiLevelType w:val="multilevel"/>
    <w:tmpl w:val="40B249F9"/>
    <w:lvl w:ilvl="0" w:tentative="0">
      <w:start w:val="1"/>
      <w:numFmt w:val="decimal"/>
      <w:suff w:val="nothing"/>
      <w:lvlText w:val="%1"/>
      <w:lvlJc w:val="left"/>
      <w:pPr>
        <w:tabs>
          <w:tab w:val="left" w:pos="0"/>
        </w:tabs>
        <w:ind w:left="401" w:hanging="401"/>
      </w:pPr>
    </w:lvl>
    <w:lvl w:ilvl="1" w:tentative="0">
      <w:start w:val="1"/>
      <w:numFmt w:val="lowerLetter"/>
      <w:lvlText w:val="%2)"/>
      <w:lvlJc w:val="left"/>
      <w:pPr>
        <w:tabs>
          <w:tab w:val="left" w:pos="0"/>
        </w:tabs>
        <w:ind w:left="821" w:hanging="420"/>
      </w:pPr>
    </w:lvl>
    <w:lvl w:ilvl="2" w:tentative="0">
      <w:start w:val="1"/>
      <w:numFmt w:val="lowerRoman"/>
      <w:lvlText w:val="%3."/>
      <w:lvlJc w:val="right"/>
      <w:pPr>
        <w:tabs>
          <w:tab w:val="left" w:pos="0"/>
        </w:tabs>
        <w:ind w:left="1241" w:hanging="420"/>
      </w:pPr>
    </w:lvl>
    <w:lvl w:ilvl="3" w:tentative="0">
      <w:start w:val="1"/>
      <w:numFmt w:val="decimal"/>
      <w:lvlText w:val="%4."/>
      <w:lvlJc w:val="left"/>
      <w:pPr>
        <w:tabs>
          <w:tab w:val="left" w:pos="0"/>
        </w:tabs>
        <w:ind w:left="1661" w:hanging="420"/>
      </w:pPr>
    </w:lvl>
    <w:lvl w:ilvl="4" w:tentative="0">
      <w:start w:val="1"/>
      <w:numFmt w:val="lowerLetter"/>
      <w:lvlText w:val="%5)"/>
      <w:lvlJc w:val="left"/>
      <w:pPr>
        <w:tabs>
          <w:tab w:val="left" w:pos="0"/>
        </w:tabs>
        <w:ind w:left="2081" w:hanging="420"/>
      </w:pPr>
    </w:lvl>
    <w:lvl w:ilvl="5" w:tentative="0">
      <w:start w:val="1"/>
      <w:numFmt w:val="lowerRoman"/>
      <w:lvlText w:val="%6."/>
      <w:lvlJc w:val="right"/>
      <w:pPr>
        <w:tabs>
          <w:tab w:val="left" w:pos="0"/>
        </w:tabs>
        <w:ind w:left="2501" w:hanging="420"/>
      </w:pPr>
    </w:lvl>
    <w:lvl w:ilvl="6" w:tentative="0">
      <w:start w:val="1"/>
      <w:numFmt w:val="decimal"/>
      <w:lvlText w:val="%7."/>
      <w:lvlJc w:val="left"/>
      <w:pPr>
        <w:tabs>
          <w:tab w:val="left" w:pos="0"/>
        </w:tabs>
        <w:ind w:left="2921" w:hanging="420"/>
      </w:pPr>
    </w:lvl>
    <w:lvl w:ilvl="7" w:tentative="0">
      <w:start w:val="1"/>
      <w:numFmt w:val="lowerLetter"/>
      <w:lvlText w:val="%8)"/>
      <w:lvlJc w:val="left"/>
      <w:pPr>
        <w:tabs>
          <w:tab w:val="left" w:pos="0"/>
        </w:tabs>
        <w:ind w:left="3341" w:hanging="420"/>
      </w:pPr>
    </w:lvl>
    <w:lvl w:ilvl="8" w:tentative="0">
      <w:start w:val="1"/>
      <w:numFmt w:val="lowerRoman"/>
      <w:lvlText w:val="%9."/>
      <w:lvlJc w:val="right"/>
      <w:pPr>
        <w:tabs>
          <w:tab w:val="left" w:pos="0"/>
        </w:tabs>
        <w:ind w:left="3761" w:hanging="420"/>
      </w:pPr>
    </w:lvl>
  </w:abstractNum>
  <w:abstractNum w:abstractNumId="17">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18">
    <w:nsid w:val="60A55D4B"/>
    <w:multiLevelType w:val="singleLevel"/>
    <w:tmpl w:val="60A55D4B"/>
    <w:lvl w:ilvl="0" w:tentative="0">
      <w:start w:val="1"/>
      <w:numFmt w:val="decimal"/>
      <w:lvlText w:val="（%1）"/>
      <w:lvlJc w:val="left"/>
      <w:pPr>
        <w:tabs>
          <w:tab w:val="left" w:pos="1260"/>
        </w:tabs>
        <w:ind w:left="1260" w:hanging="900"/>
      </w:pPr>
    </w:lvl>
  </w:abstractNum>
  <w:abstractNum w:abstractNumId="19">
    <w:nsid w:val="65CD0074"/>
    <w:multiLevelType w:val="multilevel"/>
    <w:tmpl w:val="65CD0074"/>
    <w:lvl w:ilvl="0" w:tentative="0">
      <w:start w:val="1"/>
      <w:numFmt w:val="taiwaneseCountingThousand"/>
      <w:suff w:val="nothing"/>
      <w:lvlText w:val="%1、"/>
      <w:lvlJc w:val="left"/>
      <w:pPr>
        <w:tabs>
          <w:tab w:val="left" w:pos="0"/>
        </w:tabs>
        <w:ind w:left="846" w:hanging="420"/>
      </w:p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7"/>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num>
  <w:num w:numId="5">
    <w:abstractNumId w:val="6"/>
  </w:num>
  <w:num w:numId="6">
    <w:abstractNumId w:val="0"/>
  </w:num>
  <w:num w:numId="7">
    <w:abstractNumId w:val="19"/>
  </w:num>
  <w:num w:numId="8">
    <w:abstractNumId w:val="8"/>
  </w:num>
  <w:num w:numId="9">
    <w:abstractNumId w:val="9"/>
  </w:num>
  <w:num w:numId="10">
    <w:abstractNumId w:val="2"/>
  </w:num>
  <w:num w:numId="11">
    <w:abstractNumId w:val="13"/>
  </w:num>
  <w:num w:numId="12">
    <w:abstractNumId w:val="11"/>
  </w:num>
  <w:num w:numId="13">
    <w:abstractNumId w:val="3"/>
  </w:num>
  <w:num w:numId="14">
    <w:abstractNumId w:val="12"/>
  </w:num>
  <w:num w:numId="15">
    <w:abstractNumId w:val="1"/>
  </w:num>
  <w:num w:numId="16">
    <w:abstractNumId w:val="16"/>
  </w:num>
  <w:num w:numId="17">
    <w:abstractNumId w:val="10"/>
  </w:num>
  <w:num w:numId="18">
    <w:abstractNumId w:val="1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4C7D"/>
    <w:rsid w:val="0BC93EE7"/>
    <w:rsid w:val="0EDE2EB7"/>
    <w:rsid w:val="18D24FC6"/>
    <w:rsid w:val="2DD54F96"/>
    <w:rsid w:val="2E3110E6"/>
    <w:rsid w:val="2EF51AB5"/>
    <w:rsid w:val="376B1E62"/>
    <w:rsid w:val="4193092F"/>
    <w:rsid w:val="4262061D"/>
    <w:rsid w:val="45194ED3"/>
    <w:rsid w:val="4735608F"/>
    <w:rsid w:val="4EDF29A1"/>
    <w:rsid w:val="51220E54"/>
    <w:rsid w:val="596B537D"/>
    <w:rsid w:val="5D4B3D75"/>
    <w:rsid w:val="5EE83D5C"/>
    <w:rsid w:val="679A479A"/>
    <w:rsid w:val="6B4D31ED"/>
    <w:rsid w:val="6DAC1267"/>
    <w:rsid w:val="6F2A4C74"/>
    <w:rsid w:val="6FF635F6"/>
    <w:rsid w:val="76303103"/>
    <w:rsid w:val="76C02412"/>
    <w:rsid w:val="7D20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360" w:lineRule="auto"/>
      <w:jc w:val="center"/>
      <w:outlineLvl w:val="0"/>
    </w:pPr>
    <w:rPr>
      <w:rFonts w:hint="eastAsia" w:eastAsia="黑体"/>
      <w:kern w:val="44"/>
      <w:sz w:val="30"/>
    </w:rPr>
  </w:style>
  <w:style w:type="paragraph" w:styleId="4">
    <w:name w:val="heading 2"/>
    <w:basedOn w:val="1"/>
    <w:next w:val="5"/>
    <w:semiHidden/>
    <w:unhideWhenUsed/>
    <w:qFormat/>
    <w:uiPriority w:val="0"/>
    <w:pPr>
      <w:keepNext/>
      <w:keepLines/>
      <w:spacing w:before="260" w:beforeLines="0" w:after="260" w:afterLines="0" w:line="415" w:lineRule="auto"/>
      <w:jc w:val="center"/>
      <w:outlineLvl w:val="1"/>
    </w:pPr>
    <w:rPr>
      <w:rFonts w:hint="eastAsia" w:ascii="Arial" w:hAnsi="Arial" w:eastAsia="黑体"/>
      <w:sz w:val="84"/>
    </w:rPr>
  </w:style>
  <w:style w:type="paragraph" w:styleId="6">
    <w:name w:val="heading 3"/>
    <w:basedOn w:val="1"/>
    <w:next w:val="5"/>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26"/>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uiPriority w:val="0"/>
    <w:pPr>
      <w:widowControl/>
      <w:jc w:val="left"/>
    </w:pPr>
    <w:rPr>
      <w:kern w:val="0"/>
      <w:sz w:val="20"/>
      <w:lang w:val="de-DE"/>
    </w:rPr>
  </w:style>
  <w:style w:type="paragraph" w:styleId="5">
    <w:name w:val="Normal Indent"/>
    <w:basedOn w:val="1"/>
    <w:qFormat/>
    <w:uiPriority w:val="0"/>
    <w:pPr>
      <w:ind w:firstLine="420" w:firstLineChars="200"/>
    </w:pPr>
    <w:rPr>
      <w:szCs w:val="24"/>
    </w:rPr>
  </w:style>
  <w:style w:type="paragraph" w:styleId="8">
    <w:name w:val="Body Text First Indent"/>
    <w:basedOn w:val="9"/>
    <w:qFormat/>
    <w:uiPriority w:val="0"/>
    <w:pPr>
      <w:spacing w:after="120" w:afterLines="0"/>
      <w:ind w:firstLine="420" w:firstLineChars="100"/>
    </w:pPr>
    <w:rPr>
      <w:rFonts w:ascii="Times New Roman" w:hAnsi="Times New Roman" w:cs="Times New Roman"/>
      <w:sz w:val="21"/>
    </w:rPr>
  </w:style>
  <w:style w:type="paragraph" w:styleId="9">
    <w:name w:val="Body Text"/>
    <w:basedOn w:val="1"/>
    <w:next w:val="10"/>
    <w:qFormat/>
    <w:uiPriority w:val="0"/>
    <w:rPr>
      <w:rFonts w:ascii="Arial" w:hAnsi="Arial" w:cs="Arial"/>
      <w:sz w:val="24"/>
    </w:rPr>
  </w:style>
  <w:style w:type="paragraph" w:customStyle="1" w:styleId="10">
    <w:name w:val="style4"/>
    <w:basedOn w:val="1"/>
    <w:next w:val="11"/>
    <w:qFormat/>
    <w:uiPriority w:val="0"/>
    <w:pPr>
      <w:widowControl/>
      <w:spacing w:before="280" w:after="280"/>
    </w:pPr>
    <w:rPr>
      <w:rFonts w:ascii="宋体"/>
      <w:sz w:val="18"/>
    </w:rPr>
  </w:style>
  <w:style w:type="paragraph" w:customStyle="1" w:styleId="11">
    <w:name w:val="2"/>
    <w:next w:val="1"/>
    <w:qFormat/>
    <w:uiPriority w:val="0"/>
    <w:pPr>
      <w:widowControl w:val="0"/>
      <w:jc w:val="both"/>
    </w:pPr>
    <w:rPr>
      <w:rFonts w:asciiTheme="minorHAnsi" w:hAnsiTheme="minorHAnsi" w:eastAsiaTheme="minorEastAsia" w:cstheme="minorBidi"/>
      <w:sz w:val="21"/>
      <w:szCs w:val="22"/>
      <w:lang w:val="en-US" w:eastAsia="zh-CN" w:bidi="ar-SA"/>
    </w:rPr>
  </w:style>
  <w:style w:type="paragraph" w:styleId="12">
    <w:name w:val="Body Text Indent"/>
    <w:basedOn w:val="1"/>
    <w:qFormat/>
    <w:uiPriority w:val="0"/>
    <w:pPr>
      <w:spacing w:after="120" w:afterLines="0"/>
      <w:ind w:left="420" w:leftChars="200"/>
    </w:pPr>
    <w:rPr>
      <w:rFonts w:hint="eastAsia"/>
      <w:sz w:val="21"/>
    </w:rPr>
  </w:style>
  <w:style w:type="paragraph" w:styleId="13">
    <w:name w:val="Plain Text"/>
    <w:basedOn w:val="1"/>
    <w:qFormat/>
    <w:uiPriority w:val="0"/>
    <w:rPr>
      <w:rFonts w:hint="eastAsia" w:ascii="宋体" w:hAnsi="Courier New"/>
      <w:sz w:val="21"/>
    </w:rPr>
  </w:style>
  <w:style w:type="paragraph" w:styleId="14">
    <w:name w:val="footer"/>
    <w:basedOn w:val="1"/>
    <w:qFormat/>
    <w:uiPriority w:val="0"/>
    <w:pPr>
      <w:tabs>
        <w:tab w:val="center" w:pos="4153"/>
        <w:tab w:val="right" w:pos="8306"/>
      </w:tabs>
      <w:snapToGrid w:val="0"/>
      <w:jc w:val="left"/>
    </w:pPr>
    <w:rPr>
      <w:rFonts w:hint="eastAsia"/>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6">
    <w:name w:val="toc 1"/>
    <w:basedOn w:val="1"/>
    <w:next w:val="1"/>
    <w:qFormat/>
    <w:uiPriority w:val="0"/>
    <w:pPr>
      <w:adjustRightInd w:val="0"/>
      <w:snapToGrid w:val="0"/>
      <w:spacing w:line="400" w:lineRule="exact"/>
      <w:jc w:val="left"/>
    </w:pPr>
    <w:rPr>
      <w:rFonts w:eastAsia="黑体"/>
      <w:bCs/>
      <w:caps/>
      <w:sz w:val="24"/>
    </w:rPr>
  </w:style>
  <w:style w:type="paragraph" w:styleId="17">
    <w:name w:val="toc 2"/>
    <w:basedOn w:val="1"/>
    <w:next w:val="1"/>
    <w:qFormat/>
    <w:uiPriority w:val="0"/>
    <w:pPr>
      <w:adjustRightInd w:val="0"/>
      <w:snapToGrid w:val="0"/>
      <w:spacing w:line="400" w:lineRule="exact"/>
      <w:ind w:left="200" w:leftChars="200"/>
      <w:jc w:val="left"/>
    </w:pPr>
    <w:rPr>
      <w:rFonts w:eastAsia="仿宋_GB2312"/>
      <w:smallCaps/>
    </w:rPr>
  </w:style>
  <w:style w:type="paragraph"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character" w:styleId="20">
    <w:name w:val="page number"/>
    <w:qFormat/>
    <w:uiPriority w:val="0"/>
    <w:rPr>
      <w:rFonts w:hint="default"/>
    </w:rPr>
  </w:style>
  <w:style w:type="character" w:styleId="21">
    <w:name w:val="Hyperlink"/>
    <w:qFormat/>
    <w:uiPriority w:val="0"/>
    <w:rPr>
      <w:rFonts w:hint="default"/>
      <w:color w:val="0000FF"/>
      <w:u w:val="single"/>
    </w:rPr>
  </w:style>
  <w:style w:type="paragraph" w:customStyle="1" w:styleId="23">
    <w:name w:val="正文文字"/>
    <w:basedOn w:val="1"/>
    <w:qFormat/>
    <w:uiPriority w:val="0"/>
    <w:pPr>
      <w:widowControl/>
      <w:spacing w:line="2375" w:lineRule="atLeast"/>
      <w:ind w:firstLine="419"/>
      <w:textAlignment w:val="baseline"/>
    </w:pPr>
    <w:rPr>
      <w:rFonts w:hint="default" w:ascii="宋体"/>
      <w:color w:val="000000"/>
      <w:kern w:val="0"/>
      <w:sz w:val="28"/>
      <w:u w:val="none" w:color="000000"/>
    </w:rPr>
  </w:style>
  <w:style w:type="paragraph" w:styleId="24">
    <w:name w:val="List Paragraph"/>
    <w:basedOn w:val="1"/>
    <w:qFormat/>
    <w:uiPriority w:val="34"/>
    <w:pPr>
      <w:ind w:firstLine="420" w:firstLineChars="200"/>
    </w:pPr>
    <w:rPr>
      <w:rFonts w:hint="default"/>
      <w:kern w:val="0"/>
      <w:sz w:val="20"/>
    </w:rPr>
  </w:style>
  <w:style w:type="paragraph" w:customStyle="1" w:styleId="25">
    <w:name w:val="无间隔1"/>
    <w:qFormat/>
    <w:uiPriority w:val="99"/>
    <w:pPr>
      <w:widowControl w:val="0"/>
      <w:ind w:firstLine="200" w:firstLineChars="200"/>
      <w:jc w:val="both"/>
    </w:pPr>
    <w:rPr>
      <w:rFonts w:asciiTheme="minorHAnsi" w:hAnsiTheme="minorHAnsi" w:eastAsiaTheme="minorEastAsia" w:cstheme="minorBidi"/>
      <w:kern w:val="2"/>
      <w:sz w:val="24"/>
      <w:szCs w:val="22"/>
      <w:lang w:val="en-US" w:eastAsia="zh-CN" w:bidi="ar-SA"/>
    </w:rPr>
  </w:style>
  <w:style w:type="character" w:customStyle="1" w:styleId="26">
    <w:name w:val="标题 4 Char"/>
    <w:link w:val="7"/>
    <w:semiHidden/>
    <w:qFormat/>
    <w:uiPriority w:val="99"/>
    <w:rPr>
      <w:rFonts w:ascii="Cambria" w:hAnsi="Cambria"/>
      <w:b/>
      <w:bCs/>
      <w:sz w:val="28"/>
      <w:szCs w:val="28"/>
    </w:rPr>
  </w:style>
  <w:style w:type="paragraph" w:customStyle="1" w:styleId="27">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28">
    <w:name w:val="正文1"/>
    <w:next w:val="29"/>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29">
    <w:name w:val="正文缩进1"/>
    <w:basedOn w:val="28"/>
    <w:qFormat/>
    <w:uiPriority w:val="0"/>
    <w:pPr>
      <w:spacing w:beforeLines="0" w:beforeAutospacing="0" w:after="120" w:afterAutospacing="0"/>
      <w:ind w:left="420" w:leftChars="200"/>
    </w:pPr>
  </w:style>
  <w:style w:type="paragraph" w:customStyle="1" w:styleId="30">
    <w:name w:val="正文111"/>
    <w:next w:val="31"/>
    <w:qFormat/>
    <w:uiPriority w:val="0"/>
    <w:pPr>
      <w:widowControl w:val="0"/>
      <w:suppressAutoHyphens w:val="0"/>
      <w:bidi w:val="0"/>
      <w:jc w:val="both"/>
    </w:pPr>
    <w:rPr>
      <w:rFonts w:ascii="Times New Roman" w:hAnsi="Times New Roman" w:cs="Times New Roman" w:eastAsiaTheme="minorEastAsia"/>
      <w:color w:val="auto"/>
      <w:kern w:val="0"/>
      <w:sz w:val="20"/>
      <w:szCs w:val="20"/>
      <w:lang w:val="en-US" w:eastAsia="zh-CN" w:bidi="hi-IN"/>
    </w:rPr>
  </w:style>
  <w:style w:type="paragraph" w:customStyle="1" w:styleId="31">
    <w:name w:val="正文缩进11"/>
    <w:basedOn w:val="32"/>
    <w:unhideWhenUsed/>
    <w:qFormat/>
    <w:uiPriority w:val="99"/>
    <w:pPr>
      <w:ind w:firstLine="0" w:firstLineChars="100"/>
    </w:pPr>
    <w:rPr>
      <w:rFonts w:ascii="Times New Roman" w:hAnsi="Times New Roman"/>
      <w:kern w:val="0"/>
      <w:sz w:val="20"/>
      <w:szCs w:val="20"/>
    </w:rPr>
  </w:style>
  <w:style w:type="paragraph" w:customStyle="1" w:styleId="32">
    <w:name w:val="正文文本1"/>
    <w:basedOn w:val="30"/>
    <w:unhideWhenUsed/>
    <w:qFormat/>
    <w:uiPriority w:val="0"/>
    <w:pPr>
      <w:spacing w:beforeLines="0" w:beforeAutospacing="0" w:after="120" w:afterAutospacing="0"/>
    </w:pPr>
    <w:rPr>
      <w:rFonts w:ascii="Calibri" w:hAnsi="Calibri"/>
      <w:kern w:val="2"/>
      <w:sz w:val="21"/>
      <w:szCs w:val="22"/>
      <w:lang w:bidi="ar-SA"/>
    </w:rPr>
  </w:style>
  <w:style w:type="paragraph" w:customStyle="1" w:styleId="33">
    <w:name w:val="标题 211"/>
    <w:basedOn w:val="30"/>
    <w:next w:val="30"/>
    <w:unhideWhenUsed/>
    <w:qFormat/>
    <w:uiPriority w:val="0"/>
    <w:pPr>
      <w:keepNext/>
      <w:keepLines/>
      <w:spacing w:before="260" w:beforeAutospacing="0" w:after="260" w:afterAutospacing="0" w:line="415" w:lineRule="auto"/>
      <w:outlineLvl w:val="1"/>
    </w:pPr>
    <w:rPr>
      <w:rFonts w:ascii="Arial" w:hAnsi="Arial" w:eastAsia="黑体"/>
      <w:b/>
      <w:kern w:val="2"/>
      <w:sz w:val="32"/>
      <w:lang w:bidi="ar-SA"/>
    </w:rPr>
  </w:style>
  <w:style w:type="paragraph" w:customStyle="1" w:styleId="34">
    <w:name w:val="Normal_1"/>
    <w:qFormat/>
    <w:uiPriority w:val="0"/>
    <w:pPr>
      <w:widowControl w:val="0"/>
      <w:suppressAutoHyphens w:val="0"/>
      <w:bidi w:val="0"/>
      <w:jc w:val="both"/>
    </w:pPr>
    <w:rPr>
      <w:rFonts w:ascii="Times New Roman" w:hAnsi="Times New Roman" w:cs="Times New Roman" w:eastAsiaTheme="minorEastAsia"/>
      <w:color w:val="auto"/>
      <w:kern w:val="2"/>
      <w:sz w:val="21"/>
      <w:szCs w:val="21"/>
      <w:lang w:val="en-US" w:eastAsia="zh-CN" w:bidi="ar-SA"/>
    </w:rPr>
  </w:style>
  <w:style w:type="paragraph" w:customStyle="1" w:styleId="35">
    <w:name w:val="标题 111"/>
    <w:basedOn w:val="30"/>
    <w:next w:val="30"/>
    <w:qFormat/>
    <w:uiPriority w:val="0"/>
    <w:pPr>
      <w:keepNext/>
      <w:keepLines/>
      <w:spacing w:before="340" w:beforeAutospacing="0" w:after="330" w:afterAutospacing="0" w:line="578" w:lineRule="auto"/>
      <w:outlineLvl w:val="0"/>
    </w:pPr>
    <w:rPr>
      <w:rFonts w:cs="Mangal"/>
      <w:b/>
      <w:bCs/>
      <w:kern w:val="2"/>
      <w:sz w:val="44"/>
      <w:szCs w:val="40"/>
    </w:rPr>
  </w:style>
  <w:style w:type="paragraph" w:customStyle="1" w:styleId="36">
    <w:name w:val="段"/>
    <w:qFormat/>
    <w:uiPriority w:val="0"/>
    <w:pPr>
      <w:widowControl w:val="0"/>
      <w:suppressAutoHyphens w:val="0"/>
      <w:bidi w:val="0"/>
      <w:ind w:firstLine="0" w:firstLineChars="200"/>
      <w:jc w:val="both"/>
    </w:pPr>
    <w:rPr>
      <w:rFonts w:ascii="宋体" w:hAnsi="宋体" w:cs="Times New Roman" w:eastAsiaTheme="minorEastAsia"/>
      <w:color w:val="auto"/>
      <w:kern w:val="0"/>
      <w:sz w:val="20"/>
      <w:szCs w:val="20"/>
      <w:lang w:val="en-US" w:eastAsia="zh-CN" w:bidi="ar-SA"/>
    </w:rPr>
  </w:style>
  <w:style w:type="paragraph" w:customStyle="1" w:styleId="37">
    <w:name w:val="页眉1"/>
    <w:basedOn w:val="28"/>
    <w:qFormat/>
    <w:uiPriority w:val="99"/>
    <w:pPr>
      <w:pBdr>
        <w:bottom w:val="single" w:color="000000" w:sz="6" w:space="1"/>
      </w:pBdr>
      <w:tabs>
        <w:tab w:val="center" w:pos="4153"/>
        <w:tab w:val="right" w:pos="8306"/>
      </w:tabs>
      <w:snapToGrid w:val="0"/>
      <w:jc w:val="center"/>
    </w:pPr>
    <w:rPr>
      <w:sz w:val="18"/>
      <w:szCs w:val="18"/>
    </w:rPr>
  </w:style>
  <w:style w:type="paragraph" w:customStyle="1" w:styleId="38">
    <w:name w:val="页脚11"/>
    <w:basedOn w:val="30"/>
    <w:qFormat/>
    <w:uiPriority w:val="99"/>
    <w:pPr>
      <w:tabs>
        <w:tab w:val="center" w:pos="4153"/>
        <w:tab w:val="right" w:pos="8306"/>
      </w:tabs>
      <w:snapToGrid w:val="0"/>
      <w:jc w:val="left"/>
    </w:pPr>
    <w:rPr>
      <w:rFonts w:cs="Mangal"/>
      <w:sz w:val="18"/>
      <w:szCs w:val="16"/>
    </w:rPr>
  </w:style>
  <w:style w:type="paragraph" w:customStyle="1" w:styleId="39">
    <w:name w:val="正文1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40">
    <w:name w:val="页脚1"/>
    <w:basedOn w:val="39"/>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张晓峰</cp:lastModifiedBy>
  <dcterms:modified xsi:type="dcterms:W3CDTF">2021-10-19T09:05:26Z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