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仿宋" w:hAnsi="仿宋" w:eastAsia="仿宋" w:cs="仿宋"/>
          <w:b/>
          <w:color w:val="auto"/>
          <w:sz w:val="44"/>
          <w:szCs w:val="44"/>
        </w:rPr>
      </w:pPr>
    </w:p>
    <w:p>
      <w:pPr>
        <w:spacing w:line="360" w:lineRule="auto"/>
        <w:ind w:right="560"/>
        <w:jc w:val="center"/>
        <w:rPr>
          <w:rFonts w:hint="eastAsia" w:ascii="仿宋" w:hAnsi="仿宋" w:eastAsia="仿宋" w:cs="仿宋"/>
          <w:b/>
          <w:color w:val="auto"/>
          <w:kern w:val="0"/>
          <w:sz w:val="44"/>
          <w:szCs w:val="44"/>
        </w:rPr>
      </w:pPr>
      <w:r>
        <w:rPr>
          <w:rFonts w:hint="eastAsia" w:ascii="仿宋" w:hAnsi="仿宋" w:eastAsia="仿宋" w:cs="仿宋"/>
          <w:b/>
          <w:color w:val="auto"/>
          <w:sz w:val="44"/>
          <w:szCs w:val="44"/>
          <w:lang w:eastAsia="zh-CN"/>
        </w:rPr>
        <w:t>于田县兰干乡夜市配套建设项目</w:t>
      </w:r>
      <w:r>
        <w:rPr>
          <w:rFonts w:hint="eastAsia" w:ascii="仿宋" w:hAnsi="仿宋" w:eastAsia="仿宋" w:cs="仿宋"/>
          <w:b/>
          <w:color w:val="auto"/>
          <w:sz w:val="44"/>
          <w:szCs w:val="44"/>
        </w:rPr>
        <w:t>竞争性</w:t>
      </w:r>
      <w:r>
        <w:rPr>
          <w:rFonts w:hint="eastAsia" w:ascii="仿宋" w:hAnsi="仿宋" w:eastAsia="仿宋" w:cs="仿宋"/>
          <w:b/>
          <w:color w:val="auto"/>
          <w:kern w:val="0"/>
          <w:sz w:val="44"/>
          <w:szCs w:val="44"/>
        </w:rPr>
        <w:t>谈判文件</w:t>
      </w:r>
    </w:p>
    <w:p>
      <w:pPr>
        <w:spacing w:line="360" w:lineRule="auto"/>
        <w:ind w:right="560"/>
        <w:jc w:val="center"/>
        <w:rPr>
          <w:rFonts w:hint="eastAsia" w:ascii="仿宋" w:hAnsi="仿宋" w:eastAsia="仿宋" w:cs="仿宋"/>
          <w:b/>
          <w:color w:val="auto"/>
          <w:kern w:val="0"/>
          <w:sz w:val="44"/>
          <w:szCs w:val="44"/>
        </w:rPr>
      </w:pPr>
    </w:p>
    <w:p>
      <w:pPr>
        <w:autoSpaceDE w:val="0"/>
        <w:autoSpaceDN w:val="0"/>
        <w:adjustRightInd w:val="0"/>
        <w:spacing w:line="360" w:lineRule="auto"/>
        <w:rPr>
          <w:rFonts w:hint="eastAsia" w:ascii="仿宋" w:hAnsi="仿宋" w:eastAsia="仿宋" w:cs="仿宋"/>
          <w:b/>
          <w:color w:val="auto"/>
          <w:kern w:val="0"/>
          <w:sz w:val="36"/>
          <w:szCs w:val="36"/>
        </w:rPr>
      </w:pPr>
    </w:p>
    <w:p>
      <w:pPr>
        <w:autoSpaceDE w:val="0"/>
        <w:autoSpaceDN w:val="0"/>
        <w:adjustRightInd w:val="0"/>
        <w:spacing w:line="360" w:lineRule="auto"/>
        <w:ind w:firstLine="562" w:firstLineChars="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于田县兰干乡夜市配套建设项目</w:t>
      </w: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 标 人：</w:t>
      </w:r>
      <w:r>
        <w:rPr>
          <w:rFonts w:hint="eastAsia" w:ascii="仿宋" w:hAnsi="仿宋" w:eastAsia="仿宋" w:cs="仿宋"/>
          <w:b/>
          <w:color w:val="auto"/>
          <w:sz w:val="28"/>
          <w:szCs w:val="28"/>
          <w:lang w:eastAsia="zh-CN"/>
        </w:rPr>
        <w:t>于田县兰干乡人民政府</w:t>
      </w: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联 系 人：</w:t>
      </w:r>
      <w:r>
        <w:rPr>
          <w:rFonts w:hint="eastAsia" w:ascii="仿宋" w:hAnsi="仿宋" w:eastAsia="仿宋" w:cs="仿宋"/>
          <w:b/>
          <w:color w:val="auto"/>
          <w:sz w:val="28"/>
          <w:szCs w:val="28"/>
          <w:lang w:val="en-US" w:eastAsia="zh-CN"/>
        </w:rPr>
        <w:t>赵方圆</w:t>
      </w: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15199293218</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pStyle w:val="6"/>
        <w:spacing w:line="360" w:lineRule="auto"/>
        <w:rPr>
          <w:rFonts w:hint="eastAsia" w:ascii="仿宋" w:hAnsi="仿宋" w:eastAsia="仿宋" w:cs="仿宋"/>
          <w:color w:val="auto"/>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kern w:val="0"/>
          <w:sz w:val="28"/>
          <w:szCs w:val="28"/>
          <w:u w:val="double"/>
        </w:rPr>
        <w:t xml:space="preserve">                                                                </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p>
    <w:p>
      <w:pPr>
        <w:pStyle w:val="6"/>
        <w:spacing w:line="360" w:lineRule="auto"/>
        <w:rPr>
          <w:rFonts w:hint="eastAsia" w:ascii="仿宋" w:hAnsi="仿宋" w:eastAsia="仿宋" w:cs="仿宋"/>
          <w:color w:val="auto"/>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招标代理：</w:t>
      </w:r>
      <w:r>
        <w:rPr>
          <w:rFonts w:hint="eastAsia" w:ascii="仿宋" w:hAnsi="仿宋" w:eastAsia="仿宋" w:cs="仿宋"/>
          <w:b/>
          <w:color w:val="auto"/>
          <w:sz w:val="28"/>
          <w:szCs w:val="28"/>
          <w:lang w:eastAsia="zh-CN"/>
        </w:rPr>
        <w:t>新疆达富腾项目咨询有限公司</w:t>
      </w: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zh-CN"/>
        </w:rPr>
        <w:t>联 系 人：</w:t>
      </w:r>
      <w:r>
        <w:rPr>
          <w:rFonts w:hint="eastAsia" w:ascii="仿宋" w:hAnsi="仿宋" w:eastAsia="仿宋" w:cs="仿宋"/>
          <w:b/>
          <w:color w:val="auto"/>
          <w:sz w:val="28"/>
          <w:szCs w:val="28"/>
          <w:lang w:eastAsia="zh-CN"/>
        </w:rPr>
        <w:t>王亚飞</w:t>
      </w: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zh-CN"/>
        </w:rPr>
        <w:t>电    话：</w:t>
      </w:r>
      <w:r>
        <w:rPr>
          <w:rFonts w:hint="eastAsia" w:ascii="仿宋" w:hAnsi="仿宋" w:eastAsia="仿宋" w:cs="仿宋"/>
          <w:b/>
          <w:color w:val="auto"/>
          <w:sz w:val="28"/>
          <w:szCs w:val="28"/>
          <w:lang w:eastAsia="zh-CN"/>
        </w:rPr>
        <w:t>19990618876</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lang w:val="zh-CN"/>
        </w:rPr>
        <w:t>详细地址：</w:t>
      </w:r>
      <w:r>
        <w:rPr>
          <w:rFonts w:hint="eastAsia" w:ascii="仿宋" w:hAnsi="仿宋" w:eastAsia="仿宋" w:cs="仿宋"/>
          <w:b/>
          <w:color w:val="auto"/>
          <w:sz w:val="28"/>
          <w:szCs w:val="28"/>
          <w:lang w:eastAsia="zh-CN"/>
        </w:rPr>
        <w:t>新疆和田地区于田县玉城路东山苑小区13幢21号房</w:t>
      </w:r>
    </w:p>
    <w:p>
      <w:pPr>
        <w:spacing w:line="360" w:lineRule="auto"/>
        <w:jc w:val="center"/>
        <w:rPr>
          <w:rFonts w:hint="eastAsia" w:ascii="仿宋" w:hAnsi="仿宋" w:eastAsia="仿宋" w:cs="仿宋"/>
          <w:b/>
          <w:bCs/>
          <w:color w:val="auto"/>
          <w:sz w:val="28"/>
          <w:szCs w:val="28"/>
        </w:rPr>
      </w:pPr>
    </w:p>
    <w:p>
      <w:pPr>
        <w:spacing w:line="360" w:lineRule="auto"/>
        <w:jc w:val="center"/>
        <w:rPr>
          <w:rFonts w:hint="eastAsia" w:ascii="仿宋" w:hAnsi="仿宋" w:eastAsia="仿宋" w:cs="仿宋"/>
          <w:b/>
          <w:bCs/>
          <w:color w:val="auto"/>
          <w:sz w:val="28"/>
          <w:szCs w:val="28"/>
        </w:rPr>
      </w:pP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r>
        <w:rPr>
          <w:rFonts w:hint="eastAsia" w:ascii="仿宋" w:hAnsi="仿宋" w:eastAsia="仿宋" w:cs="仿宋"/>
          <w:b/>
          <w:color w:val="auto"/>
          <w:sz w:val="28"/>
          <w:szCs w:val="28"/>
        </w:rPr>
        <w:t>政府采购管理机构备案登记栏：</w:t>
      </w:r>
    </w:p>
    <w:tbl>
      <w:tblPr>
        <w:tblStyle w:val="21"/>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本文件已报备</w:t>
            </w: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autoSpaceDE w:val="0"/>
              <w:autoSpaceDN w:val="0"/>
              <w:adjustRightInd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于田县兰干乡夜市配套建设项目</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7"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5926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JpVu2gAAAAoBAAAPAAAAAAAAAAEAIAAAACIA&#10;AABkcnMvZG93bnJldi54bWxQSwECFAAUAAAACACHTuJAQvWZoM4BAACLAwAADgAAAAAAAAABACAA&#10;AAApAQAAZHJzL2Uyb0RvYy54bWxQSwUGAAAAAAYABgBZAQAAaQ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备案日期：20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bl>
    <w:p>
      <w:pPr>
        <w:spacing w:line="360" w:lineRule="auto"/>
        <w:ind w:right="560" w:firstLine="4340" w:firstLineChars="15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于田县</w:t>
      </w:r>
      <w:r>
        <w:rPr>
          <w:rFonts w:hint="eastAsia" w:ascii="仿宋" w:hAnsi="仿宋" w:eastAsia="仿宋" w:cs="仿宋"/>
          <w:color w:val="auto"/>
          <w:sz w:val="28"/>
          <w:szCs w:val="28"/>
        </w:rPr>
        <w:t>政府采购管理办公室</w:t>
      </w:r>
    </w:p>
    <w:p>
      <w:pPr>
        <w:pStyle w:val="7"/>
        <w:rPr>
          <w:rFonts w:hint="eastAsia" w:ascii="仿宋" w:hAnsi="仿宋" w:eastAsia="仿宋" w:cs="仿宋"/>
          <w:color w:val="auto"/>
          <w:sz w:val="28"/>
          <w:szCs w:val="28"/>
        </w:rPr>
      </w:pPr>
    </w:p>
    <w:p>
      <w:pPr>
        <w:rPr>
          <w:rFonts w:hint="eastAsia" w:ascii="仿宋" w:hAnsi="仿宋" w:eastAsia="仿宋" w:cs="仿宋"/>
          <w:color w:val="auto"/>
        </w:rPr>
        <w:sectPr>
          <w:footerReference r:id="rId3" w:type="default"/>
          <w:pgSz w:w="11907" w:h="16840"/>
          <w:pgMar w:top="1021" w:right="1287" w:bottom="1021" w:left="1758"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eastAsia" w:ascii="仿宋" w:hAnsi="仿宋" w:eastAsia="仿宋" w:cs="仿宋"/>
          <w:color w:val="auto"/>
          <w:kern w:val="2"/>
          <w:sz w:val="21"/>
          <w:szCs w:val="24"/>
          <w:lang w:val="en-US" w:eastAsia="zh-CN" w:bidi="ar-SA"/>
        </w:rPr>
        <w:id w:val="147469218"/>
        <w15:color w:val="DBDBDB"/>
        <w:docPartObj>
          <w:docPartGallery w:val="Table of Contents"/>
          <w:docPartUnique/>
        </w:docPartObj>
      </w:sdtPr>
      <w:sdtEndPr>
        <w:rPr>
          <w:rFonts w:hint="eastAsia" w:ascii="仿宋" w:hAnsi="仿宋" w:eastAsia="仿宋" w:cs="仿宋"/>
          <w:b/>
          <w:bCs/>
          <w:color w:val="auto"/>
          <w:kern w:val="2"/>
          <w:sz w:val="24"/>
          <w:szCs w:val="32"/>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color w:val="auto"/>
              <w:kern w:val="2"/>
              <w:sz w:val="21"/>
              <w:szCs w:val="24"/>
              <w:lang w:val="en-US" w:eastAsia="zh-CN" w:bidi="ar-SA"/>
            </w:rPr>
          </w:pPr>
        </w:p>
        <w:p>
          <w:pPr>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_Toc23939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竞争性谈判公告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_Toc23939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_Toc17405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项目谈判有关说明</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_Toc17405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报价人须知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  合同文本（仅供参考）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_Toc20344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第五章  质疑及处理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谈判响应文件格式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7"/>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_Toc12110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 xml:space="preserve">第七章  </w:t>
          </w:r>
          <w:r>
            <w:rPr>
              <w:rFonts w:hint="eastAsia" w:ascii="仿宋" w:hAnsi="仿宋" w:eastAsia="仿宋" w:cs="仿宋"/>
              <w:color w:val="auto"/>
              <w:sz w:val="28"/>
              <w:szCs w:val="28"/>
            </w:rPr>
            <w:t>评审标准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_Toc12110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4"/>
            <w:tabs>
              <w:tab w:val="left" w:pos="0"/>
            </w:tabs>
            <w:autoSpaceDE w:val="0"/>
            <w:autoSpaceDN w:val="0"/>
            <w:adjustRightInd w:val="0"/>
            <w:spacing w:before="0" w:after="0" w:line="360" w:lineRule="auto"/>
            <w:outlineLvl w:val="9"/>
            <w:rPr>
              <w:rFonts w:hint="eastAsia" w:ascii="仿宋" w:hAnsi="仿宋" w:eastAsia="仿宋" w:cs="仿宋"/>
              <w:b/>
              <w:bCs/>
              <w:color w:val="auto"/>
              <w:kern w:val="2"/>
              <w:sz w:val="24"/>
              <w:szCs w:val="32"/>
              <w:lang w:val="en-US" w:eastAsia="zh-CN" w:bidi="ar-SA"/>
            </w:rPr>
          </w:pPr>
          <w:r>
            <w:rPr>
              <w:rFonts w:hint="eastAsia" w:ascii="仿宋" w:hAnsi="仿宋" w:eastAsia="仿宋" w:cs="仿宋"/>
              <w:color w:val="auto"/>
              <w:sz w:val="28"/>
              <w:szCs w:val="28"/>
            </w:rPr>
            <w:fldChar w:fldCharType="end"/>
          </w:r>
          <w:bookmarkStart w:id="0" w:name="_Toc28359011"/>
          <w:bookmarkStart w:id="1" w:name="_Toc7164"/>
          <w:bookmarkStart w:id="2" w:name="_Toc35393797"/>
          <w:bookmarkStart w:id="3" w:name="_Toc10298"/>
        </w:p>
      </w:sdtContent>
    </w:sdt>
    <w:p>
      <w:pPr>
        <w:spacing w:line="360" w:lineRule="auto"/>
        <w:rPr>
          <w:rFonts w:hint="eastAsia" w:ascii="仿宋" w:hAnsi="仿宋" w:eastAsia="仿宋" w:cs="仿宋"/>
          <w:b/>
          <w:bCs/>
          <w:color w:val="auto"/>
          <w:kern w:val="2"/>
          <w:sz w:val="24"/>
          <w:szCs w:val="32"/>
          <w:lang w:val="en-US" w:eastAsia="zh-CN" w:bidi="ar-SA"/>
        </w:rPr>
      </w:pPr>
    </w:p>
    <w:p>
      <w:pPr>
        <w:pStyle w:val="6"/>
        <w:spacing w:line="360" w:lineRule="auto"/>
        <w:outlineLvl w:val="9"/>
        <w:rPr>
          <w:rFonts w:hint="eastAsia" w:ascii="仿宋" w:hAnsi="仿宋" w:eastAsia="仿宋" w:cs="仿宋"/>
          <w:b/>
          <w:bCs/>
          <w:color w:val="auto"/>
          <w:kern w:val="2"/>
          <w:sz w:val="24"/>
          <w:szCs w:val="32"/>
          <w:lang w:val="en-US" w:eastAsia="zh-CN" w:bidi="ar-SA"/>
        </w:rPr>
      </w:pPr>
    </w:p>
    <w:p>
      <w:pPr>
        <w:spacing w:line="360" w:lineRule="auto"/>
        <w:rPr>
          <w:rFonts w:hint="eastAsia" w:ascii="仿宋" w:hAnsi="仿宋" w:eastAsia="仿宋" w:cs="仿宋"/>
          <w:b/>
          <w:bCs/>
          <w:color w:val="auto"/>
          <w:kern w:val="2"/>
          <w:sz w:val="24"/>
          <w:szCs w:val="32"/>
          <w:lang w:val="en-US" w:eastAsia="zh-CN" w:bidi="ar-SA"/>
        </w:rPr>
      </w:pPr>
    </w:p>
    <w:bookmarkEnd w:id="0"/>
    <w:bookmarkEnd w:id="1"/>
    <w:bookmarkEnd w:id="2"/>
    <w:p>
      <w:pPr>
        <w:pStyle w:val="4"/>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bookmarkStart w:id="4" w:name="_Toc23939"/>
      <w:bookmarkStart w:id="5" w:name="_Toc31013"/>
    </w:p>
    <w:p>
      <w:pPr>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2"/>
        <w:spacing w:line="360" w:lineRule="auto"/>
        <w:rPr>
          <w:rFonts w:hint="eastAsia" w:ascii="仿宋" w:hAnsi="仿宋" w:eastAsia="仿宋" w:cs="仿宋"/>
          <w:color w:val="auto"/>
          <w:lang w:eastAsia="zh-CN"/>
        </w:rPr>
      </w:pPr>
    </w:p>
    <w:p>
      <w:pPr>
        <w:pStyle w:val="4"/>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pStyle w:val="4"/>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7"/>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7"/>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7"/>
        <w:spacing w:line="360" w:lineRule="auto"/>
        <w:rPr>
          <w:rFonts w:hint="eastAsia" w:ascii="仿宋" w:hAnsi="仿宋" w:eastAsia="仿宋" w:cs="仿宋"/>
          <w:color w:val="auto"/>
          <w:lang w:eastAsia="zh-CN"/>
        </w:rPr>
      </w:pPr>
    </w:p>
    <w:bookmarkEnd w:id="3"/>
    <w:bookmarkEnd w:id="4"/>
    <w:bookmarkEnd w:id="5"/>
    <w:p>
      <w:pPr>
        <w:pStyle w:val="4"/>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jc w:val="both"/>
        <w:textAlignment w:val="auto"/>
        <w:rPr>
          <w:rFonts w:hint="eastAsia" w:ascii="仿宋" w:hAnsi="仿宋" w:eastAsia="仿宋" w:cs="仿宋"/>
          <w:color w:val="auto"/>
          <w:sz w:val="32"/>
          <w:szCs w:val="32"/>
          <w:lang w:eastAsia="zh-CN"/>
        </w:rPr>
      </w:pPr>
      <w:bookmarkStart w:id="6" w:name="_Toc14876"/>
    </w:p>
    <w:p>
      <w:pPr>
        <w:rPr>
          <w:rFonts w:hint="eastAsia"/>
          <w:lang w:eastAsia="zh-CN"/>
        </w:rPr>
      </w:pPr>
    </w:p>
    <w:p>
      <w:pPr>
        <w:pStyle w:val="4"/>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color w:val="auto"/>
          <w:sz w:val="32"/>
          <w:szCs w:val="32"/>
          <w:lang w:eastAsia="zh-CN"/>
        </w:rPr>
      </w:pPr>
    </w:p>
    <w:p>
      <w:pPr>
        <w:adjustRightInd w:val="0"/>
        <w:spacing w:line="470" w:lineRule="exact"/>
        <w:ind w:firstLine="3092" w:firstLineChars="700"/>
        <w:textAlignment w:val="baseline"/>
        <w:rPr>
          <w:rFonts w:hint="eastAsia" w:ascii="宋体" w:hAnsi="宋体" w:cs="宋体"/>
          <w:b/>
          <w:bCs/>
          <w:sz w:val="44"/>
          <w:szCs w:val="44"/>
        </w:rPr>
      </w:pPr>
      <w:r>
        <w:rPr>
          <w:rFonts w:hint="eastAsia" w:ascii="宋体" w:hAnsi="宋体" w:cs="宋体"/>
          <w:b/>
          <w:bCs/>
          <w:sz w:val="44"/>
          <w:szCs w:val="44"/>
        </w:rPr>
        <w:t>特 别 提 醒</w:t>
      </w:r>
    </w:p>
    <w:p>
      <w:pPr>
        <w:numPr>
          <w:ilvl w:val="0"/>
          <w:numId w:val="1"/>
        </w:numPr>
        <w:adjustRightInd w:val="0"/>
        <w:spacing w:line="470" w:lineRule="exac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有意参加本次招标项目的投标企业，在符合招标公告报名条件的前提下，于2021年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日至2021年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日1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：00之前将《于田县政府采购报名表（招标公告附件）》填写好发送至于田县公共资源交易中心邮箱：</w:t>
      </w:r>
      <w:r>
        <w:rPr>
          <w:rFonts w:hint="eastAsia" w:ascii="仿宋" w:hAnsi="仿宋" w:eastAsia="仿宋" w:cs="仿宋"/>
          <w:color w:val="auto"/>
          <w:sz w:val="32"/>
          <w:szCs w:val="32"/>
          <w:lang w:eastAsia="zh-CN"/>
        </w:rPr>
        <w:fldChar w:fldCharType="begin"/>
      </w:r>
      <w:r>
        <w:rPr>
          <w:rFonts w:hint="eastAsia" w:ascii="仿宋" w:hAnsi="仿宋" w:eastAsia="仿宋" w:cs="仿宋"/>
          <w:color w:val="auto"/>
          <w:sz w:val="32"/>
          <w:szCs w:val="32"/>
          <w:lang w:eastAsia="zh-CN"/>
        </w:rPr>
        <w:instrText xml:space="preserve"> HYPERLINK "mailto:283934910@qq.com一份进行报名" </w:instrText>
      </w:r>
      <w:r>
        <w:rPr>
          <w:rFonts w:hint="eastAsia" w:ascii="仿宋" w:hAnsi="仿宋" w:eastAsia="仿宋" w:cs="仿宋"/>
          <w:color w:val="auto"/>
          <w:sz w:val="32"/>
          <w:szCs w:val="32"/>
          <w:lang w:eastAsia="zh-CN"/>
        </w:rPr>
        <w:fldChar w:fldCharType="separate"/>
      </w:r>
      <w:r>
        <w:rPr>
          <w:rFonts w:hint="eastAsia" w:ascii="仿宋" w:hAnsi="仿宋" w:eastAsia="仿宋" w:cs="仿宋"/>
          <w:color w:val="auto"/>
          <w:sz w:val="32"/>
          <w:szCs w:val="32"/>
          <w:lang w:eastAsia="zh-CN"/>
        </w:rPr>
        <w:t>280986149@qq.com一份进行报名</w:t>
      </w:r>
      <w:r>
        <w:rPr>
          <w:rFonts w:hint="eastAsia" w:ascii="仿宋" w:hAnsi="仿宋" w:eastAsia="仿宋" w:cs="仿宋"/>
          <w:color w:val="auto"/>
          <w:sz w:val="32"/>
          <w:szCs w:val="32"/>
          <w:lang w:eastAsia="zh-CN"/>
        </w:rPr>
        <w:fldChar w:fldCharType="end"/>
      </w:r>
      <w:r>
        <w:rPr>
          <w:rFonts w:hint="eastAsia" w:ascii="仿宋" w:hAnsi="仿宋" w:eastAsia="仿宋" w:cs="仿宋"/>
          <w:color w:val="auto"/>
          <w:sz w:val="32"/>
          <w:szCs w:val="32"/>
          <w:lang w:eastAsia="zh-CN"/>
        </w:rPr>
        <w:t>，报名表填报人员必须跟到现场开标人员一致，所填手机号码需为移动号码。如果不按时报备、报备人员不一致，所造成的一切后果及损失由投标企业自行承担。</w:t>
      </w:r>
    </w:p>
    <w:p>
      <w:pPr>
        <w:numPr>
          <w:ilvl w:val="0"/>
          <w:numId w:val="1"/>
        </w:numPr>
        <w:adjustRightInd w:val="0"/>
        <w:spacing w:line="470" w:lineRule="exac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开标方式：（1）本项目采用云视讯平台进行不见面开标，投标企业法人代表或委托人无需到现场，各投标企业提前注册好云视讯平台账号，有问题及时联系于田县公共交易资源中心，因账号导致的一切问题各投标企业自行承担。（2）投标企业采用电子版(PDF格式)递交投标文件，开标结束后所有投标企业按招标文件要求，将纸质版投标文件通过邮寄或他人代送等方式递交于招标代理处。</w:t>
      </w:r>
    </w:p>
    <w:p>
      <w:pPr>
        <w:adjustRightInd w:val="0"/>
        <w:spacing w:line="470" w:lineRule="exac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采用电子版投标文件的项目注意事项：（1）电子版投标文件有电子签章的制作成PDF格式或者扫描件。没有电子签章的加盖公章制作成扫描件投标文件（PDF格式）。（2）电子版投标文件分为两个部分：第一部分为资格审查部分，此部分不需要投标企业设置密码；第二部分为投标文件，此部分必须由投标企业设置密码，开标现场通过适当方式提供。（3）电子版投标文件名称为项目名称+公司名称。（4）电子版投标文件递交时间为2021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日1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:00前，递交地址为于田县公共交易资源中心（280986149@qq.com）（需要充分考虑投标文件的发送时间，在电子版投标文件截止时间未传到邮箱的，视为放弃投标）疫情防控期间，开标时间、地点、 要求等变动较大，请各投标企业随时关注原公告发布网站澄清变更公告及新疆政府采购网等相关媒体。</w:t>
      </w:r>
    </w:p>
    <w:p>
      <w:pPr>
        <w:rPr>
          <w:rFonts w:hint="eastAsia" w:ascii="仿宋" w:hAnsi="仿宋" w:eastAsia="仿宋" w:cs="仿宋"/>
          <w:color w:val="auto"/>
          <w:sz w:val="32"/>
          <w:szCs w:val="32"/>
          <w:lang w:eastAsia="zh-CN"/>
        </w:rPr>
      </w:pPr>
    </w:p>
    <w:p>
      <w:pPr>
        <w:pStyle w:val="28"/>
        <w:rPr>
          <w:rFonts w:hint="eastAsia"/>
          <w:lang w:eastAsia="zh-CN"/>
        </w:rPr>
      </w:pPr>
    </w:p>
    <w:p>
      <w:pPr>
        <w:pStyle w:val="4"/>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于田县兰干乡夜市配套建设项目</w:t>
      </w:r>
      <w:r>
        <w:rPr>
          <w:rFonts w:hint="eastAsia" w:ascii="仿宋" w:hAnsi="仿宋" w:eastAsia="仿宋" w:cs="仿宋"/>
          <w:color w:val="auto"/>
          <w:sz w:val="32"/>
          <w:szCs w:val="32"/>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u w:val="single"/>
          <w:lang w:val="en-US" w:eastAsia="zh-CN"/>
        </w:rPr>
      </w:pPr>
      <w:bookmarkStart w:id="7" w:name="_Toc14464"/>
      <w:bookmarkStart w:id="8" w:name="_Toc28359012"/>
      <w:bookmarkStart w:id="9" w:name="_Toc35393798"/>
      <w:bookmarkStart w:id="10" w:name="_Toc35393629"/>
      <w:bookmarkStart w:id="11" w:name="_Toc11674"/>
      <w:bookmarkStart w:id="12" w:name="_Toc28359089"/>
      <w:r>
        <w:rPr>
          <w:rFonts w:hint="eastAsia" w:ascii="仿宋" w:hAnsi="仿宋" w:eastAsia="仿宋" w:cs="仿宋"/>
          <w:color w:val="auto"/>
          <w:sz w:val="24"/>
          <w:szCs w:val="24"/>
          <w:u w:val="single"/>
          <w:lang w:eastAsia="zh-CN"/>
        </w:rPr>
        <w:t>于田县兰干乡夜市配套建设项目</w:t>
      </w:r>
      <w:r>
        <w:rPr>
          <w:rFonts w:hint="eastAsia" w:ascii="仿宋" w:hAnsi="仿宋" w:eastAsia="仿宋" w:cs="仿宋"/>
          <w:color w:val="auto"/>
          <w:sz w:val="24"/>
          <w:szCs w:val="24"/>
          <w:u w:val="single"/>
        </w:rPr>
        <w:t>的潜在供应商应在新疆政府采购网（http://www.ccgp-xinjiang.gov.cn/）获取招标文件，并于</w:t>
      </w:r>
      <w:r>
        <w:rPr>
          <w:rFonts w:hint="eastAsia" w:ascii="仿宋" w:hAnsi="仿宋" w:eastAsia="仿宋" w:cs="仿宋"/>
          <w:color w:val="auto"/>
          <w:sz w:val="24"/>
          <w:szCs w:val="24"/>
          <w:highlight w:val="none"/>
          <w:u w:val="single"/>
          <w:lang w:eastAsia="zh-CN"/>
        </w:rPr>
        <w:t>2021年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lang w:eastAsia="zh-CN"/>
        </w:rPr>
        <w:t xml:space="preserve">日 </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u w:val="single"/>
          <w:lang w:eastAsia="zh-CN"/>
        </w:rPr>
        <w:t>:00</w:t>
      </w:r>
      <w:r>
        <w:rPr>
          <w:rFonts w:hint="eastAsia" w:ascii="仿宋" w:hAnsi="仿宋" w:eastAsia="仿宋" w:cs="仿宋"/>
          <w:color w:val="auto"/>
          <w:sz w:val="24"/>
          <w:szCs w:val="24"/>
          <w:u w:val="single"/>
        </w:rPr>
        <w:t xml:space="preserve"> （北京时间）前提交（上传）响应文件。</w:t>
      </w:r>
    </w:p>
    <w:p>
      <w:pPr>
        <w:pStyle w:val="5"/>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val="0"/>
          <w:color w:val="auto"/>
          <w:sz w:val="24"/>
          <w:szCs w:val="24"/>
        </w:rPr>
      </w:pPr>
      <w:r>
        <w:rPr>
          <w:rFonts w:hint="eastAsia" w:ascii="仿宋" w:hAnsi="仿宋" w:eastAsia="仿宋" w:cs="仿宋"/>
          <w:b w:val="0"/>
          <w:color w:val="auto"/>
          <w:sz w:val="24"/>
          <w:szCs w:val="24"/>
        </w:rPr>
        <w:t>一、项目基本情况</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编号</w:t>
      </w:r>
      <w:r>
        <w:rPr>
          <w:rFonts w:hint="eastAsia" w:ascii="仿宋" w:hAnsi="仿宋" w:eastAsia="仿宋" w:cs="仿宋"/>
          <w:color w:val="auto"/>
          <w:sz w:val="24"/>
          <w:szCs w:val="24"/>
          <w:highlight w:val="none"/>
          <w:lang w:eastAsia="zh-CN"/>
        </w:rPr>
        <w:t>：YTXZFCGDL-JZ-2021-102</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lang w:eastAsia="zh-CN"/>
        </w:rPr>
        <w:t>于田县兰干乡夜市配套建设项目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采购方式：☑竞争性谈判 □竞争性磋商 □询价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val="en-US" w:eastAsia="zh-CN"/>
        </w:rPr>
        <w:t>738454.66</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val="en-US" w:eastAsia="zh-CN"/>
        </w:rPr>
        <w:t>738454.66</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采购需求：1、建设便民服务停车场及其配套设施2、建设乡村振兴文化体育广场及其配套设施</w:t>
      </w:r>
      <w:r>
        <w:rPr>
          <w:rFonts w:hint="eastAsia" w:ascii="仿宋" w:hAnsi="仿宋" w:eastAsia="仿宋" w:cs="仿宋"/>
          <w:color w:val="auto"/>
          <w:sz w:val="24"/>
          <w:szCs w:val="24"/>
          <w:lang w:val="en-US" w:eastAsia="zh-CN"/>
        </w:rPr>
        <w:t>（详见招标文件技术参数）。</w:t>
      </w:r>
      <w:r>
        <w:rPr>
          <w:rFonts w:hint="eastAsia" w:ascii="仿宋" w:hAnsi="仿宋" w:eastAsia="仿宋" w:cs="仿宋"/>
          <w:color w:val="auto"/>
          <w:sz w:val="24"/>
          <w:szCs w:val="24"/>
        </w:rPr>
        <w:t>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15天</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i/>
          <w:color w:val="auto"/>
          <w:sz w:val="24"/>
          <w:szCs w:val="24"/>
          <w:lang w:val="en-US" w:eastAsia="zh-CN"/>
        </w:rPr>
        <w:t>否</w:t>
      </w:r>
      <w:r>
        <w:rPr>
          <w:rFonts w:hint="eastAsia" w:ascii="仿宋" w:hAnsi="仿宋" w:eastAsia="仿宋" w:cs="仿宋"/>
          <w:color w:val="auto"/>
          <w:sz w:val="24"/>
          <w:szCs w:val="24"/>
        </w:rPr>
        <w:t>）接受联合体。</w:t>
      </w:r>
    </w:p>
    <w:p>
      <w:pPr>
        <w:pStyle w:val="5"/>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val="0"/>
          <w:color w:val="auto"/>
          <w:sz w:val="24"/>
          <w:szCs w:val="24"/>
        </w:rPr>
      </w:pPr>
      <w:bookmarkStart w:id="13" w:name="_Toc35393799"/>
      <w:bookmarkStart w:id="14" w:name="_Toc28359090"/>
      <w:bookmarkStart w:id="15" w:name="_Toc28359013"/>
      <w:bookmarkStart w:id="16" w:name="_Toc35393630"/>
      <w:bookmarkStart w:id="17" w:name="_Toc10197"/>
      <w:bookmarkStart w:id="18" w:name="_Toc3275"/>
      <w:r>
        <w:rPr>
          <w:rFonts w:hint="eastAsia" w:ascii="仿宋" w:hAnsi="仿宋" w:eastAsia="仿宋" w:cs="仿宋"/>
          <w:b w:val="0"/>
          <w:color w:val="auto"/>
          <w:sz w:val="24"/>
          <w:szCs w:val="24"/>
        </w:rPr>
        <w:t>二、申请人的资格要求：</w:t>
      </w:r>
      <w:bookmarkEnd w:id="13"/>
      <w:bookmarkEnd w:id="14"/>
      <w:bookmarkEnd w:id="15"/>
      <w:bookmarkEnd w:id="16"/>
      <w:bookmarkEnd w:id="17"/>
      <w:bookmarkEnd w:id="18"/>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bookmarkStart w:id="19" w:name="_Toc28359091"/>
      <w:bookmarkStart w:id="20" w:name="_Toc28359014"/>
      <w:bookmarkStart w:id="21" w:name="_Toc35393631"/>
      <w:bookmarkStart w:id="22" w:name="_Toc35393800"/>
      <w:bookmarkStart w:id="23" w:name="_Toc17402"/>
      <w:bookmarkStart w:id="24" w:name="_Toc20889"/>
      <w:r>
        <w:rPr>
          <w:rFonts w:hint="eastAsia" w:ascii="仿宋" w:hAnsi="仿宋" w:eastAsia="仿宋" w:cs="仿宋"/>
          <w:bCs/>
          <w:color w:val="auto"/>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2.落实政府采购政策需满足的资格要求：</w:t>
      </w:r>
      <w:r>
        <w:rPr>
          <w:rFonts w:hint="eastAsia" w:ascii="仿宋" w:hAnsi="仿宋" w:eastAsia="仿宋" w:cs="仿宋"/>
          <w:bCs/>
          <w:color w:val="auto"/>
          <w:sz w:val="24"/>
          <w:szCs w:val="24"/>
          <w:lang w:eastAsia="zh-CN"/>
        </w:rPr>
        <w:t>无</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3.本项目的特定资格要求:</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投标人须具备在中华人民共和国依法注册的独立法人，具备有效的营业执照（三证合一）；并且营业执照中应具有相应的经营范围；</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具备</w:t>
      </w:r>
      <w:r>
        <w:rPr>
          <w:rFonts w:hint="eastAsia" w:ascii="仿宋" w:hAnsi="仿宋" w:eastAsia="仿宋" w:cs="仿宋"/>
          <w:color w:val="auto"/>
          <w:sz w:val="24"/>
          <w:szCs w:val="24"/>
          <w:lang w:val="en-US" w:eastAsia="zh-CN"/>
        </w:rPr>
        <w:t>房建</w:t>
      </w:r>
      <w:r>
        <w:rPr>
          <w:rFonts w:hint="eastAsia" w:ascii="仿宋" w:hAnsi="仿宋" w:eastAsia="仿宋" w:cs="仿宋"/>
          <w:color w:val="auto"/>
          <w:sz w:val="24"/>
          <w:szCs w:val="24"/>
        </w:rPr>
        <w:t>工程施工总承包叁级及以上资质（疆外企业需提供进疆备案），并具有工程施工类安全生产许可证；</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法定代表人的需携带法定代表人证明书（原件）及法定代表人身份证（原件）及法定代表人近三个月的社保缴费凭证及个人明细；委托代理人需携带法定代表人授权委托书（原件）及委托代理人身份证（原件）及委托人近三个月的社保缴费凭证及个人明细（原件）</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4、具有良好的商业信誉和健全的财务会计制度（提供2020年的财务审计报告原件（2020年10月份后成立的公司可不提供财务审计报告但需提供银行出具的近三个月的资信证明原件）；</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5、投标单位需提供税务机关出具近三个月的完税证明；</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凡拟参加本次招标项目的投标人，如在“信用中国”网站（</w:t>
      </w:r>
      <w:r>
        <w:rPr>
          <w:rFonts w:hint="eastAsia" w:ascii="仿宋" w:hAnsi="仿宋" w:eastAsia="仿宋" w:cs="仿宋"/>
          <w:color w:val="auto"/>
          <w:sz w:val="24"/>
          <w:szCs w:val="24"/>
        </w:rPr>
        <w:drawing>
          <wp:inline distT="0" distB="0" distL="114300" distR="114300">
            <wp:extent cx="190500" cy="142875"/>
            <wp:effectExtent l="0" t="0" r="0" b="952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www.creditchina.gov.cn）、中国政府采购网（</w:t>
      </w:r>
      <w:r>
        <w:rPr>
          <w:rFonts w:hint="eastAsia" w:ascii="仿宋" w:hAnsi="仿宋" w:eastAsia="仿宋" w:cs="仿宋"/>
          <w:color w:val="auto"/>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www.ccgp.gov.cn）、国家企业信用信息公示系统（</w:t>
      </w:r>
      <w:r>
        <w:rPr>
          <w:rFonts w:hint="eastAsia" w:ascii="仿宋" w:hAnsi="仿宋" w:eastAsia="仿宋" w:cs="仿宋"/>
          <w:color w:val="auto"/>
          <w:sz w:val="24"/>
          <w:szCs w:val="24"/>
        </w:rPr>
        <w:drawing>
          <wp:inline distT="0" distB="0" distL="114300" distR="114300">
            <wp:extent cx="190500" cy="142875"/>
            <wp:effectExtent l="0" t="0" r="0" b="9525"/>
            <wp:docPr id="15"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8"/>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http://www.gsxt.gov.cn）、中国裁判文书网（</w:t>
      </w:r>
      <w:r>
        <w:rPr>
          <w:rFonts w:hint="eastAsia" w:ascii="仿宋" w:hAnsi="仿宋" w:eastAsia="仿宋" w:cs="仿宋"/>
          <w:color w:val="auto"/>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color w:val="auto"/>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本项目不接受联合体投标。</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三、获取采购文件</w:t>
      </w:r>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仿宋" w:hAnsi="仿宋" w:eastAsia="仿宋" w:cs="仿宋"/>
          <w:color w:val="auto"/>
          <w:sz w:val="24"/>
          <w:szCs w:val="24"/>
          <w:lang w:val="en-US" w:eastAsia="zh-CN"/>
        </w:rPr>
      </w:pPr>
      <w:bookmarkStart w:id="25" w:name="_Toc7922"/>
      <w:bookmarkStart w:id="26" w:name="_Toc22996"/>
      <w:bookmarkStart w:id="27" w:name="_Toc28359015"/>
      <w:bookmarkStart w:id="28" w:name="_Toc35393632"/>
      <w:bookmarkStart w:id="29" w:name="_Toc28359092"/>
      <w:bookmarkStart w:id="30" w:name="_Toc35393801"/>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2021年11月1日-2021年11月8日(北京时间上午10：00-14：00下午15：30-19：30节假日除外）</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地点：在新疆政府采购网（http://www.ccgp-xinjiang.gov.cn/）的该采购公告附件中直接下载招标（采购）文件，标书售后不退。 </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color w:val="auto"/>
        </w:rPr>
      </w:pPr>
      <w:r>
        <w:rPr>
          <w:rFonts w:hint="eastAsia" w:ascii="仿宋" w:hAnsi="仿宋" w:eastAsia="仿宋" w:cs="仿宋"/>
          <w:color w:val="auto"/>
          <w:sz w:val="24"/>
          <w:szCs w:val="24"/>
        </w:rPr>
        <w:t>售价：200元/份</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四、响应文件提交</w:t>
      </w:r>
      <w:bookmarkEnd w:id="25"/>
      <w:bookmarkEnd w:id="26"/>
      <w:bookmarkEnd w:id="27"/>
      <w:bookmarkEnd w:id="28"/>
      <w:bookmarkEnd w:id="29"/>
      <w:bookmarkEnd w:id="30"/>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截止时间：</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12</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0</w:t>
      </w:r>
      <w:r>
        <w:rPr>
          <w:rFonts w:hint="eastAsia" w:ascii="仿宋" w:hAnsi="仿宋" w:eastAsia="仿宋" w:cs="仿宋"/>
          <w:bCs/>
          <w:color w:val="auto"/>
          <w:sz w:val="24"/>
          <w:szCs w:val="24"/>
          <w:highlight w:val="none"/>
          <w:u w:val="single"/>
        </w:rPr>
        <w:t>0分</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rPr>
        <w:t>北京时间）</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地点：</w:t>
      </w:r>
      <w:r>
        <w:rPr>
          <w:rFonts w:hint="eastAsia" w:ascii="仿宋" w:hAnsi="仿宋" w:eastAsia="仿宋" w:cs="仿宋"/>
          <w:sz w:val="24"/>
          <w:szCs w:val="24"/>
        </w:rPr>
        <w:t>云视讯平台进行不见面开标</w:t>
      </w:r>
    </w:p>
    <w:p>
      <w:pPr>
        <w:pStyle w:val="5"/>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val="0"/>
          <w:color w:val="auto"/>
          <w:sz w:val="24"/>
          <w:szCs w:val="24"/>
        </w:rPr>
      </w:pPr>
      <w:bookmarkStart w:id="31" w:name="_Toc297"/>
      <w:bookmarkStart w:id="32" w:name="_Toc28359093"/>
      <w:bookmarkStart w:id="33" w:name="_Toc30975"/>
      <w:bookmarkStart w:id="34" w:name="_Toc28359016"/>
      <w:bookmarkStart w:id="35" w:name="_Toc35393633"/>
      <w:bookmarkStart w:id="36" w:name="_Toc35393802"/>
      <w:r>
        <w:rPr>
          <w:rFonts w:hint="eastAsia" w:ascii="仿宋" w:hAnsi="仿宋" w:eastAsia="仿宋" w:cs="仿宋"/>
          <w:b w:val="0"/>
          <w:color w:val="auto"/>
          <w:sz w:val="24"/>
          <w:szCs w:val="24"/>
        </w:rPr>
        <w:t>五、开启</w:t>
      </w:r>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12</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0</w:t>
      </w:r>
      <w:r>
        <w:rPr>
          <w:rFonts w:hint="eastAsia" w:ascii="仿宋" w:hAnsi="仿宋" w:eastAsia="仿宋" w:cs="仿宋"/>
          <w:bCs/>
          <w:color w:val="auto"/>
          <w:sz w:val="24"/>
          <w:szCs w:val="24"/>
          <w:highlight w:val="none"/>
          <w:u w:val="single"/>
        </w:rPr>
        <w:t>0分</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rPr>
        <w:t>北京时间）</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地点：</w:t>
      </w:r>
      <w:bookmarkStart w:id="37" w:name="_Toc35393634"/>
      <w:bookmarkStart w:id="38" w:name="_Toc35393803"/>
      <w:bookmarkStart w:id="39" w:name="_Toc28359017"/>
      <w:bookmarkStart w:id="40" w:name="_Toc28359094"/>
      <w:r>
        <w:rPr>
          <w:rFonts w:hint="eastAsia" w:ascii="仿宋" w:hAnsi="仿宋" w:eastAsia="仿宋" w:cs="仿宋"/>
          <w:sz w:val="24"/>
          <w:szCs w:val="24"/>
        </w:rPr>
        <w:t>云视讯平台进行不见面开标</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bookmarkStart w:id="41" w:name="_Toc135"/>
      <w:bookmarkStart w:id="42" w:name="_Toc15664"/>
      <w:r>
        <w:rPr>
          <w:rFonts w:hint="eastAsia" w:ascii="仿宋" w:hAnsi="仿宋" w:eastAsia="仿宋" w:cs="仿宋"/>
          <w:bCs/>
          <w:color w:val="auto"/>
          <w:sz w:val="24"/>
          <w:szCs w:val="24"/>
        </w:rPr>
        <w:t>六、公告期限</w:t>
      </w:r>
      <w:bookmarkEnd w:id="37"/>
      <w:bookmarkEnd w:id="38"/>
      <w:bookmarkEnd w:id="39"/>
      <w:bookmarkEnd w:id="40"/>
      <w:bookmarkEnd w:id="41"/>
      <w:bookmarkEnd w:id="42"/>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自本公告发布之日起3个工作日。</w:t>
      </w:r>
    </w:p>
    <w:p>
      <w:pPr>
        <w:pStyle w:val="5"/>
        <w:keepNext/>
        <w:keepLines/>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bookmarkStart w:id="43" w:name="_Toc35393804"/>
      <w:bookmarkStart w:id="44" w:name="_Toc35393635"/>
      <w:bookmarkStart w:id="45" w:name="_Toc23752"/>
      <w:bookmarkStart w:id="46" w:name="_Toc25927"/>
      <w:r>
        <w:rPr>
          <w:rFonts w:hint="eastAsia" w:ascii="仿宋" w:hAnsi="仿宋" w:eastAsia="仿宋" w:cs="仿宋"/>
          <w:b w:val="0"/>
          <w:color w:val="auto"/>
          <w:sz w:val="24"/>
          <w:szCs w:val="24"/>
        </w:rPr>
        <w:t>七、其他补充事宜</w:t>
      </w:r>
      <w:bookmarkEnd w:id="43"/>
      <w:bookmarkEnd w:id="44"/>
      <w:r>
        <w:rPr>
          <w:rFonts w:hint="eastAsia" w:ascii="仿宋" w:hAnsi="仿宋" w:eastAsia="仿宋" w:cs="仿宋"/>
          <w:b w:val="0"/>
          <w:color w:val="auto"/>
          <w:sz w:val="24"/>
          <w:szCs w:val="24"/>
          <w:lang w:eastAsia="zh-CN"/>
        </w:rPr>
        <w:t>：</w:t>
      </w:r>
      <w:r>
        <w:rPr>
          <w:rFonts w:hint="eastAsia" w:ascii="仿宋" w:hAnsi="仿宋" w:eastAsia="仿宋" w:cs="仿宋"/>
          <w:b w:val="0"/>
          <w:color w:val="auto"/>
          <w:sz w:val="24"/>
          <w:szCs w:val="24"/>
          <w:lang w:val="en-US" w:eastAsia="zh-CN"/>
        </w:rPr>
        <w:t>无</w:t>
      </w:r>
      <w:bookmarkEnd w:id="45"/>
      <w:bookmarkEnd w:id="46"/>
    </w:p>
    <w:p>
      <w:pPr>
        <w:pStyle w:val="5"/>
        <w:keepNext/>
        <w:keepLines/>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val="0"/>
          <w:color w:val="auto"/>
          <w:sz w:val="24"/>
          <w:szCs w:val="24"/>
        </w:rPr>
      </w:pPr>
      <w:bookmarkStart w:id="47" w:name="_Toc35393805"/>
      <w:bookmarkStart w:id="48" w:name="_Toc28359018"/>
      <w:bookmarkStart w:id="49" w:name="_Toc1455"/>
      <w:bookmarkStart w:id="50" w:name="_Toc20454"/>
      <w:bookmarkStart w:id="51" w:name="_Toc35393636"/>
      <w:bookmarkStart w:id="52" w:name="_Toc28359095"/>
      <w:r>
        <w:rPr>
          <w:rFonts w:hint="eastAsia" w:ascii="仿宋" w:hAnsi="仿宋" w:eastAsia="仿宋" w:cs="仿宋"/>
          <w:b w:val="0"/>
          <w:color w:val="auto"/>
          <w:sz w:val="24"/>
          <w:szCs w:val="24"/>
        </w:rPr>
        <w:t>八、凡对本次采购提出询问，请按以下方式联系。</w:t>
      </w:r>
      <w:bookmarkEnd w:id="47"/>
      <w:bookmarkEnd w:id="48"/>
      <w:bookmarkEnd w:id="49"/>
      <w:bookmarkEnd w:id="50"/>
      <w:bookmarkEnd w:id="51"/>
      <w:bookmarkEnd w:id="52"/>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1.采购人信息</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名    称：于田县兰干乡人民政府</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地    址：于田县兰干乡　　　　</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联系方式：赵方圆  15199293218　</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2.采购代理机构信息</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名    称：新疆达富腾项目咨询有限公司　</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地    址：新疆和田地区于田县玉城路东山苑小区13幢21号房</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联系方式：19990618876　　</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3.项目联系方式</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项目联系人：王亚飞</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b w:val="0"/>
          <w:color w:val="auto"/>
          <w:kern w:val="2"/>
          <w:sz w:val="24"/>
          <w:szCs w:val="24"/>
          <w:lang w:val="en-US" w:eastAsia="zh-CN" w:bidi="ar-SA"/>
        </w:rPr>
        <w:t>电　　  话：19990618876</w:t>
      </w:r>
    </w:p>
    <w:p>
      <w:pPr>
        <w:pStyle w:val="6"/>
        <w:spacing w:line="360" w:lineRule="auto"/>
        <w:jc w:val="both"/>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6"/>
        <w:spacing w:line="360" w:lineRule="auto"/>
        <w:jc w:val="both"/>
        <w:rPr>
          <w:rFonts w:hint="eastAsia" w:ascii="仿宋" w:hAnsi="仿宋" w:eastAsia="仿宋" w:cs="仿宋"/>
          <w:color w:val="auto"/>
          <w:sz w:val="28"/>
          <w:szCs w:val="28"/>
          <w:lang w:eastAsia="zh-CN"/>
        </w:rPr>
      </w:pPr>
    </w:p>
    <w:p>
      <w:pPr>
        <w:pStyle w:val="6"/>
        <w:spacing w:line="360" w:lineRule="auto"/>
        <w:jc w:val="both"/>
        <w:rPr>
          <w:rFonts w:hint="eastAsia" w:ascii="仿宋" w:hAnsi="仿宋" w:eastAsia="仿宋" w:cs="仿宋"/>
          <w:color w:val="auto"/>
          <w:sz w:val="28"/>
          <w:szCs w:val="28"/>
          <w:lang w:eastAsia="zh-CN"/>
        </w:rPr>
      </w:pPr>
    </w:p>
    <w:p>
      <w:pPr>
        <w:pStyle w:val="6"/>
        <w:spacing w:line="360" w:lineRule="auto"/>
        <w:jc w:val="both"/>
        <w:rPr>
          <w:rFonts w:hint="eastAsia" w:ascii="仿宋" w:hAnsi="仿宋" w:eastAsia="仿宋" w:cs="仿宋"/>
          <w:color w:val="auto"/>
          <w:sz w:val="28"/>
          <w:szCs w:val="28"/>
          <w:lang w:eastAsia="zh-CN"/>
        </w:rPr>
      </w:pPr>
    </w:p>
    <w:p>
      <w:pPr>
        <w:pStyle w:val="6"/>
        <w:spacing w:line="360" w:lineRule="auto"/>
        <w:jc w:val="both"/>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color w:val="auto"/>
          <w:lang w:eastAsia="zh-CN"/>
        </w:rPr>
      </w:pPr>
    </w:p>
    <w:p>
      <w:pPr>
        <w:pStyle w:val="6"/>
        <w:spacing w:line="360" w:lineRule="auto"/>
        <w:jc w:val="both"/>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color w:val="auto"/>
        </w:rPr>
      </w:pPr>
    </w:p>
    <w:p>
      <w:pPr>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投标人须知前附表</w:t>
      </w:r>
    </w:p>
    <w:bookmarkEnd w:id="6"/>
    <w:tbl>
      <w:tblPr>
        <w:tblStyle w:val="21"/>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268"/>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bidi w:val="0"/>
              <w:rPr>
                <w:rFonts w:hint="eastAsia" w:ascii="仿宋" w:hAnsi="仿宋" w:eastAsia="仿宋" w:cs="仿宋"/>
                <w:b/>
                <w:color w:val="auto"/>
                <w:szCs w:val="21"/>
              </w:rPr>
            </w:pPr>
            <w:r>
              <w:rPr>
                <w:rFonts w:hint="eastAsia"/>
                <w:b/>
                <w:bCs/>
                <w:color w:val="auto"/>
              </w:rPr>
              <w:br w:type="page"/>
            </w:r>
            <w:bookmarkStart w:id="53" w:name="_Toc23052"/>
            <w:bookmarkStart w:id="54" w:name="_Toc17405"/>
            <w:bookmarkStart w:id="55" w:name="_Toc28178"/>
            <w:bookmarkStart w:id="56" w:name="_Toc19400"/>
            <w:r>
              <w:rPr>
                <w:rFonts w:hint="eastAsia"/>
                <w:b/>
                <w:bCs/>
                <w:color w:val="auto"/>
              </w:rPr>
              <w:t>条款号</w:t>
            </w:r>
          </w:p>
        </w:tc>
        <w:tc>
          <w:tcPr>
            <w:tcW w:w="2268" w:type="dxa"/>
            <w:tcBorders>
              <w:tl2br w:val="nil"/>
              <w:tr2bl w:val="nil"/>
            </w:tcBorders>
            <w:noWrap w:val="0"/>
            <w:vAlign w:val="center"/>
          </w:tcPr>
          <w:p>
            <w:pPr>
              <w:widowControl/>
              <w:jc w:val="center"/>
              <w:rPr>
                <w:rFonts w:hint="eastAsia" w:ascii="仿宋" w:hAnsi="仿宋" w:eastAsia="仿宋" w:cs="仿宋"/>
                <w:b/>
                <w:color w:val="auto"/>
                <w:szCs w:val="21"/>
              </w:rPr>
            </w:pPr>
            <w:r>
              <w:rPr>
                <w:rFonts w:hint="eastAsia" w:ascii="仿宋" w:hAnsi="仿宋" w:eastAsia="仿宋" w:cs="仿宋"/>
                <w:b/>
                <w:color w:val="auto"/>
                <w:szCs w:val="21"/>
              </w:rPr>
              <w:t>条  款  名  称</w:t>
            </w:r>
          </w:p>
        </w:tc>
        <w:tc>
          <w:tcPr>
            <w:tcW w:w="6540" w:type="dxa"/>
            <w:tcBorders>
              <w:tl2br w:val="nil"/>
              <w:tr2bl w:val="nil"/>
            </w:tcBorders>
            <w:noWrap w:val="0"/>
            <w:vAlign w:val="center"/>
          </w:tcPr>
          <w:p>
            <w:pPr>
              <w:widowControl/>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招标人</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名  称：</w:t>
            </w:r>
            <w:r>
              <w:rPr>
                <w:rFonts w:hint="eastAsia" w:ascii="仿宋" w:hAnsi="仿宋" w:eastAsia="仿宋" w:cs="仿宋"/>
                <w:color w:val="auto"/>
                <w:szCs w:val="21"/>
                <w:lang w:eastAsia="zh-CN"/>
              </w:rPr>
              <w:t>于田县兰干乡人民政府</w:t>
            </w:r>
          </w:p>
          <w:p>
            <w:pPr>
              <w:widowControl/>
              <w:spacing w:line="280" w:lineRule="exact"/>
              <w:rPr>
                <w:rFonts w:hint="eastAsia" w:ascii="仿宋" w:hAnsi="仿宋" w:eastAsia="仿宋" w:cs="仿宋"/>
                <w:color w:val="auto"/>
                <w:szCs w:val="21"/>
                <w:lang w:val="en-US" w:eastAsia="zh-CN"/>
              </w:rPr>
            </w:pPr>
            <w:r>
              <w:rPr>
                <w:rFonts w:hint="eastAsia" w:ascii="仿宋" w:hAnsi="仿宋" w:eastAsia="仿宋" w:cs="仿宋"/>
                <w:color w:val="auto"/>
                <w:szCs w:val="21"/>
              </w:rPr>
              <w:t>地  址：</w:t>
            </w:r>
            <w:r>
              <w:rPr>
                <w:rFonts w:hint="eastAsia" w:ascii="仿宋" w:hAnsi="仿宋" w:eastAsia="仿宋" w:cs="仿宋"/>
                <w:color w:val="auto"/>
                <w:szCs w:val="21"/>
                <w:lang w:eastAsia="zh-CN"/>
              </w:rPr>
              <w:t>于田县兰干乡人民政府</w:t>
            </w:r>
          </w:p>
          <w:p>
            <w:pPr>
              <w:widowControl/>
              <w:rPr>
                <w:rFonts w:hint="eastAsia"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eastAsia="仿宋" w:cs="仿宋"/>
                <w:color w:val="auto"/>
                <w:szCs w:val="21"/>
                <w:highlight w:val="none"/>
                <w:lang w:eastAsia="zh-CN"/>
              </w:rPr>
              <w:t>赵方圆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rPr>
              <w:t xml:space="preserve">        电  话：</w:t>
            </w:r>
            <w:r>
              <w:rPr>
                <w:rFonts w:hint="eastAsia" w:ascii="仿宋" w:hAnsi="仿宋" w:eastAsia="仿宋" w:cs="仿宋"/>
                <w:color w:val="auto"/>
                <w:szCs w:val="21"/>
                <w:lang w:val="en-US" w:eastAsia="zh-CN"/>
              </w:rPr>
              <w:t xml:space="preserve">15199293218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招标代理机构</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名  称：</w:t>
            </w:r>
            <w:r>
              <w:rPr>
                <w:rFonts w:hint="eastAsia" w:ascii="仿宋" w:hAnsi="仿宋" w:eastAsia="仿宋" w:cs="仿宋"/>
                <w:color w:val="auto"/>
                <w:szCs w:val="21"/>
                <w:lang w:eastAsia="zh-CN"/>
              </w:rPr>
              <w:t>新疆达富腾项目咨询有限公司</w:t>
            </w:r>
          </w:p>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地  址：</w:t>
            </w:r>
            <w:r>
              <w:rPr>
                <w:rFonts w:hint="eastAsia" w:ascii="仿宋" w:hAnsi="仿宋" w:eastAsia="仿宋" w:cs="仿宋"/>
                <w:color w:val="auto"/>
                <w:szCs w:val="21"/>
                <w:lang w:eastAsia="zh-CN"/>
              </w:rPr>
              <w:t>新疆和田地区于田县玉城路东山苑小区13幢21号房</w:t>
            </w:r>
          </w:p>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联系人：</w:t>
            </w:r>
            <w:r>
              <w:rPr>
                <w:rFonts w:hint="eastAsia" w:ascii="仿宋" w:hAnsi="仿宋" w:eastAsia="仿宋" w:cs="仿宋"/>
                <w:color w:val="auto"/>
                <w:szCs w:val="21"/>
                <w:lang w:eastAsia="zh-CN"/>
              </w:rPr>
              <w:t>王亚飞</w:t>
            </w:r>
            <w:r>
              <w:rPr>
                <w:rFonts w:hint="eastAsia" w:ascii="仿宋" w:hAnsi="仿宋" w:eastAsia="仿宋" w:cs="仿宋"/>
                <w:color w:val="auto"/>
                <w:szCs w:val="21"/>
              </w:rPr>
              <w:t xml:space="preserve">      电  话：</w:t>
            </w:r>
            <w:r>
              <w:rPr>
                <w:rFonts w:hint="eastAsia" w:ascii="仿宋" w:hAnsi="仿宋" w:eastAsia="仿宋" w:cs="仿宋"/>
                <w:color w:val="auto"/>
                <w:szCs w:val="21"/>
                <w:lang w:eastAsia="zh-CN"/>
              </w:rPr>
              <w:t>19990618876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1.1.4</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lang w:eastAsia="zh-CN"/>
              </w:rPr>
              <w:t>于田县兰干乡夜市配套建设项目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建设地点</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于田县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资金来源</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天津对口帮扶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出资比例</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全额资金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资金落实情况</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招标范围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kern w:val="0"/>
                <w:szCs w:val="20"/>
              </w:rPr>
              <w:t>施工图所含全部内容的施工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计划工期</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计划工期：</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15</w:t>
            </w:r>
            <w:r>
              <w:rPr>
                <w:rFonts w:hint="eastAsia" w:ascii="仿宋" w:hAnsi="仿宋" w:eastAsia="仿宋" w:cs="仿宋"/>
                <w:color w:val="auto"/>
                <w:szCs w:val="21"/>
              </w:rPr>
              <w:t>日历天</w:t>
            </w:r>
          </w:p>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计划开工日期：</w:t>
            </w:r>
            <w:r>
              <w:rPr>
                <w:rFonts w:hint="eastAsia" w:ascii="仿宋" w:hAnsi="仿宋" w:eastAsia="仿宋" w:cs="仿宋"/>
                <w:color w:val="auto"/>
                <w:szCs w:val="21"/>
                <w:u w:val="single"/>
              </w:rPr>
              <w:t xml:space="preserve"> 20</w:t>
            </w:r>
            <w:r>
              <w:rPr>
                <w:rFonts w:hint="eastAsia" w:ascii="仿宋" w:hAnsi="仿宋" w:eastAsia="仿宋" w:cs="仿宋"/>
                <w:color w:val="auto"/>
                <w:szCs w:val="21"/>
                <w:u w:val="single"/>
                <w:lang w:val="en-US" w:eastAsia="zh-CN"/>
              </w:rPr>
              <w:t>21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年</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12</w:t>
            </w:r>
            <w:r>
              <w:rPr>
                <w:rFonts w:hint="eastAsia" w:ascii="仿宋" w:hAnsi="仿宋" w:eastAsia="仿宋" w:cs="仿宋"/>
                <w:color w:val="auto"/>
                <w:szCs w:val="21"/>
              </w:rPr>
              <w:t>日</w:t>
            </w:r>
          </w:p>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计划竣工日期：</w:t>
            </w:r>
            <w:r>
              <w:rPr>
                <w:rFonts w:hint="eastAsia" w:ascii="仿宋" w:hAnsi="仿宋" w:eastAsia="仿宋" w:cs="仿宋"/>
                <w:color w:val="auto"/>
                <w:szCs w:val="21"/>
                <w:u w:val="single"/>
              </w:rPr>
              <w:t xml:space="preserve"> 20</w:t>
            </w:r>
            <w:r>
              <w:rPr>
                <w:rFonts w:hint="eastAsia" w:ascii="仿宋" w:hAnsi="仿宋" w:eastAsia="仿宋" w:cs="仿宋"/>
                <w:color w:val="auto"/>
                <w:szCs w:val="21"/>
                <w:u w:val="single"/>
                <w:lang w:val="en-US" w:eastAsia="zh-CN"/>
              </w:rPr>
              <w:t>21</w:t>
            </w:r>
            <w:r>
              <w:rPr>
                <w:rFonts w:hint="eastAsia" w:ascii="仿宋" w:hAnsi="仿宋" w:eastAsia="仿宋" w:cs="仿宋"/>
                <w:color w:val="auto"/>
                <w:szCs w:val="21"/>
              </w:rPr>
              <w:t xml:space="preserve"> 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27</w:t>
            </w:r>
            <w:r>
              <w:rPr>
                <w:rFonts w:hint="eastAsia" w:ascii="仿宋" w:hAnsi="仿宋" w:eastAsia="仿宋" w:cs="仿宋"/>
                <w:color w:val="auto"/>
                <w:szCs w:val="21"/>
              </w:rPr>
              <w:t>日</w:t>
            </w:r>
          </w:p>
          <w:p>
            <w:pPr>
              <w:widowControl/>
              <w:spacing w:line="280" w:lineRule="exact"/>
              <w:rPr>
                <w:rFonts w:hint="eastAsia" w:ascii="仿宋" w:hAnsi="仿宋" w:eastAsia="仿宋" w:cs="仿宋"/>
                <w:color w:val="auto"/>
                <w:szCs w:val="21"/>
                <w:u w:val="single"/>
              </w:rPr>
            </w:pPr>
            <w:r>
              <w:rPr>
                <w:rFonts w:hint="eastAsia" w:ascii="仿宋" w:hAnsi="仿宋" w:eastAsia="仿宋" w:cs="仿宋"/>
                <w:color w:val="auto"/>
                <w:szCs w:val="21"/>
              </w:rPr>
              <w:t>除上述总工期外，发包人还要求以下区段工期：</w:t>
            </w:r>
            <w:r>
              <w:rPr>
                <w:rFonts w:hint="eastAsia" w:ascii="仿宋" w:hAnsi="仿宋" w:eastAsia="仿宋" w:cs="仿宋"/>
                <w:color w:val="auto"/>
                <w:szCs w:val="21"/>
                <w:u w:val="single"/>
              </w:rPr>
              <w:t xml:space="preserve">      </w:t>
            </w:r>
          </w:p>
          <w:p>
            <w:pPr>
              <w:widowControl/>
              <w:rPr>
                <w:rFonts w:hint="eastAsia" w:ascii="仿宋" w:hAnsi="仿宋" w:eastAsia="仿宋" w:cs="仿宋"/>
                <w:color w:val="auto"/>
                <w:szCs w:val="21"/>
              </w:rPr>
            </w:pPr>
            <w:r>
              <w:rPr>
                <w:rFonts w:hint="eastAsia" w:ascii="仿宋" w:hAnsi="仿宋" w:eastAsia="仿宋" w:cs="仿宋"/>
                <w:color w:val="auto"/>
                <w:szCs w:val="21"/>
              </w:rPr>
              <w:t>有关工期的详细要求见第七章“技术标准和要求”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540" w:type="dxa"/>
            <w:tcBorders>
              <w:tl2br w:val="nil"/>
              <w:tr2bl w:val="nil"/>
            </w:tcBorders>
            <w:noWrap w:val="0"/>
            <w:vAlign w:val="center"/>
          </w:tcPr>
          <w:p>
            <w:pPr>
              <w:widowControl/>
              <w:rPr>
                <w:rFonts w:hint="eastAsia" w:ascii="仿宋" w:hAnsi="仿宋" w:eastAsia="仿宋" w:cs="仿宋"/>
                <w:color w:val="auto"/>
                <w:szCs w:val="21"/>
                <w:u w:val="single"/>
              </w:rPr>
            </w:pPr>
            <w:r>
              <w:rPr>
                <w:rFonts w:hint="eastAsia" w:ascii="仿宋" w:hAnsi="仿宋" w:eastAsia="仿宋" w:cs="仿宋"/>
                <w:color w:val="auto"/>
                <w:szCs w:val="21"/>
              </w:rPr>
              <w:t>质量标准：</w:t>
            </w:r>
            <w:r>
              <w:rPr>
                <w:rFonts w:hint="eastAsia" w:ascii="仿宋" w:hAnsi="仿宋" w:eastAsia="仿宋" w:cs="仿宋"/>
                <w:color w:val="auto"/>
                <w:szCs w:val="21"/>
                <w:u w:val="single"/>
              </w:rPr>
              <w:t xml:space="preserve"> 合格及以上 </w:t>
            </w:r>
          </w:p>
          <w:p>
            <w:pPr>
              <w:widowControl/>
              <w:rPr>
                <w:rFonts w:hint="eastAsia" w:ascii="仿宋" w:hAnsi="仿宋" w:eastAsia="仿宋" w:cs="仿宋"/>
                <w:color w:val="auto"/>
                <w:szCs w:val="21"/>
              </w:rPr>
            </w:pPr>
            <w:r>
              <w:rPr>
                <w:rFonts w:hint="eastAsia" w:ascii="仿宋" w:hAnsi="仿宋" w:eastAsia="仿宋" w:cs="仿宋"/>
                <w:color w:val="auto"/>
                <w:szCs w:val="21"/>
              </w:rPr>
              <w:t>关于质量要求的的详细说明见第七章“技术标准和要求”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1.4.1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投标人资质条件、能力和信誉</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pacing w:val="-2"/>
                <w:kern w:val="0"/>
              </w:rPr>
            </w:pPr>
            <w:r>
              <w:rPr>
                <w:rFonts w:hint="eastAsia" w:ascii="仿宋" w:hAnsi="仿宋" w:eastAsia="仿宋" w:cs="仿宋"/>
                <w:color w:val="auto"/>
                <w:szCs w:val="21"/>
              </w:rPr>
              <w:t>资质条件：具备</w:t>
            </w:r>
            <w:r>
              <w:rPr>
                <w:rFonts w:hint="eastAsia" w:ascii="仿宋" w:hAnsi="仿宋" w:eastAsia="仿宋" w:cs="仿宋"/>
                <w:color w:val="auto"/>
                <w:szCs w:val="21"/>
                <w:lang w:val="en-US" w:eastAsia="zh-CN"/>
              </w:rPr>
              <w:t>房建</w:t>
            </w:r>
            <w:r>
              <w:rPr>
                <w:rFonts w:hint="eastAsia" w:ascii="仿宋" w:hAnsi="仿宋" w:eastAsia="仿宋" w:cs="仿宋"/>
                <w:color w:val="auto"/>
                <w:szCs w:val="21"/>
              </w:rPr>
              <w:t>工程施工总承包叁级及以上资质（疆外企业需提供进疆备案），并具有工程施工类安全生产许可证</w:t>
            </w:r>
          </w:p>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业绩要求：</w:t>
            </w:r>
            <w:r>
              <w:rPr>
                <w:rFonts w:hint="eastAsia" w:ascii="仿宋" w:hAnsi="仿宋" w:eastAsia="仿宋" w:cs="仿宋"/>
                <w:color w:val="auto"/>
                <w:szCs w:val="21"/>
                <w:lang w:eastAsia="zh-CN"/>
              </w:rPr>
              <w:t>无</w:t>
            </w:r>
          </w:p>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 xml:space="preserve">信誉要求：近五年内没有发生过重大质量和安全事故 ；没有拖欠农民工工资的事件或事实。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1.4.2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是否接受联合体投标</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1.9.1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踏勘现场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 xml:space="preserve">组织，踏勘时间： </w:t>
            </w:r>
          </w:p>
          <w:p>
            <w:pPr>
              <w:widowControl/>
              <w:rPr>
                <w:rFonts w:hint="eastAsia" w:ascii="仿宋" w:hAnsi="仿宋" w:eastAsia="仿宋" w:cs="仿宋"/>
                <w:color w:val="auto"/>
                <w:szCs w:val="21"/>
              </w:rPr>
            </w:pPr>
            <w:r>
              <w:rPr>
                <w:rFonts w:hint="eastAsia" w:ascii="仿宋" w:hAnsi="仿宋" w:eastAsia="仿宋" w:cs="仿宋"/>
                <w:color w:val="auto"/>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投标预备会</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投标人提出问题的截止时间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lang w:eastAsia="zh-CN"/>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2021</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5</w:t>
            </w:r>
            <w:r>
              <w:rPr>
                <w:rFonts w:hint="eastAsia" w:ascii="仿宋" w:hAnsi="仿宋" w:eastAsia="仿宋" w:cs="仿宋"/>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招标人书面澄清的时间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6</w:t>
            </w:r>
            <w:r>
              <w:rPr>
                <w:rFonts w:hint="eastAsia" w:ascii="仿宋" w:hAnsi="仿宋" w:eastAsia="仿宋" w:cs="仿宋"/>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分包</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偏离</w:t>
            </w:r>
          </w:p>
        </w:tc>
        <w:tc>
          <w:tcPr>
            <w:tcW w:w="6540" w:type="dxa"/>
            <w:tcBorders>
              <w:tl2br w:val="nil"/>
              <w:tr2bl w:val="nil"/>
            </w:tcBorders>
            <w:noWrap w:val="0"/>
            <w:vAlign w:val="center"/>
          </w:tcPr>
          <w:p>
            <w:pPr>
              <w:pStyle w:val="8"/>
              <w:widowControl/>
              <w:topLinePunct/>
              <w:spacing w:after="0"/>
              <w:rPr>
                <w:rFonts w:hint="eastAsia" w:ascii="仿宋" w:hAnsi="仿宋" w:eastAsia="仿宋" w:cs="仿宋"/>
                <w:color w:val="auto"/>
                <w:sz w:val="21"/>
                <w:szCs w:val="21"/>
              </w:rPr>
            </w:pPr>
            <w:r>
              <w:rPr>
                <w:rFonts w:hint="eastAsia" w:ascii="仿宋" w:hAnsi="仿宋" w:eastAsia="仿宋" w:cs="仿宋"/>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投标人要求澄清招标文件的截止时间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2021</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日</w:t>
            </w:r>
          </w:p>
          <w:p>
            <w:pPr>
              <w:widowControl/>
              <w:rPr>
                <w:rFonts w:hint="eastAsia" w:ascii="仿宋" w:hAnsi="仿宋" w:eastAsia="仿宋" w:cs="仿宋"/>
                <w:color w:val="auto"/>
                <w:szCs w:val="21"/>
              </w:rPr>
            </w:pPr>
            <w:r>
              <w:rPr>
                <w:rFonts w:hint="eastAsia" w:ascii="仿宋" w:hAnsi="仿宋" w:eastAsia="仿宋" w:cs="仿宋"/>
                <w:color w:val="auto"/>
                <w:szCs w:val="21"/>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投标截止时间（开标时间）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9</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12</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00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投标人确认收到招标文件澄清的时间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在收到相应澄清文件后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24</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2.3.2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投标人确认收到招标文件修改的时间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在收到相应澄清文件后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24</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构成投标文件的其他材料</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3.4.1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6540" w:type="dxa"/>
            <w:tcBorders>
              <w:tl2br w:val="nil"/>
              <w:tr2bl w:val="nil"/>
            </w:tcBorders>
            <w:noWrap w:val="0"/>
            <w:vAlign w:val="center"/>
          </w:tcPr>
          <w:p>
            <w:pPr>
              <w:widowControl/>
              <w:spacing w:line="240" w:lineRule="auto"/>
              <w:ind w:left="241" w:hanging="241" w:hangingChars="100"/>
              <w:rPr>
                <w:rFonts w:hint="eastAsia" w:ascii="仿宋" w:hAnsi="仿宋" w:eastAsia="仿宋" w:cs="仿宋"/>
                <w:b/>
                <w:bCs/>
                <w:color w:val="auto"/>
                <w:sz w:val="24"/>
              </w:rPr>
            </w:pPr>
            <w:r>
              <w:rPr>
                <w:rFonts w:hint="eastAsia" w:ascii="仿宋" w:hAnsi="仿宋" w:eastAsia="仿宋" w:cs="仿宋"/>
                <w:b/>
                <w:bCs/>
                <w:color w:val="auto"/>
                <w:sz w:val="24"/>
              </w:rPr>
              <w:t>投标保证金金额：</w:t>
            </w:r>
            <w:r>
              <w:rPr>
                <w:rFonts w:hint="eastAsia" w:ascii="仿宋" w:hAnsi="仿宋" w:eastAsia="仿宋" w:cs="仿宋"/>
                <w:b/>
                <w:bCs/>
                <w:color w:val="auto"/>
                <w:sz w:val="24"/>
                <w:lang w:val="en-US" w:eastAsia="zh-CN"/>
              </w:rPr>
              <w:t>14000.00</w:t>
            </w:r>
            <w:r>
              <w:rPr>
                <w:rFonts w:hint="eastAsia" w:ascii="仿宋" w:hAnsi="仿宋" w:eastAsia="仿宋" w:cs="仿宋"/>
                <w:b/>
                <w:bCs/>
                <w:color w:val="auto"/>
                <w:sz w:val="24"/>
              </w:rPr>
              <w:t>元整（大写：</w:t>
            </w:r>
            <w:r>
              <w:rPr>
                <w:rFonts w:hint="eastAsia" w:ascii="仿宋" w:hAnsi="仿宋" w:eastAsia="仿宋" w:cs="仿宋"/>
                <w:b/>
                <w:bCs/>
                <w:color w:val="auto"/>
                <w:sz w:val="24"/>
                <w:lang w:eastAsia="zh-CN"/>
              </w:rPr>
              <w:t>壹万肆仟元整</w:t>
            </w:r>
            <w:r>
              <w:rPr>
                <w:rFonts w:hint="eastAsia" w:ascii="仿宋" w:hAnsi="仿宋" w:eastAsia="仿宋" w:cs="仿宋"/>
                <w:b/>
                <w:bCs/>
                <w:color w:val="auto"/>
                <w:sz w:val="24"/>
              </w:rPr>
              <w:t>）</w:t>
            </w:r>
          </w:p>
          <w:p>
            <w:pPr>
              <w:widowControl/>
              <w:spacing w:line="240" w:lineRule="auto"/>
              <w:ind w:left="241" w:hanging="241" w:hangingChars="100"/>
              <w:rPr>
                <w:rFonts w:hint="eastAsia" w:ascii="仿宋" w:hAnsi="仿宋" w:eastAsia="仿宋" w:cs="仿宋"/>
                <w:b/>
                <w:bCs/>
                <w:color w:val="auto"/>
                <w:sz w:val="24"/>
              </w:rPr>
            </w:pPr>
            <w:r>
              <w:rPr>
                <w:rFonts w:hint="eastAsia" w:ascii="仿宋" w:hAnsi="仿宋" w:eastAsia="仿宋" w:cs="仿宋"/>
                <w:b/>
                <w:bCs/>
                <w:color w:val="auto"/>
                <w:sz w:val="24"/>
              </w:rPr>
              <w:t>开户银行：于田县农村信用合作联社丝路信用社</w:t>
            </w:r>
          </w:p>
          <w:p>
            <w:pPr>
              <w:widowControl/>
              <w:spacing w:line="240" w:lineRule="auto"/>
              <w:ind w:left="241" w:hanging="241" w:hangingChars="100"/>
              <w:rPr>
                <w:rFonts w:hint="eastAsia" w:ascii="仿宋" w:hAnsi="仿宋" w:eastAsia="仿宋" w:cs="仿宋"/>
                <w:b/>
                <w:bCs/>
                <w:color w:val="auto"/>
                <w:sz w:val="24"/>
              </w:rPr>
            </w:pPr>
            <w:r>
              <w:rPr>
                <w:rFonts w:hint="eastAsia" w:ascii="仿宋" w:hAnsi="仿宋" w:eastAsia="仿宋" w:cs="仿宋"/>
                <w:b/>
                <w:bCs/>
                <w:color w:val="auto"/>
                <w:sz w:val="24"/>
              </w:rPr>
              <w:t>户名：于田县公共资源交易中心</w:t>
            </w:r>
          </w:p>
          <w:p>
            <w:pPr>
              <w:widowControl/>
              <w:spacing w:line="240" w:lineRule="auto"/>
              <w:ind w:left="241" w:hanging="241" w:hangingChars="100"/>
              <w:rPr>
                <w:rFonts w:hint="eastAsia" w:ascii="仿宋" w:hAnsi="仿宋" w:eastAsia="仿宋" w:cs="仿宋"/>
                <w:b/>
                <w:bCs/>
                <w:color w:val="auto"/>
                <w:sz w:val="24"/>
              </w:rPr>
            </w:pPr>
            <w:r>
              <w:rPr>
                <w:rFonts w:hint="eastAsia" w:ascii="仿宋" w:hAnsi="仿宋" w:eastAsia="仿宋" w:cs="仿宋"/>
                <w:b/>
                <w:bCs/>
                <w:color w:val="auto"/>
                <w:sz w:val="24"/>
              </w:rPr>
              <w:t>银行帐号：882010212010106202100</w:t>
            </w:r>
          </w:p>
          <w:p>
            <w:pPr>
              <w:widowControl/>
              <w:rPr>
                <w:rFonts w:hint="eastAsia" w:ascii="仿宋" w:hAnsi="仿宋" w:eastAsia="仿宋" w:cs="仿宋"/>
                <w:b/>
                <w:color w:val="auto"/>
                <w:szCs w:val="21"/>
              </w:rPr>
            </w:pPr>
            <w:r>
              <w:rPr>
                <w:rFonts w:hint="eastAsia" w:ascii="仿宋" w:hAnsi="仿宋" w:eastAsia="仿宋" w:cs="仿宋"/>
                <w:b/>
                <w:bCs/>
                <w:color w:val="auto"/>
                <w:sz w:val="24"/>
              </w:rPr>
              <w:t>注：【投标保证金缴纳的截止时间为</w:t>
            </w:r>
            <w:r>
              <w:rPr>
                <w:rFonts w:hint="eastAsia" w:ascii="仿宋" w:hAnsi="仿宋" w:eastAsia="仿宋" w:cs="仿宋"/>
                <w:b/>
                <w:bCs/>
                <w:color w:val="auto"/>
                <w:sz w:val="24"/>
                <w:lang w:eastAsia="zh-CN"/>
              </w:rPr>
              <w:t>2021年</w:t>
            </w: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lang w:eastAsia="zh-CN"/>
              </w:rPr>
              <w:t>月</w:t>
            </w: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lang w:eastAsia="zh-CN"/>
              </w:rPr>
              <w:t>日</w:t>
            </w: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lang w:eastAsia="zh-CN"/>
              </w:rPr>
              <w:t>：00</w:t>
            </w:r>
            <w:r>
              <w:rPr>
                <w:rFonts w:hint="eastAsia" w:ascii="仿宋" w:hAnsi="仿宋" w:eastAsia="仿宋" w:cs="仿宋"/>
                <w:b/>
                <w:bCs/>
                <w:color w:val="auto"/>
                <w:sz w:val="24"/>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w:t>
            </w:r>
            <w:r>
              <w:rPr>
                <w:rFonts w:hint="eastAsia" w:ascii="仿宋" w:hAnsi="仿宋" w:eastAsia="仿宋" w:cs="仿宋"/>
                <w:b/>
                <w:bCs/>
                <w:color w:val="auto"/>
                <w:sz w:val="24"/>
                <w:lang w:eastAsia="zh-CN"/>
              </w:rPr>
              <w:t>投标</w:t>
            </w:r>
            <w:r>
              <w:rPr>
                <w:rFonts w:hint="eastAsia" w:ascii="仿宋" w:hAnsi="仿宋" w:eastAsia="仿宋" w:cs="仿宋"/>
                <w:b/>
                <w:bCs/>
                <w:color w:val="auto"/>
                <w:sz w:val="24"/>
              </w:rPr>
              <w:t>企业将开户许可证、收据（必须加盖公司公章/财务章）、银行回单递交至于田县公共资源交易中心财务室。】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3.6</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是否允许递交备选投标方案</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签字和（或）盖章要求</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法人公章</w:t>
            </w:r>
          </w:p>
          <w:p>
            <w:pPr>
              <w:widowControl/>
              <w:rPr>
                <w:rFonts w:hint="eastAsia" w:ascii="仿宋" w:hAnsi="仿宋" w:eastAsia="仿宋" w:cs="仿宋"/>
                <w:color w:val="auto"/>
                <w:szCs w:val="21"/>
              </w:rPr>
            </w:pPr>
            <w:r>
              <w:rPr>
                <w:rFonts w:hint="eastAsia" w:ascii="仿宋" w:hAnsi="仿宋" w:eastAsia="仿宋" w:cs="仿宋"/>
                <w:color w:val="auto"/>
                <w:szCs w:val="21"/>
              </w:rPr>
              <w:t>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3.7.4</w:t>
            </w:r>
          </w:p>
        </w:tc>
        <w:tc>
          <w:tcPr>
            <w:tcW w:w="2268" w:type="dxa"/>
            <w:tcBorders>
              <w:tl2br w:val="nil"/>
              <w:tr2bl w:val="nil"/>
            </w:tcBorders>
            <w:noWrap w:val="0"/>
            <w:vAlign w:val="center"/>
          </w:tcPr>
          <w:p>
            <w:pPr>
              <w:widowControl/>
              <w:autoSpaceDE w:val="0"/>
              <w:autoSpaceDN w:val="0"/>
              <w:jc w:val="center"/>
              <w:rPr>
                <w:rFonts w:hint="eastAsia" w:ascii="仿宋" w:hAnsi="仿宋" w:eastAsia="仿宋" w:cs="仿宋"/>
                <w:color w:val="auto"/>
              </w:rPr>
            </w:pPr>
            <w:r>
              <w:rPr>
                <w:rFonts w:hint="eastAsia" w:ascii="仿宋" w:hAnsi="仿宋" w:eastAsia="仿宋" w:cs="仿宋"/>
                <w:color w:val="auto"/>
              </w:rPr>
              <w:t>投标文件份数</w:t>
            </w:r>
          </w:p>
        </w:tc>
        <w:tc>
          <w:tcPr>
            <w:tcW w:w="6540" w:type="dxa"/>
            <w:tcBorders>
              <w:tl2br w:val="nil"/>
              <w:tr2bl w:val="nil"/>
            </w:tcBorders>
            <w:noWrap w:val="0"/>
            <w:vAlign w:val="center"/>
          </w:tcPr>
          <w:p>
            <w:pPr>
              <w:widowControl/>
              <w:autoSpaceDE w:val="0"/>
              <w:autoSpaceDN w:val="0"/>
              <w:jc w:val="left"/>
              <w:rPr>
                <w:rFonts w:hint="eastAsia" w:ascii="仿宋" w:hAnsi="仿宋" w:eastAsia="仿宋" w:cs="仿宋"/>
                <w:color w:val="auto"/>
              </w:rPr>
            </w:pPr>
            <w:r>
              <w:rPr>
                <w:rFonts w:hint="eastAsia" w:ascii="仿宋" w:hAnsi="仿宋" w:eastAsia="仿宋" w:cs="仿宋"/>
                <w:color w:val="auto"/>
              </w:rPr>
              <w:t>投标函</w:t>
            </w:r>
            <w:r>
              <w:rPr>
                <w:rFonts w:hint="eastAsia" w:ascii="仿宋" w:hAnsi="仿宋" w:eastAsia="仿宋" w:cs="仿宋"/>
                <w:color w:val="auto"/>
                <w:lang w:eastAsia="zh-CN"/>
              </w:rPr>
              <w:t>、</w:t>
            </w:r>
            <w:r>
              <w:rPr>
                <w:rFonts w:hint="eastAsia" w:ascii="仿宋" w:hAnsi="仿宋" w:eastAsia="仿宋" w:cs="仿宋"/>
                <w:color w:val="auto"/>
              </w:rPr>
              <w:t>经济标</w:t>
            </w:r>
            <w:r>
              <w:rPr>
                <w:rFonts w:hint="eastAsia" w:ascii="仿宋" w:hAnsi="仿宋" w:eastAsia="仿宋" w:cs="仿宋"/>
                <w:color w:val="auto"/>
                <w:lang w:eastAsia="zh-CN"/>
              </w:rPr>
              <w:t>、</w:t>
            </w:r>
            <w:r>
              <w:rPr>
                <w:rFonts w:hint="eastAsia" w:ascii="仿宋" w:hAnsi="仿宋" w:eastAsia="仿宋" w:cs="仿宋"/>
                <w:color w:val="auto"/>
              </w:rPr>
              <w:t>技术标：正本壹份、副本叁份</w:t>
            </w:r>
          </w:p>
          <w:p>
            <w:pPr>
              <w:widowControl/>
              <w:autoSpaceDE w:val="0"/>
              <w:autoSpaceDN w:val="0"/>
              <w:jc w:val="left"/>
              <w:rPr>
                <w:rFonts w:hint="eastAsia" w:ascii="仿宋" w:hAnsi="仿宋" w:eastAsia="仿宋" w:cs="仿宋"/>
                <w:b/>
                <w:bCs/>
                <w:color w:val="auto"/>
                <w:lang w:val="en-US" w:eastAsia="zh-CN"/>
              </w:rPr>
            </w:pPr>
            <w:r>
              <w:rPr>
                <w:rFonts w:hint="eastAsia" w:ascii="仿宋" w:hAnsi="仿宋" w:eastAsia="仿宋" w:cs="仿宋"/>
                <w:b/>
                <w:bCs/>
                <w:color w:val="auto"/>
                <w:lang w:eastAsia="zh-CN"/>
              </w:rPr>
              <w:t>合并</w:t>
            </w:r>
            <w:r>
              <w:rPr>
                <w:rFonts w:hint="eastAsia" w:ascii="仿宋" w:hAnsi="仿宋" w:eastAsia="仿宋" w:cs="仿宋"/>
                <w:b/>
                <w:bCs/>
                <w:color w:val="auto"/>
              </w:rPr>
              <w:t>装订，共分</w:t>
            </w:r>
            <w:r>
              <w:rPr>
                <w:rFonts w:hint="eastAsia" w:ascii="仿宋" w:hAnsi="仿宋" w:eastAsia="仿宋" w:cs="仿宋"/>
                <w:b/>
                <w:bCs/>
                <w:color w:val="auto"/>
                <w:lang w:eastAsia="zh-CN"/>
              </w:rPr>
              <w:t>一</w:t>
            </w:r>
            <w:r>
              <w:rPr>
                <w:rFonts w:hint="eastAsia" w:ascii="仿宋" w:hAnsi="仿宋" w:eastAsia="仿宋" w:cs="仿宋"/>
                <w:b/>
                <w:bCs/>
                <w:color w:val="auto"/>
              </w:rPr>
              <w:t>册</w:t>
            </w:r>
          </w:p>
          <w:p>
            <w:pPr>
              <w:widowControl/>
              <w:autoSpaceDE w:val="0"/>
              <w:autoSpaceDN w:val="0"/>
              <w:jc w:val="left"/>
              <w:rPr>
                <w:rFonts w:hint="eastAsia" w:ascii="仿宋" w:hAnsi="仿宋" w:eastAsia="仿宋" w:cs="仿宋"/>
                <w:color w:val="auto"/>
                <w:lang w:eastAsia="zh-CN"/>
              </w:rPr>
            </w:pPr>
            <w:r>
              <w:rPr>
                <w:rFonts w:hint="eastAsia" w:ascii="仿宋" w:hAnsi="仿宋" w:eastAsia="仿宋" w:cs="仿宋"/>
                <w:color w:val="auto"/>
                <w:lang w:val="en-US" w:eastAsia="zh-CN"/>
              </w:rPr>
              <w:t>各类证书原件一份并密封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装订要求</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按照第二章投标人须知第3.1.1项规定的投标文件组成内容，投标文件应按以下要求装订：</w:t>
            </w:r>
          </w:p>
          <w:p>
            <w:pPr>
              <w:widowControl/>
              <w:rPr>
                <w:rFonts w:hint="eastAsia" w:ascii="仿宋" w:hAnsi="仿宋" w:eastAsia="仿宋" w:cs="仿宋"/>
                <w:color w:val="auto"/>
                <w:szCs w:val="21"/>
              </w:rPr>
            </w:pPr>
            <w:r>
              <w:rPr>
                <w:rFonts w:hint="eastAsia" w:ascii="仿宋" w:hAnsi="仿宋" w:eastAsia="仿宋" w:cs="仿宋"/>
                <w:color w:val="auto"/>
                <w:szCs w:val="21"/>
                <w:lang w:eastAsia="zh-CN"/>
              </w:rPr>
              <w:t>合并</w:t>
            </w:r>
            <w:r>
              <w:rPr>
                <w:rFonts w:hint="eastAsia" w:ascii="仿宋" w:hAnsi="仿宋" w:eastAsia="仿宋" w:cs="仿宋"/>
                <w:color w:val="auto"/>
                <w:szCs w:val="21"/>
              </w:rPr>
              <w:t>装订，</w:t>
            </w:r>
            <w:r>
              <w:rPr>
                <w:rFonts w:hint="eastAsia" w:ascii="仿宋" w:hAnsi="仿宋" w:eastAsia="仿宋" w:cs="仿宋"/>
                <w:b/>
                <w:bCs/>
                <w:color w:val="auto"/>
                <w:szCs w:val="21"/>
              </w:rPr>
              <w:t>共分</w:t>
            </w:r>
            <w:r>
              <w:rPr>
                <w:rFonts w:hint="eastAsia" w:ascii="仿宋" w:hAnsi="仿宋" w:eastAsia="仿宋" w:cs="仿宋"/>
                <w:b/>
                <w:bCs/>
                <w:color w:val="auto"/>
                <w:szCs w:val="21"/>
                <w:u w:val="single"/>
                <w:lang w:eastAsia="zh-CN"/>
              </w:rPr>
              <w:t>一</w:t>
            </w:r>
            <w:r>
              <w:rPr>
                <w:rFonts w:hint="eastAsia" w:ascii="仿宋" w:hAnsi="仿宋" w:eastAsia="仿宋" w:cs="仿宋"/>
                <w:b/>
                <w:bCs/>
                <w:color w:val="auto"/>
                <w:szCs w:val="21"/>
              </w:rPr>
              <w:t>册</w:t>
            </w:r>
            <w:r>
              <w:rPr>
                <w:rFonts w:hint="eastAsia" w:ascii="仿宋" w:hAnsi="仿宋" w:eastAsia="仿宋" w:cs="仿宋"/>
                <w:color w:val="auto"/>
                <w:szCs w:val="21"/>
              </w:rPr>
              <w:t>：</w:t>
            </w:r>
          </w:p>
          <w:p>
            <w:pPr>
              <w:widowControl/>
              <w:rPr>
                <w:rFonts w:hint="eastAsia" w:ascii="仿宋" w:hAnsi="仿宋" w:eastAsia="仿宋" w:cs="仿宋"/>
                <w:color w:val="auto"/>
                <w:szCs w:val="21"/>
              </w:rPr>
            </w:pPr>
            <w:r>
              <w:rPr>
                <w:rFonts w:hint="eastAsia" w:ascii="仿宋" w:hAnsi="仿宋" w:eastAsia="仿宋" w:cs="仿宋"/>
                <w:color w:val="auto"/>
                <w:szCs w:val="21"/>
              </w:rPr>
              <w:t>投标函，包括</w:t>
            </w:r>
            <w:r>
              <w:rPr>
                <w:rFonts w:hint="eastAsia" w:ascii="仿宋" w:hAnsi="仿宋" w:eastAsia="仿宋" w:cs="仿宋"/>
                <w:color w:val="auto"/>
                <w:szCs w:val="21"/>
                <w:u w:val="single"/>
              </w:rPr>
              <w:t xml:space="preserve"> 第3.1.1.1项</w:t>
            </w:r>
            <w:r>
              <w:rPr>
                <w:rFonts w:hint="eastAsia" w:ascii="仿宋" w:hAnsi="仿宋" w:eastAsia="仿宋" w:cs="仿宋"/>
                <w:color w:val="auto"/>
                <w:szCs w:val="21"/>
              </w:rPr>
              <w:t>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技术标，包括</w:t>
            </w:r>
            <w:r>
              <w:rPr>
                <w:rFonts w:hint="eastAsia" w:ascii="仿宋" w:hAnsi="仿宋" w:eastAsia="仿宋" w:cs="仿宋"/>
                <w:color w:val="auto"/>
                <w:szCs w:val="21"/>
                <w:u w:val="single"/>
              </w:rPr>
              <w:t xml:space="preserve"> 第3.1.1.2</w:t>
            </w:r>
            <w:r>
              <w:rPr>
                <w:rFonts w:hint="eastAsia" w:ascii="仿宋" w:hAnsi="仿宋" w:eastAsia="仿宋" w:cs="仿宋"/>
                <w:color w:val="auto"/>
                <w:szCs w:val="21"/>
              </w:rPr>
              <w:t>项规定的内容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经济标，包括</w:t>
            </w:r>
            <w:r>
              <w:rPr>
                <w:rFonts w:hint="eastAsia" w:ascii="仿宋" w:hAnsi="仿宋" w:eastAsia="仿宋" w:cs="仿宋"/>
                <w:color w:val="auto"/>
                <w:szCs w:val="21"/>
                <w:u w:val="single"/>
              </w:rPr>
              <w:t xml:space="preserve"> 第3.1.1.3</w:t>
            </w:r>
            <w:r>
              <w:rPr>
                <w:rFonts w:hint="eastAsia" w:ascii="仿宋" w:hAnsi="仿宋" w:eastAsia="仿宋" w:cs="仿宋"/>
                <w:color w:val="auto"/>
                <w:szCs w:val="21"/>
              </w:rPr>
              <w:t>项规定的内容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投标函采用</w:t>
            </w:r>
            <w:r>
              <w:rPr>
                <w:rFonts w:hint="eastAsia" w:ascii="仿宋" w:hAnsi="仿宋" w:eastAsia="仿宋" w:cs="仿宋"/>
                <w:color w:val="auto"/>
                <w:szCs w:val="21"/>
                <w:u w:val="single"/>
              </w:rPr>
              <w:t>死页</w:t>
            </w:r>
            <w:r>
              <w:rPr>
                <w:rFonts w:hint="eastAsia" w:ascii="仿宋" w:hAnsi="仿宋" w:eastAsia="仿宋" w:cs="仿宋"/>
                <w:color w:val="auto"/>
                <w:szCs w:val="21"/>
              </w:rPr>
              <w:t>方式装订； 技术标和经济标采用</w:t>
            </w:r>
            <w:r>
              <w:rPr>
                <w:rFonts w:hint="eastAsia" w:ascii="仿宋" w:hAnsi="仿宋" w:eastAsia="仿宋" w:cs="仿宋"/>
                <w:color w:val="auto"/>
                <w:szCs w:val="21"/>
                <w:u w:val="single"/>
              </w:rPr>
              <w:t>死页胶装方式</w:t>
            </w:r>
            <w:r>
              <w:rPr>
                <w:rFonts w:hint="eastAsia" w:ascii="仿宋" w:hAnsi="仿宋" w:eastAsia="仿宋" w:cs="仿宋"/>
                <w:color w:val="auto"/>
                <w:szCs w:val="21"/>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3.7.5.6</w:t>
            </w:r>
          </w:p>
        </w:tc>
        <w:tc>
          <w:tcPr>
            <w:tcW w:w="2268" w:type="dxa"/>
            <w:tcBorders>
              <w:tl2br w:val="nil"/>
              <w:tr2bl w:val="nil"/>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电子版投标文件要求</w:t>
            </w:r>
          </w:p>
        </w:tc>
        <w:tc>
          <w:tcPr>
            <w:tcW w:w="6540" w:type="dxa"/>
            <w:tcBorders>
              <w:tl2br w:val="nil"/>
              <w:tr2bl w:val="nil"/>
            </w:tcBorders>
            <w:noWrap w:val="0"/>
            <w:vAlign w:val="center"/>
          </w:tcPr>
          <w:p>
            <w:pPr>
              <w:rPr>
                <w:rFonts w:hint="eastAsia" w:ascii="仿宋" w:hAnsi="仿宋" w:eastAsia="仿宋" w:cs="仿宋"/>
                <w:color w:val="auto"/>
              </w:rPr>
            </w:pPr>
            <w:r>
              <w:rPr>
                <w:rFonts w:hint="eastAsia" w:ascii="仿宋" w:hAnsi="仿宋" w:eastAsia="仿宋" w:cs="仿宋"/>
                <w:color w:val="auto"/>
              </w:rPr>
              <w:t>投标函与技术标为word格式，经济标EXCEL及GBQ格式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封套上写明</w:t>
            </w:r>
          </w:p>
        </w:tc>
        <w:tc>
          <w:tcPr>
            <w:tcW w:w="6540" w:type="dxa"/>
            <w:tcBorders>
              <w:tl2br w:val="nil"/>
              <w:tr2bl w:val="nil"/>
            </w:tcBorders>
            <w:noWrap w:val="0"/>
            <w:vAlign w:val="center"/>
          </w:tcPr>
          <w:p>
            <w:pPr>
              <w:widowControl/>
              <w:spacing w:line="320" w:lineRule="exact"/>
              <w:rPr>
                <w:rFonts w:hint="eastAsia" w:ascii="仿宋" w:hAnsi="仿宋" w:eastAsia="仿宋" w:cs="仿宋"/>
                <w:color w:val="auto"/>
                <w:szCs w:val="21"/>
              </w:rPr>
            </w:pPr>
            <w:r>
              <w:rPr>
                <w:rFonts w:hint="eastAsia" w:ascii="仿宋" w:hAnsi="仿宋" w:eastAsia="仿宋" w:cs="仿宋"/>
                <w:color w:val="auto"/>
                <w:szCs w:val="21"/>
              </w:rPr>
              <w:t xml:space="preserve">招标人地址：   </w:t>
            </w:r>
            <w:r>
              <w:rPr>
                <w:rFonts w:hint="eastAsia" w:ascii="仿宋" w:hAnsi="仿宋" w:eastAsia="仿宋" w:cs="仿宋"/>
                <w:b/>
                <w:color w:val="auto"/>
                <w:kern w:val="0"/>
                <w:szCs w:val="21"/>
              </w:rPr>
              <w:t xml:space="preserve">    </w:t>
            </w:r>
          </w:p>
          <w:p>
            <w:pPr>
              <w:widowControl/>
              <w:ind w:left="420" w:hanging="480" w:hangingChars="200"/>
              <w:rPr>
                <w:rFonts w:hint="eastAsia" w:ascii="仿宋" w:hAnsi="仿宋" w:eastAsia="仿宋" w:cs="仿宋"/>
                <w:color w:val="auto"/>
                <w:szCs w:val="21"/>
              </w:rPr>
            </w:pPr>
            <w:r>
              <w:rPr>
                <w:rFonts w:hint="eastAsia" w:ascii="仿宋" w:hAnsi="仿宋" w:eastAsia="仿宋" w:cs="仿宋"/>
                <w:color w:val="auto"/>
                <w:szCs w:val="21"/>
              </w:rPr>
              <w:t>招标人名称</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w:t>
            </w:r>
          </w:p>
          <w:p>
            <w:pPr>
              <w:widowControl/>
              <w:ind w:left="420" w:hanging="480" w:hangingChars="200"/>
              <w:rPr>
                <w:rFonts w:hint="eastAsia" w:ascii="仿宋" w:hAnsi="仿宋" w:eastAsia="仿宋" w:cs="仿宋"/>
                <w:color w:val="auto"/>
                <w:szCs w:val="21"/>
              </w:rPr>
            </w:pPr>
            <w:r>
              <w:rPr>
                <w:rFonts w:hint="eastAsia" w:ascii="仿宋" w:hAnsi="仿宋" w:eastAsia="仿宋" w:cs="仿宋"/>
                <w:color w:val="auto"/>
                <w:kern w:val="0"/>
                <w:szCs w:val="21"/>
              </w:rPr>
              <w:t>在</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9</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12</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00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r>
              <w:rPr>
                <w:rFonts w:hint="eastAsia" w:ascii="仿宋" w:hAnsi="仿宋" w:eastAsia="仿宋" w:cs="仿宋"/>
                <w:color w:val="auto"/>
                <w:kern w:val="0"/>
                <w:szCs w:val="21"/>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递交投标文件地点</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sz w:val="24"/>
                <w:szCs w:val="24"/>
              </w:rPr>
              <w:t>云视讯平台进行不见面开标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是否退还投标文件</w:t>
            </w:r>
          </w:p>
        </w:tc>
        <w:tc>
          <w:tcPr>
            <w:tcW w:w="6540" w:type="dxa"/>
            <w:tcBorders>
              <w:tl2br w:val="nil"/>
              <w:tr2bl w:val="nil"/>
            </w:tcBorders>
            <w:noWrap w:val="0"/>
            <w:vAlign w:val="center"/>
          </w:tcPr>
          <w:p>
            <w:pPr>
              <w:pStyle w:val="8"/>
              <w:widowControl/>
              <w:topLinePunct/>
              <w:spacing w:after="0"/>
              <w:rPr>
                <w:rFonts w:hint="eastAsia" w:ascii="仿宋" w:hAnsi="仿宋" w:eastAsia="仿宋" w:cs="仿宋"/>
                <w:color w:val="auto"/>
                <w:sz w:val="21"/>
                <w:szCs w:val="21"/>
              </w:rPr>
            </w:pPr>
            <w:r>
              <w:rPr>
                <w:rFonts w:hint="eastAsia" w:ascii="仿宋" w:hAnsi="仿宋" w:eastAsia="仿宋" w:cs="仿宋"/>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5.1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开标时间和地点</w:t>
            </w:r>
          </w:p>
        </w:tc>
        <w:tc>
          <w:tcPr>
            <w:tcW w:w="6540" w:type="dxa"/>
            <w:tcBorders>
              <w:tl2br w:val="nil"/>
              <w:tr2bl w:val="nil"/>
            </w:tcBorders>
            <w:noWrap w:val="0"/>
            <w:vAlign w:val="center"/>
          </w:tcPr>
          <w:p>
            <w:pPr>
              <w:widowControl/>
              <w:spacing w:line="320" w:lineRule="exact"/>
              <w:rPr>
                <w:rFonts w:hint="eastAsia" w:ascii="仿宋" w:hAnsi="仿宋" w:eastAsia="仿宋" w:cs="仿宋"/>
                <w:color w:val="auto"/>
                <w:szCs w:val="21"/>
              </w:rPr>
            </w:pPr>
            <w:r>
              <w:rPr>
                <w:rFonts w:hint="eastAsia" w:ascii="仿宋" w:hAnsi="仿宋" w:eastAsia="仿宋" w:cs="仿宋"/>
                <w:color w:val="auto"/>
                <w:szCs w:val="21"/>
              </w:rPr>
              <w:t>开标时间：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9</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12</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00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p>
            <w:pPr>
              <w:widowControl/>
              <w:rPr>
                <w:rFonts w:hint="eastAsia" w:ascii="仿宋" w:hAnsi="仿宋" w:eastAsia="仿宋" w:cs="仿宋"/>
                <w:color w:val="auto"/>
                <w:szCs w:val="21"/>
              </w:rPr>
            </w:pPr>
            <w:r>
              <w:rPr>
                <w:rFonts w:hint="eastAsia" w:ascii="仿宋" w:hAnsi="仿宋" w:eastAsia="仿宋" w:cs="仿宋"/>
                <w:color w:val="auto"/>
                <w:szCs w:val="21"/>
              </w:rPr>
              <w:t>开标地点：</w:t>
            </w:r>
            <w:r>
              <w:rPr>
                <w:rFonts w:hint="eastAsia" w:ascii="仿宋" w:hAnsi="仿宋" w:eastAsia="仿宋" w:cs="仿宋"/>
                <w:sz w:val="24"/>
                <w:szCs w:val="24"/>
              </w:rPr>
              <w:t>云视讯平台进行不见面开标</w:t>
            </w:r>
            <w:r>
              <w:rPr>
                <w:rFonts w:hint="eastAsia" w:ascii="仿宋" w:hAnsi="仿宋" w:eastAsia="仿宋" w:cs="仿宋"/>
                <w:b/>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5.2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开标程序</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密封情况检查：密封是否完整，是否加盖法人公章及法定代表人或其委托代理人签章</w:t>
            </w:r>
          </w:p>
          <w:p>
            <w:pPr>
              <w:widowControl/>
              <w:rPr>
                <w:rFonts w:hint="eastAsia" w:ascii="仿宋" w:hAnsi="仿宋" w:eastAsia="仿宋" w:cs="仿宋"/>
                <w:color w:val="auto"/>
                <w:szCs w:val="21"/>
              </w:rPr>
            </w:pPr>
            <w:r>
              <w:rPr>
                <w:rFonts w:hint="eastAsia" w:ascii="仿宋" w:hAnsi="仿宋" w:eastAsia="仿宋" w:cs="仿宋"/>
                <w:color w:val="auto"/>
                <w:szCs w:val="21"/>
              </w:rPr>
              <w:t>开标顺序：以递交投标文件的确认收到时间由后往前依次唱标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6.1.1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评标委员会的组建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评标委员会构成：</w:t>
            </w:r>
            <w:r>
              <w:rPr>
                <w:rFonts w:hint="eastAsia" w:ascii="仿宋" w:hAnsi="仿宋" w:eastAsia="仿宋" w:cs="仿宋"/>
                <w:color w:val="auto"/>
                <w:szCs w:val="21"/>
                <w:u w:val="single"/>
              </w:rPr>
              <w:t>5</w:t>
            </w:r>
            <w:r>
              <w:rPr>
                <w:rFonts w:hint="eastAsia" w:ascii="仿宋" w:hAnsi="仿宋" w:eastAsia="仿宋" w:cs="仿宋"/>
                <w:color w:val="auto"/>
                <w:szCs w:val="21"/>
              </w:rPr>
              <w:t>人，其中招标人代表</w:t>
            </w:r>
            <w:r>
              <w:rPr>
                <w:rFonts w:hint="eastAsia" w:ascii="仿宋" w:hAnsi="仿宋" w:eastAsia="仿宋" w:cs="仿宋"/>
                <w:color w:val="auto"/>
                <w:szCs w:val="21"/>
                <w:u w:val="single"/>
              </w:rPr>
              <w:t xml:space="preserve"> 1 </w:t>
            </w:r>
            <w:r>
              <w:rPr>
                <w:rFonts w:hint="eastAsia" w:ascii="仿宋" w:hAnsi="仿宋" w:eastAsia="仿宋" w:cs="仿宋"/>
                <w:color w:val="auto"/>
                <w:szCs w:val="21"/>
              </w:rPr>
              <w:t>人（限招标人在职人员，且应当具备评标专家相应的或者类似的条件），专家</w:t>
            </w:r>
            <w:r>
              <w:rPr>
                <w:rFonts w:hint="eastAsia" w:ascii="仿宋" w:hAnsi="仿宋" w:eastAsia="仿宋" w:cs="仿宋"/>
                <w:color w:val="auto"/>
                <w:szCs w:val="21"/>
                <w:u w:val="single"/>
              </w:rPr>
              <w:t>4</w:t>
            </w:r>
            <w:r>
              <w:rPr>
                <w:rFonts w:hint="eastAsia" w:ascii="仿宋" w:hAnsi="仿宋" w:eastAsia="仿宋" w:cs="仿宋"/>
                <w:color w:val="auto"/>
                <w:szCs w:val="21"/>
              </w:rPr>
              <w:t>人；</w:t>
            </w:r>
          </w:p>
          <w:p>
            <w:pPr>
              <w:widowControl/>
              <w:rPr>
                <w:rFonts w:hint="eastAsia" w:ascii="仿宋" w:hAnsi="仿宋" w:eastAsia="仿宋" w:cs="仿宋"/>
                <w:color w:val="auto"/>
                <w:szCs w:val="21"/>
              </w:rPr>
            </w:pPr>
            <w:r>
              <w:rPr>
                <w:rFonts w:hint="eastAsia" w:ascii="仿宋" w:hAnsi="仿宋" w:eastAsia="仿宋" w:cs="仿宋"/>
                <w:color w:val="auto"/>
                <w:szCs w:val="21"/>
              </w:rPr>
              <w:t>不分组</w:t>
            </w:r>
          </w:p>
          <w:p>
            <w:pPr>
              <w:widowControl/>
              <w:rPr>
                <w:rFonts w:hint="eastAsia" w:ascii="仿宋" w:hAnsi="仿宋" w:eastAsia="仿宋" w:cs="仿宋"/>
                <w:color w:val="auto"/>
                <w:szCs w:val="21"/>
              </w:rPr>
            </w:pPr>
            <w:r>
              <w:rPr>
                <w:rFonts w:hint="eastAsia" w:ascii="仿宋" w:hAnsi="仿宋" w:eastAsia="仿宋" w:cs="仿宋"/>
                <w:color w:val="auto"/>
                <w:szCs w:val="21"/>
              </w:rPr>
              <w:t>评标专家确定方式：</w:t>
            </w:r>
            <w:r>
              <w:rPr>
                <w:rFonts w:hint="eastAsia" w:ascii="仿宋" w:hAnsi="仿宋" w:eastAsia="仿宋" w:cs="仿宋"/>
                <w:color w:val="auto"/>
                <w:szCs w:val="21"/>
                <w:u w:val="single"/>
              </w:rPr>
              <w:t xml:space="preserve"> 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7.1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是否授权评标委员会确定中标人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否，推荐的中标候选人数：</w:t>
            </w:r>
            <w:r>
              <w:rPr>
                <w:rFonts w:hint="eastAsia" w:ascii="仿宋" w:hAnsi="仿宋" w:eastAsia="仿宋" w:cs="仿宋"/>
                <w:b/>
                <w:color w:val="auto"/>
                <w:szCs w:val="21"/>
              </w:rPr>
              <w:t xml:space="preserve"> 三 </w:t>
            </w:r>
            <w:r>
              <w:rPr>
                <w:rFonts w:hint="eastAsia" w:ascii="仿宋" w:hAnsi="仿宋" w:eastAsia="仿宋" w:cs="仿宋"/>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7.3.1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履约担保</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rPr>
              <w:t xml:space="preserve">  履约担保的金额：中标价的10%</w:t>
            </w:r>
            <w:r>
              <w:rPr>
                <w:rFonts w:hint="eastAsia" w:ascii="仿宋" w:hAnsi="仿宋" w:eastAsia="仿宋" w:cs="仿宋"/>
                <w:b/>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10.1.1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类似项目</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类似项目是指：建设规模、结构类型、使用功能相似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10.1.2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不良行为记录</w:t>
            </w:r>
          </w:p>
        </w:tc>
        <w:tc>
          <w:tcPr>
            <w:tcW w:w="6540" w:type="dxa"/>
            <w:tcBorders>
              <w:tl2br w:val="nil"/>
              <w:tr2bl w:val="nil"/>
            </w:tcBorders>
            <w:noWrap w:val="0"/>
            <w:vAlign w:val="center"/>
          </w:tcPr>
          <w:p>
            <w:pPr>
              <w:widowControl/>
              <w:rPr>
                <w:rFonts w:hint="eastAsia" w:ascii="仿宋" w:hAnsi="仿宋" w:eastAsia="仿宋" w:cs="仿宋"/>
                <w:color w:val="auto"/>
                <w:szCs w:val="21"/>
                <w:u w:val="single"/>
              </w:rPr>
            </w:pPr>
            <w:r>
              <w:rPr>
                <w:rFonts w:hint="eastAsia" w:ascii="仿宋" w:hAnsi="仿宋" w:eastAsia="仿宋" w:cs="仿宋"/>
                <w:color w:val="auto"/>
                <w:szCs w:val="21"/>
              </w:rPr>
              <w:t>不良行为记录</w:t>
            </w:r>
            <w:bookmarkStart w:id="390" w:name="_GoBack"/>
            <w:bookmarkEnd w:id="390"/>
            <w:r>
              <w:rPr>
                <w:rFonts w:hint="eastAsia" w:ascii="仿宋" w:hAnsi="仿宋" w:eastAsia="仿宋" w:cs="仿宋"/>
                <w:color w:val="auto"/>
                <w:szCs w:val="21"/>
              </w:rPr>
              <w:t>是指：是指工程建设与建筑业各方主体在本地区从事工程建设活动中，违反国家和省、市有关法律、法规、规章、规范性文件、工程建设强制性标准条文、规范、规程等行为。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10.2</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招标控制价</w:t>
            </w:r>
          </w:p>
        </w:tc>
        <w:tc>
          <w:tcPr>
            <w:tcW w:w="6540" w:type="dxa"/>
            <w:tcBorders>
              <w:tl2br w:val="nil"/>
              <w:tr2bl w:val="nil"/>
            </w:tcBorders>
            <w:noWrap w:val="0"/>
            <w:vAlign w:val="center"/>
          </w:tcPr>
          <w:p>
            <w:pPr>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738454.66元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10.3.1</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施工组织设计采用的评审方式</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10.3.2</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工程量清单采用的评审方式</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10.5</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中标公示</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公示期不少于</w:t>
            </w:r>
            <w:r>
              <w:rPr>
                <w:rFonts w:hint="eastAsia" w:ascii="仿宋" w:hAnsi="仿宋" w:eastAsia="仿宋" w:cs="仿宋"/>
                <w:color w:val="auto"/>
                <w:szCs w:val="21"/>
                <w:lang w:val="en-US" w:eastAsia="zh-CN"/>
              </w:rPr>
              <w:t>1</w:t>
            </w:r>
            <w:r>
              <w:rPr>
                <w:rFonts w:hint="eastAsia" w:ascii="仿宋" w:hAnsi="仿宋" w:eastAsia="仿宋" w:cs="仿宋"/>
                <w:color w:val="auto"/>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10.6</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重新招标的其他情形</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除投标人须知正文第8条规定的情形外，除非已经产生中标侯选人，在投标有效期内同意延长投标有效期的投标人少于三个的，招标人应当依法重新招标</w:t>
            </w:r>
          </w:p>
        </w:tc>
      </w:tr>
    </w:tbl>
    <w:p>
      <w:pPr>
        <w:pStyle w:val="4"/>
        <w:spacing w:line="360" w:lineRule="auto"/>
        <w:rPr>
          <w:rFonts w:hint="eastAsia" w:ascii="仿宋" w:hAnsi="仿宋" w:eastAsia="仿宋" w:cs="仿宋"/>
          <w:color w:val="auto"/>
        </w:rPr>
        <w:sectPr>
          <w:headerReference r:id="rId4" w:type="default"/>
          <w:footerReference r:id="rId5" w:type="default"/>
          <w:type w:val="continuous"/>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4"/>
        <w:spacing w:line="360" w:lineRule="auto"/>
        <w:rPr>
          <w:rFonts w:hint="eastAsia" w:ascii="仿宋" w:hAnsi="仿宋" w:eastAsia="仿宋" w:cs="仿宋"/>
          <w:color w:val="auto"/>
        </w:rPr>
      </w:pPr>
      <w:r>
        <w:rPr>
          <w:rFonts w:hint="eastAsia" w:ascii="仿宋" w:hAnsi="仿宋" w:eastAsia="仿宋" w:cs="仿宋"/>
          <w:color w:val="auto"/>
        </w:rPr>
        <w:t>第一章  项目谈判有关说明</w:t>
      </w:r>
      <w:bookmarkEnd w:id="53"/>
      <w:bookmarkEnd w:id="54"/>
      <w:bookmarkEnd w:id="55"/>
      <w:bookmarkEnd w:id="56"/>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lang w:eastAsia="zh-CN"/>
        </w:rPr>
        <w:t>新疆达富腾项目咨询有限公司</w:t>
      </w:r>
      <w:r>
        <w:rPr>
          <w:rFonts w:hint="eastAsia" w:ascii="仿宋" w:hAnsi="仿宋" w:eastAsia="仿宋" w:cs="仿宋"/>
          <w:color w:val="auto"/>
        </w:rPr>
        <w:t>受</w:t>
      </w:r>
      <w:r>
        <w:rPr>
          <w:rFonts w:hint="eastAsia" w:ascii="仿宋" w:hAnsi="仿宋" w:eastAsia="仿宋" w:cs="仿宋"/>
          <w:color w:val="auto"/>
          <w:lang w:eastAsia="zh-CN"/>
        </w:rPr>
        <w:t>于田县兰干乡人民政府</w:t>
      </w:r>
      <w:r>
        <w:rPr>
          <w:rFonts w:hint="eastAsia" w:ascii="仿宋" w:hAnsi="仿宋" w:eastAsia="仿宋" w:cs="仿宋"/>
          <w:color w:val="auto"/>
        </w:rPr>
        <w:t>委托，对本次采购项目</w:t>
      </w:r>
      <w:r>
        <w:rPr>
          <w:rFonts w:hint="eastAsia" w:ascii="仿宋" w:hAnsi="仿宋" w:eastAsia="仿宋" w:cs="仿宋"/>
          <w:color w:val="auto"/>
          <w:highlight w:val="none"/>
        </w:rPr>
        <w:t>进行竞争性谈判采购。</w:t>
      </w:r>
    </w:p>
    <w:p>
      <w:pPr>
        <w:numPr>
          <w:ilvl w:val="0"/>
          <w:numId w:val="2"/>
        </w:numPr>
        <w:spacing w:line="360" w:lineRule="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竞争性谈判项目编号：</w:t>
      </w:r>
      <w:r>
        <w:rPr>
          <w:rFonts w:hint="eastAsia" w:ascii="仿宋" w:hAnsi="仿宋" w:eastAsia="仿宋" w:cs="仿宋"/>
          <w:b/>
          <w:color w:val="auto"/>
          <w:highlight w:val="none"/>
          <w:lang w:eastAsia="zh-CN"/>
        </w:rPr>
        <w:t>YTXZFCGDL-JZ-2021-102</w:t>
      </w:r>
    </w:p>
    <w:p>
      <w:pPr>
        <w:numPr>
          <w:ilvl w:val="0"/>
          <w:numId w:val="2"/>
        </w:numPr>
        <w:spacing w:line="360" w:lineRule="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竞争性谈判项目名称：</w:t>
      </w:r>
      <w:r>
        <w:rPr>
          <w:rFonts w:hint="eastAsia" w:ascii="仿宋" w:hAnsi="仿宋" w:eastAsia="仿宋" w:cs="仿宋"/>
          <w:b/>
          <w:color w:val="auto"/>
          <w:highlight w:val="none"/>
          <w:lang w:eastAsia="zh-CN"/>
        </w:rPr>
        <w:t>于田县兰干乡夜市配套建设项目</w:t>
      </w:r>
    </w:p>
    <w:p>
      <w:pPr>
        <w:spacing w:line="360" w:lineRule="auto"/>
        <w:rPr>
          <w:rFonts w:hint="eastAsia" w:ascii="仿宋" w:hAnsi="仿宋" w:eastAsia="仿宋" w:cs="仿宋"/>
          <w:b/>
          <w:color w:val="auto"/>
        </w:rPr>
      </w:pPr>
      <w:r>
        <w:rPr>
          <w:rFonts w:hint="eastAsia" w:ascii="仿宋" w:hAnsi="仿宋" w:eastAsia="仿宋" w:cs="仿宋"/>
          <w:b/>
          <w:color w:val="auto"/>
          <w:highlight w:val="none"/>
        </w:rPr>
        <w:t>三、重要说明</w:t>
      </w:r>
      <w:r>
        <w:rPr>
          <w:rFonts w:hint="eastAsia" w:ascii="仿宋" w:hAnsi="仿宋" w:eastAsia="仿宋" w:cs="仿宋"/>
          <w:b/>
          <w:color w:val="auto"/>
        </w:rPr>
        <w:t>：</w:t>
      </w:r>
    </w:p>
    <w:p>
      <w:pPr>
        <w:spacing w:line="360" w:lineRule="auto"/>
        <w:ind w:firstLine="236" w:firstLineChars="98"/>
        <w:rPr>
          <w:rFonts w:hint="eastAsia" w:ascii="仿宋" w:hAnsi="仿宋" w:eastAsia="仿宋" w:cs="仿宋"/>
          <w:color w:val="auto"/>
          <w:lang w:eastAsia="zh-CN"/>
        </w:rPr>
      </w:pPr>
      <w:r>
        <w:rPr>
          <w:rFonts w:hint="eastAsia" w:ascii="仿宋" w:hAnsi="仿宋" w:eastAsia="仿宋" w:cs="仿宋"/>
          <w:b/>
          <w:color w:val="auto"/>
        </w:rPr>
        <w:t xml:space="preserve">   </w:t>
      </w:r>
      <w:r>
        <w:rPr>
          <w:rFonts w:hint="eastAsia" w:ascii="仿宋" w:hAnsi="仿宋" w:eastAsia="仿宋" w:cs="仿宋"/>
          <w:color w:val="auto"/>
        </w:rPr>
        <w:t>1、服务地点：</w:t>
      </w:r>
      <w:r>
        <w:rPr>
          <w:rFonts w:hint="eastAsia" w:ascii="仿宋" w:hAnsi="仿宋" w:eastAsia="仿宋" w:cs="仿宋"/>
          <w:color w:val="auto"/>
          <w:lang w:eastAsia="zh-CN"/>
        </w:rPr>
        <w:t>于田县</w:t>
      </w:r>
    </w:p>
    <w:p>
      <w:pPr>
        <w:spacing w:line="360" w:lineRule="auto"/>
        <w:ind w:firstLine="538"/>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工期</w:t>
      </w:r>
      <w:r>
        <w:rPr>
          <w:rFonts w:hint="eastAsia" w:ascii="仿宋" w:hAnsi="仿宋" w:eastAsia="仿宋" w:cs="仿宋"/>
          <w:color w:val="auto"/>
        </w:rPr>
        <w:t xml:space="preserve">：计划工期： </w:t>
      </w:r>
      <w:r>
        <w:rPr>
          <w:rFonts w:hint="eastAsia" w:ascii="仿宋" w:hAnsi="仿宋" w:eastAsia="仿宋" w:cs="仿宋"/>
          <w:color w:val="auto"/>
          <w:lang w:val="en-US" w:eastAsia="zh-CN"/>
        </w:rPr>
        <w:t>15</w:t>
      </w:r>
      <w:r>
        <w:rPr>
          <w:rFonts w:hint="eastAsia" w:ascii="仿宋" w:hAnsi="仿宋" w:eastAsia="仿宋" w:cs="仿宋"/>
          <w:color w:val="auto"/>
        </w:rPr>
        <w:t xml:space="preserve"> 日历天</w:t>
      </w:r>
    </w:p>
    <w:p>
      <w:pPr>
        <w:spacing w:line="360" w:lineRule="auto"/>
        <w:ind w:firstLine="538"/>
        <w:rPr>
          <w:rFonts w:hint="eastAsia" w:ascii="仿宋" w:hAnsi="仿宋" w:eastAsia="仿宋" w:cs="仿宋"/>
          <w:color w:val="auto"/>
        </w:rPr>
      </w:pPr>
      <w:r>
        <w:rPr>
          <w:rFonts w:hint="eastAsia" w:ascii="仿宋" w:hAnsi="仿宋" w:eastAsia="仿宋" w:cs="仿宋"/>
          <w:color w:val="auto"/>
        </w:rPr>
        <w:t>计划开工日期： 2021年</w:t>
      </w:r>
      <w:r>
        <w:rPr>
          <w:rFonts w:hint="eastAsia" w:ascii="仿宋" w:hAnsi="仿宋" w:eastAsia="仿宋" w:cs="仿宋"/>
          <w:color w:val="auto"/>
          <w:lang w:val="en-US" w:eastAsia="zh-CN"/>
        </w:rPr>
        <w:t>11</w:t>
      </w:r>
      <w:r>
        <w:rPr>
          <w:rFonts w:hint="eastAsia" w:ascii="仿宋" w:hAnsi="仿宋" w:eastAsia="仿宋" w:cs="仿宋"/>
          <w:color w:val="auto"/>
        </w:rPr>
        <w:t xml:space="preserve">月 </w:t>
      </w:r>
      <w:r>
        <w:rPr>
          <w:rFonts w:hint="eastAsia" w:ascii="仿宋" w:hAnsi="仿宋" w:eastAsia="仿宋" w:cs="仿宋"/>
          <w:color w:val="auto"/>
          <w:lang w:val="en-US" w:eastAsia="zh-CN"/>
        </w:rPr>
        <w:t>12</w:t>
      </w:r>
      <w:r>
        <w:rPr>
          <w:rFonts w:hint="eastAsia" w:ascii="仿宋" w:hAnsi="仿宋" w:eastAsia="仿宋" w:cs="仿宋"/>
          <w:color w:val="auto"/>
        </w:rPr>
        <w:t>日</w:t>
      </w:r>
    </w:p>
    <w:p>
      <w:pPr>
        <w:spacing w:line="360" w:lineRule="auto"/>
        <w:ind w:firstLine="538"/>
        <w:rPr>
          <w:rFonts w:hint="eastAsia" w:ascii="仿宋" w:hAnsi="仿宋" w:eastAsia="仿宋" w:cs="仿宋"/>
          <w:color w:val="auto"/>
        </w:rPr>
      </w:pPr>
      <w:r>
        <w:rPr>
          <w:rFonts w:hint="eastAsia" w:ascii="仿宋" w:hAnsi="仿宋" w:eastAsia="仿宋" w:cs="仿宋"/>
          <w:color w:val="auto"/>
        </w:rPr>
        <w:t>计划竣工日期： 2021年</w:t>
      </w:r>
      <w:r>
        <w:rPr>
          <w:rFonts w:hint="eastAsia" w:ascii="仿宋" w:hAnsi="仿宋" w:eastAsia="仿宋" w:cs="仿宋"/>
          <w:color w:val="auto"/>
          <w:lang w:val="en-US" w:eastAsia="zh-CN"/>
        </w:rPr>
        <w:t>11</w:t>
      </w:r>
      <w:r>
        <w:rPr>
          <w:rFonts w:hint="eastAsia" w:ascii="仿宋" w:hAnsi="仿宋" w:eastAsia="仿宋" w:cs="仿宋"/>
          <w:color w:val="auto"/>
        </w:rPr>
        <w:t>月</w:t>
      </w:r>
      <w:r>
        <w:rPr>
          <w:rFonts w:hint="eastAsia" w:ascii="仿宋" w:hAnsi="仿宋" w:eastAsia="仿宋" w:cs="仿宋"/>
          <w:color w:val="auto"/>
          <w:lang w:val="en-US" w:eastAsia="zh-CN"/>
        </w:rPr>
        <w:t>27</w:t>
      </w:r>
      <w:r>
        <w:rPr>
          <w:rFonts w:hint="eastAsia" w:ascii="仿宋" w:hAnsi="仿宋" w:eastAsia="仿宋" w:cs="仿宋"/>
          <w:color w:val="auto"/>
        </w:rPr>
        <w:t>日</w:t>
      </w:r>
    </w:p>
    <w:p>
      <w:pPr>
        <w:spacing w:line="360" w:lineRule="auto"/>
        <w:ind w:firstLine="538"/>
        <w:rPr>
          <w:rFonts w:hint="eastAsia" w:ascii="仿宋" w:hAnsi="仿宋" w:eastAsia="仿宋" w:cs="仿宋"/>
          <w:color w:val="auto"/>
          <w:lang w:eastAsia="zh-CN"/>
        </w:rPr>
      </w:pPr>
      <w:r>
        <w:rPr>
          <w:rFonts w:hint="eastAsia" w:ascii="仿宋" w:hAnsi="仿宋" w:eastAsia="仿宋" w:cs="仿宋"/>
          <w:color w:val="auto"/>
        </w:rPr>
        <w:t>3、本次的谈判内容为：1、建设便民服务停车场及其配套设施2、建设乡村振兴文化体育广场及其配套设施（具体技术参数详见第三章）</w:t>
      </w:r>
      <w:r>
        <w:rPr>
          <w:rFonts w:hint="eastAsia" w:ascii="仿宋" w:hAnsi="仿宋" w:eastAsia="仿宋" w:cs="仿宋"/>
          <w:color w:val="auto"/>
          <w:lang w:eastAsia="zh-CN"/>
        </w:rPr>
        <w:t>。</w:t>
      </w:r>
    </w:p>
    <w:p>
      <w:pPr>
        <w:spacing w:line="360" w:lineRule="auto"/>
        <w:ind w:firstLine="538"/>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、在合同签订后，采购方有权提出因规范、标准等实际情况发生变化而产生的补充要求。</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、本项目不接受联合体谈判。</w:t>
      </w:r>
    </w:p>
    <w:p>
      <w:pPr>
        <w:spacing w:line="360" w:lineRule="auto"/>
        <w:rPr>
          <w:rFonts w:hint="eastAsia" w:ascii="仿宋" w:hAnsi="仿宋" w:eastAsia="仿宋" w:cs="仿宋"/>
          <w:color w:val="auto"/>
          <w:sz w:val="36"/>
          <w:szCs w:val="36"/>
        </w:rPr>
      </w:pPr>
      <w:r>
        <w:rPr>
          <w:rFonts w:hint="eastAsia" w:ascii="仿宋" w:hAnsi="仿宋" w:eastAsia="仿宋" w:cs="仿宋"/>
          <w:b/>
          <w:color w:val="auto"/>
        </w:rPr>
        <w:t>四、采购内容：</w:t>
      </w:r>
      <w:r>
        <w:rPr>
          <w:rFonts w:hint="eastAsia" w:ascii="仿宋" w:hAnsi="仿宋" w:eastAsia="仿宋" w:cs="仿宋"/>
          <w:color w:val="auto"/>
        </w:rPr>
        <w:t>详见第三章“采购要求”</w:t>
      </w:r>
    </w:p>
    <w:p>
      <w:pPr>
        <w:spacing w:line="360" w:lineRule="auto"/>
        <w:rPr>
          <w:rFonts w:hint="eastAsia" w:ascii="仿宋" w:hAnsi="仿宋" w:eastAsia="仿宋" w:cs="仿宋"/>
          <w:color w:val="auto"/>
        </w:rPr>
      </w:pPr>
      <w:r>
        <w:rPr>
          <w:rFonts w:hint="eastAsia" w:ascii="仿宋" w:hAnsi="仿宋" w:eastAsia="仿宋" w:cs="仿宋"/>
          <w:b/>
          <w:color w:val="auto"/>
        </w:rPr>
        <w:t>五、谈判保证金数额：</w:t>
      </w:r>
      <w:r>
        <w:rPr>
          <w:rFonts w:hint="eastAsia" w:ascii="仿宋" w:hAnsi="仿宋" w:eastAsia="仿宋" w:cs="仿宋"/>
          <w:color w:val="auto"/>
        </w:rPr>
        <w:t>详见报价人须知前附表第1</w:t>
      </w:r>
      <w:r>
        <w:rPr>
          <w:rFonts w:hint="eastAsia" w:ascii="仿宋" w:hAnsi="仿宋" w:eastAsia="仿宋" w:cs="仿宋"/>
          <w:color w:val="auto"/>
          <w:lang w:val="en-US" w:eastAsia="zh-CN"/>
        </w:rPr>
        <w:t>2</w:t>
      </w:r>
      <w:r>
        <w:rPr>
          <w:rFonts w:hint="eastAsia" w:ascii="仿宋" w:hAnsi="仿宋" w:eastAsia="仿宋" w:cs="仿宋"/>
          <w:color w:val="auto"/>
        </w:rPr>
        <w:t>条。</w:t>
      </w:r>
    </w:p>
    <w:p>
      <w:pPr>
        <w:spacing w:line="360" w:lineRule="auto"/>
        <w:rPr>
          <w:rFonts w:hint="eastAsia" w:ascii="仿宋" w:hAnsi="仿宋" w:eastAsia="仿宋" w:cs="仿宋"/>
          <w:b/>
          <w:color w:val="auto"/>
        </w:rPr>
      </w:pPr>
      <w:r>
        <w:rPr>
          <w:rFonts w:hint="eastAsia" w:ascii="仿宋" w:hAnsi="仿宋" w:eastAsia="仿宋" w:cs="仿宋"/>
          <w:b/>
          <w:color w:val="auto"/>
        </w:rPr>
        <w:t>六、特别提示</w:t>
      </w:r>
    </w:p>
    <w:p>
      <w:pPr>
        <w:spacing w:line="360" w:lineRule="auto"/>
        <w:ind w:firstLine="236" w:firstLineChars="98"/>
        <w:rPr>
          <w:rFonts w:hint="eastAsia" w:ascii="仿宋" w:hAnsi="仿宋" w:eastAsia="仿宋" w:cs="仿宋"/>
          <w:color w:val="auto"/>
        </w:rPr>
      </w:pPr>
      <w:r>
        <w:rPr>
          <w:rFonts w:hint="eastAsia" w:ascii="仿宋" w:hAnsi="仿宋" w:eastAsia="仿宋" w:cs="仿宋"/>
          <w:b/>
          <w:color w:val="auto"/>
        </w:rPr>
        <w:t xml:space="preserve">  </w:t>
      </w:r>
      <w:r>
        <w:rPr>
          <w:rFonts w:hint="eastAsia" w:ascii="仿宋" w:hAnsi="仿宋" w:eastAsia="仿宋" w:cs="仿宋"/>
          <w:color w:val="auto"/>
        </w:rPr>
        <w:t>1、付款方式：按成交单位与采购单位签订合同的付款方式执行。</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rPr>
        <w:t>2、竞争性谈判文件领取地点：</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2021年11月1日-2021年11月8日(北京时间上午10：00-14：00下午15：30-19：30节假日除外）</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地点：在新疆政府采购网（http://www.ccgp-xinjiang.gov.cn/）的该采购公告附件中直接下载招标（采购）文件，标书售后不退</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售价：200元/份</w:t>
      </w:r>
    </w:p>
    <w:p>
      <w:pPr>
        <w:spacing w:line="360" w:lineRule="auto"/>
        <w:ind w:firstLine="480"/>
        <w:rPr>
          <w:rFonts w:hint="eastAsia" w:ascii="仿宋" w:hAnsi="仿宋" w:eastAsia="仿宋" w:cs="仿宋"/>
          <w:color w:val="auto"/>
          <w:lang w:val="en-US" w:eastAsia="zh-CN"/>
        </w:rPr>
      </w:pPr>
      <w:r>
        <w:rPr>
          <w:rFonts w:hint="eastAsia" w:ascii="仿宋" w:hAnsi="仿宋" w:eastAsia="仿宋" w:cs="仿宋"/>
          <w:color w:val="auto"/>
        </w:rPr>
        <w:t>电话：</w:t>
      </w:r>
      <w:r>
        <w:rPr>
          <w:rFonts w:hint="eastAsia" w:ascii="仿宋" w:hAnsi="仿宋" w:eastAsia="仿宋" w:cs="仿宋"/>
          <w:color w:val="auto"/>
          <w:lang w:eastAsia="zh-CN"/>
        </w:rPr>
        <w:t>19990618876</w:t>
      </w:r>
    </w:p>
    <w:p>
      <w:pPr>
        <w:spacing w:line="360" w:lineRule="auto"/>
        <w:ind w:firstLine="480"/>
        <w:rPr>
          <w:rFonts w:hint="eastAsia" w:ascii="仿宋" w:hAnsi="仿宋" w:eastAsia="仿宋" w:cs="仿宋"/>
          <w:color w:val="auto"/>
        </w:rPr>
      </w:pPr>
    </w:p>
    <w:p>
      <w:pPr>
        <w:spacing w:line="360" w:lineRule="auto"/>
        <w:ind w:firstLine="480"/>
        <w:rPr>
          <w:rFonts w:hint="eastAsia" w:ascii="仿宋" w:hAnsi="仿宋" w:eastAsia="仿宋" w:cs="仿宋"/>
          <w:color w:val="auto"/>
        </w:rPr>
      </w:pPr>
    </w:p>
    <w:p>
      <w:pPr>
        <w:pStyle w:val="4"/>
        <w:spacing w:line="360" w:lineRule="auto"/>
        <w:rPr>
          <w:rFonts w:hint="eastAsia" w:ascii="仿宋" w:hAnsi="仿宋" w:eastAsia="仿宋" w:cs="仿宋"/>
          <w:color w:val="auto"/>
          <w:sz w:val="32"/>
        </w:rPr>
      </w:pPr>
      <w:r>
        <w:rPr>
          <w:rFonts w:hint="eastAsia" w:ascii="仿宋" w:hAnsi="仿宋" w:eastAsia="仿宋" w:cs="仿宋"/>
          <w:color w:val="auto"/>
        </w:rPr>
        <w:br w:type="page"/>
      </w:r>
      <w:bookmarkStart w:id="57" w:name="_Toc17796"/>
      <w:bookmarkStart w:id="58" w:name="_Toc31345"/>
      <w:bookmarkStart w:id="59" w:name="_Toc11200"/>
      <w:bookmarkStart w:id="60" w:name="_Toc26800"/>
      <w:r>
        <w:rPr>
          <w:rFonts w:hint="eastAsia" w:ascii="仿宋" w:hAnsi="仿宋" w:eastAsia="仿宋" w:cs="仿宋"/>
          <w:color w:val="auto"/>
          <w:sz w:val="32"/>
        </w:rPr>
        <w:t>第二章  报价人须知</w:t>
      </w:r>
      <w:bookmarkEnd w:id="57"/>
      <w:bookmarkEnd w:id="58"/>
      <w:bookmarkEnd w:id="59"/>
      <w:bookmarkEnd w:id="60"/>
    </w:p>
    <w:p>
      <w:pPr>
        <w:pStyle w:val="5"/>
        <w:spacing w:line="360" w:lineRule="auto"/>
        <w:jc w:val="center"/>
        <w:rPr>
          <w:rFonts w:hint="eastAsia" w:ascii="仿宋" w:hAnsi="仿宋" w:eastAsia="仿宋" w:cs="仿宋"/>
          <w:color w:val="auto"/>
          <w:sz w:val="28"/>
          <w:szCs w:val="28"/>
        </w:rPr>
      </w:pPr>
      <w:bookmarkStart w:id="61" w:name="_Toc7037"/>
      <w:bookmarkStart w:id="62" w:name="_Toc24673"/>
      <w:r>
        <w:rPr>
          <w:rFonts w:hint="eastAsia" w:ascii="仿宋" w:hAnsi="仿宋" w:eastAsia="仿宋" w:cs="仿宋"/>
          <w:color w:val="auto"/>
          <w:sz w:val="28"/>
          <w:szCs w:val="28"/>
        </w:rPr>
        <w:t>一、总  则</w:t>
      </w:r>
      <w:bookmarkEnd w:id="61"/>
      <w:bookmarkEnd w:id="62"/>
    </w:p>
    <w:p>
      <w:pPr>
        <w:spacing w:line="360" w:lineRule="auto"/>
        <w:rPr>
          <w:rFonts w:hint="eastAsia" w:ascii="仿宋" w:hAnsi="仿宋" w:eastAsia="仿宋" w:cs="仿宋"/>
          <w:b/>
          <w:color w:val="auto"/>
        </w:rPr>
      </w:pPr>
      <w:r>
        <w:rPr>
          <w:rFonts w:hint="eastAsia" w:ascii="仿宋" w:hAnsi="仿宋" w:eastAsia="仿宋" w:cs="仿宋"/>
          <w:b/>
          <w:color w:val="auto"/>
        </w:rPr>
        <w:t>1、适用范围</w:t>
      </w:r>
    </w:p>
    <w:p>
      <w:pPr>
        <w:spacing w:line="360" w:lineRule="auto"/>
        <w:rPr>
          <w:rFonts w:hint="eastAsia" w:ascii="仿宋" w:hAnsi="仿宋" w:eastAsia="仿宋" w:cs="仿宋"/>
          <w:color w:val="auto"/>
        </w:rPr>
      </w:pPr>
      <w:r>
        <w:rPr>
          <w:rFonts w:hint="eastAsia" w:ascii="仿宋" w:hAnsi="仿宋" w:eastAsia="仿宋" w:cs="仿宋"/>
          <w:b/>
          <w:color w:val="auto"/>
        </w:rPr>
        <w:t>1.1</w:t>
      </w:r>
      <w:r>
        <w:rPr>
          <w:rFonts w:hint="eastAsia" w:ascii="仿宋" w:hAnsi="仿宋" w:eastAsia="仿宋" w:cs="仿宋"/>
          <w:color w:val="auto"/>
        </w:rPr>
        <w:t xml:space="preserve"> 本谈判文件仅适用于本次采购项目货物供应、劳务服务及其它。</w:t>
      </w:r>
    </w:p>
    <w:p>
      <w:pPr>
        <w:spacing w:line="360" w:lineRule="auto"/>
        <w:rPr>
          <w:rFonts w:hint="eastAsia" w:ascii="仿宋" w:hAnsi="仿宋" w:eastAsia="仿宋" w:cs="仿宋"/>
          <w:b/>
          <w:color w:val="auto"/>
        </w:rPr>
      </w:pPr>
      <w:r>
        <w:rPr>
          <w:rFonts w:hint="eastAsia" w:ascii="仿宋" w:hAnsi="仿宋" w:eastAsia="仿宋" w:cs="仿宋"/>
          <w:b/>
          <w:color w:val="auto"/>
        </w:rPr>
        <w:t>2、合格的报价人</w:t>
      </w:r>
    </w:p>
    <w:p>
      <w:pPr>
        <w:spacing w:line="360" w:lineRule="auto"/>
        <w:rPr>
          <w:rFonts w:hint="eastAsia" w:ascii="仿宋" w:hAnsi="仿宋" w:eastAsia="仿宋" w:cs="仿宋"/>
          <w:b/>
          <w:color w:val="auto"/>
        </w:rPr>
      </w:pPr>
      <w:r>
        <w:rPr>
          <w:rFonts w:hint="eastAsia" w:ascii="仿宋" w:hAnsi="仿宋" w:eastAsia="仿宋" w:cs="仿宋"/>
          <w:b/>
          <w:color w:val="auto"/>
        </w:rPr>
        <w:t>2.1</w:t>
      </w:r>
      <w:r>
        <w:rPr>
          <w:rFonts w:hint="eastAsia" w:ascii="仿宋" w:hAnsi="仿宋" w:eastAsia="仿宋" w:cs="仿宋"/>
          <w:bCs/>
          <w:color w:val="auto"/>
        </w:rPr>
        <w:t>报价人</w:t>
      </w:r>
      <w:r>
        <w:rPr>
          <w:rFonts w:hint="eastAsia" w:ascii="仿宋" w:hAnsi="仿宋" w:eastAsia="仿宋" w:cs="仿宋"/>
          <w:color w:val="auto"/>
        </w:rPr>
        <w:t>资格要求：</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2.落实政府采购政策需满足的资格要求：</w:t>
      </w:r>
      <w:r>
        <w:rPr>
          <w:rFonts w:hint="eastAsia" w:ascii="仿宋" w:hAnsi="仿宋" w:eastAsia="仿宋" w:cs="仿宋"/>
          <w:bCs/>
          <w:color w:val="auto"/>
          <w:sz w:val="24"/>
          <w:szCs w:val="24"/>
          <w:lang w:eastAsia="zh-CN"/>
        </w:rPr>
        <w:t>无</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3.本项目的特定资格要求:</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投标人须具备在中华人民共和国依法注册的独立法人，具备有效的营业执照（三证合一）；并且营业执照中应具有相应的经营范围；</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具备</w:t>
      </w:r>
      <w:r>
        <w:rPr>
          <w:rFonts w:hint="eastAsia" w:ascii="仿宋" w:hAnsi="仿宋" w:eastAsia="仿宋" w:cs="仿宋"/>
          <w:color w:val="auto"/>
          <w:sz w:val="24"/>
          <w:szCs w:val="24"/>
          <w:lang w:val="en-US" w:eastAsia="zh-CN"/>
        </w:rPr>
        <w:t>房建</w:t>
      </w:r>
      <w:r>
        <w:rPr>
          <w:rFonts w:hint="eastAsia" w:ascii="仿宋" w:hAnsi="仿宋" w:eastAsia="仿宋" w:cs="仿宋"/>
          <w:color w:val="auto"/>
          <w:sz w:val="24"/>
          <w:szCs w:val="24"/>
        </w:rPr>
        <w:t>工程施工总承包叁级及以上资质（疆外企业需提供进疆备案），并具有工程施工类安全生产许可证；</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法定代表人的需携带法定代表人证明书（原件）及法定代表人身份证（原件）及法定代表人近三个月的社保缴费凭证及个人明细；委托代理人需携带法定代表人授权委托书（原件）及委托代理人身份证（原件）及委托人近三个月的社保缴费凭证及个人明细（原件）</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4、具有良好的商业信誉和健全的财务会计制度（提供2020年的财务审计报告原件（2020年10月份后成立的公司可不提供财务审计报告但需提供银行出具的近三个月的资信证明原件）；）</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5、投标单位需提供税务机关出具近三个月的完税证明；</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凡拟参加本次招标项目的投标人，如在“信用中国”网站（</w:t>
      </w:r>
      <w:r>
        <w:rPr>
          <w:rFonts w:hint="eastAsia" w:ascii="仿宋" w:hAnsi="仿宋" w:eastAsia="仿宋" w:cs="仿宋"/>
          <w:color w:val="auto"/>
          <w:sz w:val="24"/>
          <w:szCs w:val="24"/>
        </w:rPr>
        <w:drawing>
          <wp:inline distT="0" distB="0" distL="114300" distR="114300">
            <wp:extent cx="190500" cy="142875"/>
            <wp:effectExtent l="0" t="0" r="0" b="952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www.creditchina.gov.cn）、中国政府采购网（</w:t>
      </w:r>
      <w:r>
        <w:rPr>
          <w:rFonts w:hint="eastAsia" w:ascii="仿宋" w:hAnsi="仿宋" w:eastAsia="仿宋" w:cs="仿宋"/>
          <w:color w:val="auto"/>
          <w:sz w:val="24"/>
          <w:szCs w:val="24"/>
        </w:rPr>
        <w:drawing>
          <wp:inline distT="0" distB="0" distL="114300" distR="114300">
            <wp:extent cx="190500" cy="142875"/>
            <wp:effectExtent l="0" t="0" r="0" b="9525"/>
            <wp:docPr id="10"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7"/>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www.ccgp.gov.cn）、国家企业信用信息公示系统（</w:t>
      </w:r>
      <w:r>
        <w:rPr>
          <w:rFonts w:hint="eastAsia" w:ascii="仿宋" w:hAnsi="仿宋" w:eastAsia="仿宋" w:cs="仿宋"/>
          <w:color w:val="auto"/>
          <w:sz w:val="24"/>
          <w:szCs w:val="24"/>
        </w:rPr>
        <w:drawing>
          <wp:inline distT="0" distB="0" distL="114300" distR="114300">
            <wp:extent cx="190500" cy="142875"/>
            <wp:effectExtent l="0" t="0" r="0" b="9525"/>
            <wp:docPr id="12" name="图片 1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8"/>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http://www.gsxt.gov.cn）、中国裁判文书网（</w:t>
      </w:r>
      <w:r>
        <w:rPr>
          <w:rFonts w:hint="eastAsia" w:ascii="仿宋" w:hAnsi="仿宋" w:eastAsia="仿宋" w:cs="仿宋"/>
          <w:color w:val="auto"/>
          <w:sz w:val="24"/>
          <w:szCs w:val="24"/>
        </w:rPr>
        <w:drawing>
          <wp:inline distT="0" distB="0" distL="114300" distR="114300">
            <wp:extent cx="190500" cy="142875"/>
            <wp:effectExtent l="0" t="0" r="0" b="9525"/>
            <wp:docPr id="13" name="图片 1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9"/>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color w:val="auto"/>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本项目不接受联合体投标。</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2.2 </w:t>
      </w:r>
      <w:r>
        <w:rPr>
          <w:rFonts w:hint="eastAsia" w:ascii="仿宋" w:hAnsi="仿宋" w:eastAsia="仿宋" w:cs="仿宋"/>
          <w:color w:val="auto"/>
        </w:rPr>
        <w:t>报价人在本次竞争性谈判中，必须遵守《中华人民共和国政府采购法》的规定。</w:t>
      </w:r>
    </w:p>
    <w:p>
      <w:pPr>
        <w:spacing w:line="360" w:lineRule="auto"/>
        <w:rPr>
          <w:rFonts w:hint="eastAsia" w:ascii="仿宋" w:hAnsi="仿宋" w:eastAsia="仿宋" w:cs="仿宋"/>
          <w:b/>
          <w:color w:val="auto"/>
        </w:rPr>
      </w:pPr>
      <w:r>
        <w:rPr>
          <w:rFonts w:hint="eastAsia" w:ascii="仿宋" w:hAnsi="仿宋" w:eastAsia="仿宋" w:cs="仿宋"/>
          <w:b/>
          <w:color w:val="auto"/>
        </w:rPr>
        <w:t>3、定义</w:t>
      </w:r>
    </w:p>
    <w:p>
      <w:pPr>
        <w:widowControl/>
        <w:shd w:val="clear" w:color="050000" w:fill="FFFFFF"/>
        <w:spacing w:line="360" w:lineRule="auto"/>
        <w:jc w:val="left"/>
        <w:rPr>
          <w:rFonts w:hint="eastAsia" w:ascii="仿宋" w:hAnsi="仿宋" w:eastAsia="仿宋" w:cs="仿宋"/>
          <w:bCs/>
          <w:color w:val="auto"/>
          <w:lang w:eastAsia="zh-CN"/>
        </w:rPr>
      </w:pPr>
      <w:r>
        <w:rPr>
          <w:rFonts w:hint="eastAsia" w:ascii="仿宋" w:hAnsi="仿宋" w:eastAsia="仿宋" w:cs="仿宋"/>
          <w:b/>
          <w:color w:val="auto"/>
        </w:rPr>
        <w:t>3.1</w:t>
      </w:r>
      <w:r>
        <w:rPr>
          <w:rFonts w:hint="eastAsia" w:ascii="仿宋" w:hAnsi="仿宋" w:eastAsia="仿宋" w:cs="仿宋"/>
          <w:color w:val="auto"/>
        </w:rPr>
        <w:t xml:space="preserve"> “采购人”为</w:t>
      </w:r>
      <w:r>
        <w:rPr>
          <w:rFonts w:hint="eastAsia" w:ascii="仿宋" w:hAnsi="仿宋" w:eastAsia="仿宋" w:cs="仿宋"/>
          <w:color w:val="auto"/>
          <w:lang w:eastAsia="zh-CN"/>
        </w:rPr>
        <w:t>于田县兰干乡人民政府</w:t>
      </w:r>
    </w:p>
    <w:p>
      <w:pPr>
        <w:spacing w:line="360" w:lineRule="auto"/>
        <w:rPr>
          <w:rFonts w:hint="eastAsia" w:ascii="仿宋" w:hAnsi="仿宋" w:eastAsia="仿宋" w:cs="仿宋"/>
          <w:color w:val="auto"/>
        </w:rPr>
      </w:pPr>
      <w:r>
        <w:rPr>
          <w:rFonts w:hint="eastAsia" w:ascii="仿宋" w:hAnsi="仿宋" w:eastAsia="仿宋" w:cs="仿宋"/>
          <w:b/>
          <w:color w:val="auto"/>
        </w:rPr>
        <w:t>3.2</w:t>
      </w:r>
      <w:r>
        <w:rPr>
          <w:rFonts w:hint="eastAsia" w:ascii="仿宋" w:hAnsi="仿宋" w:eastAsia="仿宋" w:cs="仿宋"/>
          <w:color w:val="auto"/>
        </w:rPr>
        <w:t xml:space="preserve"> “合格报价人”系指报名合格、购买了谈判文件、提交了谈判响应文件的报价人，中标后即为中标人，签订合同后即为卖方。</w:t>
      </w:r>
    </w:p>
    <w:p>
      <w:pPr>
        <w:spacing w:line="360" w:lineRule="auto"/>
        <w:rPr>
          <w:rFonts w:hint="eastAsia" w:ascii="仿宋" w:hAnsi="仿宋" w:eastAsia="仿宋" w:cs="仿宋"/>
          <w:color w:val="auto"/>
        </w:rPr>
      </w:pPr>
      <w:r>
        <w:rPr>
          <w:rFonts w:hint="eastAsia" w:ascii="仿宋" w:hAnsi="仿宋" w:eastAsia="仿宋" w:cs="仿宋"/>
          <w:b/>
          <w:color w:val="auto"/>
        </w:rPr>
        <w:t>3.3</w:t>
      </w:r>
      <w:r>
        <w:rPr>
          <w:rFonts w:hint="eastAsia" w:ascii="仿宋" w:hAnsi="仿宋" w:eastAsia="仿宋" w:cs="仿宋"/>
          <w:color w:val="auto"/>
        </w:rPr>
        <w:t xml:space="preserve"> “代理机构”为</w:t>
      </w:r>
      <w:r>
        <w:rPr>
          <w:rFonts w:hint="eastAsia" w:ascii="仿宋" w:hAnsi="仿宋" w:eastAsia="仿宋" w:cs="仿宋"/>
          <w:color w:val="auto"/>
          <w:lang w:eastAsia="zh-CN"/>
        </w:rPr>
        <w:t>新疆达富腾项目咨询有限公司</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rPr>
        <w:t>3.4</w:t>
      </w:r>
      <w:r>
        <w:rPr>
          <w:rFonts w:hint="eastAsia" w:ascii="仿宋" w:hAnsi="仿宋" w:eastAsia="仿宋" w:cs="仿宋"/>
          <w:color w:val="auto"/>
        </w:rPr>
        <w:t xml:space="preserve"> “货物”系指卖方按合同要求，须向买方提供的一切产品及其他技术资料和材料。</w:t>
      </w:r>
    </w:p>
    <w:p>
      <w:pPr>
        <w:spacing w:line="360" w:lineRule="auto"/>
        <w:rPr>
          <w:rFonts w:hint="eastAsia" w:ascii="仿宋" w:hAnsi="仿宋" w:eastAsia="仿宋" w:cs="仿宋"/>
          <w:color w:val="auto"/>
        </w:rPr>
      </w:pPr>
      <w:r>
        <w:rPr>
          <w:rFonts w:hint="eastAsia" w:ascii="仿宋" w:hAnsi="仿宋" w:eastAsia="仿宋" w:cs="仿宋"/>
          <w:b/>
          <w:color w:val="auto"/>
        </w:rPr>
        <w:t>3.5</w:t>
      </w:r>
      <w:r>
        <w:rPr>
          <w:rFonts w:hint="eastAsia" w:ascii="仿宋" w:hAnsi="仿宋" w:eastAsia="仿宋" w:cs="仿宋"/>
          <w:color w:val="auto"/>
        </w:rPr>
        <w:t xml:space="preserve"> “服务”系指按合同规定卖方须承担的货物供应、服务及售后服务等其他类似的义务。</w:t>
      </w:r>
    </w:p>
    <w:p>
      <w:pPr>
        <w:spacing w:line="360" w:lineRule="auto"/>
        <w:rPr>
          <w:rFonts w:hint="eastAsia" w:ascii="仿宋" w:hAnsi="仿宋" w:eastAsia="仿宋" w:cs="仿宋"/>
          <w:color w:val="auto"/>
        </w:rPr>
      </w:pPr>
      <w:r>
        <w:rPr>
          <w:rFonts w:hint="eastAsia" w:ascii="仿宋" w:hAnsi="仿宋" w:eastAsia="仿宋" w:cs="仿宋"/>
          <w:b/>
          <w:color w:val="auto"/>
        </w:rPr>
        <w:t>3.6</w:t>
      </w:r>
      <w:r>
        <w:rPr>
          <w:rFonts w:hint="eastAsia" w:ascii="仿宋" w:hAnsi="仿宋" w:eastAsia="仿宋" w:cs="仿宋"/>
          <w:color w:val="auto"/>
        </w:rPr>
        <w:t xml:space="preserve"> “卖方”系指提供合同货物和服务的报价人。</w:t>
      </w:r>
    </w:p>
    <w:p>
      <w:pPr>
        <w:spacing w:line="360" w:lineRule="auto"/>
        <w:rPr>
          <w:rFonts w:hint="eastAsia" w:ascii="仿宋" w:hAnsi="仿宋" w:eastAsia="仿宋" w:cs="仿宋"/>
          <w:color w:val="auto"/>
        </w:rPr>
      </w:pPr>
      <w:r>
        <w:rPr>
          <w:rFonts w:hint="eastAsia" w:ascii="仿宋" w:hAnsi="仿宋" w:eastAsia="仿宋" w:cs="仿宋"/>
          <w:b/>
          <w:color w:val="auto"/>
        </w:rPr>
        <w:t>3.7</w:t>
      </w:r>
      <w:r>
        <w:rPr>
          <w:rFonts w:hint="eastAsia" w:ascii="仿宋" w:hAnsi="仿宋" w:eastAsia="仿宋" w:cs="仿宋"/>
          <w:color w:val="auto"/>
        </w:rPr>
        <w:t xml:space="preserve"> “买方”系指购买货物的单位。</w:t>
      </w:r>
    </w:p>
    <w:p>
      <w:pPr>
        <w:spacing w:line="360" w:lineRule="auto"/>
        <w:rPr>
          <w:rFonts w:hint="eastAsia" w:ascii="仿宋" w:hAnsi="仿宋" w:eastAsia="仿宋" w:cs="仿宋"/>
          <w:b/>
          <w:color w:val="auto"/>
        </w:rPr>
      </w:pPr>
      <w:r>
        <w:rPr>
          <w:rFonts w:hint="eastAsia" w:ascii="仿宋" w:hAnsi="仿宋" w:eastAsia="仿宋" w:cs="仿宋"/>
          <w:b/>
          <w:color w:val="auto"/>
        </w:rPr>
        <w:t>4、谈判费用</w:t>
      </w:r>
    </w:p>
    <w:p>
      <w:pPr>
        <w:spacing w:line="360" w:lineRule="auto"/>
        <w:rPr>
          <w:rFonts w:hint="eastAsia" w:ascii="仿宋" w:hAnsi="仿宋" w:eastAsia="仿宋" w:cs="仿宋"/>
          <w:color w:val="auto"/>
        </w:rPr>
      </w:pPr>
      <w:r>
        <w:rPr>
          <w:rFonts w:hint="eastAsia" w:ascii="仿宋" w:hAnsi="仿宋" w:eastAsia="仿宋" w:cs="仿宋"/>
          <w:b/>
          <w:color w:val="auto"/>
        </w:rPr>
        <w:t>4.1</w:t>
      </w:r>
      <w:r>
        <w:rPr>
          <w:rFonts w:hint="eastAsia" w:ascii="仿宋" w:hAnsi="仿宋" w:eastAsia="仿宋" w:cs="仿宋"/>
          <w:color w:val="auto"/>
        </w:rPr>
        <w:t xml:space="preserve"> 无论本次结果如何，报价人须自行承担所有与参加谈判有关的全部费用。</w:t>
      </w:r>
    </w:p>
    <w:p>
      <w:pPr>
        <w:pStyle w:val="5"/>
        <w:spacing w:line="360" w:lineRule="auto"/>
        <w:ind w:firstLine="3626" w:firstLineChars="1290"/>
        <w:rPr>
          <w:rFonts w:hint="eastAsia" w:ascii="仿宋" w:hAnsi="仿宋" w:eastAsia="仿宋" w:cs="仿宋"/>
          <w:color w:val="auto"/>
          <w:sz w:val="28"/>
        </w:rPr>
      </w:pPr>
      <w:bookmarkStart w:id="63" w:name="_Toc26514"/>
      <w:bookmarkStart w:id="64" w:name="_Toc26900"/>
      <w:r>
        <w:rPr>
          <w:rFonts w:hint="eastAsia" w:ascii="仿宋" w:hAnsi="仿宋" w:eastAsia="仿宋" w:cs="仿宋"/>
          <w:color w:val="auto"/>
          <w:sz w:val="28"/>
        </w:rPr>
        <w:t>二、竞争性谈判文件</w:t>
      </w:r>
      <w:bookmarkEnd w:id="63"/>
      <w:bookmarkEnd w:id="64"/>
    </w:p>
    <w:p>
      <w:pPr>
        <w:spacing w:line="360" w:lineRule="auto"/>
        <w:rPr>
          <w:rFonts w:hint="eastAsia" w:ascii="仿宋" w:hAnsi="仿宋" w:eastAsia="仿宋" w:cs="仿宋"/>
          <w:b/>
          <w:color w:val="auto"/>
        </w:rPr>
      </w:pPr>
      <w:r>
        <w:rPr>
          <w:rFonts w:hint="eastAsia" w:ascii="仿宋" w:hAnsi="仿宋" w:eastAsia="仿宋" w:cs="仿宋"/>
          <w:b/>
          <w:color w:val="auto"/>
        </w:rPr>
        <w:t>5、竞争性谈判文件</w:t>
      </w:r>
    </w:p>
    <w:p>
      <w:pPr>
        <w:spacing w:line="360" w:lineRule="auto"/>
        <w:rPr>
          <w:rFonts w:hint="eastAsia" w:ascii="仿宋" w:hAnsi="仿宋" w:eastAsia="仿宋" w:cs="仿宋"/>
          <w:color w:val="auto"/>
        </w:rPr>
      </w:pPr>
      <w:r>
        <w:rPr>
          <w:rFonts w:hint="eastAsia" w:ascii="仿宋" w:hAnsi="仿宋" w:eastAsia="仿宋" w:cs="仿宋"/>
          <w:b/>
          <w:color w:val="auto"/>
        </w:rPr>
        <w:t xml:space="preserve">5.1 </w:t>
      </w:r>
      <w:r>
        <w:rPr>
          <w:rFonts w:hint="eastAsia" w:ascii="仿宋" w:hAnsi="仿宋" w:eastAsia="仿宋" w:cs="仿宋"/>
          <w:color w:val="auto"/>
        </w:rPr>
        <w:t>竞争性谈判文件用以阐明所的内容，谈判程序及合同条款，包括：</w:t>
      </w:r>
    </w:p>
    <w:p>
      <w:pPr>
        <w:spacing w:line="360" w:lineRule="auto"/>
        <w:rPr>
          <w:rFonts w:hint="eastAsia" w:ascii="仿宋" w:hAnsi="仿宋" w:eastAsia="仿宋" w:cs="仿宋"/>
          <w:color w:val="auto"/>
        </w:rPr>
      </w:pPr>
      <w:r>
        <w:rPr>
          <w:rFonts w:hint="eastAsia" w:ascii="仿宋" w:hAnsi="仿宋" w:eastAsia="仿宋" w:cs="仿宋"/>
          <w:color w:val="auto"/>
        </w:rPr>
        <w:t>5.1.1谈判说明；</w:t>
      </w:r>
    </w:p>
    <w:p>
      <w:pPr>
        <w:spacing w:line="360" w:lineRule="auto"/>
        <w:rPr>
          <w:rFonts w:hint="eastAsia" w:ascii="仿宋" w:hAnsi="仿宋" w:eastAsia="仿宋" w:cs="仿宋"/>
          <w:color w:val="auto"/>
        </w:rPr>
      </w:pPr>
      <w:r>
        <w:rPr>
          <w:rFonts w:hint="eastAsia" w:ascii="仿宋" w:hAnsi="仿宋" w:eastAsia="仿宋" w:cs="仿宋"/>
          <w:color w:val="auto"/>
        </w:rPr>
        <w:t>5.1.2 报价人须知；</w:t>
      </w:r>
    </w:p>
    <w:p>
      <w:pPr>
        <w:spacing w:line="360" w:lineRule="auto"/>
        <w:rPr>
          <w:rFonts w:hint="eastAsia" w:ascii="仿宋" w:hAnsi="仿宋" w:eastAsia="仿宋" w:cs="仿宋"/>
          <w:color w:val="auto"/>
        </w:rPr>
      </w:pPr>
      <w:r>
        <w:rPr>
          <w:rFonts w:hint="eastAsia" w:ascii="仿宋" w:hAnsi="仿宋" w:eastAsia="仿宋" w:cs="仿宋"/>
          <w:color w:val="auto"/>
        </w:rPr>
        <w:t>5.1.3 技术规格要求；</w:t>
      </w:r>
    </w:p>
    <w:p>
      <w:pPr>
        <w:spacing w:line="360" w:lineRule="auto"/>
        <w:rPr>
          <w:rFonts w:hint="eastAsia" w:ascii="仿宋" w:hAnsi="仿宋" w:eastAsia="仿宋" w:cs="仿宋"/>
          <w:color w:val="auto"/>
        </w:rPr>
      </w:pPr>
      <w:r>
        <w:rPr>
          <w:rFonts w:hint="eastAsia" w:ascii="仿宋" w:hAnsi="仿宋" w:eastAsia="仿宋" w:cs="仿宋"/>
          <w:color w:val="auto"/>
        </w:rPr>
        <w:t>5.1.4 合同条款；</w:t>
      </w:r>
    </w:p>
    <w:p>
      <w:pPr>
        <w:spacing w:line="360" w:lineRule="auto"/>
        <w:rPr>
          <w:rFonts w:hint="eastAsia" w:ascii="仿宋" w:hAnsi="仿宋" w:eastAsia="仿宋" w:cs="仿宋"/>
          <w:color w:val="auto"/>
        </w:rPr>
      </w:pPr>
      <w:r>
        <w:rPr>
          <w:rFonts w:hint="eastAsia" w:ascii="仿宋" w:hAnsi="仿宋" w:eastAsia="仿宋" w:cs="仿宋"/>
          <w:color w:val="auto"/>
        </w:rPr>
        <w:t>5.1.5 特殊条款；</w:t>
      </w:r>
    </w:p>
    <w:p>
      <w:pPr>
        <w:spacing w:line="360" w:lineRule="auto"/>
        <w:rPr>
          <w:rFonts w:hint="eastAsia" w:ascii="仿宋" w:hAnsi="仿宋" w:eastAsia="仿宋" w:cs="仿宋"/>
          <w:color w:val="auto"/>
        </w:rPr>
      </w:pPr>
      <w:r>
        <w:rPr>
          <w:rFonts w:hint="eastAsia" w:ascii="仿宋" w:hAnsi="仿宋" w:eastAsia="仿宋" w:cs="仿宋"/>
          <w:color w:val="auto"/>
        </w:rPr>
        <w:t>附件：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1、投标函及投标报价表；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（一）投标函</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（二）投标报价表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 xml:space="preserve">（三）投标函附录（附：价格指数权重表） </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2、法定代表人身份证明或附有法定代表人身份证明的授权委托书；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3、联合体协议书；（若有时）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4、投标保证金（附收据复印件）；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 、项目管理机构（现场技术力量配备情况）</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5.1、项目管理机构组成表；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5.2、主要人员简历表；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5.2.1、主要项目管理人员简历表；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6、近年完成的类似项目情况表；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7、拟分包项目情况表；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8 、不良行为记录；；</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9、中标企业用工承诺书；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10、建筑工人实名制管理工作承诺书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11、其他投标资料。</w:t>
      </w:r>
    </w:p>
    <w:p>
      <w:pPr>
        <w:spacing w:line="360" w:lineRule="auto"/>
        <w:rPr>
          <w:rFonts w:hint="eastAsia" w:ascii="仿宋" w:hAnsi="仿宋" w:eastAsia="仿宋" w:cs="仿宋"/>
          <w:color w:val="auto"/>
        </w:rPr>
      </w:pPr>
      <w:r>
        <w:rPr>
          <w:rFonts w:hint="eastAsia" w:ascii="仿宋" w:hAnsi="仿宋" w:eastAsia="仿宋" w:cs="仿宋"/>
          <w:b/>
          <w:color w:val="auto"/>
        </w:rPr>
        <w:t>5.2</w:t>
      </w:r>
      <w:r>
        <w:rPr>
          <w:rFonts w:hint="eastAsia" w:ascii="仿宋" w:hAnsi="仿宋" w:eastAsia="仿宋" w:cs="仿宋"/>
          <w:color w:val="auto"/>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hint="eastAsia" w:ascii="仿宋" w:hAnsi="仿宋" w:eastAsia="仿宋" w:cs="仿宋"/>
          <w:b/>
          <w:color w:val="auto"/>
        </w:rPr>
      </w:pPr>
      <w:r>
        <w:rPr>
          <w:rFonts w:hint="eastAsia" w:ascii="仿宋" w:hAnsi="仿宋" w:eastAsia="仿宋" w:cs="仿宋"/>
          <w:b/>
          <w:color w:val="auto"/>
        </w:rPr>
        <w:t>6、谈判文件的澄清</w:t>
      </w:r>
    </w:p>
    <w:p>
      <w:pPr>
        <w:spacing w:line="360" w:lineRule="auto"/>
        <w:rPr>
          <w:rFonts w:hint="eastAsia" w:ascii="仿宋" w:hAnsi="仿宋" w:eastAsia="仿宋" w:cs="仿宋"/>
          <w:color w:val="auto"/>
        </w:rPr>
      </w:pPr>
      <w:r>
        <w:rPr>
          <w:rFonts w:hint="eastAsia" w:ascii="仿宋" w:hAnsi="仿宋" w:eastAsia="仿宋" w:cs="仿宋"/>
          <w:b/>
          <w:color w:val="auto"/>
        </w:rPr>
        <w:t>6.1</w:t>
      </w:r>
      <w:r>
        <w:rPr>
          <w:rFonts w:hint="eastAsia" w:ascii="仿宋" w:hAnsi="仿宋" w:eastAsia="仿宋" w:cs="仿宋"/>
          <w:color w:val="auto"/>
        </w:rPr>
        <w:t xml:space="preserve"> 投标企业下载竞争性谈判文件后请仔细阅读，如对竞争性谈判文件内容有质疑，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rPr>
        <w:fldChar w:fldCharType="separate"/>
      </w:r>
      <w:r>
        <w:rPr>
          <w:rFonts w:hint="eastAsia" w:ascii="仿宋" w:hAnsi="仿宋" w:eastAsia="仿宋" w:cs="仿宋"/>
          <w:color w:val="auto"/>
          <w:lang w:val="en-US" w:eastAsia="zh-CN"/>
        </w:rPr>
        <w:t>329324376@qq.com</w:t>
      </w:r>
      <w:r>
        <w:rPr>
          <w:rFonts w:hint="eastAsia" w:ascii="仿宋" w:hAnsi="仿宋" w:eastAsia="仿宋" w:cs="仿宋"/>
          <w:color w:val="auto"/>
        </w:rPr>
        <w:t>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auto"/>
        </w:rPr>
        <w:fldChar w:fldCharType="end"/>
      </w:r>
    </w:p>
    <w:p>
      <w:pPr>
        <w:spacing w:line="360" w:lineRule="auto"/>
        <w:rPr>
          <w:rFonts w:hint="eastAsia" w:ascii="仿宋" w:hAnsi="仿宋" w:eastAsia="仿宋" w:cs="仿宋"/>
          <w:b/>
          <w:color w:val="auto"/>
        </w:rPr>
      </w:pPr>
      <w:r>
        <w:rPr>
          <w:rFonts w:hint="eastAsia" w:ascii="仿宋" w:hAnsi="仿宋" w:eastAsia="仿宋" w:cs="仿宋"/>
          <w:b/>
          <w:color w:val="auto"/>
        </w:rPr>
        <w:t>7、谈判文件的修改</w:t>
      </w:r>
    </w:p>
    <w:p>
      <w:pPr>
        <w:spacing w:line="360" w:lineRule="auto"/>
        <w:rPr>
          <w:rFonts w:hint="eastAsia" w:ascii="仿宋" w:hAnsi="仿宋" w:eastAsia="仿宋" w:cs="仿宋"/>
          <w:color w:val="auto"/>
        </w:rPr>
      </w:pPr>
      <w:r>
        <w:rPr>
          <w:rFonts w:hint="eastAsia" w:ascii="仿宋" w:hAnsi="仿宋" w:eastAsia="仿宋" w:cs="仿宋"/>
          <w:b/>
          <w:color w:val="auto"/>
        </w:rPr>
        <w:t>7.1</w:t>
      </w:r>
      <w:r>
        <w:rPr>
          <w:rFonts w:hint="eastAsia" w:ascii="仿宋" w:hAnsi="仿宋" w:eastAsia="仿宋" w:cs="仿宋"/>
          <w:color w:val="auto"/>
        </w:rPr>
        <w:t xml:space="preserve"> 在开标时间</w:t>
      </w:r>
      <w:r>
        <w:rPr>
          <w:rFonts w:hint="eastAsia" w:ascii="仿宋" w:hAnsi="仿宋" w:eastAsia="仿宋" w:cs="仿宋"/>
          <w:color w:val="auto"/>
          <w:u w:val="single"/>
        </w:rPr>
        <w:t>24</w:t>
      </w:r>
      <w:r>
        <w:rPr>
          <w:rFonts w:hint="eastAsia" w:ascii="仿宋" w:hAnsi="仿宋" w:eastAsia="仿宋" w:cs="仿宋"/>
          <w:color w:val="auto"/>
        </w:rPr>
        <w:t>小时以前，采购人都可能以《文件补充》的方式修改竞争性谈判文件文件，代理公司将于开标前2天在本次招标公告刊登的媒体（新疆政府采购网）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auto"/>
          <w:kern w:val="0"/>
        </w:rPr>
      </w:pPr>
      <w:r>
        <w:rPr>
          <w:rFonts w:hint="eastAsia" w:ascii="仿宋" w:hAnsi="仿宋" w:eastAsia="仿宋" w:cs="仿宋"/>
          <w:b/>
          <w:color w:val="auto"/>
        </w:rPr>
        <w:t>7.2</w:t>
      </w:r>
      <w:r>
        <w:rPr>
          <w:rFonts w:hint="eastAsia" w:ascii="仿宋" w:hAnsi="仿宋" w:eastAsia="仿宋" w:cs="仿宋"/>
          <w:color w:val="auto"/>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auto"/>
          <w:kern w:val="0"/>
        </w:rPr>
        <w:t>等书面材料中相关内容相冲突，请投标人执行</w:t>
      </w:r>
      <w:r>
        <w:rPr>
          <w:rFonts w:hint="eastAsia" w:ascii="仿宋" w:hAnsi="仿宋" w:eastAsia="仿宋" w:cs="仿宋"/>
          <w:color w:val="auto"/>
        </w:rPr>
        <w:t>竞争性谈判文件</w:t>
      </w:r>
      <w:r>
        <w:rPr>
          <w:rFonts w:hint="eastAsia" w:ascii="仿宋" w:hAnsi="仿宋" w:eastAsia="仿宋" w:cs="仿宋"/>
          <w:snapToGrid w:val="0"/>
          <w:color w:val="auto"/>
          <w:kern w:val="0"/>
        </w:rPr>
        <w:t>补充的相关内容，先前发出的文件等书面材料中相关内容自动废止。</w:t>
      </w:r>
    </w:p>
    <w:p>
      <w:pPr>
        <w:spacing w:line="360" w:lineRule="auto"/>
        <w:rPr>
          <w:rFonts w:hint="eastAsia" w:ascii="仿宋" w:hAnsi="仿宋" w:eastAsia="仿宋" w:cs="仿宋"/>
          <w:snapToGrid w:val="0"/>
          <w:color w:val="auto"/>
          <w:kern w:val="0"/>
        </w:rPr>
      </w:pPr>
      <w:r>
        <w:rPr>
          <w:rFonts w:hint="eastAsia" w:ascii="仿宋" w:hAnsi="仿宋" w:eastAsia="仿宋" w:cs="仿宋"/>
          <w:b/>
          <w:snapToGrid w:val="0"/>
          <w:color w:val="auto"/>
          <w:kern w:val="0"/>
        </w:rPr>
        <w:t>7.3</w:t>
      </w:r>
      <w:r>
        <w:rPr>
          <w:rFonts w:hint="eastAsia" w:ascii="仿宋" w:hAnsi="仿宋" w:eastAsia="仿宋" w:cs="仿宋"/>
          <w:snapToGrid w:val="0"/>
          <w:color w:val="auto"/>
          <w:kern w:val="0"/>
        </w:rPr>
        <w:t xml:space="preserve"> 为使投标人在编制谈判响应文件时把《文件补充》内容考虑进去，采购人可以相应延长谈判截止日期，具体时间将在《文件补充》中写明。</w:t>
      </w:r>
    </w:p>
    <w:p>
      <w:pPr>
        <w:pStyle w:val="7"/>
        <w:spacing w:line="360" w:lineRule="auto"/>
        <w:ind w:firstLine="0" w:firstLineChars="0"/>
        <w:rPr>
          <w:rFonts w:hint="eastAsia" w:ascii="仿宋" w:hAnsi="仿宋" w:eastAsia="仿宋" w:cs="仿宋"/>
          <w:color w:val="auto"/>
        </w:rPr>
      </w:pPr>
      <w:r>
        <w:rPr>
          <w:rFonts w:hint="eastAsia" w:ascii="仿宋" w:hAnsi="仿宋" w:eastAsia="仿宋" w:cs="仿宋"/>
          <w:b/>
          <w:snapToGrid w:val="0"/>
          <w:color w:val="auto"/>
          <w:kern w:val="0"/>
        </w:rPr>
        <w:t xml:space="preserve">7.4 </w:t>
      </w:r>
      <w:r>
        <w:rPr>
          <w:rFonts w:hint="eastAsia" w:ascii="仿宋" w:hAnsi="仿宋" w:eastAsia="仿宋" w:cs="仿宋"/>
          <w:color w:val="auto"/>
        </w:rPr>
        <w:t>对于投标人澄清要求有必要时，或者竞争性谈判文件的修改补充文件，招标机构均将在本次竞争性谈判公告刊登的媒体（新疆政府采购网）</w:t>
      </w:r>
      <w:r>
        <w:rPr>
          <w:rFonts w:hint="eastAsia" w:ascii="仿宋" w:hAnsi="仿宋" w:eastAsia="仿宋" w:cs="仿宋"/>
          <w:color w:val="auto"/>
          <w:lang w:val="en-US" w:eastAsia="zh-CN"/>
        </w:rPr>
        <w:t>上</w:t>
      </w:r>
      <w:r>
        <w:rPr>
          <w:rFonts w:hint="eastAsia" w:ascii="仿宋" w:hAnsi="仿宋" w:eastAsia="仿宋" w:cs="仿宋"/>
          <w:color w:val="auto"/>
        </w:rPr>
        <w:t>予以公布。请各投标人注意！</w:t>
      </w:r>
    </w:p>
    <w:p>
      <w:pPr>
        <w:pStyle w:val="5"/>
        <w:spacing w:line="360" w:lineRule="auto"/>
        <w:ind w:firstLine="3204" w:firstLineChars="1140"/>
        <w:rPr>
          <w:rFonts w:hint="eastAsia" w:ascii="仿宋" w:hAnsi="仿宋" w:eastAsia="仿宋" w:cs="仿宋"/>
          <w:snapToGrid w:val="0"/>
          <w:color w:val="auto"/>
          <w:kern w:val="0"/>
          <w:sz w:val="28"/>
        </w:rPr>
      </w:pPr>
      <w:bookmarkStart w:id="65" w:name="_Toc9357"/>
      <w:bookmarkStart w:id="66" w:name="_Toc15024"/>
      <w:r>
        <w:rPr>
          <w:rFonts w:hint="eastAsia" w:ascii="仿宋" w:hAnsi="仿宋" w:eastAsia="仿宋" w:cs="仿宋"/>
          <w:snapToGrid w:val="0"/>
          <w:color w:val="auto"/>
          <w:kern w:val="0"/>
          <w:sz w:val="28"/>
        </w:rPr>
        <w:t>三、谈判响应文件的编制</w:t>
      </w:r>
      <w:bookmarkEnd w:id="65"/>
      <w:bookmarkEnd w:id="66"/>
    </w:p>
    <w:p>
      <w:pPr>
        <w:spacing w:line="360" w:lineRule="auto"/>
        <w:rPr>
          <w:rFonts w:hint="eastAsia" w:ascii="仿宋" w:hAnsi="仿宋" w:eastAsia="仿宋" w:cs="仿宋"/>
          <w:b/>
          <w:color w:val="auto"/>
        </w:rPr>
      </w:pPr>
      <w:r>
        <w:rPr>
          <w:rFonts w:hint="eastAsia" w:ascii="仿宋" w:hAnsi="仿宋" w:eastAsia="仿宋" w:cs="仿宋"/>
          <w:b/>
          <w:color w:val="auto"/>
        </w:rPr>
        <w:t>8、谈判响应文件的编写</w:t>
      </w:r>
    </w:p>
    <w:p>
      <w:pPr>
        <w:spacing w:line="360" w:lineRule="auto"/>
        <w:rPr>
          <w:rFonts w:hint="eastAsia" w:ascii="仿宋" w:hAnsi="仿宋" w:eastAsia="仿宋" w:cs="仿宋"/>
          <w:color w:val="auto"/>
        </w:rPr>
      </w:pPr>
      <w:r>
        <w:rPr>
          <w:rFonts w:hint="eastAsia" w:ascii="仿宋" w:hAnsi="仿宋" w:eastAsia="仿宋" w:cs="仿宋"/>
          <w:b/>
          <w:color w:val="auto"/>
        </w:rPr>
        <w:t>8.1</w:t>
      </w:r>
      <w:r>
        <w:rPr>
          <w:rFonts w:hint="eastAsia" w:ascii="仿宋" w:hAnsi="仿宋" w:eastAsia="仿宋" w:cs="仿宋"/>
          <w:color w:val="auto"/>
        </w:rPr>
        <w:t xml:space="preserve"> 报价人应仔细阅读谈判文件，了解文件的要求。在充分理解谈判文件提出的技术要求、服务和商务条件后，编制谈判响应文件。</w:t>
      </w:r>
    </w:p>
    <w:p>
      <w:pPr>
        <w:spacing w:line="360" w:lineRule="auto"/>
        <w:rPr>
          <w:rFonts w:hint="eastAsia" w:ascii="仿宋" w:hAnsi="仿宋" w:eastAsia="仿宋" w:cs="仿宋"/>
          <w:b/>
          <w:color w:val="auto"/>
        </w:rPr>
      </w:pPr>
      <w:r>
        <w:rPr>
          <w:rFonts w:hint="eastAsia" w:ascii="仿宋" w:hAnsi="仿宋" w:eastAsia="仿宋" w:cs="仿宋"/>
          <w:b/>
          <w:color w:val="auto"/>
        </w:rPr>
        <w:t>9、谈判及报价语言</w:t>
      </w:r>
    </w:p>
    <w:p>
      <w:pPr>
        <w:spacing w:line="360" w:lineRule="auto"/>
        <w:rPr>
          <w:rFonts w:hint="eastAsia" w:ascii="仿宋" w:hAnsi="仿宋" w:eastAsia="仿宋" w:cs="仿宋"/>
          <w:color w:val="auto"/>
        </w:rPr>
      </w:pPr>
      <w:r>
        <w:rPr>
          <w:rFonts w:hint="eastAsia" w:ascii="仿宋" w:hAnsi="仿宋" w:eastAsia="仿宋" w:cs="仿宋"/>
          <w:b/>
          <w:color w:val="auto"/>
        </w:rPr>
        <w:t xml:space="preserve">9.1 </w:t>
      </w:r>
      <w:r>
        <w:rPr>
          <w:rFonts w:hint="eastAsia" w:ascii="仿宋" w:hAnsi="仿宋" w:eastAsia="仿宋" w:cs="仿宋"/>
          <w:color w:val="auto"/>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auto"/>
        </w:rPr>
      </w:pPr>
      <w:r>
        <w:rPr>
          <w:rFonts w:hint="eastAsia" w:ascii="仿宋" w:hAnsi="仿宋" w:eastAsia="仿宋" w:cs="仿宋"/>
          <w:b/>
          <w:color w:val="auto"/>
        </w:rPr>
        <w:t>9.2</w:t>
      </w:r>
      <w:r>
        <w:rPr>
          <w:rFonts w:hint="eastAsia" w:ascii="仿宋" w:hAnsi="仿宋" w:eastAsia="仿宋" w:cs="仿宋"/>
          <w:color w:val="auto"/>
        </w:rPr>
        <w:t xml:space="preserve"> 谈判响应文件中使用的计量单位除谈判文件中有特殊规定外，一律使用法定计量单位。</w:t>
      </w:r>
    </w:p>
    <w:p>
      <w:pPr>
        <w:spacing w:line="360" w:lineRule="auto"/>
        <w:rPr>
          <w:rFonts w:hint="eastAsia" w:ascii="仿宋" w:hAnsi="仿宋" w:eastAsia="仿宋" w:cs="仿宋"/>
          <w:b/>
          <w:color w:val="auto"/>
        </w:rPr>
      </w:pPr>
      <w:r>
        <w:rPr>
          <w:rFonts w:hint="eastAsia" w:ascii="仿宋" w:hAnsi="仿宋" w:eastAsia="仿宋" w:cs="仿宋"/>
          <w:b/>
          <w:color w:val="auto"/>
        </w:rPr>
        <w:t>10、谈判响应文件构成：</w:t>
      </w:r>
    </w:p>
    <w:p>
      <w:pPr>
        <w:spacing w:line="360" w:lineRule="auto"/>
        <w:rPr>
          <w:rFonts w:hint="eastAsia" w:ascii="仿宋" w:hAnsi="仿宋" w:eastAsia="仿宋" w:cs="仿宋"/>
          <w:b/>
          <w:color w:val="auto"/>
        </w:rPr>
      </w:pPr>
      <w:r>
        <w:rPr>
          <w:rFonts w:hint="eastAsia" w:ascii="仿宋" w:hAnsi="仿宋" w:eastAsia="仿宋" w:cs="仿宋"/>
          <w:b/>
          <w:color w:val="auto"/>
        </w:rPr>
        <w:t>详细如下：</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1、投标函及投标报价表；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（一）投标函</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（二）投标报价表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 xml:space="preserve">（三）投标函附录（附：价格指数权重表） </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2、法定代表人身份证明或附有法定代表人身份证明的授权委托书；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3、联合体协议书；（若有时）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4、投标保证金（附收据复印件）；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 、项目管理机构（现场技术力量配备情况）</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5.1、项目管理机构组成表；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5.2、主要人员简历表；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5.2.1、主要项目管理人员简历表；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6、近年完成的类似项目情况表；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7、拟分包项目情况表；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8 、不良行为记录；；</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9、中标企业用工承诺书；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10、建筑工人实名制管理工作承诺书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11、其他投标资料。</w:t>
      </w:r>
    </w:p>
    <w:p>
      <w:pPr>
        <w:spacing w:line="360" w:lineRule="auto"/>
        <w:rPr>
          <w:rFonts w:hint="eastAsia" w:ascii="仿宋" w:hAnsi="仿宋" w:eastAsia="仿宋" w:cs="仿宋"/>
          <w:b/>
          <w:color w:val="auto"/>
        </w:rPr>
      </w:pPr>
      <w:r>
        <w:rPr>
          <w:rFonts w:hint="eastAsia" w:ascii="仿宋" w:hAnsi="仿宋" w:eastAsia="仿宋" w:cs="仿宋"/>
          <w:b/>
          <w:color w:val="auto"/>
        </w:rPr>
        <w:t>11、报价：</w:t>
      </w:r>
    </w:p>
    <w:p>
      <w:pPr>
        <w:spacing w:line="360" w:lineRule="auto"/>
        <w:rPr>
          <w:rFonts w:hint="eastAsia" w:ascii="仿宋" w:hAnsi="仿宋" w:eastAsia="仿宋" w:cs="仿宋"/>
          <w:b/>
          <w:bCs/>
          <w:color w:val="auto"/>
        </w:rPr>
      </w:pPr>
      <w:r>
        <w:rPr>
          <w:rFonts w:hint="eastAsia" w:ascii="仿宋" w:hAnsi="仿宋" w:eastAsia="仿宋" w:cs="仿宋"/>
          <w:color w:val="auto"/>
        </w:rPr>
        <w:t xml:space="preserve">11.1 </w:t>
      </w:r>
      <w:r>
        <w:rPr>
          <w:rFonts w:hint="eastAsia" w:ascii="仿宋" w:hAnsi="仿宋" w:eastAsia="仿宋" w:cs="仿宋"/>
          <w:b/>
          <w:bCs/>
          <w:color w:val="auto"/>
        </w:rPr>
        <w:t>投标总报价超预算金额的，其报价无效，不进入评标阶段。</w:t>
      </w:r>
    </w:p>
    <w:p>
      <w:pPr>
        <w:spacing w:line="360" w:lineRule="auto"/>
        <w:rPr>
          <w:rFonts w:hint="eastAsia" w:ascii="仿宋" w:hAnsi="仿宋" w:eastAsia="仿宋" w:cs="仿宋"/>
          <w:color w:val="auto"/>
        </w:rPr>
      </w:pPr>
      <w:r>
        <w:rPr>
          <w:rFonts w:hint="eastAsia" w:ascii="仿宋" w:hAnsi="仿宋" w:eastAsia="仿宋" w:cs="仿宋"/>
          <w:color w:val="auto"/>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360" w:lineRule="auto"/>
        <w:rPr>
          <w:rFonts w:hint="eastAsia" w:ascii="仿宋" w:hAnsi="仿宋" w:eastAsia="仿宋" w:cs="仿宋"/>
          <w:color w:val="auto"/>
        </w:rPr>
      </w:pPr>
      <w:r>
        <w:rPr>
          <w:rFonts w:hint="eastAsia" w:ascii="仿宋" w:hAnsi="仿宋" w:eastAsia="仿宋" w:cs="仿宋"/>
          <w:color w:val="auto"/>
        </w:rPr>
        <w:t>11.3 报价人如果免费提供某项产品、部件或服务，除在价格栏中填写“0”外，还必须在备注栏中声明免费或赠送。</w:t>
      </w:r>
    </w:p>
    <w:p>
      <w:pPr>
        <w:spacing w:line="360" w:lineRule="auto"/>
        <w:rPr>
          <w:rFonts w:hint="eastAsia" w:ascii="仿宋" w:hAnsi="仿宋" w:eastAsia="仿宋" w:cs="仿宋"/>
          <w:color w:val="auto"/>
        </w:rPr>
      </w:pPr>
      <w:r>
        <w:rPr>
          <w:rFonts w:hint="eastAsia" w:ascii="仿宋" w:hAnsi="仿宋" w:eastAsia="仿宋" w:cs="仿宋"/>
          <w:color w:val="auto"/>
        </w:rPr>
        <w:t>11.4 投标报价时应注意包括下列几项费用：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 招标文件中特别要求的备品备件、易损件和专用工具的费用；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 招标文件中特别要求的货物的供应、运输、装卸、安装、调试、税费等全部费用；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 报价人提供的在中华人民共和国制造的货物，其货物的投标价即交货价中，包括制造、组装该货物所使用的零部件及原材料已付的全部关税、销售税和其他税。</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 综合单价必须包括供应、运输、装卸、安装、调试、税费等全部报价。</w:t>
      </w:r>
    </w:p>
    <w:p>
      <w:pPr>
        <w:spacing w:line="360" w:lineRule="auto"/>
        <w:rPr>
          <w:rFonts w:hint="eastAsia" w:ascii="仿宋" w:hAnsi="仿宋" w:eastAsia="仿宋" w:cs="仿宋"/>
          <w:color w:val="auto"/>
        </w:rPr>
      </w:pPr>
      <w:r>
        <w:rPr>
          <w:rFonts w:hint="eastAsia" w:ascii="仿宋" w:hAnsi="仿宋" w:eastAsia="仿宋" w:cs="仿宋"/>
          <w:color w:val="auto"/>
        </w:rPr>
        <w:t xml:space="preserve">11.5 </w:t>
      </w:r>
      <w:r>
        <w:rPr>
          <w:rFonts w:hint="eastAsia" w:ascii="仿宋" w:hAnsi="仿宋" w:eastAsia="仿宋" w:cs="仿宋"/>
          <w:bCs/>
          <w:color w:val="auto"/>
        </w:rPr>
        <w:t>报价</w:t>
      </w:r>
      <w:r>
        <w:rPr>
          <w:rFonts w:hint="eastAsia" w:ascii="仿宋" w:hAnsi="仿宋" w:eastAsia="仿宋" w:cs="仿宋"/>
          <w:color w:val="auto"/>
        </w:rPr>
        <w:t>人应对投标货物提供完整的详细的书面说明。</w:t>
      </w:r>
    </w:p>
    <w:p>
      <w:pPr>
        <w:spacing w:line="360" w:lineRule="auto"/>
        <w:rPr>
          <w:rFonts w:hint="eastAsia" w:ascii="仿宋" w:hAnsi="仿宋" w:eastAsia="仿宋" w:cs="仿宋"/>
          <w:color w:val="auto"/>
        </w:rPr>
      </w:pPr>
      <w:r>
        <w:rPr>
          <w:rFonts w:hint="eastAsia" w:ascii="仿宋" w:hAnsi="仿宋" w:eastAsia="仿宋" w:cs="仿宋"/>
          <w:color w:val="auto"/>
        </w:rPr>
        <w:t>11.6投标报价单位为人民币。各项价格必须清楚、准确、详细。</w:t>
      </w:r>
    </w:p>
    <w:p>
      <w:pPr>
        <w:spacing w:line="360" w:lineRule="auto"/>
        <w:rPr>
          <w:rFonts w:hint="eastAsia" w:ascii="仿宋" w:hAnsi="仿宋" w:eastAsia="仿宋" w:cs="仿宋"/>
          <w:color w:val="auto"/>
        </w:rPr>
      </w:pPr>
      <w:r>
        <w:rPr>
          <w:rFonts w:hint="eastAsia" w:ascii="仿宋" w:hAnsi="仿宋" w:eastAsia="仿宋" w:cs="仿宋"/>
          <w:color w:val="auto"/>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hint="eastAsia" w:ascii="仿宋" w:hAnsi="仿宋" w:eastAsia="仿宋" w:cs="仿宋"/>
          <w:b/>
          <w:color w:val="auto"/>
        </w:rPr>
      </w:pPr>
      <w:r>
        <w:rPr>
          <w:rFonts w:hint="eastAsia" w:ascii="仿宋" w:hAnsi="仿宋" w:eastAsia="仿宋" w:cs="仿宋"/>
          <w:b/>
          <w:color w:val="auto"/>
        </w:rPr>
        <w:t>12、报价货币</w:t>
      </w:r>
    </w:p>
    <w:p>
      <w:pPr>
        <w:spacing w:line="360" w:lineRule="auto"/>
        <w:rPr>
          <w:rFonts w:hint="eastAsia" w:ascii="仿宋" w:hAnsi="仿宋" w:eastAsia="仿宋" w:cs="仿宋"/>
          <w:color w:val="auto"/>
        </w:rPr>
      </w:pPr>
      <w:r>
        <w:rPr>
          <w:rFonts w:hint="eastAsia" w:ascii="仿宋" w:hAnsi="仿宋" w:eastAsia="仿宋" w:cs="仿宋"/>
          <w:b/>
          <w:color w:val="auto"/>
        </w:rPr>
        <w:t>12.1</w:t>
      </w:r>
      <w:r>
        <w:rPr>
          <w:rFonts w:hint="eastAsia" w:ascii="仿宋" w:hAnsi="仿宋" w:eastAsia="仿宋" w:cs="仿宋"/>
          <w:color w:val="auto"/>
        </w:rPr>
        <w:t xml:space="preserve"> 报价应以人民币报价。</w:t>
      </w:r>
    </w:p>
    <w:p>
      <w:pPr>
        <w:spacing w:line="360" w:lineRule="auto"/>
        <w:rPr>
          <w:rFonts w:hint="eastAsia" w:ascii="仿宋" w:hAnsi="仿宋" w:eastAsia="仿宋" w:cs="仿宋"/>
          <w:b/>
          <w:color w:val="auto"/>
        </w:rPr>
      </w:pPr>
      <w:r>
        <w:rPr>
          <w:rFonts w:hint="eastAsia" w:ascii="仿宋" w:hAnsi="仿宋" w:eastAsia="仿宋" w:cs="仿宋"/>
          <w:b/>
          <w:color w:val="auto"/>
        </w:rPr>
        <w:t>13、证明报价人资格的文件</w:t>
      </w:r>
    </w:p>
    <w:p>
      <w:pPr>
        <w:spacing w:line="360" w:lineRule="auto"/>
        <w:rPr>
          <w:rFonts w:hint="eastAsia" w:ascii="仿宋" w:hAnsi="仿宋" w:eastAsia="仿宋" w:cs="仿宋"/>
          <w:color w:val="auto"/>
        </w:rPr>
      </w:pPr>
      <w:r>
        <w:rPr>
          <w:rFonts w:hint="eastAsia" w:ascii="仿宋" w:hAnsi="仿宋" w:eastAsia="仿宋" w:cs="仿宋"/>
          <w:b/>
          <w:color w:val="auto"/>
        </w:rPr>
        <w:t>13.1</w:t>
      </w:r>
      <w:r>
        <w:rPr>
          <w:rFonts w:hint="eastAsia" w:ascii="仿宋" w:hAnsi="仿宋" w:eastAsia="仿宋" w:cs="仿宋"/>
          <w:color w:val="auto"/>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auto"/>
        </w:rPr>
      </w:pPr>
      <w:r>
        <w:rPr>
          <w:rFonts w:hint="eastAsia" w:ascii="仿宋" w:hAnsi="仿宋" w:eastAsia="仿宋" w:cs="仿宋"/>
          <w:color w:val="auto"/>
        </w:rPr>
        <w:t>13.1.1 报价人有效“工商营业执照”副本内页；</w:t>
      </w:r>
    </w:p>
    <w:p>
      <w:pPr>
        <w:spacing w:line="360" w:lineRule="auto"/>
        <w:rPr>
          <w:rFonts w:hint="eastAsia" w:ascii="仿宋" w:hAnsi="仿宋" w:eastAsia="仿宋" w:cs="仿宋"/>
          <w:color w:val="auto"/>
        </w:rPr>
      </w:pPr>
      <w:r>
        <w:rPr>
          <w:rFonts w:hint="eastAsia" w:ascii="仿宋" w:hAnsi="仿宋" w:eastAsia="仿宋" w:cs="仿宋"/>
          <w:color w:val="auto"/>
        </w:rPr>
        <w:t>13.1.2 法人代表资格证明书或法人代表授权书；</w:t>
      </w:r>
    </w:p>
    <w:p>
      <w:pPr>
        <w:spacing w:line="360" w:lineRule="auto"/>
        <w:rPr>
          <w:rFonts w:hint="eastAsia" w:ascii="仿宋" w:hAnsi="仿宋" w:eastAsia="仿宋" w:cs="仿宋"/>
          <w:color w:val="auto"/>
        </w:rPr>
      </w:pPr>
      <w:r>
        <w:rPr>
          <w:rFonts w:hint="eastAsia" w:ascii="仿宋" w:hAnsi="仿宋" w:eastAsia="仿宋" w:cs="仿宋"/>
          <w:color w:val="auto"/>
        </w:rPr>
        <w:t>13.1.3 法人代表身份证或法人授权代表身份证；</w:t>
      </w:r>
    </w:p>
    <w:p>
      <w:pPr>
        <w:spacing w:line="360" w:lineRule="auto"/>
        <w:rPr>
          <w:rFonts w:hint="eastAsia" w:ascii="仿宋" w:hAnsi="仿宋" w:eastAsia="仿宋" w:cs="仿宋"/>
          <w:color w:val="auto"/>
          <w:kern w:val="0"/>
          <w:shd w:val="clear" w:color="0A0000" w:fill="FFFFFF"/>
        </w:rPr>
      </w:pPr>
      <w:r>
        <w:rPr>
          <w:rFonts w:hint="eastAsia" w:ascii="仿宋" w:hAnsi="仿宋" w:eastAsia="仿宋" w:cs="仿宋"/>
          <w:color w:val="auto"/>
        </w:rPr>
        <w:t>13.1.4近一年来经审计或税务部门审核的年度财务报表（包括：损益表、资产负债表、现金流量表</w:t>
      </w:r>
      <w:r>
        <w:rPr>
          <w:rFonts w:hint="eastAsia" w:ascii="仿宋" w:hAnsi="仿宋" w:eastAsia="仿宋" w:cs="仿宋"/>
          <w:color w:val="auto"/>
          <w:kern w:val="0"/>
          <w:shd w:val="clear" w:color="0A0000" w:fill="FFFFFF"/>
        </w:rPr>
        <w:t>。</w:t>
      </w:r>
    </w:p>
    <w:p>
      <w:pPr>
        <w:spacing w:line="360" w:lineRule="auto"/>
        <w:rPr>
          <w:rFonts w:hint="eastAsia" w:ascii="仿宋" w:hAnsi="仿宋" w:eastAsia="仿宋" w:cs="仿宋"/>
          <w:bCs/>
          <w:color w:val="auto"/>
        </w:rPr>
      </w:pPr>
      <w:r>
        <w:rPr>
          <w:rFonts w:hint="eastAsia" w:ascii="仿宋" w:hAnsi="仿宋" w:eastAsia="仿宋" w:cs="仿宋"/>
          <w:bCs/>
          <w:color w:val="auto"/>
        </w:rPr>
        <w:t>13.1.5</w:t>
      </w:r>
      <w:r>
        <w:rPr>
          <w:rFonts w:hint="eastAsia" w:ascii="仿宋" w:hAnsi="仿宋" w:eastAsia="仿宋" w:cs="仿宋"/>
          <w:b/>
          <w:color w:val="auto"/>
        </w:rPr>
        <w:t xml:space="preserve"> </w:t>
      </w:r>
      <w:r>
        <w:rPr>
          <w:rFonts w:hint="eastAsia" w:ascii="仿宋" w:hAnsi="仿宋" w:eastAsia="仿宋" w:cs="仿宋"/>
          <w:bCs/>
          <w:color w:val="auto"/>
        </w:rPr>
        <w:t>其他招标文件中要求列出的资格证明文件。</w:t>
      </w:r>
    </w:p>
    <w:p>
      <w:pPr>
        <w:pStyle w:val="2"/>
        <w:spacing w:line="360" w:lineRule="auto"/>
        <w:ind w:left="0" w:leftChars="0" w:firstLine="0" w:firstLineChars="0"/>
        <w:rPr>
          <w:rFonts w:hint="eastAsia" w:ascii="仿宋" w:hAnsi="仿宋" w:eastAsia="仿宋" w:cs="仿宋"/>
          <w:color w:val="auto"/>
          <w:sz w:val="24"/>
          <w:szCs w:val="32"/>
        </w:rPr>
      </w:pPr>
      <w:r>
        <w:rPr>
          <w:rFonts w:hint="eastAsia" w:ascii="仿宋" w:hAnsi="仿宋" w:eastAsia="仿宋" w:cs="仿宋"/>
          <w:color w:val="auto"/>
          <w:sz w:val="24"/>
          <w:szCs w:val="32"/>
        </w:rPr>
        <w:t>13.1.6 投标单位认为有必要提供的声明及文件资料。</w:t>
      </w:r>
    </w:p>
    <w:p>
      <w:pPr>
        <w:spacing w:line="360" w:lineRule="auto"/>
        <w:rPr>
          <w:rFonts w:hint="eastAsia" w:ascii="仿宋" w:hAnsi="仿宋" w:eastAsia="仿宋" w:cs="仿宋"/>
          <w:b/>
          <w:color w:val="auto"/>
        </w:rPr>
      </w:pPr>
      <w:r>
        <w:rPr>
          <w:rFonts w:hint="eastAsia" w:ascii="仿宋" w:hAnsi="仿宋" w:eastAsia="仿宋" w:cs="仿宋"/>
          <w:b/>
          <w:color w:val="auto"/>
        </w:rPr>
        <w:t>14、报价人应逐条详细阅读谈判文件有关要求，表明所提供的服务是否对文件做出实质性响应。</w:t>
      </w:r>
    </w:p>
    <w:p>
      <w:pPr>
        <w:spacing w:line="360" w:lineRule="auto"/>
        <w:rPr>
          <w:rFonts w:hint="eastAsia" w:ascii="仿宋" w:hAnsi="仿宋" w:eastAsia="仿宋" w:cs="仿宋"/>
          <w:b/>
          <w:color w:val="auto"/>
        </w:rPr>
      </w:pPr>
      <w:r>
        <w:rPr>
          <w:rFonts w:hint="eastAsia" w:ascii="仿宋" w:hAnsi="仿宋" w:eastAsia="仿宋" w:cs="仿宋"/>
          <w:b/>
          <w:color w:val="auto"/>
        </w:rPr>
        <w:t>15、谈判响应文件的有效期</w:t>
      </w:r>
    </w:p>
    <w:p>
      <w:pPr>
        <w:spacing w:line="360" w:lineRule="auto"/>
        <w:rPr>
          <w:rFonts w:hint="eastAsia" w:ascii="仿宋" w:hAnsi="仿宋" w:eastAsia="仿宋" w:cs="仿宋"/>
          <w:color w:val="auto"/>
        </w:rPr>
      </w:pPr>
      <w:r>
        <w:rPr>
          <w:rFonts w:hint="eastAsia" w:ascii="仿宋" w:hAnsi="仿宋" w:eastAsia="仿宋" w:cs="仿宋"/>
          <w:b/>
          <w:color w:val="auto"/>
        </w:rPr>
        <w:t>15.1</w:t>
      </w:r>
      <w:r>
        <w:rPr>
          <w:rFonts w:hint="eastAsia" w:ascii="仿宋" w:hAnsi="仿宋" w:eastAsia="仿宋" w:cs="仿宋"/>
          <w:color w:val="auto"/>
        </w:rPr>
        <w:t xml:space="preserve"> 谈判响应文件从实质谈判之日起 30 天内有效。</w:t>
      </w:r>
    </w:p>
    <w:p>
      <w:pPr>
        <w:spacing w:line="360" w:lineRule="auto"/>
        <w:rPr>
          <w:rFonts w:hint="eastAsia" w:ascii="仿宋" w:hAnsi="仿宋" w:eastAsia="仿宋" w:cs="仿宋"/>
          <w:color w:val="auto"/>
        </w:rPr>
      </w:pPr>
      <w:r>
        <w:rPr>
          <w:rFonts w:hint="eastAsia" w:ascii="仿宋" w:hAnsi="仿宋" w:eastAsia="仿宋" w:cs="仿宋"/>
          <w:b/>
          <w:color w:val="auto"/>
        </w:rPr>
        <w:t>15.2</w:t>
      </w:r>
      <w:r>
        <w:rPr>
          <w:rFonts w:hint="eastAsia" w:ascii="仿宋" w:hAnsi="仿宋" w:eastAsia="仿宋" w:cs="仿宋"/>
          <w:color w:val="auto"/>
        </w:rPr>
        <w:t xml:space="preserve"> 如遇特殊情况，在原报价有效期届满之前，采购人可与报价人协商延长谈判响应文件的有效期，并经报价人确认。</w:t>
      </w:r>
    </w:p>
    <w:p>
      <w:pPr>
        <w:spacing w:line="360" w:lineRule="auto"/>
        <w:rPr>
          <w:rFonts w:hint="eastAsia" w:ascii="仿宋" w:hAnsi="仿宋" w:eastAsia="仿宋" w:cs="仿宋"/>
          <w:b/>
          <w:color w:val="auto"/>
        </w:rPr>
      </w:pPr>
      <w:r>
        <w:rPr>
          <w:rFonts w:hint="eastAsia" w:ascii="仿宋" w:hAnsi="仿宋" w:eastAsia="仿宋" w:cs="仿宋"/>
          <w:b/>
          <w:color w:val="auto"/>
        </w:rPr>
        <w:t>16、谈判响应文件的份数、签署、字体、装订</w:t>
      </w:r>
    </w:p>
    <w:p>
      <w:pPr>
        <w:spacing w:line="360" w:lineRule="auto"/>
        <w:rPr>
          <w:rFonts w:hint="eastAsia" w:ascii="仿宋" w:hAnsi="仿宋" w:eastAsia="仿宋" w:cs="仿宋"/>
          <w:color w:val="auto"/>
        </w:rPr>
      </w:pPr>
      <w:r>
        <w:rPr>
          <w:rFonts w:hint="eastAsia" w:ascii="仿宋" w:hAnsi="仿宋" w:eastAsia="仿宋" w:cs="仿宋"/>
          <w:b/>
          <w:color w:val="auto"/>
        </w:rPr>
        <w:t>16.1</w:t>
      </w:r>
      <w:r>
        <w:rPr>
          <w:rFonts w:hint="eastAsia" w:ascii="仿宋" w:hAnsi="仿宋" w:eastAsia="仿宋" w:cs="仿宋"/>
          <w:color w:val="auto"/>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hint="eastAsia" w:ascii="仿宋" w:hAnsi="仿宋" w:eastAsia="仿宋" w:cs="仿宋"/>
          <w:color w:val="auto"/>
        </w:rPr>
      </w:pPr>
      <w:r>
        <w:rPr>
          <w:rFonts w:hint="eastAsia" w:ascii="仿宋" w:hAnsi="仿宋" w:eastAsia="仿宋" w:cs="仿宋"/>
          <w:b/>
          <w:color w:val="auto"/>
        </w:rPr>
        <w:t>16.2</w:t>
      </w:r>
      <w:r>
        <w:rPr>
          <w:rFonts w:hint="eastAsia" w:ascii="仿宋" w:hAnsi="仿宋" w:eastAsia="仿宋" w:cs="仿宋"/>
          <w:color w:val="auto"/>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auto"/>
        </w:rPr>
      </w:pPr>
      <w:r>
        <w:rPr>
          <w:rFonts w:hint="eastAsia" w:ascii="仿宋" w:hAnsi="仿宋" w:eastAsia="仿宋" w:cs="仿宋"/>
          <w:b/>
          <w:color w:val="auto"/>
        </w:rPr>
        <w:t>16.3</w:t>
      </w:r>
      <w:r>
        <w:rPr>
          <w:rFonts w:hint="eastAsia" w:ascii="仿宋" w:hAnsi="仿宋" w:eastAsia="仿宋" w:cs="仿宋"/>
          <w:color w:val="auto"/>
        </w:rPr>
        <w:t xml:space="preserve"> 谈判响应文件应由企业法人或法人授权代表在规定签章处逐一签署及加盖单位公章。</w:t>
      </w:r>
    </w:p>
    <w:p>
      <w:pPr>
        <w:spacing w:line="360" w:lineRule="auto"/>
        <w:rPr>
          <w:rFonts w:hint="eastAsia" w:ascii="仿宋" w:hAnsi="仿宋" w:eastAsia="仿宋" w:cs="仿宋"/>
          <w:color w:val="auto"/>
        </w:rPr>
      </w:pPr>
      <w:r>
        <w:rPr>
          <w:rFonts w:hint="eastAsia" w:ascii="仿宋" w:hAnsi="仿宋" w:eastAsia="仿宋" w:cs="仿宋"/>
          <w:b/>
          <w:color w:val="auto"/>
        </w:rPr>
        <w:t>16.4</w:t>
      </w:r>
      <w:r>
        <w:rPr>
          <w:rFonts w:hint="eastAsia" w:ascii="仿宋" w:hAnsi="仿宋" w:eastAsia="仿宋" w:cs="仿宋"/>
          <w:color w:val="auto"/>
        </w:rPr>
        <w:t xml:space="preserve"> 谈判响应文件一律采用胶装方式进行装订。</w:t>
      </w:r>
    </w:p>
    <w:p>
      <w:pPr>
        <w:spacing w:line="360" w:lineRule="auto"/>
        <w:rPr>
          <w:rFonts w:hint="eastAsia" w:ascii="仿宋" w:hAnsi="仿宋" w:eastAsia="仿宋" w:cs="仿宋"/>
          <w:b/>
          <w:color w:val="auto"/>
        </w:rPr>
      </w:pPr>
      <w:r>
        <w:rPr>
          <w:rFonts w:hint="eastAsia" w:ascii="仿宋" w:hAnsi="仿宋" w:eastAsia="仿宋" w:cs="仿宋"/>
          <w:b/>
          <w:color w:val="auto"/>
        </w:rPr>
        <w:t>17、谈判保证金</w:t>
      </w:r>
    </w:p>
    <w:p>
      <w:pPr>
        <w:spacing w:line="360" w:lineRule="auto"/>
        <w:rPr>
          <w:rFonts w:hint="eastAsia" w:ascii="仿宋" w:hAnsi="仿宋" w:eastAsia="仿宋" w:cs="仿宋"/>
          <w:color w:val="auto"/>
        </w:rPr>
      </w:pPr>
      <w:r>
        <w:rPr>
          <w:rFonts w:hint="eastAsia" w:ascii="仿宋" w:hAnsi="仿宋" w:eastAsia="仿宋" w:cs="仿宋"/>
          <w:b/>
          <w:color w:val="auto"/>
        </w:rPr>
        <w:t>17.1</w:t>
      </w:r>
      <w:r>
        <w:rPr>
          <w:rFonts w:hint="eastAsia" w:ascii="仿宋" w:hAnsi="仿宋" w:eastAsia="仿宋" w:cs="仿宋"/>
          <w:color w:val="auto"/>
        </w:rPr>
        <w:t xml:space="preserve"> 谈判保证金数额详见投标须知前附表第</w:t>
      </w:r>
      <w:r>
        <w:rPr>
          <w:rFonts w:hint="eastAsia" w:ascii="仿宋" w:hAnsi="仿宋" w:eastAsia="仿宋" w:cs="仿宋"/>
          <w:color w:val="auto"/>
          <w:lang w:val="en-US" w:eastAsia="zh-CN"/>
        </w:rPr>
        <w:t>12</w:t>
      </w:r>
      <w:r>
        <w:rPr>
          <w:rFonts w:hint="eastAsia" w:ascii="仿宋" w:hAnsi="仿宋" w:eastAsia="仿宋" w:cs="仿宋"/>
          <w:color w:val="auto"/>
        </w:rPr>
        <w:t>条。</w:t>
      </w:r>
    </w:p>
    <w:p>
      <w:pPr>
        <w:spacing w:line="360" w:lineRule="auto"/>
        <w:rPr>
          <w:rFonts w:hint="eastAsia" w:ascii="仿宋" w:hAnsi="仿宋" w:eastAsia="仿宋" w:cs="仿宋"/>
          <w:color w:val="auto"/>
        </w:rPr>
      </w:pPr>
      <w:r>
        <w:rPr>
          <w:rFonts w:hint="eastAsia" w:ascii="仿宋" w:hAnsi="仿宋" w:eastAsia="仿宋" w:cs="仿宋"/>
          <w:b/>
          <w:color w:val="auto"/>
        </w:rPr>
        <w:t>17.2</w:t>
      </w:r>
      <w:r>
        <w:rPr>
          <w:rFonts w:hint="eastAsia" w:ascii="仿宋" w:hAnsi="仿宋" w:eastAsia="仿宋" w:cs="仿宋"/>
          <w:color w:val="auto"/>
        </w:rPr>
        <w:t xml:space="preserve"> 谈判保证金用于应对本次因报价人违规、违约而产生的风险。</w:t>
      </w:r>
    </w:p>
    <w:p>
      <w:pPr>
        <w:spacing w:line="360" w:lineRule="auto"/>
        <w:rPr>
          <w:rFonts w:hint="eastAsia" w:ascii="仿宋" w:hAnsi="仿宋" w:eastAsia="仿宋" w:cs="仿宋"/>
          <w:color w:val="auto"/>
          <w:u w:val="single"/>
        </w:rPr>
      </w:pPr>
      <w:r>
        <w:rPr>
          <w:rFonts w:hint="eastAsia" w:ascii="仿宋" w:hAnsi="仿宋" w:eastAsia="仿宋" w:cs="仿宋"/>
          <w:b/>
          <w:color w:val="auto"/>
        </w:rPr>
        <w:t>17.3</w:t>
      </w:r>
      <w:r>
        <w:rPr>
          <w:rFonts w:hint="eastAsia" w:ascii="仿宋" w:hAnsi="仿宋" w:eastAsia="仿宋" w:cs="仿宋"/>
          <w:color w:val="auto"/>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auto"/>
        </w:rPr>
      </w:pPr>
      <w:r>
        <w:rPr>
          <w:rFonts w:hint="eastAsia" w:ascii="仿宋" w:hAnsi="仿宋" w:eastAsia="仿宋" w:cs="仿宋"/>
          <w:b/>
          <w:color w:val="auto"/>
        </w:rPr>
        <w:t>17.4</w:t>
      </w:r>
      <w:r>
        <w:rPr>
          <w:rFonts w:hint="eastAsia" w:ascii="仿宋" w:hAnsi="仿宋" w:eastAsia="仿宋" w:cs="仿宋"/>
          <w:color w:val="auto"/>
        </w:rPr>
        <w:t xml:space="preserve"> 谈判保证金以银行汇票、支票的方式提交，不接受现金及银行保函形式的谈判保证金。</w:t>
      </w:r>
    </w:p>
    <w:p>
      <w:pPr>
        <w:spacing w:line="360" w:lineRule="auto"/>
        <w:rPr>
          <w:rFonts w:hint="eastAsia" w:ascii="仿宋" w:hAnsi="仿宋" w:eastAsia="仿宋" w:cs="仿宋"/>
          <w:color w:val="auto"/>
        </w:rPr>
      </w:pPr>
      <w:r>
        <w:rPr>
          <w:rFonts w:hint="eastAsia" w:ascii="仿宋" w:hAnsi="仿宋" w:eastAsia="仿宋" w:cs="仿宋"/>
          <w:b/>
          <w:color w:val="auto"/>
        </w:rPr>
        <w:t>17.5</w:t>
      </w:r>
      <w:r>
        <w:rPr>
          <w:rFonts w:hint="eastAsia" w:ascii="仿宋" w:hAnsi="仿宋" w:eastAsia="仿宋" w:cs="仿宋"/>
          <w:color w:val="auto"/>
        </w:rPr>
        <w:t xml:space="preserve"> 《成交通知书》发出3日内，采购方向未成交方发出《未成交通知书》并退还谈判保证金。成交人的谈判保证金自成交之日起自动转为履约保金。</w:t>
      </w:r>
    </w:p>
    <w:p>
      <w:pPr>
        <w:spacing w:line="360" w:lineRule="auto"/>
        <w:rPr>
          <w:rFonts w:hint="eastAsia" w:ascii="仿宋" w:hAnsi="仿宋" w:eastAsia="仿宋" w:cs="仿宋"/>
          <w:color w:val="auto"/>
        </w:rPr>
      </w:pPr>
      <w:r>
        <w:rPr>
          <w:rFonts w:hint="eastAsia" w:ascii="仿宋" w:hAnsi="仿宋" w:eastAsia="仿宋" w:cs="仿宋"/>
          <w:b/>
          <w:color w:val="auto"/>
        </w:rPr>
        <w:t>17.6</w:t>
      </w:r>
      <w:r>
        <w:rPr>
          <w:rFonts w:hint="eastAsia" w:ascii="仿宋" w:hAnsi="仿宋" w:eastAsia="仿宋" w:cs="仿宋"/>
          <w:color w:val="auto"/>
        </w:rPr>
        <w:t xml:space="preserve"> 在采购方规定的报价有效期满之前，采购方将以书面形式发出《成交通知书》，《成交通知书》一经发出即发生法律效力。</w:t>
      </w:r>
    </w:p>
    <w:p>
      <w:pPr>
        <w:spacing w:line="360" w:lineRule="auto"/>
        <w:rPr>
          <w:rFonts w:hint="eastAsia" w:ascii="仿宋" w:hAnsi="仿宋" w:eastAsia="仿宋" w:cs="仿宋"/>
          <w:color w:val="auto"/>
        </w:rPr>
      </w:pPr>
      <w:r>
        <w:rPr>
          <w:rFonts w:hint="eastAsia" w:ascii="仿宋" w:hAnsi="仿宋" w:eastAsia="仿宋" w:cs="仿宋"/>
          <w:b/>
          <w:color w:val="auto"/>
        </w:rPr>
        <w:t>17.7</w:t>
      </w:r>
      <w:r>
        <w:rPr>
          <w:rFonts w:hint="eastAsia" w:ascii="仿宋" w:hAnsi="仿宋" w:eastAsia="仿宋" w:cs="仿宋"/>
          <w:color w:val="auto"/>
        </w:rPr>
        <w:t>发生以下情况，谈判保证金可能被没收：</w:t>
      </w:r>
    </w:p>
    <w:p>
      <w:pPr>
        <w:spacing w:line="360" w:lineRule="auto"/>
        <w:rPr>
          <w:rFonts w:hint="eastAsia" w:ascii="仿宋" w:hAnsi="仿宋" w:eastAsia="仿宋" w:cs="仿宋"/>
          <w:color w:val="auto"/>
        </w:rPr>
      </w:pPr>
      <w:r>
        <w:rPr>
          <w:rFonts w:hint="eastAsia" w:ascii="仿宋" w:hAnsi="仿宋" w:eastAsia="仿宋" w:cs="仿宋"/>
          <w:color w:val="auto"/>
        </w:rPr>
        <w:t>17.7.1 投标人在投标有效期内撤回投标文件的；</w:t>
      </w:r>
    </w:p>
    <w:p>
      <w:pPr>
        <w:spacing w:line="360" w:lineRule="auto"/>
        <w:rPr>
          <w:rFonts w:hint="eastAsia" w:ascii="仿宋" w:hAnsi="仿宋" w:eastAsia="仿宋" w:cs="仿宋"/>
          <w:color w:val="auto"/>
        </w:rPr>
      </w:pPr>
      <w:r>
        <w:rPr>
          <w:rFonts w:hint="eastAsia" w:ascii="仿宋" w:hAnsi="仿宋" w:eastAsia="仿宋" w:cs="仿宋"/>
          <w:color w:val="auto"/>
        </w:rPr>
        <w:t>17.7.2投标人在投标过程中弄虚作假，提供虚假材料的；</w:t>
      </w:r>
    </w:p>
    <w:p>
      <w:pPr>
        <w:spacing w:line="360" w:lineRule="auto"/>
        <w:rPr>
          <w:rFonts w:hint="eastAsia" w:ascii="仿宋" w:hAnsi="仿宋" w:eastAsia="仿宋" w:cs="仿宋"/>
          <w:color w:val="auto"/>
        </w:rPr>
      </w:pPr>
      <w:r>
        <w:rPr>
          <w:rFonts w:hint="eastAsia" w:ascii="仿宋" w:hAnsi="仿宋" w:eastAsia="仿宋" w:cs="仿宋"/>
          <w:color w:val="auto"/>
        </w:rPr>
        <w:t>17.7.3中标人无正当理由不与招标人签订合同的；</w:t>
      </w:r>
    </w:p>
    <w:p>
      <w:pPr>
        <w:spacing w:line="360" w:lineRule="auto"/>
        <w:rPr>
          <w:rFonts w:hint="eastAsia" w:ascii="仿宋" w:hAnsi="仿宋" w:eastAsia="仿宋" w:cs="仿宋"/>
          <w:color w:val="auto"/>
        </w:rPr>
      </w:pPr>
      <w:r>
        <w:rPr>
          <w:rFonts w:hint="eastAsia" w:ascii="仿宋" w:hAnsi="仿宋" w:eastAsia="仿宋" w:cs="仿宋"/>
          <w:color w:val="auto"/>
        </w:rPr>
        <w:t>17.7.4其他严重扰乱招投标程序的；</w:t>
      </w:r>
    </w:p>
    <w:p>
      <w:pPr>
        <w:spacing w:line="360" w:lineRule="auto"/>
        <w:rPr>
          <w:rFonts w:hint="eastAsia" w:ascii="仿宋" w:hAnsi="仿宋" w:eastAsia="仿宋" w:cs="仿宋"/>
          <w:color w:val="auto"/>
        </w:rPr>
      </w:pPr>
      <w:r>
        <w:rPr>
          <w:rFonts w:hint="eastAsia" w:ascii="仿宋" w:hAnsi="仿宋" w:eastAsia="仿宋" w:cs="仿宋"/>
          <w:color w:val="auto"/>
        </w:rPr>
        <w:t>17.7.5 成交人未能做到：1、按本章第29条规定签订合同；</w:t>
      </w:r>
    </w:p>
    <w:p>
      <w:pPr>
        <w:spacing w:line="360" w:lineRule="auto"/>
        <w:rPr>
          <w:rFonts w:hint="eastAsia" w:ascii="仿宋" w:hAnsi="仿宋" w:eastAsia="仿宋" w:cs="仿宋"/>
          <w:color w:val="auto"/>
        </w:rPr>
      </w:pPr>
      <w:r>
        <w:rPr>
          <w:rFonts w:hint="eastAsia" w:ascii="仿宋" w:hAnsi="仿宋" w:eastAsia="仿宋" w:cs="仿宋"/>
          <w:color w:val="auto"/>
        </w:rPr>
        <w:t xml:space="preserve">                      2、按本章第35条交付成交服务费。</w:t>
      </w:r>
    </w:p>
    <w:p>
      <w:pPr>
        <w:spacing w:line="360" w:lineRule="auto"/>
        <w:rPr>
          <w:rFonts w:hint="eastAsia" w:ascii="仿宋" w:hAnsi="仿宋" w:eastAsia="仿宋" w:cs="仿宋"/>
          <w:color w:val="auto"/>
        </w:rPr>
      </w:pPr>
      <w:r>
        <w:rPr>
          <w:rFonts w:hint="eastAsia" w:ascii="仿宋" w:hAnsi="仿宋" w:eastAsia="仿宋" w:cs="仿宋"/>
          <w:color w:val="auto"/>
        </w:rPr>
        <w:t>17.7.6 投标人在投标过程中有其他违反有关法律法规行为的。</w:t>
      </w:r>
    </w:p>
    <w:p>
      <w:pPr>
        <w:pStyle w:val="6"/>
        <w:spacing w:line="360" w:lineRule="auto"/>
        <w:outlineLvl w:val="9"/>
        <w:rPr>
          <w:rFonts w:hint="eastAsia" w:ascii="仿宋" w:hAnsi="仿宋" w:eastAsia="仿宋" w:cs="仿宋"/>
          <w:color w:val="auto"/>
        </w:rPr>
      </w:pPr>
    </w:p>
    <w:p>
      <w:pPr>
        <w:pStyle w:val="5"/>
        <w:spacing w:line="360" w:lineRule="auto"/>
        <w:ind w:firstLine="3204" w:firstLineChars="1140"/>
        <w:rPr>
          <w:rFonts w:hint="eastAsia" w:ascii="仿宋" w:hAnsi="仿宋" w:eastAsia="仿宋" w:cs="仿宋"/>
          <w:color w:val="auto"/>
          <w:sz w:val="28"/>
        </w:rPr>
      </w:pPr>
      <w:bookmarkStart w:id="67" w:name="_Toc16246"/>
      <w:bookmarkStart w:id="68" w:name="_Toc8723"/>
      <w:r>
        <w:rPr>
          <w:rFonts w:hint="eastAsia" w:ascii="仿宋" w:hAnsi="仿宋" w:eastAsia="仿宋" w:cs="仿宋"/>
          <w:color w:val="auto"/>
          <w:sz w:val="28"/>
        </w:rPr>
        <w:t>四、谈判响应文件递交</w:t>
      </w:r>
      <w:bookmarkEnd w:id="67"/>
      <w:bookmarkEnd w:id="68"/>
    </w:p>
    <w:p>
      <w:pPr>
        <w:spacing w:line="360" w:lineRule="auto"/>
        <w:rPr>
          <w:rFonts w:hint="eastAsia" w:ascii="仿宋" w:hAnsi="仿宋" w:eastAsia="仿宋" w:cs="仿宋"/>
          <w:b/>
          <w:color w:val="auto"/>
        </w:rPr>
      </w:pPr>
      <w:r>
        <w:rPr>
          <w:rFonts w:hint="eastAsia" w:ascii="仿宋" w:hAnsi="仿宋" w:eastAsia="仿宋" w:cs="仿宋"/>
          <w:b/>
          <w:color w:val="auto"/>
        </w:rPr>
        <w:t>18、谈判响应文件的密封与标记</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.1 投标文件的密封详见投标人须知前附表。</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.2 如果投标人未按上述要求对投标文件密封及加写标记，招标代理机构对由此造成的文件的误投或过早启封概不负责，招标代理机构有权予以拒绝，并退回投标人。</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.3 由于不可抗拒的原因或无法控制的事件而导致丢失或损坏投标包装体内的投标文件，招标人将不负责任。</w:t>
      </w:r>
    </w:p>
    <w:p>
      <w:pPr>
        <w:spacing w:line="360" w:lineRule="auto"/>
        <w:rPr>
          <w:rFonts w:hint="eastAsia" w:ascii="仿宋" w:hAnsi="仿宋" w:eastAsia="仿宋" w:cs="仿宋"/>
          <w:b/>
          <w:color w:val="auto"/>
        </w:rPr>
      </w:pPr>
      <w:r>
        <w:rPr>
          <w:rFonts w:hint="eastAsia" w:ascii="仿宋" w:hAnsi="仿宋" w:eastAsia="仿宋" w:cs="仿宋"/>
          <w:b/>
          <w:color w:val="auto"/>
        </w:rPr>
        <w:t>19、谈判响应文件递交的截止日期</w:t>
      </w:r>
    </w:p>
    <w:p>
      <w:pPr>
        <w:spacing w:line="360" w:lineRule="auto"/>
        <w:rPr>
          <w:rFonts w:hint="eastAsia" w:ascii="仿宋" w:hAnsi="仿宋" w:eastAsia="仿宋" w:cs="仿宋"/>
          <w:color w:val="auto"/>
        </w:rPr>
      </w:pPr>
      <w:r>
        <w:rPr>
          <w:rFonts w:hint="eastAsia" w:ascii="仿宋" w:hAnsi="仿宋" w:eastAsia="仿宋" w:cs="仿宋"/>
          <w:b/>
          <w:color w:val="auto"/>
        </w:rPr>
        <w:t>19.1</w:t>
      </w:r>
      <w:r>
        <w:rPr>
          <w:rFonts w:hint="eastAsia" w:ascii="仿宋" w:hAnsi="仿宋" w:eastAsia="仿宋" w:cs="仿宋"/>
          <w:color w:val="auto"/>
        </w:rPr>
        <w:t xml:space="preserve"> 报价人必须在“报价人须知前附表”中规定的谈判时间前将谈判响应文件送达谈判地点。</w:t>
      </w:r>
    </w:p>
    <w:p>
      <w:pPr>
        <w:spacing w:line="360" w:lineRule="auto"/>
        <w:rPr>
          <w:rFonts w:hint="eastAsia" w:ascii="仿宋" w:hAnsi="仿宋" w:eastAsia="仿宋" w:cs="仿宋"/>
          <w:color w:val="auto"/>
        </w:rPr>
      </w:pPr>
      <w:r>
        <w:rPr>
          <w:rFonts w:hint="eastAsia" w:ascii="仿宋" w:hAnsi="仿宋" w:eastAsia="仿宋" w:cs="仿宋"/>
          <w:b/>
          <w:color w:val="auto"/>
        </w:rPr>
        <w:t>19.2</w:t>
      </w:r>
      <w:r>
        <w:rPr>
          <w:rFonts w:hint="eastAsia" w:ascii="仿宋" w:hAnsi="仿宋" w:eastAsia="仿宋" w:cs="仿宋"/>
          <w:color w:val="auto"/>
        </w:rPr>
        <w:t xml:space="preserve"> 超过谈判文件要求的谈判时间送达或邮寄的谈判响应文件将不予接受。</w:t>
      </w:r>
    </w:p>
    <w:p>
      <w:pPr>
        <w:spacing w:line="360" w:lineRule="auto"/>
        <w:rPr>
          <w:rFonts w:hint="eastAsia" w:ascii="仿宋" w:hAnsi="仿宋" w:eastAsia="仿宋" w:cs="仿宋"/>
          <w:b/>
          <w:color w:val="auto"/>
        </w:rPr>
      </w:pPr>
      <w:r>
        <w:rPr>
          <w:rFonts w:hint="eastAsia" w:ascii="仿宋" w:hAnsi="仿宋" w:eastAsia="仿宋" w:cs="仿宋"/>
          <w:b/>
          <w:color w:val="auto"/>
        </w:rPr>
        <w:t>20、谈判响应文件的修改和撤销</w:t>
      </w:r>
    </w:p>
    <w:p>
      <w:pPr>
        <w:spacing w:line="360" w:lineRule="auto"/>
        <w:rPr>
          <w:rFonts w:hint="eastAsia" w:ascii="仿宋" w:hAnsi="仿宋" w:eastAsia="仿宋" w:cs="仿宋"/>
          <w:color w:val="auto"/>
        </w:rPr>
      </w:pPr>
      <w:r>
        <w:rPr>
          <w:rFonts w:hint="eastAsia" w:ascii="仿宋" w:hAnsi="仿宋" w:eastAsia="仿宋" w:cs="仿宋"/>
          <w:b/>
          <w:color w:val="auto"/>
        </w:rPr>
        <w:t>20.1</w:t>
      </w:r>
      <w:r>
        <w:rPr>
          <w:rFonts w:hint="eastAsia" w:ascii="仿宋" w:hAnsi="仿宋" w:eastAsia="仿宋" w:cs="仿宋"/>
          <w:color w:val="auto"/>
        </w:rPr>
        <w:t xml:space="preserve"> 报价人可以在递交谈判响应文件后，在谈判时间前，以书面形式向采购人递交通知修改或撤回其谈判响应文件。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20.2</w:t>
      </w:r>
      <w:r>
        <w:rPr>
          <w:rFonts w:hint="eastAsia" w:ascii="仿宋" w:hAnsi="仿宋" w:eastAsia="仿宋" w:cs="仿宋"/>
          <w:color w:val="auto"/>
        </w:rPr>
        <w:t xml:space="preserve"> 报价人对谈判响应文件的修改或撤销应按本章第18和19条规定进行准备、密封、标注和递交。</w:t>
      </w:r>
    </w:p>
    <w:p>
      <w:pPr>
        <w:spacing w:line="360" w:lineRule="auto"/>
        <w:rPr>
          <w:rFonts w:hint="eastAsia" w:ascii="仿宋" w:hAnsi="仿宋" w:eastAsia="仿宋" w:cs="仿宋"/>
          <w:color w:val="auto"/>
        </w:rPr>
      </w:pPr>
      <w:r>
        <w:rPr>
          <w:rFonts w:hint="eastAsia" w:ascii="仿宋" w:hAnsi="仿宋" w:eastAsia="仿宋" w:cs="仿宋"/>
          <w:b/>
          <w:color w:val="auto"/>
        </w:rPr>
        <w:t>20.3</w:t>
      </w:r>
      <w:r>
        <w:rPr>
          <w:rFonts w:hint="eastAsia" w:ascii="仿宋" w:hAnsi="仿宋" w:eastAsia="仿宋" w:cs="仿宋"/>
          <w:color w:val="auto"/>
        </w:rPr>
        <w:t xml:space="preserve"> 谈判开始后不得随意修改谈判响应文件。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20.4</w:t>
      </w:r>
      <w:r>
        <w:rPr>
          <w:rFonts w:hint="eastAsia" w:ascii="仿宋" w:hAnsi="仿宋" w:eastAsia="仿宋" w:cs="仿宋"/>
          <w:color w:val="auto"/>
        </w:rPr>
        <w:t xml:space="preserve"> 报价人不得在谈判开始起至谈判响应文件有效期满前撤销谈判响应文件，否则代理机构将没收谈判保证金，作为对代理机构和采购人的违约赔偿金。</w:t>
      </w:r>
    </w:p>
    <w:p>
      <w:pPr>
        <w:spacing w:line="360" w:lineRule="auto"/>
        <w:rPr>
          <w:rFonts w:hint="eastAsia" w:ascii="仿宋" w:hAnsi="仿宋" w:eastAsia="仿宋" w:cs="仿宋"/>
          <w:b/>
          <w:color w:val="auto"/>
        </w:rPr>
      </w:pPr>
      <w:r>
        <w:rPr>
          <w:rFonts w:hint="eastAsia" w:ascii="仿宋" w:hAnsi="仿宋" w:eastAsia="仿宋" w:cs="仿宋"/>
          <w:b/>
          <w:color w:val="auto"/>
        </w:rPr>
        <w:t>20.5谈判响应文件的澄清</w:t>
      </w:r>
    </w:p>
    <w:p>
      <w:pPr>
        <w:spacing w:line="360" w:lineRule="auto"/>
        <w:rPr>
          <w:rFonts w:hint="eastAsia" w:ascii="仿宋" w:hAnsi="仿宋" w:eastAsia="仿宋" w:cs="仿宋"/>
          <w:color w:val="auto"/>
        </w:rPr>
      </w:pPr>
      <w:r>
        <w:rPr>
          <w:rFonts w:hint="eastAsia" w:ascii="仿宋" w:hAnsi="仿宋" w:eastAsia="仿宋" w:cs="仿宋"/>
          <w:b/>
          <w:color w:val="auto"/>
        </w:rPr>
        <w:t>20.5.1</w:t>
      </w:r>
      <w:r>
        <w:rPr>
          <w:rFonts w:hint="eastAsia" w:ascii="仿宋" w:hAnsi="仿宋" w:eastAsia="仿宋" w:cs="仿宋"/>
          <w:color w:val="auto"/>
        </w:rPr>
        <w:t xml:space="preserve"> 谈判小组在谈判过程中有权随时请报价人就谈判响应文件中含混之处加以澄清或答疑。</w:t>
      </w:r>
    </w:p>
    <w:p>
      <w:pPr>
        <w:spacing w:line="360" w:lineRule="auto"/>
        <w:rPr>
          <w:rFonts w:hint="eastAsia" w:ascii="仿宋" w:hAnsi="仿宋" w:eastAsia="仿宋" w:cs="仿宋"/>
          <w:color w:val="auto"/>
        </w:rPr>
      </w:pPr>
      <w:r>
        <w:rPr>
          <w:rFonts w:hint="eastAsia" w:ascii="仿宋" w:hAnsi="仿宋" w:eastAsia="仿宋" w:cs="仿宋"/>
          <w:b/>
          <w:color w:val="auto"/>
        </w:rPr>
        <w:t>20.5.2</w:t>
      </w:r>
      <w:r>
        <w:rPr>
          <w:rFonts w:hint="eastAsia" w:ascii="仿宋" w:hAnsi="仿宋" w:eastAsia="仿宋" w:cs="仿宋"/>
          <w:color w:val="auto"/>
        </w:rPr>
        <w:t xml:space="preserve"> 报价人对要求澄清的问题应以书面形式明确答复，并应有法人授权代表的签署。</w:t>
      </w:r>
    </w:p>
    <w:p>
      <w:pPr>
        <w:spacing w:line="360" w:lineRule="auto"/>
        <w:rPr>
          <w:rFonts w:hint="eastAsia" w:ascii="仿宋" w:hAnsi="仿宋" w:eastAsia="仿宋" w:cs="仿宋"/>
          <w:color w:val="auto"/>
        </w:rPr>
      </w:pPr>
      <w:r>
        <w:rPr>
          <w:rFonts w:hint="eastAsia" w:ascii="仿宋" w:hAnsi="仿宋" w:eastAsia="仿宋" w:cs="仿宋"/>
          <w:b/>
          <w:color w:val="auto"/>
        </w:rPr>
        <w:t>20.5.3</w:t>
      </w:r>
      <w:r>
        <w:rPr>
          <w:rFonts w:hint="eastAsia" w:ascii="仿宋" w:hAnsi="仿宋" w:eastAsia="仿宋" w:cs="仿宋"/>
          <w:color w:val="auto"/>
        </w:rPr>
        <w:t xml:space="preserve"> 报价人的澄清文件是谈判响应文件的组成部分，并取代谈判响应文件中被澄清的部分。</w:t>
      </w:r>
    </w:p>
    <w:p>
      <w:pPr>
        <w:spacing w:line="360" w:lineRule="auto"/>
        <w:rPr>
          <w:rFonts w:hint="eastAsia" w:ascii="仿宋" w:hAnsi="仿宋" w:eastAsia="仿宋" w:cs="仿宋"/>
          <w:color w:val="auto"/>
        </w:rPr>
      </w:pPr>
      <w:r>
        <w:rPr>
          <w:rFonts w:hint="eastAsia" w:ascii="仿宋" w:hAnsi="仿宋" w:eastAsia="仿宋" w:cs="仿宋"/>
          <w:b/>
          <w:color w:val="auto"/>
        </w:rPr>
        <w:t>20.5.4</w:t>
      </w:r>
      <w:r>
        <w:rPr>
          <w:rFonts w:hint="eastAsia" w:ascii="仿宋" w:hAnsi="仿宋" w:eastAsia="仿宋" w:cs="仿宋"/>
          <w:color w:val="auto"/>
        </w:rPr>
        <w:t xml:space="preserve"> 谈判响应文件的澄清不得改变报价的实质内容。</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20.5.5 </w:t>
      </w:r>
      <w:r>
        <w:rPr>
          <w:rFonts w:hint="eastAsia" w:ascii="仿宋" w:hAnsi="仿宋" w:eastAsia="仿宋" w:cs="仿宋"/>
          <w:color w:val="auto"/>
        </w:rPr>
        <w:t>如果报价人在谈判响应文件中未对文件中的条款或参数要求提出偏离意见或澄清将视同报价人同意谈判文件的全部或部分要求。</w:t>
      </w:r>
    </w:p>
    <w:p>
      <w:pPr>
        <w:pStyle w:val="5"/>
        <w:spacing w:line="360" w:lineRule="auto"/>
        <w:ind w:firstLine="3626" w:firstLineChars="1290"/>
        <w:rPr>
          <w:rFonts w:hint="eastAsia" w:ascii="仿宋" w:hAnsi="仿宋" w:eastAsia="仿宋" w:cs="仿宋"/>
          <w:color w:val="auto"/>
          <w:sz w:val="28"/>
        </w:rPr>
      </w:pPr>
      <w:bookmarkStart w:id="69" w:name="_Toc20020"/>
      <w:bookmarkStart w:id="70" w:name="_Toc926"/>
      <w:r>
        <w:rPr>
          <w:rFonts w:hint="eastAsia" w:ascii="仿宋" w:hAnsi="仿宋" w:eastAsia="仿宋" w:cs="仿宋"/>
          <w:color w:val="auto"/>
          <w:sz w:val="28"/>
        </w:rPr>
        <w:t>五、谈判</w:t>
      </w:r>
      <w:bookmarkEnd w:id="69"/>
      <w:bookmarkEnd w:id="70"/>
    </w:p>
    <w:p>
      <w:pPr>
        <w:spacing w:line="360" w:lineRule="auto"/>
        <w:rPr>
          <w:rFonts w:hint="eastAsia" w:ascii="仿宋" w:hAnsi="仿宋" w:eastAsia="仿宋" w:cs="仿宋"/>
          <w:b/>
          <w:color w:val="auto"/>
        </w:rPr>
      </w:pPr>
      <w:r>
        <w:rPr>
          <w:rFonts w:hint="eastAsia" w:ascii="仿宋" w:hAnsi="仿宋" w:eastAsia="仿宋" w:cs="仿宋"/>
          <w:b/>
          <w:color w:val="auto"/>
        </w:rPr>
        <w:t>21、谈判</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21.1 </w:t>
      </w:r>
      <w:r>
        <w:rPr>
          <w:rFonts w:hint="eastAsia" w:ascii="仿宋" w:hAnsi="仿宋" w:eastAsia="仿宋" w:cs="仿宋"/>
          <w:color w:val="auto"/>
        </w:rPr>
        <w:t>代理机构在“报价人须知前附表”中规定的日期、时间和地点组织谈判。届时请监督人和采购方代表参加并签到。</w:t>
      </w:r>
    </w:p>
    <w:p>
      <w:pPr>
        <w:spacing w:line="360" w:lineRule="auto"/>
        <w:rPr>
          <w:rFonts w:hint="eastAsia" w:ascii="仿宋" w:hAnsi="仿宋" w:eastAsia="仿宋" w:cs="仿宋"/>
          <w:color w:val="auto"/>
        </w:rPr>
      </w:pPr>
      <w:r>
        <w:rPr>
          <w:rFonts w:hint="eastAsia" w:ascii="仿宋" w:hAnsi="仿宋" w:eastAsia="仿宋" w:cs="仿宋"/>
          <w:b/>
          <w:color w:val="auto"/>
        </w:rPr>
        <w:t>21.2</w:t>
      </w:r>
      <w:r>
        <w:rPr>
          <w:rFonts w:hint="eastAsia" w:ascii="仿宋" w:hAnsi="仿宋" w:eastAsia="仿宋" w:cs="仿宋"/>
          <w:color w:val="auto"/>
        </w:rPr>
        <w:t xml:space="preserve"> 谈判时先由采购人代表和监督人对报价人有效资质及谈判响应文件的密封性进行核查；唱标人宣读谈判响应文件正本、“开标一览表”有关内容及谈判响应文件的修改、撤销和代理机构认为合适的其他内容。</w:t>
      </w:r>
    </w:p>
    <w:p>
      <w:pPr>
        <w:spacing w:line="360" w:lineRule="auto"/>
        <w:rPr>
          <w:rFonts w:hint="eastAsia" w:ascii="仿宋" w:hAnsi="仿宋" w:eastAsia="仿宋" w:cs="仿宋"/>
          <w:color w:val="auto"/>
        </w:rPr>
      </w:pPr>
      <w:r>
        <w:rPr>
          <w:rFonts w:hint="eastAsia" w:ascii="仿宋" w:hAnsi="仿宋" w:eastAsia="仿宋" w:cs="仿宋"/>
          <w:b/>
          <w:color w:val="auto"/>
        </w:rPr>
        <w:t>21.3</w:t>
      </w:r>
      <w:r>
        <w:rPr>
          <w:rFonts w:hint="eastAsia" w:ascii="仿宋" w:hAnsi="仿宋" w:eastAsia="仿宋" w:cs="仿宋"/>
          <w:color w:val="auto"/>
        </w:rPr>
        <w:t xml:space="preserve"> 有效证件</w:t>
      </w:r>
    </w:p>
    <w:p>
      <w:pPr>
        <w:numPr>
          <w:ilvl w:val="0"/>
          <w:numId w:val="0"/>
        </w:numPr>
        <w:spacing w:line="360" w:lineRule="auto"/>
        <w:rPr>
          <w:rFonts w:hint="eastAsia" w:ascii="仿宋" w:hAnsi="仿宋" w:eastAsia="仿宋" w:cs="仿宋"/>
          <w:b/>
          <w:bCs/>
          <w:color w:val="auto"/>
        </w:rPr>
      </w:pPr>
      <w:r>
        <w:rPr>
          <w:rFonts w:hint="eastAsia" w:ascii="仿宋" w:hAnsi="仿宋" w:eastAsia="仿宋" w:cs="仿宋"/>
          <w:b/>
          <w:bCs/>
          <w:color w:val="auto"/>
        </w:rPr>
        <w:t>启封前，监督人员将查验投标人以下证件的原件：</w:t>
      </w:r>
    </w:p>
    <w:p>
      <w:pPr>
        <w:spacing w:line="360" w:lineRule="auto"/>
        <w:rPr>
          <w:rFonts w:hint="eastAsia" w:ascii="仿宋" w:hAnsi="仿宋" w:eastAsia="仿宋" w:cs="仿宋"/>
          <w:b/>
          <w:bCs/>
          <w:color w:val="auto"/>
        </w:rPr>
      </w:pPr>
      <w:r>
        <w:rPr>
          <w:rFonts w:hint="eastAsia" w:ascii="仿宋" w:hAnsi="仿宋" w:eastAsia="仿宋" w:cs="仿宋"/>
          <w:b/>
          <w:bCs/>
          <w:color w:val="auto"/>
          <w:lang w:val="en-US" w:eastAsia="zh-CN"/>
        </w:rPr>
        <w:t>1</w:t>
      </w:r>
      <w:r>
        <w:rPr>
          <w:rFonts w:hint="eastAsia" w:ascii="仿宋" w:hAnsi="仿宋" w:eastAsia="仿宋" w:cs="仿宋"/>
          <w:b/>
          <w:bCs/>
          <w:color w:val="auto"/>
          <w:lang w:eastAsia="zh-CN"/>
        </w:rPr>
        <w:t>、</w:t>
      </w:r>
      <w:r>
        <w:rPr>
          <w:rFonts w:hint="eastAsia" w:ascii="仿宋" w:hAnsi="仿宋" w:eastAsia="仿宋" w:cs="仿宋"/>
          <w:b/>
          <w:bCs/>
          <w:color w:val="auto"/>
        </w:rPr>
        <w:t>法人应携带《法定代表人身份证明》原件及身份证原件，委托代理人应携带《法人代表授权委托书》原件及身份证原件委托代理人近三个月的社保缴费证明及社保局出具的个人缴费明细（原件）；</w:t>
      </w:r>
    </w:p>
    <w:p>
      <w:pPr>
        <w:spacing w:line="360" w:lineRule="auto"/>
        <w:rPr>
          <w:rFonts w:hint="eastAsia" w:ascii="仿宋" w:hAnsi="仿宋" w:eastAsia="仿宋" w:cs="仿宋"/>
          <w:b/>
          <w:bCs/>
          <w:color w:val="auto"/>
        </w:rPr>
      </w:pPr>
      <w:r>
        <w:rPr>
          <w:rFonts w:hint="eastAsia" w:ascii="仿宋" w:hAnsi="仿宋" w:eastAsia="仿宋" w:cs="仿宋"/>
          <w:b/>
          <w:bCs/>
          <w:color w:val="auto"/>
          <w:lang w:val="en-US" w:eastAsia="zh-CN"/>
        </w:rPr>
        <w:t>2</w:t>
      </w:r>
      <w:r>
        <w:rPr>
          <w:rFonts w:hint="eastAsia" w:ascii="仿宋" w:hAnsi="仿宋" w:eastAsia="仿宋" w:cs="仿宋"/>
          <w:b/>
          <w:bCs/>
          <w:color w:val="auto"/>
        </w:rPr>
        <w:t>、身份证原件（授权委托书中的授权人应与投标文件中授权委托人一致）；</w:t>
      </w:r>
    </w:p>
    <w:p>
      <w:pPr>
        <w:spacing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3、税务机关出具近三个月的完税证明</w:t>
      </w:r>
    </w:p>
    <w:p>
      <w:pPr>
        <w:spacing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4、提供2020年的财务审计报告原件（2020年10月份后成立的公司可不提供财务审计报告但需提供银行出具的近三个月的资信证明原件）；</w:t>
      </w:r>
    </w:p>
    <w:p>
      <w:pPr>
        <w:spacing w:line="360" w:lineRule="auto"/>
        <w:rPr>
          <w:rFonts w:hint="eastAsia" w:ascii="仿宋" w:hAnsi="仿宋" w:eastAsia="仿宋" w:cs="仿宋"/>
          <w:b/>
          <w:bCs/>
          <w:color w:val="auto"/>
        </w:rPr>
      </w:pPr>
      <w:r>
        <w:rPr>
          <w:rFonts w:hint="eastAsia" w:ascii="仿宋" w:hAnsi="仿宋" w:eastAsia="仿宋" w:cs="仿宋"/>
          <w:b/>
          <w:bCs/>
          <w:color w:val="auto"/>
          <w:lang w:val="en-US" w:eastAsia="zh-CN"/>
        </w:rPr>
        <w:t>5、</w:t>
      </w:r>
      <w:r>
        <w:rPr>
          <w:rFonts w:hint="eastAsia" w:ascii="仿宋" w:hAnsi="仿宋" w:eastAsia="仿宋" w:cs="仿宋"/>
          <w:b/>
          <w:bCs/>
          <w:color w:val="auto"/>
        </w:rPr>
        <w:t>投标保证金银行回单；</w:t>
      </w:r>
    </w:p>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lang w:eastAsia="zh-CN"/>
        </w:rPr>
        <w:t>备注：以上证件未携带着按否决投标处理。</w:t>
      </w:r>
    </w:p>
    <w:p>
      <w:pPr>
        <w:spacing w:line="360" w:lineRule="auto"/>
        <w:rPr>
          <w:rFonts w:hint="eastAsia" w:ascii="仿宋" w:hAnsi="仿宋" w:eastAsia="仿宋" w:cs="仿宋"/>
          <w:color w:val="auto"/>
        </w:rPr>
      </w:pPr>
      <w:r>
        <w:rPr>
          <w:rFonts w:hint="eastAsia" w:ascii="仿宋" w:hAnsi="仿宋" w:eastAsia="仿宋" w:cs="仿宋"/>
          <w:b/>
          <w:bCs/>
          <w:color w:val="auto"/>
        </w:rPr>
        <w:t>22.1</w:t>
      </w:r>
      <w:r>
        <w:rPr>
          <w:rFonts w:hint="eastAsia" w:ascii="仿宋" w:hAnsi="仿宋" w:eastAsia="仿宋" w:cs="仿宋"/>
          <w:color w:val="auto"/>
        </w:rPr>
        <w:t>项目谈判小组按照政府采购法相关规定组成。</w:t>
      </w:r>
    </w:p>
    <w:p>
      <w:pPr>
        <w:spacing w:line="360" w:lineRule="auto"/>
        <w:rPr>
          <w:rFonts w:hint="eastAsia" w:ascii="仿宋" w:hAnsi="仿宋" w:eastAsia="仿宋" w:cs="仿宋"/>
          <w:color w:val="auto"/>
        </w:rPr>
      </w:pPr>
      <w:r>
        <w:rPr>
          <w:rFonts w:hint="eastAsia" w:ascii="仿宋" w:hAnsi="仿宋" w:eastAsia="仿宋" w:cs="仿宋"/>
          <w:b/>
          <w:bCs/>
          <w:color w:val="auto"/>
        </w:rPr>
        <w:t>22.2</w:t>
      </w:r>
      <w:r>
        <w:rPr>
          <w:rFonts w:hint="eastAsia" w:ascii="仿宋" w:hAnsi="仿宋" w:eastAsia="仿宋" w:cs="仿宋"/>
          <w:color w:val="auto"/>
        </w:rPr>
        <w:t>谈判开始时，谈判小组对各谈判响应文件的内容进行全面审查，并确认谈判响应文件是否符合或实质上响应了谈判文件的有关要求，只有实质上响应了谈判文件的谈判响应文件才能被采购人接受。</w:t>
      </w:r>
    </w:p>
    <w:p>
      <w:pPr>
        <w:widowControl/>
        <w:spacing w:line="360" w:lineRule="auto"/>
        <w:jc w:val="left"/>
        <w:textAlignment w:val="center"/>
        <w:outlineLvl w:val="0"/>
        <w:rPr>
          <w:rFonts w:hint="eastAsia" w:ascii="仿宋" w:hAnsi="仿宋" w:eastAsia="仿宋" w:cs="仿宋"/>
          <w:color w:val="auto"/>
        </w:rPr>
      </w:pPr>
      <w:r>
        <w:rPr>
          <w:rFonts w:hint="eastAsia" w:ascii="仿宋" w:hAnsi="仿宋" w:eastAsia="仿宋" w:cs="仿宋"/>
          <w:color w:val="auto"/>
        </w:rPr>
        <w:t>如果谈判响应文件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spacing w:line="360" w:lineRule="auto"/>
        <w:rPr>
          <w:rFonts w:hint="eastAsia" w:ascii="仿宋" w:hAnsi="仿宋" w:eastAsia="仿宋" w:cs="仿宋"/>
          <w:color w:val="auto"/>
        </w:rPr>
      </w:pPr>
      <w:r>
        <w:rPr>
          <w:rFonts w:hint="eastAsia" w:ascii="仿宋" w:hAnsi="仿宋" w:eastAsia="仿宋" w:cs="仿宋"/>
          <w:b/>
          <w:color w:val="auto"/>
        </w:rPr>
        <w:t>22.3</w:t>
      </w:r>
      <w:r>
        <w:rPr>
          <w:rFonts w:hint="eastAsia" w:ascii="仿宋" w:hAnsi="仿宋" w:eastAsia="仿宋" w:cs="仿宋"/>
          <w:bCs/>
          <w:color w:val="auto"/>
        </w:rPr>
        <w:t>谈判小组将与进入谈判的报价人依照递交谈判响应文件顺序分别进行一对一谈判。</w:t>
      </w:r>
    </w:p>
    <w:p>
      <w:pPr>
        <w:spacing w:line="360" w:lineRule="auto"/>
        <w:rPr>
          <w:rFonts w:hint="eastAsia" w:ascii="仿宋" w:hAnsi="仿宋" w:eastAsia="仿宋" w:cs="仿宋"/>
          <w:bCs/>
          <w:color w:val="auto"/>
        </w:rPr>
      </w:pPr>
      <w:r>
        <w:rPr>
          <w:rFonts w:hint="eastAsia" w:ascii="仿宋" w:hAnsi="仿宋" w:eastAsia="仿宋" w:cs="仿宋"/>
          <w:b/>
          <w:color w:val="auto"/>
        </w:rPr>
        <w:t>22.4</w:t>
      </w:r>
      <w:r>
        <w:rPr>
          <w:rFonts w:hint="eastAsia" w:ascii="仿宋" w:hAnsi="仿宋" w:eastAsia="仿宋" w:cs="仿宋"/>
          <w:bCs/>
          <w:color w:val="auto"/>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spacing w:line="360" w:lineRule="auto"/>
        <w:ind w:firstLine="480"/>
        <w:rPr>
          <w:rFonts w:hint="eastAsia" w:ascii="仿宋" w:hAnsi="仿宋" w:eastAsia="仿宋" w:cs="仿宋"/>
          <w:bCs/>
          <w:color w:val="auto"/>
        </w:rPr>
      </w:pPr>
      <w:r>
        <w:rPr>
          <w:rFonts w:hint="eastAsia" w:ascii="仿宋" w:hAnsi="仿宋" w:eastAsia="仿宋" w:cs="仿宋"/>
          <w:bCs/>
          <w:color w:val="auto"/>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spacing w:line="360" w:lineRule="auto"/>
        <w:rPr>
          <w:rFonts w:hint="eastAsia" w:ascii="仿宋" w:hAnsi="仿宋" w:eastAsia="仿宋" w:cs="仿宋"/>
          <w:b/>
          <w:color w:val="auto"/>
        </w:rPr>
      </w:pPr>
      <w:r>
        <w:rPr>
          <w:rFonts w:hint="eastAsia" w:ascii="仿宋" w:hAnsi="仿宋" w:eastAsia="仿宋" w:cs="仿宋"/>
          <w:b/>
          <w:color w:val="auto"/>
        </w:rPr>
        <w:t>23.谈判原则</w:t>
      </w:r>
    </w:p>
    <w:p>
      <w:pPr>
        <w:spacing w:line="360" w:lineRule="auto"/>
        <w:rPr>
          <w:rFonts w:hint="eastAsia" w:ascii="仿宋" w:hAnsi="仿宋" w:eastAsia="仿宋" w:cs="仿宋"/>
          <w:b/>
          <w:color w:val="auto"/>
        </w:rPr>
      </w:pPr>
      <w:r>
        <w:rPr>
          <w:rFonts w:hint="eastAsia" w:ascii="仿宋" w:hAnsi="仿宋" w:eastAsia="仿宋" w:cs="仿宋"/>
          <w:bCs/>
          <w:color w:val="auto"/>
        </w:rPr>
        <w:t>由谈判小组结合谈判响应文件及最终承诺，</w:t>
      </w:r>
      <w:r>
        <w:rPr>
          <w:rFonts w:hint="eastAsia" w:ascii="仿宋" w:hAnsi="仿宋" w:eastAsia="仿宋" w:cs="仿宋"/>
          <w:b/>
          <w:color w:val="auto"/>
        </w:rPr>
        <w:t>在符合采购需求、质量和服务相等的前提下，推荐提出最低报价的供应商作为成交供应商。</w:t>
      </w:r>
    </w:p>
    <w:p>
      <w:pPr>
        <w:spacing w:line="360" w:lineRule="auto"/>
        <w:rPr>
          <w:rFonts w:hint="eastAsia" w:ascii="仿宋" w:hAnsi="仿宋" w:eastAsia="仿宋" w:cs="仿宋"/>
          <w:bCs/>
          <w:color w:val="auto"/>
        </w:rPr>
      </w:pPr>
      <w:r>
        <w:rPr>
          <w:rFonts w:hint="eastAsia" w:ascii="仿宋" w:hAnsi="仿宋" w:eastAsia="仿宋" w:cs="仿宋"/>
          <w:b/>
          <w:color w:val="auto"/>
        </w:rPr>
        <w:t>23.1</w:t>
      </w:r>
      <w:r>
        <w:rPr>
          <w:rFonts w:hint="eastAsia" w:ascii="仿宋" w:hAnsi="仿宋" w:eastAsia="仿宋" w:cs="仿宋"/>
          <w:bCs/>
          <w:color w:val="auto"/>
        </w:rPr>
        <w:t>报价人在谈判响应文件及最终承诺中应对产品技术参数及产品要求作出完全性、真实性的响应。</w:t>
      </w:r>
    </w:p>
    <w:p>
      <w:pPr>
        <w:spacing w:line="360" w:lineRule="auto"/>
        <w:rPr>
          <w:rFonts w:hint="eastAsia" w:ascii="仿宋" w:hAnsi="仿宋" w:eastAsia="仿宋" w:cs="仿宋"/>
          <w:bCs/>
          <w:color w:val="auto"/>
        </w:rPr>
      </w:pPr>
      <w:r>
        <w:rPr>
          <w:rFonts w:hint="eastAsia" w:ascii="仿宋" w:hAnsi="仿宋" w:eastAsia="仿宋" w:cs="仿宋"/>
          <w:b/>
          <w:color w:val="auto"/>
        </w:rPr>
        <w:t>23.2</w:t>
      </w:r>
      <w:r>
        <w:rPr>
          <w:rFonts w:hint="eastAsia" w:ascii="仿宋" w:hAnsi="仿宋" w:eastAsia="仿宋" w:cs="仿宋"/>
          <w:bCs/>
          <w:color w:val="auto"/>
        </w:rPr>
        <w:t>报价人应有能力保证供货安装计划的实施。</w:t>
      </w:r>
    </w:p>
    <w:p>
      <w:pPr>
        <w:spacing w:line="360" w:lineRule="auto"/>
        <w:rPr>
          <w:rFonts w:hint="eastAsia" w:ascii="仿宋" w:hAnsi="仿宋" w:eastAsia="仿宋" w:cs="仿宋"/>
          <w:b/>
          <w:color w:val="auto"/>
        </w:rPr>
      </w:pPr>
      <w:r>
        <w:rPr>
          <w:rFonts w:hint="eastAsia" w:ascii="仿宋" w:hAnsi="仿宋" w:eastAsia="仿宋" w:cs="仿宋"/>
          <w:b/>
          <w:color w:val="auto"/>
        </w:rPr>
        <w:t>23.3最终报价</w:t>
      </w:r>
    </w:p>
    <w:p>
      <w:pPr>
        <w:spacing w:line="360" w:lineRule="auto"/>
        <w:rPr>
          <w:rFonts w:hint="eastAsia" w:ascii="仿宋" w:hAnsi="仿宋" w:eastAsia="仿宋" w:cs="仿宋"/>
          <w:bCs/>
          <w:color w:val="auto"/>
        </w:rPr>
      </w:pPr>
      <w:r>
        <w:rPr>
          <w:rFonts w:hint="eastAsia" w:ascii="仿宋" w:hAnsi="仿宋" w:eastAsia="仿宋" w:cs="仿宋"/>
          <w:b/>
          <w:color w:val="auto"/>
        </w:rPr>
        <w:t>23.4</w:t>
      </w:r>
      <w:r>
        <w:rPr>
          <w:rFonts w:hint="eastAsia" w:ascii="仿宋" w:hAnsi="仿宋" w:eastAsia="仿宋" w:cs="仿宋"/>
          <w:bCs/>
          <w:color w:val="auto"/>
        </w:rPr>
        <w:t>在谈判小组谈判结束后，根据报价人报价及谈判情况要求所有参加谈判的报价人在规定时间内同时提交最终报价。</w:t>
      </w:r>
    </w:p>
    <w:p>
      <w:pPr>
        <w:pStyle w:val="5"/>
        <w:spacing w:line="360" w:lineRule="auto"/>
        <w:jc w:val="center"/>
        <w:rPr>
          <w:rFonts w:hint="eastAsia" w:ascii="仿宋" w:hAnsi="仿宋" w:eastAsia="仿宋" w:cs="仿宋"/>
          <w:color w:val="auto"/>
        </w:rPr>
      </w:pPr>
      <w:bookmarkStart w:id="71" w:name="_Toc17523"/>
      <w:bookmarkStart w:id="72" w:name="_Toc21213"/>
      <w:r>
        <w:rPr>
          <w:rFonts w:hint="eastAsia" w:ascii="仿宋" w:hAnsi="仿宋" w:eastAsia="仿宋" w:cs="仿宋"/>
          <w:color w:val="auto"/>
        </w:rPr>
        <w:t>六、成交</w:t>
      </w:r>
      <w:bookmarkEnd w:id="71"/>
      <w:bookmarkEnd w:id="72"/>
    </w:p>
    <w:p>
      <w:pPr>
        <w:spacing w:line="360" w:lineRule="auto"/>
        <w:rPr>
          <w:rFonts w:hint="eastAsia" w:ascii="仿宋" w:hAnsi="仿宋" w:eastAsia="仿宋" w:cs="仿宋"/>
          <w:b/>
          <w:color w:val="auto"/>
        </w:rPr>
      </w:pPr>
      <w:r>
        <w:rPr>
          <w:rFonts w:hint="eastAsia" w:ascii="仿宋" w:hAnsi="仿宋" w:eastAsia="仿宋" w:cs="仿宋"/>
          <w:b/>
          <w:color w:val="auto"/>
        </w:rPr>
        <w:t>24.成交通知书</w:t>
      </w:r>
    </w:p>
    <w:p>
      <w:pPr>
        <w:spacing w:line="360" w:lineRule="auto"/>
        <w:rPr>
          <w:rFonts w:hint="eastAsia" w:ascii="仿宋" w:hAnsi="仿宋" w:eastAsia="仿宋" w:cs="仿宋"/>
          <w:bCs/>
          <w:color w:val="auto"/>
        </w:rPr>
      </w:pPr>
      <w:r>
        <w:rPr>
          <w:rFonts w:hint="eastAsia" w:ascii="仿宋" w:hAnsi="仿宋" w:eastAsia="仿宋" w:cs="仿宋"/>
          <w:b/>
          <w:color w:val="auto"/>
        </w:rPr>
        <w:t>24.1</w:t>
      </w:r>
      <w:r>
        <w:rPr>
          <w:rFonts w:hint="eastAsia" w:ascii="仿宋" w:hAnsi="仿宋" w:eastAsia="仿宋" w:cs="仿宋"/>
          <w:bCs/>
          <w:color w:val="auto"/>
        </w:rPr>
        <w:t>成交人确定后，招标代理机构将向成交人发出成交通知书。</w:t>
      </w:r>
    </w:p>
    <w:p>
      <w:pPr>
        <w:spacing w:line="360" w:lineRule="auto"/>
        <w:rPr>
          <w:rFonts w:hint="eastAsia" w:ascii="仿宋" w:hAnsi="仿宋" w:eastAsia="仿宋" w:cs="仿宋"/>
          <w:bCs/>
          <w:color w:val="auto"/>
        </w:rPr>
      </w:pPr>
      <w:r>
        <w:rPr>
          <w:rFonts w:hint="eastAsia" w:ascii="仿宋" w:hAnsi="仿宋" w:eastAsia="仿宋" w:cs="仿宋"/>
          <w:b/>
          <w:color w:val="auto"/>
        </w:rPr>
        <w:t>24.2</w:t>
      </w:r>
      <w:r>
        <w:rPr>
          <w:rFonts w:hint="eastAsia" w:ascii="仿宋" w:hAnsi="仿宋" w:eastAsia="仿宋" w:cs="仿宋"/>
          <w:bCs/>
          <w:color w:val="auto"/>
        </w:rPr>
        <w:t>成交通知书是合同的一个组成部分。</w:t>
      </w:r>
    </w:p>
    <w:p>
      <w:pPr>
        <w:spacing w:line="360" w:lineRule="auto"/>
        <w:rPr>
          <w:rFonts w:hint="eastAsia" w:ascii="仿宋" w:hAnsi="仿宋" w:eastAsia="仿宋" w:cs="仿宋"/>
          <w:b/>
          <w:color w:val="auto"/>
        </w:rPr>
      </w:pPr>
      <w:r>
        <w:rPr>
          <w:rFonts w:hint="eastAsia" w:ascii="仿宋" w:hAnsi="仿宋" w:eastAsia="仿宋" w:cs="仿宋"/>
          <w:b/>
          <w:color w:val="auto"/>
        </w:rPr>
        <w:t>25.成交通知</w:t>
      </w:r>
    </w:p>
    <w:p>
      <w:pPr>
        <w:spacing w:line="360" w:lineRule="auto"/>
        <w:rPr>
          <w:rFonts w:hint="eastAsia" w:ascii="仿宋" w:hAnsi="仿宋" w:eastAsia="仿宋" w:cs="仿宋"/>
          <w:color w:val="auto"/>
        </w:rPr>
      </w:pPr>
      <w:r>
        <w:rPr>
          <w:rFonts w:hint="eastAsia" w:ascii="仿宋" w:hAnsi="仿宋" w:eastAsia="仿宋" w:cs="仿宋"/>
          <w:b/>
          <w:color w:val="auto"/>
        </w:rPr>
        <w:t>25.1</w:t>
      </w:r>
      <w:r>
        <w:rPr>
          <w:rFonts w:hint="eastAsia" w:ascii="仿宋" w:hAnsi="仿宋" w:eastAsia="仿宋" w:cs="仿宋"/>
          <w:color w:val="auto"/>
        </w:rPr>
        <w:t>成交公示期：成交结果公示一个工作日。</w:t>
      </w:r>
    </w:p>
    <w:p>
      <w:pPr>
        <w:spacing w:line="360" w:lineRule="auto"/>
        <w:rPr>
          <w:rFonts w:hint="eastAsia" w:ascii="仿宋" w:hAnsi="仿宋" w:eastAsia="仿宋" w:cs="仿宋"/>
          <w:color w:val="auto"/>
        </w:rPr>
      </w:pPr>
      <w:r>
        <w:rPr>
          <w:rFonts w:hint="eastAsia" w:ascii="仿宋" w:hAnsi="仿宋" w:eastAsia="仿宋" w:cs="仿宋"/>
          <w:b/>
          <w:color w:val="auto"/>
        </w:rPr>
        <w:t>25.2</w:t>
      </w:r>
      <w:r>
        <w:rPr>
          <w:rFonts w:hint="eastAsia" w:ascii="仿宋" w:hAnsi="仿宋" w:eastAsia="仿宋" w:cs="仿宋"/>
          <w:color w:val="auto"/>
        </w:rPr>
        <w:t>代理机构根据谈判结果，在报价有效期届满前，以书面形式向成交单位发出成交通知书。</w:t>
      </w:r>
    </w:p>
    <w:p>
      <w:pPr>
        <w:spacing w:line="360" w:lineRule="auto"/>
        <w:rPr>
          <w:rFonts w:hint="eastAsia" w:ascii="仿宋" w:hAnsi="仿宋" w:eastAsia="仿宋" w:cs="仿宋"/>
          <w:color w:val="auto"/>
        </w:rPr>
      </w:pPr>
      <w:r>
        <w:rPr>
          <w:rFonts w:hint="eastAsia" w:ascii="仿宋" w:hAnsi="仿宋" w:eastAsia="仿宋" w:cs="仿宋"/>
          <w:b/>
          <w:color w:val="auto"/>
        </w:rPr>
        <w:t>25.3</w:t>
      </w:r>
      <w:r>
        <w:rPr>
          <w:rFonts w:hint="eastAsia" w:ascii="仿宋" w:hAnsi="仿宋" w:eastAsia="仿宋" w:cs="仿宋"/>
          <w:color w:val="auto"/>
        </w:rPr>
        <w:t>代理机构将谈判结果及时通知未成交的报价人，无需解释未成交原因。</w:t>
      </w:r>
    </w:p>
    <w:p>
      <w:pPr>
        <w:spacing w:line="360" w:lineRule="auto"/>
        <w:rPr>
          <w:rFonts w:hint="eastAsia" w:ascii="仿宋" w:hAnsi="仿宋" w:eastAsia="仿宋" w:cs="仿宋"/>
          <w:b/>
          <w:color w:val="auto"/>
        </w:rPr>
      </w:pPr>
      <w:r>
        <w:rPr>
          <w:rFonts w:hint="eastAsia" w:ascii="仿宋" w:hAnsi="仿宋" w:eastAsia="仿宋" w:cs="仿宋"/>
          <w:b/>
          <w:color w:val="auto"/>
        </w:rPr>
        <w:t>26.拒绝某些或所有投标的权利</w:t>
      </w:r>
    </w:p>
    <w:p>
      <w:pPr>
        <w:spacing w:line="360" w:lineRule="auto"/>
        <w:rPr>
          <w:rFonts w:hint="eastAsia" w:ascii="仿宋" w:hAnsi="仿宋" w:eastAsia="仿宋" w:cs="仿宋"/>
          <w:color w:val="auto"/>
        </w:rPr>
      </w:pPr>
      <w:r>
        <w:rPr>
          <w:rFonts w:hint="eastAsia" w:ascii="仿宋" w:hAnsi="仿宋" w:eastAsia="仿宋" w:cs="仿宋"/>
          <w:bCs/>
          <w:color w:val="auto"/>
        </w:rPr>
        <w:t>采购人有</w:t>
      </w:r>
      <w:r>
        <w:rPr>
          <w:rFonts w:hint="eastAsia" w:ascii="仿宋" w:hAnsi="仿宋" w:eastAsia="仿宋" w:cs="仿宋"/>
          <w:color w:val="auto"/>
        </w:rPr>
        <w:t>权在确定中标报价人之前拒绝任何有不正当行为或扰乱正常工作的报价人，由此对报价人造成的损失不负任何责任，同时对此无需做出任何解释。</w:t>
      </w:r>
    </w:p>
    <w:p>
      <w:pPr>
        <w:spacing w:line="360" w:lineRule="auto"/>
        <w:rPr>
          <w:rFonts w:hint="eastAsia" w:ascii="仿宋" w:hAnsi="仿宋" w:eastAsia="仿宋" w:cs="仿宋"/>
          <w:color w:val="auto"/>
        </w:rPr>
      </w:pPr>
      <w:r>
        <w:rPr>
          <w:rFonts w:hint="eastAsia" w:ascii="仿宋" w:hAnsi="仿宋" w:eastAsia="仿宋" w:cs="仿宋"/>
          <w:b/>
          <w:color w:val="auto"/>
        </w:rPr>
        <w:t>27.付款方式：</w:t>
      </w:r>
      <w:r>
        <w:rPr>
          <w:rFonts w:hint="eastAsia" w:ascii="仿宋" w:hAnsi="仿宋" w:eastAsia="仿宋" w:cs="仿宋"/>
          <w:color w:val="auto"/>
        </w:rPr>
        <w:t>按成交人与采购人签订合同的付款方式执行。每次付款时均由供货方提供国家正规发票。</w:t>
      </w:r>
    </w:p>
    <w:p>
      <w:pPr>
        <w:pStyle w:val="5"/>
        <w:spacing w:line="360" w:lineRule="auto"/>
        <w:jc w:val="center"/>
        <w:rPr>
          <w:rFonts w:hint="eastAsia" w:ascii="仿宋" w:hAnsi="仿宋" w:eastAsia="仿宋" w:cs="仿宋"/>
          <w:color w:val="auto"/>
        </w:rPr>
      </w:pPr>
      <w:bookmarkStart w:id="73" w:name="_Toc17137"/>
      <w:bookmarkStart w:id="74" w:name="_Toc19776"/>
      <w:r>
        <w:rPr>
          <w:rFonts w:hint="eastAsia" w:ascii="仿宋" w:hAnsi="仿宋" w:eastAsia="仿宋" w:cs="仿宋"/>
          <w:color w:val="auto"/>
        </w:rPr>
        <w:t>七、合同签订</w:t>
      </w:r>
      <w:bookmarkEnd w:id="73"/>
      <w:bookmarkEnd w:id="74"/>
    </w:p>
    <w:p>
      <w:pPr>
        <w:spacing w:line="360" w:lineRule="auto"/>
        <w:rPr>
          <w:rFonts w:hint="eastAsia" w:ascii="仿宋" w:hAnsi="仿宋" w:eastAsia="仿宋" w:cs="仿宋"/>
          <w:b/>
          <w:color w:val="auto"/>
        </w:rPr>
      </w:pPr>
      <w:r>
        <w:rPr>
          <w:rFonts w:hint="eastAsia" w:ascii="仿宋" w:hAnsi="仿宋" w:eastAsia="仿宋" w:cs="仿宋"/>
          <w:b/>
          <w:color w:val="auto"/>
        </w:rPr>
        <w:t>28、签订合同</w:t>
      </w:r>
    </w:p>
    <w:p>
      <w:pPr>
        <w:spacing w:line="360" w:lineRule="auto"/>
        <w:rPr>
          <w:rFonts w:hint="eastAsia" w:ascii="仿宋" w:hAnsi="仿宋" w:eastAsia="仿宋" w:cs="仿宋"/>
          <w:color w:val="auto"/>
        </w:rPr>
      </w:pPr>
      <w:r>
        <w:rPr>
          <w:rFonts w:hint="eastAsia" w:ascii="仿宋" w:hAnsi="仿宋" w:eastAsia="仿宋" w:cs="仿宋"/>
          <w:b/>
          <w:color w:val="auto"/>
        </w:rPr>
        <w:t>28.1</w:t>
      </w:r>
      <w:r>
        <w:rPr>
          <w:rFonts w:hint="eastAsia" w:ascii="仿宋" w:hAnsi="仿宋" w:eastAsia="仿宋" w:cs="仿宋"/>
          <w:color w:val="auto"/>
        </w:rPr>
        <w:t xml:space="preserve"> 采购人和成交人在自成交通知书发出之日起7日内，依据《中华人民共和国合同法》等有关法律法规及谈判响应文件内容签订合同。</w:t>
      </w:r>
    </w:p>
    <w:p>
      <w:pPr>
        <w:spacing w:line="360" w:lineRule="auto"/>
        <w:rPr>
          <w:rFonts w:hint="eastAsia" w:ascii="仿宋" w:hAnsi="仿宋" w:eastAsia="仿宋" w:cs="仿宋"/>
          <w:color w:val="auto"/>
        </w:rPr>
      </w:pPr>
      <w:r>
        <w:rPr>
          <w:rFonts w:hint="eastAsia" w:ascii="仿宋" w:hAnsi="仿宋" w:eastAsia="仿宋" w:cs="仿宋"/>
          <w:b/>
          <w:color w:val="auto"/>
        </w:rPr>
        <w:t>30.2</w:t>
      </w:r>
      <w:r>
        <w:rPr>
          <w:rFonts w:hint="eastAsia" w:ascii="仿宋" w:hAnsi="仿宋" w:eastAsia="仿宋" w:cs="仿宋"/>
          <w:color w:val="auto"/>
        </w:rPr>
        <w:t xml:space="preserve"> 成交合同不得转让，合同分包需在谈判响应文件中予以说明，并须经人同意。否则，采购人有权取消报价人的成交资格。</w:t>
      </w:r>
    </w:p>
    <w:p>
      <w:pPr>
        <w:spacing w:line="360" w:lineRule="auto"/>
        <w:rPr>
          <w:rFonts w:hint="eastAsia" w:ascii="仿宋" w:hAnsi="仿宋" w:eastAsia="仿宋" w:cs="仿宋"/>
          <w:color w:val="auto"/>
        </w:rPr>
      </w:pPr>
      <w:r>
        <w:rPr>
          <w:rFonts w:hint="eastAsia" w:ascii="仿宋" w:hAnsi="仿宋" w:eastAsia="仿宋" w:cs="仿宋"/>
          <w:b/>
          <w:color w:val="auto"/>
        </w:rPr>
        <w:t>30.3</w:t>
      </w:r>
      <w:r>
        <w:rPr>
          <w:rFonts w:hint="eastAsia" w:ascii="仿宋" w:hAnsi="仿宋" w:eastAsia="仿宋" w:cs="仿宋"/>
          <w:color w:val="auto"/>
        </w:rPr>
        <w:t xml:space="preserve"> 采购人如遇成交人违约，可从候选成交人中重新选定成交人，并签订经济合同。</w:t>
      </w:r>
    </w:p>
    <w:p>
      <w:pPr>
        <w:spacing w:line="360" w:lineRule="auto"/>
        <w:rPr>
          <w:rFonts w:hint="eastAsia" w:ascii="仿宋" w:hAnsi="仿宋" w:eastAsia="仿宋" w:cs="仿宋"/>
          <w:color w:val="auto"/>
        </w:rPr>
      </w:pPr>
      <w:r>
        <w:rPr>
          <w:rFonts w:hint="eastAsia" w:ascii="仿宋" w:hAnsi="仿宋" w:eastAsia="仿宋" w:cs="仿宋"/>
          <w:b/>
          <w:color w:val="auto"/>
        </w:rPr>
        <w:t>30.4</w:t>
      </w:r>
      <w:r>
        <w:rPr>
          <w:rFonts w:hint="eastAsia" w:ascii="仿宋" w:hAnsi="仿宋" w:eastAsia="仿宋" w:cs="仿宋"/>
          <w:color w:val="auto"/>
        </w:rPr>
        <w:t xml:space="preserve"> 合同的定制由采购人、成交人、代理机构三方参加，为确保合同双方的利益公平均等，由代理机构在合同制订过程中进行协调。</w:t>
      </w:r>
    </w:p>
    <w:p>
      <w:pPr>
        <w:spacing w:line="360" w:lineRule="auto"/>
        <w:rPr>
          <w:rFonts w:hint="eastAsia" w:ascii="仿宋" w:hAnsi="仿宋" w:eastAsia="仿宋" w:cs="仿宋"/>
          <w:color w:val="auto"/>
        </w:rPr>
      </w:pPr>
      <w:r>
        <w:rPr>
          <w:rFonts w:hint="eastAsia" w:ascii="仿宋" w:hAnsi="仿宋" w:eastAsia="仿宋" w:cs="仿宋"/>
          <w:b/>
          <w:color w:val="auto"/>
        </w:rPr>
        <w:t xml:space="preserve">30.5 </w:t>
      </w:r>
      <w:r>
        <w:rPr>
          <w:rFonts w:hint="eastAsia" w:ascii="仿宋" w:hAnsi="仿宋" w:eastAsia="仿宋" w:cs="仿宋"/>
          <w:color w:val="auto"/>
        </w:rPr>
        <w:t>合同经采购人成交人双方签字盖章后即生效。采购人、成交人双方亦可自愿申请公证。</w:t>
      </w:r>
    </w:p>
    <w:p>
      <w:pPr>
        <w:spacing w:line="360" w:lineRule="auto"/>
        <w:rPr>
          <w:rFonts w:hint="eastAsia" w:ascii="仿宋" w:hAnsi="仿宋" w:eastAsia="仿宋" w:cs="仿宋"/>
          <w:b/>
          <w:color w:val="auto"/>
        </w:rPr>
      </w:pPr>
      <w:r>
        <w:rPr>
          <w:rFonts w:hint="eastAsia" w:ascii="仿宋" w:hAnsi="仿宋" w:eastAsia="仿宋" w:cs="仿宋"/>
          <w:b/>
          <w:color w:val="auto"/>
        </w:rPr>
        <w:t>31、合同组成</w:t>
      </w:r>
    </w:p>
    <w:p>
      <w:pPr>
        <w:spacing w:line="360" w:lineRule="auto"/>
        <w:rPr>
          <w:rFonts w:hint="eastAsia" w:ascii="仿宋" w:hAnsi="仿宋" w:eastAsia="仿宋" w:cs="仿宋"/>
          <w:color w:val="auto"/>
        </w:rPr>
      </w:pPr>
      <w:r>
        <w:rPr>
          <w:rFonts w:hint="eastAsia" w:ascii="仿宋" w:hAnsi="仿宋" w:eastAsia="仿宋" w:cs="仿宋"/>
          <w:b/>
          <w:color w:val="auto"/>
        </w:rPr>
        <w:t>31.1</w:t>
      </w:r>
      <w:r>
        <w:rPr>
          <w:rFonts w:hint="eastAsia" w:ascii="仿宋" w:hAnsi="仿宋" w:eastAsia="仿宋" w:cs="仿宋"/>
          <w:color w:val="auto"/>
        </w:rPr>
        <w:t xml:space="preserve"> 以下文件均为合同不可分割的部分：</w:t>
      </w:r>
    </w:p>
    <w:p>
      <w:pPr>
        <w:spacing w:line="360" w:lineRule="auto"/>
        <w:rPr>
          <w:rFonts w:hint="eastAsia" w:ascii="仿宋" w:hAnsi="仿宋" w:eastAsia="仿宋" w:cs="仿宋"/>
          <w:color w:val="auto"/>
        </w:rPr>
      </w:pPr>
      <w:r>
        <w:rPr>
          <w:rFonts w:hint="eastAsia" w:ascii="仿宋" w:hAnsi="仿宋" w:eastAsia="仿宋" w:cs="仿宋"/>
          <w:color w:val="auto"/>
        </w:rPr>
        <w:t>31.1.1 专用合同</w:t>
      </w:r>
    </w:p>
    <w:p>
      <w:pPr>
        <w:spacing w:line="360" w:lineRule="auto"/>
        <w:rPr>
          <w:rFonts w:hint="eastAsia" w:ascii="仿宋" w:hAnsi="仿宋" w:eastAsia="仿宋" w:cs="仿宋"/>
          <w:color w:val="auto"/>
        </w:rPr>
      </w:pPr>
      <w:r>
        <w:rPr>
          <w:rFonts w:hint="eastAsia" w:ascii="仿宋" w:hAnsi="仿宋" w:eastAsia="仿宋" w:cs="仿宋"/>
          <w:color w:val="auto"/>
        </w:rPr>
        <w:t>31.1.2 合同条款</w:t>
      </w:r>
    </w:p>
    <w:p>
      <w:pPr>
        <w:spacing w:line="360" w:lineRule="auto"/>
        <w:rPr>
          <w:rFonts w:hint="eastAsia" w:ascii="仿宋" w:hAnsi="仿宋" w:eastAsia="仿宋" w:cs="仿宋"/>
          <w:color w:val="auto"/>
        </w:rPr>
      </w:pPr>
      <w:r>
        <w:rPr>
          <w:rFonts w:hint="eastAsia" w:ascii="仿宋" w:hAnsi="仿宋" w:eastAsia="仿宋" w:cs="仿宋"/>
          <w:color w:val="auto"/>
        </w:rPr>
        <w:t>31.1.3 成交通知书</w:t>
      </w:r>
    </w:p>
    <w:p>
      <w:pPr>
        <w:spacing w:line="360" w:lineRule="auto"/>
        <w:rPr>
          <w:rFonts w:hint="eastAsia" w:ascii="仿宋" w:hAnsi="仿宋" w:eastAsia="仿宋" w:cs="仿宋"/>
          <w:color w:val="auto"/>
        </w:rPr>
      </w:pPr>
      <w:r>
        <w:rPr>
          <w:rFonts w:hint="eastAsia" w:ascii="仿宋" w:hAnsi="仿宋" w:eastAsia="仿宋" w:cs="仿宋"/>
          <w:color w:val="auto"/>
        </w:rPr>
        <w:t>31.1.4 报价人谈判响应文件</w:t>
      </w:r>
    </w:p>
    <w:p>
      <w:pPr>
        <w:spacing w:line="360" w:lineRule="auto"/>
        <w:rPr>
          <w:rFonts w:hint="eastAsia" w:ascii="仿宋" w:hAnsi="仿宋" w:eastAsia="仿宋" w:cs="仿宋"/>
          <w:color w:val="auto"/>
        </w:rPr>
      </w:pPr>
      <w:r>
        <w:rPr>
          <w:rFonts w:hint="eastAsia" w:ascii="仿宋" w:hAnsi="仿宋" w:eastAsia="仿宋" w:cs="仿宋"/>
          <w:color w:val="auto"/>
        </w:rPr>
        <w:t>31.1.5 其它文件</w:t>
      </w:r>
    </w:p>
    <w:p>
      <w:pPr>
        <w:spacing w:line="360" w:lineRule="auto"/>
        <w:rPr>
          <w:rFonts w:hint="eastAsia" w:ascii="仿宋" w:hAnsi="仿宋" w:eastAsia="仿宋" w:cs="仿宋"/>
          <w:b/>
          <w:bCs/>
          <w:color w:val="auto"/>
        </w:rPr>
      </w:pPr>
      <w:r>
        <w:rPr>
          <w:rFonts w:hint="eastAsia" w:ascii="仿宋" w:hAnsi="仿宋" w:eastAsia="仿宋" w:cs="仿宋"/>
          <w:b/>
          <w:bCs/>
          <w:color w:val="auto"/>
        </w:rPr>
        <w:t>32、履约保证金</w:t>
      </w:r>
    </w:p>
    <w:p>
      <w:pPr>
        <w:spacing w:line="360" w:lineRule="auto"/>
        <w:rPr>
          <w:rFonts w:hint="eastAsia" w:ascii="仿宋" w:hAnsi="仿宋" w:eastAsia="仿宋" w:cs="仿宋"/>
          <w:color w:val="auto"/>
        </w:rPr>
      </w:pPr>
      <w:r>
        <w:rPr>
          <w:rFonts w:hint="eastAsia" w:ascii="仿宋" w:hAnsi="仿宋" w:eastAsia="仿宋" w:cs="仿宋"/>
          <w:color w:val="auto"/>
        </w:rPr>
        <w:t>32.1 中标的投标人应按中标金额的10%提交履约保证金。</w:t>
      </w:r>
    </w:p>
    <w:p>
      <w:pPr>
        <w:spacing w:line="360" w:lineRule="auto"/>
        <w:rPr>
          <w:rFonts w:hint="eastAsia" w:ascii="仿宋" w:hAnsi="仿宋" w:eastAsia="仿宋" w:cs="仿宋"/>
          <w:b/>
          <w:bCs/>
          <w:color w:val="auto"/>
        </w:rPr>
      </w:pPr>
      <w:r>
        <w:rPr>
          <w:rFonts w:hint="eastAsia" w:ascii="仿宋" w:hAnsi="仿宋" w:eastAsia="仿宋" w:cs="仿宋"/>
          <w:color w:val="auto"/>
        </w:rPr>
        <w:t>32.2 中标人与招标人签订合同的同时提交履约保证金，如中标人未按招标文件规定的工期供货、安装和调试完毕，则扣除履约保证金，</w:t>
      </w:r>
      <w:r>
        <w:rPr>
          <w:rFonts w:hint="eastAsia" w:ascii="仿宋" w:hAnsi="仿宋" w:eastAsia="仿宋" w:cs="仿宋"/>
          <w:b/>
          <w:bCs/>
          <w:color w:val="auto"/>
        </w:rPr>
        <w:t>且三年内不得参加</w:t>
      </w:r>
      <w:r>
        <w:rPr>
          <w:rFonts w:hint="eastAsia" w:ascii="仿宋" w:hAnsi="仿宋" w:eastAsia="仿宋" w:cs="仿宋"/>
          <w:b/>
          <w:bCs/>
          <w:color w:val="auto"/>
          <w:lang w:eastAsia="zh-CN"/>
        </w:rPr>
        <w:t>于田县</w:t>
      </w:r>
      <w:r>
        <w:rPr>
          <w:rFonts w:hint="eastAsia" w:ascii="仿宋" w:hAnsi="仿宋" w:eastAsia="仿宋" w:cs="仿宋"/>
          <w:b/>
          <w:bCs/>
          <w:color w:val="auto"/>
        </w:rPr>
        <w:t>所有政府采购招投标活动。</w:t>
      </w:r>
    </w:p>
    <w:p>
      <w:pPr>
        <w:spacing w:line="360" w:lineRule="auto"/>
        <w:rPr>
          <w:rFonts w:hint="eastAsia" w:ascii="仿宋" w:hAnsi="仿宋" w:eastAsia="仿宋" w:cs="仿宋"/>
          <w:color w:val="auto"/>
        </w:rPr>
      </w:pPr>
      <w:r>
        <w:rPr>
          <w:rFonts w:hint="eastAsia" w:ascii="仿宋" w:hAnsi="仿宋" w:eastAsia="仿宋" w:cs="仿宋"/>
          <w:color w:val="auto"/>
        </w:rPr>
        <w:t>32.3履约保证金（无息）将在乙方履行完成合同所有义务后凭乙方的收款收据在五天内退返乙方。</w:t>
      </w:r>
    </w:p>
    <w:p>
      <w:pPr>
        <w:pStyle w:val="5"/>
        <w:spacing w:line="360" w:lineRule="auto"/>
        <w:ind w:firstLine="3626" w:firstLineChars="1290"/>
        <w:rPr>
          <w:rFonts w:hint="eastAsia" w:ascii="仿宋" w:hAnsi="仿宋" w:eastAsia="仿宋" w:cs="仿宋"/>
          <w:color w:val="auto"/>
          <w:sz w:val="28"/>
        </w:rPr>
      </w:pPr>
      <w:bookmarkStart w:id="75" w:name="_Toc14192"/>
      <w:bookmarkStart w:id="76" w:name="_Toc27889"/>
      <w:r>
        <w:rPr>
          <w:rFonts w:hint="eastAsia" w:ascii="仿宋" w:hAnsi="仿宋" w:eastAsia="仿宋" w:cs="仿宋"/>
          <w:color w:val="auto"/>
          <w:sz w:val="28"/>
        </w:rPr>
        <w:t>八、特别提示</w:t>
      </w:r>
      <w:bookmarkEnd w:id="75"/>
      <w:bookmarkEnd w:id="76"/>
    </w:p>
    <w:p>
      <w:pPr>
        <w:spacing w:line="360" w:lineRule="auto"/>
        <w:rPr>
          <w:rFonts w:hint="eastAsia" w:ascii="仿宋" w:hAnsi="仿宋" w:eastAsia="仿宋" w:cs="仿宋"/>
          <w:color w:val="auto"/>
        </w:rPr>
      </w:pPr>
      <w:r>
        <w:rPr>
          <w:rFonts w:hint="eastAsia" w:ascii="仿宋" w:hAnsi="仿宋" w:eastAsia="仿宋" w:cs="仿宋"/>
          <w:b/>
          <w:color w:val="auto"/>
        </w:rPr>
        <w:t>32、</w:t>
      </w:r>
      <w:r>
        <w:rPr>
          <w:rFonts w:hint="eastAsia" w:ascii="仿宋" w:hAnsi="仿宋" w:eastAsia="仿宋" w:cs="仿宋"/>
          <w:color w:val="auto"/>
        </w:rPr>
        <w:t>报价人应认真研读谈判文件，充分考虑文件中的所有要求和合同条款后，编制谈判响应文件。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33、</w:t>
      </w:r>
      <w:r>
        <w:rPr>
          <w:rFonts w:hint="eastAsia" w:ascii="仿宋" w:hAnsi="仿宋" w:eastAsia="仿宋" w:cs="仿宋"/>
          <w:color w:val="auto"/>
        </w:rPr>
        <w:t>如谈判文件中提供的各类表格样式不适用，报价人可另行设计表格样式，但力求内容完整，表达清晰、准确。</w:t>
      </w:r>
    </w:p>
    <w:p>
      <w:pPr>
        <w:spacing w:line="360" w:lineRule="auto"/>
        <w:rPr>
          <w:rFonts w:hint="eastAsia" w:ascii="仿宋" w:hAnsi="仿宋" w:eastAsia="仿宋" w:cs="仿宋"/>
          <w:color w:val="auto"/>
        </w:rPr>
      </w:pPr>
      <w:r>
        <w:rPr>
          <w:rFonts w:hint="eastAsia" w:ascii="仿宋" w:hAnsi="仿宋" w:eastAsia="仿宋" w:cs="仿宋"/>
          <w:b/>
          <w:color w:val="auto"/>
        </w:rPr>
        <w:t>34、</w:t>
      </w:r>
      <w:r>
        <w:rPr>
          <w:rFonts w:hint="eastAsia" w:ascii="仿宋" w:hAnsi="仿宋" w:eastAsia="仿宋" w:cs="仿宋"/>
          <w:color w:val="auto"/>
        </w:rPr>
        <w:t>本章21.3条所要求的原件，除“法定代表人授权委托书”需要做入谈判响应文件正本中外，其余仅供谈判时查验用，谈判响应文件中只需提供相应的复印件。</w:t>
      </w:r>
    </w:p>
    <w:p>
      <w:pPr>
        <w:pStyle w:val="5"/>
        <w:spacing w:line="360" w:lineRule="auto"/>
        <w:ind w:firstLine="3626" w:firstLineChars="1290"/>
        <w:rPr>
          <w:rFonts w:hint="eastAsia" w:ascii="仿宋" w:hAnsi="仿宋" w:eastAsia="仿宋" w:cs="仿宋"/>
          <w:color w:val="auto"/>
          <w:sz w:val="28"/>
        </w:rPr>
      </w:pPr>
      <w:bookmarkStart w:id="77" w:name="_Toc1323"/>
      <w:bookmarkStart w:id="78" w:name="_Toc21896"/>
      <w:r>
        <w:rPr>
          <w:rFonts w:hint="eastAsia" w:ascii="仿宋" w:hAnsi="仿宋" w:eastAsia="仿宋" w:cs="仿宋"/>
          <w:color w:val="auto"/>
          <w:sz w:val="28"/>
        </w:rPr>
        <w:t>九、其他事项</w:t>
      </w:r>
      <w:bookmarkEnd w:id="77"/>
      <w:bookmarkEnd w:id="78"/>
    </w:p>
    <w:p>
      <w:pPr>
        <w:spacing w:line="360" w:lineRule="auto"/>
        <w:rPr>
          <w:rFonts w:hint="eastAsia" w:ascii="仿宋" w:hAnsi="仿宋" w:eastAsia="仿宋" w:cs="仿宋"/>
          <w:b/>
          <w:color w:val="auto"/>
        </w:rPr>
      </w:pPr>
      <w:r>
        <w:rPr>
          <w:rFonts w:hint="eastAsia" w:ascii="仿宋" w:hAnsi="仿宋" w:eastAsia="仿宋" w:cs="仿宋"/>
          <w:b/>
          <w:color w:val="auto"/>
        </w:rPr>
        <w:t>35、成交服务费</w:t>
      </w:r>
    </w:p>
    <w:p>
      <w:pPr>
        <w:spacing w:line="360" w:lineRule="auto"/>
        <w:rPr>
          <w:rFonts w:hint="eastAsia" w:ascii="仿宋" w:hAnsi="仿宋" w:eastAsia="仿宋" w:cs="仿宋"/>
          <w:color w:val="auto"/>
        </w:rPr>
      </w:pPr>
      <w:r>
        <w:rPr>
          <w:rFonts w:hint="eastAsia" w:ascii="仿宋" w:hAnsi="仿宋" w:eastAsia="仿宋" w:cs="仿宋"/>
          <w:b/>
          <w:color w:val="auto"/>
        </w:rPr>
        <w:t xml:space="preserve">35.1 </w:t>
      </w:r>
      <w:r>
        <w:rPr>
          <w:rFonts w:hint="eastAsia" w:ascii="仿宋" w:hAnsi="仿宋" w:eastAsia="仿宋" w:cs="仿宋"/>
          <w:bCs/>
          <w:color w:val="auto"/>
        </w:rPr>
        <w:t>按照协商结果，</w:t>
      </w:r>
      <w:r>
        <w:rPr>
          <w:rFonts w:hint="eastAsia" w:ascii="仿宋" w:hAnsi="仿宋" w:eastAsia="仿宋" w:cs="仿宋"/>
          <w:color w:val="auto"/>
        </w:rPr>
        <w:t>成交单位须在采购工作结束后向代理机构一次性付清成交服务费（即成交人在领取成交通知书时支付）。</w:t>
      </w:r>
    </w:p>
    <w:p>
      <w:pPr>
        <w:spacing w:line="360" w:lineRule="auto"/>
        <w:rPr>
          <w:rFonts w:hint="eastAsia" w:ascii="仿宋" w:hAnsi="仿宋" w:eastAsia="仿宋" w:cs="仿宋"/>
          <w:color w:val="auto"/>
        </w:rPr>
      </w:pPr>
      <w:r>
        <w:rPr>
          <w:rFonts w:hint="eastAsia" w:ascii="仿宋" w:hAnsi="仿宋" w:eastAsia="仿宋" w:cs="仿宋"/>
          <w:b/>
          <w:color w:val="auto"/>
        </w:rPr>
        <w:t>35.2</w:t>
      </w:r>
      <w:r>
        <w:rPr>
          <w:rFonts w:hint="eastAsia" w:ascii="仿宋" w:hAnsi="仿宋" w:eastAsia="仿宋" w:cs="仿宋"/>
          <w:color w:val="auto"/>
        </w:rPr>
        <w:t xml:space="preserve"> 成交服务费：</w:t>
      </w:r>
      <w:r>
        <w:rPr>
          <w:rFonts w:hint="eastAsia" w:ascii="仿宋" w:hAnsi="仿宋" w:eastAsia="仿宋" w:cs="仿宋"/>
          <w:color w:val="auto"/>
          <w:kern w:val="0"/>
          <w:lang w:bidi="ar"/>
        </w:rPr>
        <w:t>详见投标人须知前附表</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rPr>
        <w:t>36、</w:t>
      </w:r>
      <w:r>
        <w:rPr>
          <w:rFonts w:hint="eastAsia" w:ascii="仿宋" w:hAnsi="仿宋" w:eastAsia="仿宋" w:cs="仿宋"/>
          <w:color w:val="auto"/>
        </w:rPr>
        <w:t>本文件依据《中华人民共和国政府采购法》等有关政府采购方面的法律法规文件编制，解释权属</w:t>
      </w:r>
      <w:r>
        <w:rPr>
          <w:rFonts w:hint="eastAsia" w:ascii="仿宋" w:hAnsi="仿宋" w:eastAsia="仿宋" w:cs="仿宋"/>
          <w:color w:val="auto"/>
          <w:lang w:eastAsia="zh-CN"/>
        </w:rPr>
        <w:t>新疆达富腾项目咨询有限公司</w:t>
      </w:r>
      <w:r>
        <w:rPr>
          <w:rFonts w:hint="eastAsia" w:ascii="仿宋" w:hAnsi="仿宋" w:eastAsia="仿宋" w:cs="仿宋"/>
          <w:color w:val="auto"/>
        </w:rPr>
        <w:t>。</w:t>
      </w:r>
    </w:p>
    <w:p>
      <w:pPr>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numPr>
          <w:ilvl w:val="0"/>
          <w:numId w:val="3"/>
        </w:numPr>
        <w:spacing w:line="360" w:lineRule="auto"/>
        <w:rPr>
          <w:rFonts w:hint="eastAsia" w:ascii="仿宋" w:hAnsi="仿宋" w:eastAsia="仿宋" w:cs="仿宋"/>
          <w:b/>
          <w:bCs/>
          <w:color w:val="auto"/>
          <w:sz w:val="40"/>
          <w:szCs w:val="52"/>
        </w:rPr>
      </w:pPr>
      <w:r>
        <w:rPr>
          <w:rFonts w:hint="eastAsia" w:ascii="仿宋" w:hAnsi="仿宋" w:eastAsia="仿宋" w:cs="仿宋"/>
          <w:b/>
          <w:bCs/>
          <w:color w:val="auto"/>
          <w:sz w:val="40"/>
          <w:szCs w:val="52"/>
          <w:lang w:val="en-US" w:eastAsia="zh-CN"/>
        </w:rPr>
        <w:t xml:space="preserve"> </w:t>
      </w:r>
      <w:r>
        <w:rPr>
          <w:rFonts w:hint="eastAsia" w:ascii="仿宋" w:hAnsi="仿宋" w:eastAsia="仿宋" w:cs="仿宋"/>
          <w:b/>
          <w:bCs/>
          <w:color w:val="auto"/>
          <w:sz w:val="40"/>
          <w:szCs w:val="52"/>
        </w:rPr>
        <w:t>采购需求、技术参数、规格</w:t>
      </w:r>
    </w:p>
    <w:p>
      <w:pPr>
        <w:pStyle w:val="20"/>
        <w:shd w:val="clear" w:color="auto" w:fill="FFFFFF"/>
        <w:spacing w:before="0" w:beforeAutospacing="0" w:after="0" w:afterAutospacing="0" w:line="360" w:lineRule="auto"/>
        <w:ind w:firstLine="281" w:firstLineChars="1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一、采购需求</w:t>
      </w: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ind w:left="0" w:leftChars="0" w:firstLine="0" w:firstLineChars="0"/>
        <w:jc w:val="both"/>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详见工程量清单</w:t>
      </w: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6"/>
        <w:spacing w:line="360" w:lineRule="auto"/>
        <w:rPr>
          <w:rFonts w:hint="eastAsia" w:ascii="仿宋" w:hAnsi="仿宋" w:eastAsia="仿宋" w:cs="仿宋"/>
          <w:color w:val="auto"/>
          <w:sz w:val="24"/>
          <w:szCs w:val="24"/>
          <w:lang w:val="en-US" w:eastAsia="zh-CN"/>
        </w:rPr>
        <w:sectPr>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7"/>
        <w:spacing w:line="360" w:lineRule="auto"/>
        <w:rPr>
          <w:rFonts w:hint="eastAsia" w:ascii="仿宋" w:hAnsi="仿宋" w:eastAsia="仿宋" w:cs="仿宋"/>
          <w:color w:val="auto"/>
        </w:rPr>
      </w:pPr>
      <w:bookmarkStart w:id="79" w:name="_Toc11006"/>
      <w:bookmarkStart w:id="80" w:name="_Toc8207"/>
      <w:bookmarkStart w:id="81" w:name="_Toc2425"/>
      <w:bookmarkStart w:id="82" w:name="_Toc31168"/>
      <w:bookmarkStart w:id="83" w:name="_Toc501379478"/>
      <w:bookmarkStart w:id="84" w:name="_Toc24429"/>
      <w:bookmarkStart w:id="85" w:name="_Toc18595"/>
      <w:bookmarkStart w:id="86" w:name="_Toc22992"/>
      <w:bookmarkStart w:id="87" w:name="_Toc381970843"/>
    </w:p>
    <w:p>
      <w:pPr>
        <w:pStyle w:val="4"/>
        <w:spacing w:line="360" w:lineRule="auto"/>
        <w:rPr>
          <w:rFonts w:hint="eastAsia" w:ascii="仿宋" w:hAnsi="仿宋" w:eastAsia="仿宋" w:cs="仿宋"/>
          <w:color w:val="auto"/>
        </w:rPr>
      </w:pPr>
      <w:r>
        <w:rPr>
          <w:rFonts w:hint="eastAsia" w:ascii="仿宋" w:hAnsi="仿宋" w:eastAsia="仿宋" w:cs="仿宋"/>
          <w:color w:val="auto"/>
        </w:rPr>
        <w:t>第四章  合同文本（仅供参考）</w:t>
      </w:r>
      <w:bookmarkEnd w:id="79"/>
      <w:bookmarkEnd w:id="80"/>
      <w:bookmarkEnd w:id="81"/>
    </w:p>
    <w:p>
      <w:pPr>
        <w:spacing w:line="360" w:lineRule="auto"/>
        <w:rPr>
          <w:rFonts w:hint="eastAsia" w:ascii="仿宋" w:hAnsi="仿宋" w:eastAsia="仿宋" w:cs="仿宋"/>
          <w:color w:val="auto"/>
          <w:spacing w:val="-5"/>
          <w:kern w:val="0"/>
          <w:lang w:val="zh-CN"/>
        </w:rPr>
      </w:pPr>
    </w:p>
    <w:p>
      <w:pPr>
        <w:spacing w:line="360" w:lineRule="auto"/>
        <w:rPr>
          <w:rFonts w:hint="eastAsia" w:ascii="仿宋" w:hAnsi="仿宋" w:eastAsia="仿宋" w:cs="仿宋"/>
          <w:color w:val="auto"/>
          <w:spacing w:val="-5"/>
          <w:kern w:val="0"/>
          <w:lang w:val="zh-CN"/>
        </w:rPr>
      </w:pPr>
    </w:p>
    <w:p>
      <w:pPr>
        <w:spacing w:line="360" w:lineRule="auto"/>
        <w:rPr>
          <w:rFonts w:hint="eastAsia" w:ascii="仿宋" w:hAnsi="仿宋" w:eastAsia="仿宋" w:cs="仿宋"/>
          <w:color w:val="auto"/>
          <w:u w:val="single"/>
        </w:rPr>
      </w:pPr>
      <w:r>
        <w:rPr>
          <w:rFonts w:hint="eastAsia" w:ascii="仿宋" w:hAnsi="仿宋" w:eastAsia="仿宋" w:cs="仿宋"/>
          <w:color w:val="auto"/>
          <w:spacing w:val="-5"/>
          <w:kern w:val="0"/>
          <w:lang w:val="zh-CN"/>
        </w:rPr>
        <w:t xml:space="preserve">合同编号：  </w:t>
      </w:r>
    </w:p>
    <w:p>
      <w:pPr>
        <w:rPr>
          <w:rFonts w:hint="eastAsia" w:ascii="仿宋" w:hAnsi="仿宋" w:eastAsia="仿宋" w:cs="仿宋"/>
          <w:color w:val="auto"/>
        </w:rPr>
      </w:pPr>
    </w:p>
    <w:p>
      <w:pPr>
        <w:spacing w:line="360" w:lineRule="auto"/>
        <w:rPr>
          <w:rFonts w:hint="eastAsia" w:ascii="仿宋" w:hAnsi="仿宋" w:eastAsia="仿宋" w:cs="仿宋"/>
          <w:b/>
          <w:color w:val="auto"/>
          <w:sz w:val="44"/>
          <w:szCs w:val="44"/>
        </w:rPr>
      </w:pPr>
    </w:p>
    <w:p>
      <w:pPr>
        <w:pStyle w:val="7"/>
        <w:spacing w:line="360" w:lineRule="auto"/>
        <w:rPr>
          <w:rFonts w:hint="eastAsia" w:ascii="仿宋" w:hAnsi="仿宋" w:eastAsia="仿宋" w:cs="仿宋"/>
          <w:color w:val="auto"/>
        </w:rPr>
      </w:pPr>
    </w:p>
    <w:p>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政府采购合同</w:t>
      </w: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auto"/>
          <w:spacing w:val="-5"/>
          <w:kern w:val="0"/>
        </w:rPr>
      </w:pPr>
      <w:r>
        <w:rPr>
          <w:rFonts w:hint="eastAsia" w:ascii="仿宋" w:hAnsi="仿宋" w:eastAsia="仿宋" w:cs="仿宋"/>
          <w:b/>
          <w:bCs/>
          <w:color w:val="auto"/>
          <w:spacing w:val="-5"/>
          <w:kern w:val="0"/>
        </w:rPr>
        <w:t>（货物类）</w:t>
      </w: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auto"/>
          <w:spacing w:val="-5"/>
          <w:kern w:val="0"/>
        </w:rPr>
      </w:pPr>
      <w:r>
        <w:rPr>
          <w:rFonts w:hint="eastAsia" w:ascii="仿宋" w:hAnsi="仿宋" w:eastAsia="仿宋" w:cs="仿宋"/>
          <w:b/>
          <w:bCs/>
          <w:color w:val="auto"/>
          <w:spacing w:val="-5"/>
          <w:kern w:val="0"/>
        </w:rPr>
        <w:t>第一部分 合同书</w:t>
      </w: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项目名称：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甲方：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乙方：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签订地：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签订日期：               年       月       日</w:t>
      </w:r>
    </w:p>
    <w:p>
      <w:pPr>
        <w:autoSpaceDE w:val="0"/>
        <w:autoSpaceDN w:val="0"/>
        <w:adjustRightInd w:val="0"/>
        <w:spacing w:line="360" w:lineRule="auto"/>
        <w:ind w:firstLine="640"/>
        <w:jc w:val="center"/>
        <w:rPr>
          <w:rFonts w:hint="eastAsia" w:ascii="仿宋" w:hAnsi="仿宋" w:eastAsia="仿宋" w:cs="仿宋"/>
          <w:color w:val="auto"/>
          <w:sz w:val="28"/>
          <w:szCs w:val="36"/>
        </w:rPr>
        <w:sectPr>
          <w:headerReference r:id="rId6" w:type="default"/>
          <w:footerReference r:id="rId7"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lang w:val="zh-CN"/>
        </w:rPr>
        <w:t xml:space="preserve">     </w:t>
      </w:r>
      <w:r>
        <w:rPr>
          <w:rFonts w:hint="eastAsia" w:ascii="仿宋" w:hAnsi="仿宋" w:eastAsia="仿宋" w:cs="仿宋"/>
          <w:color w:val="auto"/>
          <w:spacing w:val="-5"/>
          <w:kern w:val="0"/>
          <w:sz w:val="24"/>
          <w:szCs w:val="24"/>
          <w:lang w:val="zh-CN"/>
        </w:rPr>
        <w:t xml:space="preserve">   年    月    日</w:t>
      </w:r>
      <w:r>
        <w:rPr>
          <w:rFonts w:hint="eastAsia" w:ascii="仿宋" w:hAnsi="仿宋" w:eastAsia="仿宋" w:cs="仿宋"/>
          <w:color w:val="auto"/>
          <w:spacing w:val="-5"/>
          <w:kern w:val="0"/>
          <w:sz w:val="24"/>
          <w:szCs w:val="24"/>
        </w:rPr>
        <w:t>，   （采购人名称）   以   （政府采购方式）  对   （同前页项目名称）   项目进行了采购。经   （相关评定主体名称）   评定，   （中标供应商名称）为该项目中标供应商。现于中标通知书发出之日起三十日内，按照采购文件确定的事项签订本合同。</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pacing w:val="-5"/>
          <w:kern w:val="0"/>
          <w:sz w:val="24"/>
          <w:szCs w:val="24"/>
        </w:rPr>
        <w:t xml:space="preserve">   （采购人名称）   </w:t>
      </w:r>
      <w:r>
        <w:rPr>
          <w:rFonts w:hint="eastAsia" w:ascii="仿宋" w:hAnsi="仿宋" w:eastAsia="仿宋" w:cs="仿宋"/>
          <w:color w:val="auto"/>
          <w:spacing w:val="-5"/>
          <w:kern w:val="0"/>
          <w:sz w:val="24"/>
          <w:szCs w:val="24"/>
          <w:lang w:val="zh-CN"/>
        </w:rPr>
        <w:t>(以下简称：甲方)和</w:t>
      </w:r>
      <w:r>
        <w:rPr>
          <w:rFonts w:hint="eastAsia" w:ascii="仿宋" w:hAnsi="仿宋" w:eastAsia="仿宋" w:cs="仿宋"/>
          <w:color w:val="auto"/>
          <w:spacing w:val="-5"/>
          <w:kern w:val="0"/>
          <w:sz w:val="24"/>
          <w:szCs w:val="24"/>
        </w:rPr>
        <w:t xml:space="preserve">   （中标供应商名称）   </w:t>
      </w:r>
      <w:r>
        <w:rPr>
          <w:rFonts w:hint="eastAsia" w:ascii="仿宋" w:hAnsi="仿宋" w:eastAsia="仿宋" w:cs="仿宋"/>
          <w:color w:val="auto"/>
          <w:spacing w:val="-5"/>
          <w:kern w:val="0"/>
          <w:sz w:val="24"/>
          <w:szCs w:val="24"/>
          <w:lang w:val="zh-CN"/>
        </w:rPr>
        <w:t>(以下简称：乙方)协商一致，约定以下合同</w:t>
      </w:r>
      <w:r>
        <w:rPr>
          <w:rFonts w:hint="eastAsia" w:ascii="仿宋" w:hAnsi="仿宋" w:eastAsia="仿宋" w:cs="仿宋"/>
          <w:color w:val="auto"/>
          <w:spacing w:val="-5"/>
          <w:kern w:val="0"/>
          <w:sz w:val="24"/>
          <w:szCs w:val="24"/>
        </w:rPr>
        <w:t>条款，以兹共同遵守、全面履行。</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88" w:name="_Toc3029"/>
      <w:bookmarkStart w:id="89" w:name="_Toc24059"/>
      <w:bookmarkStart w:id="90" w:name="_Toc2232"/>
      <w:r>
        <w:rPr>
          <w:rFonts w:hint="eastAsia" w:ascii="仿宋" w:hAnsi="仿宋" w:eastAsia="仿宋" w:cs="仿宋"/>
          <w:b/>
          <w:bCs/>
          <w:color w:val="auto"/>
          <w:spacing w:val="-5"/>
          <w:kern w:val="0"/>
          <w:sz w:val="24"/>
          <w:szCs w:val="24"/>
        </w:rPr>
        <w:t>1.1 合同组成部分</w:t>
      </w:r>
      <w:bookmarkEnd w:id="88"/>
      <w:bookmarkEnd w:id="89"/>
      <w:bookmarkEnd w:id="90"/>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z w:val="24"/>
          <w:szCs w:val="24"/>
        </w:rPr>
        <w:t>下</w:t>
      </w:r>
      <w:r>
        <w:rPr>
          <w:rFonts w:hint="eastAsia" w:ascii="仿宋" w:hAnsi="仿宋" w:eastAsia="仿宋" w:cs="仿宋"/>
          <w:color w:val="auto"/>
          <w:spacing w:val="-5"/>
          <w:kern w:val="0"/>
          <w:sz w:val="24"/>
          <w:szCs w:val="24"/>
        </w:rPr>
        <w:t>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1.1.1 本合同及其补充合同、变更协议；</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1.1.2 中标通知书；</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1.1.3 投标文件（含澄清或者说明文件）；</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1.1.4 招标文件（含澄清或者修改文件）；</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1.1.5 其他相关采购文件。</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1" w:name="_Toc27126"/>
      <w:bookmarkStart w:id="92" w:name="_Toc24300"/>
      <w:bookmarkStart w:id="93" w:name="_Toc21295"/>
      <w:r>
        <w:rPr>
          <w:rFonts w:hint="eastAsia" w:ascii="仿宋" w:hAnsi="仿宋" w:eastAsia="仿宋" w:cs="仿宋"/>
          <w:b/>
          <w:bCs/>
          <w:color w:val="auto"/>
          <w:spacing w:val="-5"/>
          <w:kern w:val="0"/>
          <w:sz w:val="24"/>
          <w:szCs w:val="24"/>
        </w:rPr>
        <w:t>1.2 货物</w:t>
      </w:r>
      <w:bookmarkEnd w:id="91"/>
      <w:bookmarkEnd w:id="92"/>
      <w:bookmarkEnd w:id="93"/>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1.2.1货物名称：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1.2.2货物数量：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1.2.货物质量：　　　　　　　　　                      　      。</w:t>
      </w:r>
    </w:p>
    <w:p>
      <w:pPr>
        <w:widowControl/>
        <w:overflowPunct w:val="0"/>
        <w:autoSpaceDE w:val="0"/>
        <w:autoSpaceDN w:val="0"/>
        <w:adjustRightInd w:val="0"/>
        <w:snapToGrid w:val="0"/>
        <w:spacing w:line="240" w:lineRule="auto"/>
        <w:ind w:firstLine="462" w:firstLineChars="200"/>
        <w:textAlignment w:val="baseline"/>
        <w:rPr>
          <w:rFonts w:hint="eastAsia" w:ascii="仿宋" w:hAnsi="仿宋" w:eastAsia="仿宋" w:cs="仿宋"/>
          <w:b/>
          <w:bCs/>
          <w:color w:val="auto"/>
          <w:spacing w:val="-5"/>
          <w:kern w:val="0"/>
          <w:sz w:val="24"/>
          <w:szCs w:val="24"/>
        </w:rPr>
      </w:pPr>
      <w:bookmarkStart w:id="94" w:name="_Toc21551"/>
      <w:bookmarkStart w:id="95" w:name="_Toc23292"/>
      <w:bookmarkStart w:id="96" w:name="_Toc21631"/>
      <w:r>
        <w:rPr>
          <w:rFonts w:hint="eastAsia" w:ascii="仿宋" w:hAnsi="仿宋" w:eastAsia="仿宋" w:cs="仿宋"/>
          <w:b/>
          <w:bCs/>
          <w:color w:val="auto"/>
          <w:spacing w:val="-5"/>
          <w:kern w:val="0"/>
          <w:sz w:val="24"/>
          <w:szCs w:val="24"/>
        </w:rPr>
        <w:t>1.3 价款</w:t>
      </w:r>
      <w:bookmarkEnd w:id="94"/>
      <w:bookmarkEnd w:id="95"/>
      <w:bookmarkEnd w:id="96"/>
    </w:p>
    <w:p>
      <w:pPr>
        <w:widowControl/>
        <w:overflowPunct w:val="0"/>
        <w:autoSpaceDE w:val="0"/>
        <w:autoSpaceDN w:val="0"/>
        <w:adjustRightInd w:val="0"/>
        <w:snapToGrid w:val="0"/>
        <w:spacing w:line="24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本合同总价为：￥           元（大写：                 元人民币）。</w:t>
      </w:r>
    </w:p>
    <w:tbl>
      <w:tblPr>
        <w:tblStyle w:val="21"/>
        <w:tblpPr w:leftFromText="180" w:rightFromText="180" w:vertAnchor="text" w:horzAnchor="page" w:tblpXSpec="center" w:tblpY="648"/>
        <w:tblOverlap w:val="never"/>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240" w:lineRule="auto"/>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序号</w:t>
            </w:r>
          </w:p>
        </w:tc>
        <w:tc>
          <w:tcPr>
            <w:tcW w:w="4089"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分项名称</w:t>
            </w:r>
          </w:p>
        </w:tc>
        <w:tc>
          <w:tcPr>
            <w:tcW w:w="3067" w:type="dxa"/>
            <w:vAlign w:val="center"/>
          </w:tcPr>
          <w:p>
            <w:pPr>
              <w:spacing w:line="240" w:lineRule="auto"/>
              <w:jc w:val="center"/>
              <w:rPr>
                <w:rFonts w:hint="eastAsia" w:ascii="仿宋" w:hAnsi="仿宋" w:eastAsia="仿宋" w:cs="仿宋"/>
                <w:color w:val="auto"/>
                <w:spacing w:val="-5"/>
                <w:kern w:val="0"/>
                <w:sz w:val="24"/>
                <w:szCs w:val="24"/>
              </w:rPr>
            </w:pPr>
            <w:r>
              <w:rPr>
                <w:rFonts w:hint="eastAsia" w:ascii="仿宋" w:hAnsi="仿宋" w:eastAsia="仿宋" w:cs="仿宋"/>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c>
          <w:tcPr>
            <w:tcW w:w="4089"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c>
          <w:tcPr>
            <w:tcW w:w="3067"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32" w:type="dxa"/>
            <w:gridSpan w:val="2"/>
            <w:vAlign w:val="center"/>
          </w:tcPr>
          <w:p>
            <w:pPr>
              <w:pStyle w:val="40"/>
              <w:spacing w:line="240" w:lineRule="auto"/>
              <w:ind w:firstLine="200"/>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总价</w:t>
            </w:r>
          </w:p>
        </w:tc>
        <w:tc>
          <w:tcPr>
            <w:tcW w:w="3067"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r>
    </w:tbl>
    <w:p>
      <w:pPr>
        <w:widowControl/>
        <w:overflowPunct w:val="0"/>
        <w:autoSpaceDE w:val="0"/>
        <w:autoSpaceDN w:val="0"/>
        <w:adjustRightInd w:val="0"/>
        <w:snapToGrid w:val="0"/>
        <w:spacing w:line="240" w:lineRule="auto"/>
        <w:textAlignment w:val="baseline"/>
        <w:rPr>
          <w:rFonts w:hint="eastAsia" w:ascii="仿宋" w:hAnsi="仿宋" w:eastAsia="仿宋" w:cs="仿宋"/>
          <w:color w:val="auto"/>
          <w:sz w:val="24"/>
          <w:szCs w:val="24"/>
          <w:u w:val="single"/>
        </w:rPr>
      </w:pPr>
      <w:r>
        <w:rPr>
          <w:rFonts w:hint="eastAsia" w:ascii="仿宋" w:hAnsi="仿宋" w:eastAsia="仿宋" w:cs="仿宋"/>
          <w:color w:val="auto"/>
          <w:spacing w:val="-5"/>
          <w:kern w:val="0"/>
          <w:sz w:val="24"/>
          <w:szCs w:val="24"/>
        </w:rPr>
        <w:t>分项价格：</w:t>
      </w:r>
      <w:r>
        <w:rPr>
          <w:rFonts w:hint="eastAsia" w:ascii="仿宋" w:hAnsi="仿宋" w:eastAsia="仿宋" w:cs="仿宋"/>
          <w:color w:val="auto"/>
          <w:sz w:val="24"/>
          <w:szCs w:val="24"/>
        </w:rPr>
        <w:br w:type="page"/>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7" w:name="_Toc22618"/>
      <w:bookmarkStart w:id="98" w:name="_Toc1814"/>
      <w:bookmarkStart w:id="99" w:name="_Toc10340"/>
      <w:r>
        <w:rPr>
          <w:rFonts w:hint="eastAsia" w:ascii="仿宋" w:hAnsi="仿宋" w:eastAsia="仿宋" w:cs="仿宋"/>
          <w:b/>
          <w:bCs/>
          <w:color w:val="auto"/>
          <w:spacing w:val="-5"/>
          <w:kern w:val="0"/>
          <w:sz w:val="24"/>
          <w:szCs w:val="24"/>
        </w:rPr>
        <w:t>1.4 付款方式和发票开具方式</w:t>
      </w:r>
      <w:bookmarkEnd w:id="97"/>
      <w:bookmarkEnd w:id="98"/>
      <w:bookmarkEnd w:id="99"/>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1.4.付款方式：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1.4.发票开具方式：                                       ；</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0" w:name="_Toc32071"/>
      <w:bookmarkStart w:id="101" w:name="_Toc19304"/>
      <w:bookmarkStart w:id="102" w:name="_Toc2846"/>
      <w:r>
        <w:rPr>
          <w:rFonts w:hint="eastAsia" w:ascii="仿宋" w:hAnsi="仿宋" w:eastAsia="仿宋" w:cs="仿宋"/>
          <w:b/>
          <w:bCs/>
          <w:color w:val="auto"/>
          <w:spacing w:val="-5"/>
          <w:kern w:val="0"/>
          <w:sz w:val="24"/>
          <w:szCs w:val="24"/>
        </w:rPr>
        <w:t>1.5 货物交付期限、地点和方式</w:t>
      </w:r>
      <w:bookmarkEnd w:id="100"/>
      <w:bookmarkEnd w:id="101"/>
      <w:bookmarkEnd w:id="102"/>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1.5.1 交付期限：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1.5.2 交付地点：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1.5.3 交付方式：　　　　　　　　　                      。</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3" w:name="_Toc21423"/>
      <w:bookmarkStart w:id="104" w:name="_Toc19554"/>
      <w:bookmarkStart w:id="105" w:name="_Toc27250"/>
      <w:r>
        <w:rPr>
          <w:rFonts w:hint="eastAsia" w:ascii="仿宋" w:hAnsi="仿宋" w:eastAsia="仿宋" w:cs="仿宋"/>
          <w:b/>
          <w:bCs/>
          <w:color w:val="auto"/>
          <w:spacing w:val="-5"/>
          <w:kern w:val="0"/>
          <w:sz w:val="24"/>
          <w:szCs w:val="24"/>
        </w:rPr>
        <w:t>1.6 违约责任</w:t>
      </w:r>
      <w:bookmarkEnd w:id="103"/>
      <w:bookmarkEnd w:id="104"/>
      <w:bookmarkEnd w:id="105"/>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6" w:name="_Toc28375"/>
      <w:bookmarkStart w:id="107" w:name="_Toc15583"/>
      <w:bookmarkStart w:id="108" w:name="_Toc16021"/>
      <w:r>
        <w:rPr>
          <w:rFonts w:hint="eastAsia" w:ascii="仿宋" w:hAnsi="仿宋" w:eastAsia="仿宋" w:cs="仿宋"/>
          <w:b/>
          <w:bCs/>
          <w:color w:val="auto"/>
          <w:spacing w:val="-5"/>
          <w:kern w:val="0"/>
          <w:sz w:val="24"/>
          <w:szCs w:val="24"/>
        </w:rPr>
        <w:t>1.7 合同争议的解决</w:t>
      </w:r>
      <w:bookmarkEnd w:id="106"/>
      <w:bookmarkEnd w:id="107"/>
      <w:bookmarkEnd w:id="108"/>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本合同履行过程中发生的任何争议，双方当事人均可通过和解或者调解解决；不愿和解、调解或者和解、调解不成的，可以选择下列第    种方式解决：</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1.7.1 将争议提交              仲裁委员会依申请仲裁时其现行有效的仲裁规则裁决；</w:t>
      </w:r>
    </w:p>
    <w:p>
      <w:pPr>
        <w:spacing w:line="360" w:lineRule="auto"/>
        <w:ind w:firstLine="460" w:firstLineChars="200"/>
        <w:rPr>
          <w:rFonts w:hint="eastAsia" w:ascii="仿宋" w:hAnsi="仿宋" w:eastAsia="仿宋" w:cs="仿宋"/>
          <w:color w:val="auto"/>
          <w:sz w:val="24"/>
          <w:szCs w:val="24"/>
        </w:rPr>
      </w:pPr>
      <w:r>
        <w:rPr>
          <w:rFonts w:hint="eastAsia" w:ascii="仿宋" w:hAnsi="仿宋" w:eastAsia="仿宋" w:cs="仿宋"/>
          <w:color w:val="auto"/>
          <w:spacing w:val="-5"/>
          <w:kern w:val="0"/>
          <w:sz w:val="24"/>
          <w:szCs w:val="24"/>
        </w:rPr>
        <w:t>1.7.2 向   （被告住所地、合同履行地、合同签订地、原告住所地、标的物所在地等与争议有实际联系的地点中选出的人民法院名称）    人民法院起诉</w:t>
      </w:r>
      <w:r>
        <w:rPr>
          <w:rFonts w:hint="eastAsia" w:ascii="仿宋" w:hAnsi="仿宋" w:eastAsia="仿宋" w:cs="仿宋"/>
          <w:color w:val="auto"/>
          <w:sz w:val="24"/>
          <w:szCs w:val="24"/>
        </w:rPr>
        <w:t>。</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9" w:name="_Toc15322"/>
      <w:bookmarkStart w:id="110" w:name="_Toc11173"/>
      <w:bookmarkStart w:id="111" w:name="_Toc7245"/>
      <w:r>
        <w:rPr>
          <w:rFonts w:hint="eastAsia" w:ascii="仿宋" w:hAnsi="仿宋" w:eastAsia="仿宋" w:cs="仿宋"/>
          <w:b/>
          <w:bCs/>
          <w:color w:val="auto"/>
          <w:spacing w:val="-5"/>
          <w:kern w:val="0"/>
          <w:sz w:val="24"/>
          <w:szCs w:val="24"/>
        </w:rPr>
        <w:t>1.8 合同生效</w:t>
      </w:r>
      <w:bookmarkEnd w:id="109"/>
      <w:bookmarkEnd w:id="110"/>
      <w:bookmarkEnd w:id="111"/>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本合同自双方当事人盖章或者签字时生效。</w:t>
      </w:r>
    </w:p>
    <w:p>
      <w:pPr>
        <w:autoSpaceDE w:val="0"/>
        <w:autoSpaceDN w:val="0"/>
        <w:adjustRightInd w:val="0"/>
        <w:spacing w:line="360" w:lineRule="auto"/>
        <w:rPr>
          <w:rFonts w:hint="eastAsia" w:ascii="仿宋" w:hAnsi="仿宋" w:eastAsia="仿宋" w:cs="仿宋"/>
          <w:b/>
          <w:bCs/>
          <w:color w:val="auto"/>
          <w:spacing w:val="-5"/>
          <w:kern w:val="0"/>
          <w:sz w:val="24"/>
          <w:szCs w:val="24"/>
          <w:lang w:val="zh-CN"/>
        </w:rPr>
      </w:pPr>
    </w:p>
    <w:p>
      <w:pPr>
        <w:pStyle w:val="7"/>
        <w:rPr>
          <w:rFonts w:hint="eastAsia" w:ascii="仿宋" w:hAnsi="仿宋" w:eastAsia="仿宋" w:cs="仿宋"/>
          <w:b/>
          <w:bCs/>
          <w:color w:val="auto"/>
          <w:spacing w:val="-5"/>
          <w:kern w:val="0"/>
          <w:sz w:val="24"/>
          <w:szCs w:val="24"/>
          <w:lang w:val="zh-CN"/>
        </w:rPr>
      </w:pPr>
    </w:p>
    <w:p>
      <w:pPr>
        <w:rPr>
          <w:rFonts w:hint="eastAsia" w:ascii="仿宋" w:hAnsi="仿宋" w:eastAsia="仿宋" w:cs="仿宋"/>
          <w:b/>
          <w:bCs/>
          <w:color w:val="auto"/>
          <w:spacing w:val="-5"/>
          <w:kern w:val="0"/>
          <w:sz w:val="24"/>
          <w:szCs w:val="24"/>
          <w:lang w:val="zh-CN"/>
        </w:rPr>
      </w:pPr>
    </w:p>
    <w:p>
      <w:pPr>
        <w:pStyle w:val="7"/>
        <w:rPr>
          <w:rFonts w:hint="eastAsia" w:ascii="仿宋" w:hAnsi="仿宋" w:eastAsia="仿宋" w:cs="仿宋"/>
          <w:b/>
          <w:bCs/>
          <w:color w:val="auto"/>
          <w:spacing w:val="-5"/>
          <w:kern w:val="0"/>
          <w:sz w:val="24"/>
          <w:szCs w:val="24"/>
          <w:lang w:val="zh-CN"/>
        </w:rPr>
      </w:pPr>
    </w:p>
    <w:p>
      <w:pPr>
        <w:rPr>
          <w:rFonts w:hint="eastAsia" w:ascii="仿宋" w:hAnsi="仿宋" w:eastAsia="仿宋" w:cs="仿宋"/>
          <w:b/>
          <w:bCs/>
          <w:color w:val="auto"/>
          <w:spacing w:val="-5"/>
          <w:kern w:val="0"/>
          <w:sz w:val="24"/>
          <w:szCs w:val="24"/>
          <w:lang w:val="zh-CN"/>
        </w:rPr>
      </w:pPr>
    </w:p>
    <w:p>
      <w:pPr>
        <w:pStyle w:val="7"/>
        <w:rPr>
          <w:rFonts w:hint="eastAsia" w:ascii="仿宋" w:hAnsi="仿宋" w:eastAsia="仿宋" w:cs="仿宋"/>
          <w:b/>
          <w:bCs/>
          <w:color w:val="auto"/>
          <w:spacing w:val="-5"/>
          <w:kern w:val="0"/>
          <w:sz w:val="24"/>
          <w:szCs w:val="24"/>
          <w:lang w:val="zh-CN"/>
        </w:rPr>
      </w:pPr>
    </w:p>
    <w:p>
      <w:pPr>
        <w:rPr>
          <w:rFonts w:hint="eastAsia" w:ascii="仿宋" w:hAnsi="仿宋" w:eastAsia="仿宋" w:cs="仿宋"/>
          <w:color w:val="auto"/>
          <w:lang w:val="zh-CN"/>
        </w:rPr>
      </w:pPr>
    </w:p>
    <w:p>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
          <w:bCs/>
          <w:color w:val="auto"/>
          <w:spacing w:val="-5"/>
          <w:kern w:val="0"/>
          <w:sz w:val="24"/>
          <w:szCs w:val="24"/>
          <w:lang w:val="zh-CN"/>
        </w:rPr>
        <w:t>甲方</w:t>
      </w:r>
      <w:r>
        <w:rPr>
          <w:rFonts w:hint="eastAsia" w:ascii="仿宋" w:hAnsi="仿宋" w:eastAsia="仿宋" w:cs="仿宋"/>
          <w:color w:val="auto"/>
          <w:sz w:val="24"/>
          <w:szCs w:val="24"/>
          <w:lang w:val="zh-CN"/>
        </w:rPr>
        <w:t xml:space="preserve">：                             </w:t>
      </w:r>
      <w:r>
        <w:rPr>
          <w:rFonts w:hint="eastAsia" w:ascii="仿宋" w:hAnsi="仿宋" w:eastAsia="仿宋" w:cs="仿宋"/>
          <w:b/>
          <w:bCs/>
          <w:color w:val="auto"/>
          <w:spacing w:val="-5"/>
          <w:kern w:val="0"/>
          <w:sz w:val="24"/>
          <w:szCs w:val="24"/>
          <w:lang w:val="zh-CN"/>
        </w:rPr>
        <w:t xml:space="preserve"> 乙方</w:t>
      </w:r>
      <w:r>
        <w:rPr>
          <w:rFonts w:hint="eastAsia" w:ascii="仿宋" w:hAnsi="仿宋" w:eastAsia="仿宋" w:cs="仿宋"/>
          <w:color w:val="auto"/>
          <w:sz w:val="24"/>
          <w:szCs w:val="24"/>
          <w:lang w:val="zh-CN"/>
        </w:rPr>
        <w:t>：</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统一社会信用代码：                        统一社会信用代码或身份证号码：</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住所：                                   住所：</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法定代表人或                             法定代表人</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 xml:space="preserve">授权代表（签字）：                        或授权代表（签字）: </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联系人：                                 联系人：</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约定送达地址：                           约定送达地址：</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邮政编码：                               邮政编码：</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 xml:space="preserve">电话:                                    电话: </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传真:                                    传真:</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lang w:val="zh-CN"/>
        </w:rPr>
        <w:t>电子邮箱：                               电子邮箱：</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 xml:space="preserve">开户银行：                               开户银行： </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 xml:space="preserve">开户名称：                               开户名称： </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开户账号：                               开户账号：</w:t>
      </w:r>
    </w:p>
    <w:p>
      <w:pPr>
        <w:tabs>
          <w:tab w:val="left" w:pos="1185"/>
        </w:tabs>
        <w:spacing w:before="100" w:beforeAutospacing="1" w:after="100" w:afterAutospacing="1" w:line="360" w:lineRule="auto"/>
        <w:ind w:firstLine="560" w:firstLineChars="200"/>
        <w:rPr>
          <w:rFonts w:hint="eastAsia" w:ascii="仿宋" w:hAnsi="仿宋" w:eastAsia="仿宋" w:cs="仿宋"/>
          <w:color w:val="auto"/>
          <w:kern w:val="0"/>
          <w:sz w:val="28"/>
          <w:szCs w:val="28"/>
          <w:lang w:val="zh-CN"/>
        </w:rPr>
      </w:pPr>
    </w:p>
    <w:p>
      <w:pPr>
        <w:spacing w:line="360" w:lineRule="auto"/>
        <w:jc w:val="center"/>
        <w:rPr>
          <w:rFonts w:hint="eastAsia" w:ascii="仿宋" w:hAnsi="仿宋" w:eastAsia="仿宋" w:cs="仿宋"/>
          <w:b/>
          <w:color w:val="auto"/>
        </w:rPr>
      </w:pPr>
      <w:r>
        <w:rPr>
          <w:rFonts w:hint="eastAsia" w:ascii="仿宋" w:hAnsi="仿宋" w:eastAsia="仿宋" w:cs="仿宋"/>
          <w:b/>
          <w:bCs/>
          <w:color w:val="auto"/>
        </w:rPr>
        <w:t>第二部分 合同一般条款</w:t>
      </w:r>
    </w:p>
    <w:p>
      <w:pPr>
        <w:spacing w:line="360" w:lineRule="auto"/>
        <w:rPr>
          <w:rFonts w:hint="eastAsia" w:ascii="仿宋" w:hAnsi="仿宋" w:eastAsia="仿宋" w:cs="仿宋"/>
          <w:b/>
          <w:color w:val="auto"/>
        </w:rPr>
      </w:pPr>
      <w:bookmarkStart w:id="112" w:name="_Ref467379225"/>
      <w:bookmarkStart w:id="113" w:name="_Toc19614"/>
      <w:bookmarkStart w:id="114" w:name="_Toc14489"/>
      <w:bookmarkStart w:id="115" w:name="_Ref467379205"/>
      <w:bookmarkStart w:id="116" w:name="_Toc28763"/>
      <w:bookmarkStart w:id="117" w:name="_Ref467378499"/>
      <w:bookmarkStart w:id="118" w:name="_Toc259093669"/>
      <w:bookmarkStart w:id="119" w:name="_Toc279701240"/>
      <w:bookmarkStart w:id="120" w:name="_Toc487900349"/>
      <w:bookmarkStart w:id="121" w:name="_Toc16917"/>
      <w:bookmarkStart w:id="122" w:name="_Ref467379195"/>
      <w:bookmarkStart w:id="123" w:name="_Ref467379214"/>
      <w:bookmarkStart w:id="124" w:name="_Toc15804"/>
      <w:bookmarkStart w:id="125" w:name="_Ref467379109"/>
      <w:bookmarkStart w:id="126" w:name="_Toc14743"/>
      <w:bookmarkStart w:id="127" w:name="_Toc6569"/>
      <w:bookmarkStart w:id="128" w:name="_Toc4284"/>
      <w:bookmarkStart w:id="129" w:name="_Ref467378463"/>
      <w:bookmarkStart w:id="130" w:name="_Ref467379094"/>
      <w:bookmarkStart w:id="131" w:name="_Ref467378404"/>
      <w:bookmarkStart w:id="132" w:name="_Ref467379101"/>
      <w:r>
        <w:rPr>
          <w:rFonts w:hint="eastAsia" w:ascii="仿宋" w:hAnsi="仿宋" w:eastAsia="仿宋" w:cs="仿宋"/>
          <w:b/>
          <w:bCs/>
          <w:color w:val="auto"/>
        </w:rPr>
        <w:t>2.1 定义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本合同中的下列词语应按以下内容进行解释：</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 “合同”系指采购人和中标供应商签订的载明双方当事人所达成的协议，并包括所有的附件、附录和构成合同的其他文件。</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2.1.2 “合同价”系指根据合同约定，中标供应商在完全履行合同义务后，采购人应支付给中标供应商的价格。</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 “货物”系指中标供应商根据合同约定应向采购人交付的一切各种形态和种类的物品，包括原材料、燃料、设备、机械、仪表、备件、计算机软件、产品等，并包括工具、手册等其他相关资料。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hint="eastAsia" w:ascii="仿宋" w:hAnsi="仿宋" w:eastAsia="仿宋" w:cs="仿宋"/>
          <w:color w:val="auto"/>
        </w:rPr>
      </w:pPr>
      <w:bookmarkStart w:id="133" w:name="_Ref467378840"/>
      <w:r>
        <w:rPr>
          <w:rFonts w:hint="eastAsia" w:ascii="仿宋" w:hAnsi="仿宋" w:eastAsia="仿宋" w:cs="仿宋"/>
          <w:color w:val="auto"/>
        </w:rPr>
        <w:t>2.1.4 “甲方”系指与中标供应商签署合同的采购人</w:t>
      </w:r>
      <w:bookmarkEnd w:id="133"/>
      <w:r>
        <w:rPr>
          <w:rFonts w:hint="eastAsia" w:ascii="仿宋" w:hAnsi="仿宋" w:eastAsia="仿宋" w:cs="仿宋"/>
          <w:color w:val="auto"/>
        </w:rPr>
        <w:t>；采购人委托采购代理机构代表其与乙方签订合同的，采购人的授权委托书作为合同附件。</w:t>
      </w:r>
    </w:p>
    <w:p>
      <w:pPr>
        <w:spacing w:line="360" w:lineRule="auto"/>
        <w:ind w:firstLine="480" w:firstLineChars="200"/>
        <w:rPr>
          <w:rFonts w:hint="eastAsia" w:ascii="仿宋" w:hAnsi="仿宋" w:eastAsia="仿宋" w:cs="仿宋"/>
          <w:color w:val="auto"/>
        </w:rPr>
      </w:pPr>
      <w:bookmarkStart w:id="134" w:name="_Ref467379400"/>
      <w:r>
        <w:rPr>
          <w:rFonts w:hint="eastAsia" w:ascii="仿宋" w:hAnsi="仿宋" w:eastAsia="仿宋" w:cs="仿宋"/>
          <w:color w:val="auto"/>
        </w:rPr>
        <w:t>2.1.5 “乙方”系指根据合同约定交付货物的中标供应商</w:t>
      </w:r>
      <w:bookmarkEnd w:id="134"/>
      <w:r>
        <w:rPr>
          <w:rFonts w:hint="eastAsia" w:ascii="仿宋" w:hAnsi="仿宋" w:eastAsia="仿宋" w:cs="仿宋"/>
          <w:color w:val="auto"/>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 w:hAnsi="仿宋" w:eastAsia="仿宋" w:cs="仿宋"/>
          <w:color w:val="auto"/>
        </w:rPr>
      </w:pPr>
      <w:bookmarkStart w:id="135" w:name="_Ref467379436"/>
      <w:r>
        <w:rPr>
          <w:rFonts w:hint="eastAsia" w:ascii="仿宋" w:hAnsi="仿宋" w:eastAsia="仿宋" w:cs="仿宋"/>
          <w:color w:val="auto"/>
        </w:rPr>
        <w:t>2.1.6 “现场”系指合同约定货物将要运至或者安装的地点。</w:t>
      </w:r>
      <w:bookmarkEnd w:id="135"/>
    </w:p>
    <w:p>
      <w:pPr>
        <w:spacing w:line="360" w:lineRule="auto"/>
        <w:rPr>
          <w:rFonts w:hint="eastAsia" w:ascii="仿宋" w:hAnsi="仿宋" w:eastAsia="仿宋" w:cs="仿宋"/>
          <w:b/>
          <w:color w:val="auto"/>
        </w:rPr>
      </w:pPr>
      <w:bookmarkStart w:id="136" w:name="_Toc487900350"/>
      <w:bookmarkStart w:id="137" w:name="_Toc14409"/>
      <w:bookmarkStart w:id="138" w:name="_Toc28495"/>
      <w:bookmarkStart w:id="139" w:name="_Toc279701241"/>
      <w:bookmarkStart w:id="140" w:name="_Toc13336"/>
      <w:bookmarkStart w:id="141" w:name="_Toc8693"/>
      <w:bookmarkStart w:id="142" w:name="_Toc18216"/>
      <w:bookmarkStart w:id="143" w:name="_Toc259093670"/>
      <w:bookmarkStart w:id="144" w:name="_Toc27208"/>
      <w:bookmarkStart w:id="145" w:name="_Toc32504"/>
      <w:bookmarkStart w:id="146" w:name="_Toc27635"/>
      <w:r>
        <w:rPr>
          <w:rFonts w:hint="eastAsia" w:ascii="仿宋" w:hAnsi="仿宋" w:eastAsia="仿宋" w:cs="仿宋"/>
          <w:b/>
          <w:bCs/>
          <w:color w:val="auto"/>
        </w:rPr>
        <w:t>2.2 技术规范</w:t>
      </w:r>
      <w:bookmarkEnd w:id="136"/>
      <w:bookmarkEnd w:id="137"/>
      <w:bookmarkEnd w:id="138"/>
      <w:bookmarkEnd w:id="139"/>
      <w:bookmarkEnd w:id="140"/>
      <w:bookmarkEnd w:id="141"/>
      <w:bookmarkEnd w:id="142"/>
      <w:bookmarkEnd w:id="143"/>
      <w:bookmarkEnd w:id="144"/>
      <w:bookmarkEnd w:id="145"/>
      <w:bookmarkEnd w:id="146"/>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rPr>
          <w:rFonts w:hint="eastAsia" w:ascii="仿宋" w:hAnsi="仿宋" w:eastAsia="仿宋" w:cs="仿宋"/>
          <w:b/>
          <w:color w:val="auto"/>
        </w:rPr>
      </w:pPr>
      <w:bookmarkStart w:id="147" w:name="_Toc279701242"/>
      <w:bookmarkStart w:id="148" w:name="_Toc23131"/>
      <w:bookmarkStart w:id="149" w:name="_Toc32362"/>
      <w:bookmarkStart w:id="150" w:name="_Toc9829"/>
      <w:bookmarkStart w:id="151" w:name="_Toc27853"/>
      <w:bookmarkStart w:id="152" w:name="_Toc23751"/>
      <w:bookmarkStart w:id="153" w:name="_Toc31634"/>
      <w:bookmarkStart w:id="154" w:name="_Toc31371"/>
      <w:bookmarkStart w:id="155" w:name="_Toc259093671"/>
      <w:bookmarkStart w:id="156" w:name="_Toc26863"/>
      <w:bookmarkStart w:id="157" w:name="_Toc487900351"/>
      <w:r>
        <w:rPr>
          <w:rFonts w:hint="eastAsia" w:ascii="仿宋" w:hAnsi="仿宋" w:eastAsia="仿宋" w:cs="仿宋"/>
          <w:b/>
          <w:bCs/>
          <w:color w:val="auto"/>
        </w:rPr>
        <w:t>2.3 知识产权</w:t>
      </w:r>
      <w:bookmarkEnd w:id="147"/>
      <w:bookmarkEnd w:id="148"/>
      <w:bookmarkEnd w:id="149"/>
      <w:bookmarkEnd w:id="150"/>
      <w:bookmarkEnd w:id="151"/>
      <w:bookmarkEnd w:id="152"/>
      <w:bookmarkEnd w:id="153"/>
      <w:bookmarkEnd w:id="154"/>
      <w:bookmarkEnd w:id="155"/>
      <w:bookmarkEnd w:id="156"/>
      <w:bookmarkEnd w:id="15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2.3.2具有知识产权的计算机软件等货物的知识产权归属，详见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color w:val="auto"/>
        </w:rPr>
      </w:pPr>
      <w:bookmarkStart w:id="158" w:name="_Toc25073"/>
      <w:bookmarkStart w:id="159" w:name="_Toc12445"/>
      <w:bookmarkStart w:id="160" w:name="_Toc20825"/>
      <w:bookmarkStart w:id="161" w:name="_Toc29149"/>
      <w:bookmarkStart w:id="162" w:name="_Toc11932"/>
      <w:bookmarkStart w:id="163" w:name="_Toc7133"/>
      <w:bookmarkStart w:id="164" w:name="_Toc4194"/>
      <w:bookmarkStart w:id="165" w:name="_Toc24375"/>
      <w:r>
        <w:rPr>
          <w:rFonts w:hint="eastAsia" w:ascii="仿宋" w:hAnsi="仿宋" w:eastAsia="仿宋" w:cs="仿宋"/>
          <w:b/>
          <w:bCs/>
          <w:color w:val="auto"/>
        </w:rPr>
        <w:t>2.4 包装和装运</w:t>
      </w:r>
      <w:bookmarkEnd w:id="158"/>
      <w:bookmarkEnd w:id="159"/>
      <w:bookmarkEnd w:id="160"/>
      <w:bookmarkEnd w:id="161"/>
      <w:bookmarkEnd w:id="162"/>
      <w:bookmarkEnd w:id="163"/>
      <w:bookmarkEnd w:id="164"/>
      <w:bookmarkEnd w:id="165"/>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2.4.1除</w:t>
      </w:r>
      <w:r>
        <w:rPr>
          <w:rFonts w:hint="eastAsia" w:ascii="仿宋" w:hAnsi="仿宋" w:eastAsia="仿宋" w:cs="仿宋"/>
          <w:b/>
          <w:color w:val="auto"/>
          <w:u w:val="single"/>
        </w:rPr>
        <w:t>合同专用条款</w:t>
      </w:r>
      <w:r>
        <w:rPr>
          <w:rFonts w:hint="eastAsia" w:ascii="仿宋" w:hAnsi="仿宋" w:eastAsia="仿宋" w:cs="仿宋"/>
          <w:color w:val="auto"/>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2.4.2 装运货物的要求和通知，详见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bCs/>
          <w:color w:val="auto"/>
        </w:rPr>
      </w:pPr>
      <w:bookmarkStart w:id="166" w:name="_Toc259093674"/>
      <w:bookmarkStart w:id="167" w:name="_Ref467379527"/>
      <w:bookmarkStart w:id="168" w:name="_Ref467379536"/>
      <w:bookmarkStart w:id="169" w:name="_Ref467378591"/>
      <w:bookmarkStart w:id="170" w:name="_Toc487900354"/>
      <w:bookmarkStart w:id="171" w:name="_Ref467378541"/>
      <w:bookmarkStart w:id="172" w:name="_Ref467379542"/>
      <w:bookmarkStart w:id="173" w:name="_Toc279701245"/>
      <w:bookmarkStart w:id="174" w:name="_Toc26182"/>
      <w:bookmarkStart w:id="175" w:name="_Toc17203"/>
      <w:bookmarkStart w:id="176" w:name="_Toc19074"/>
      <w:bookmarkStart w:id="177" w:name="_Toc30272"/>
      <w:bookmarkStart w:id="178" w:name="_Toc29586"/>
      <w:bookmarkStart w:id="179" w:name="_Toc2779"/>
      <w:bookmarkStart w:id="180" w:name="_Toc2363"/>
      <w:bookmarkStart w:id="181" w:name="_Toc16765"/>
      <w:r>
        <w:rPr>
          <w:rFonts w:hint="eastAsia" w:ascii="仿宋" w:hAnsi="仿宋" w:eastAsia="仿宋" w:cs="仿宋"/>
          <w:b/>
          <w:bCs/>
          <w:color w:val="auto"/>
        </w:rPr>
        <w:t>2.</w:t>
      </w:r>
      <w:bookmarkEnd w:id="166"/>
      <w:bookmarkEnd w:id="167"/>
      <w:bookmarkEnd w:id="168"/>
      <w:bookmarkEnd w:id="169"/>
      <w:bookmarkEnd w:id="170"/>
      <w:bookmarkEnd w:id="171"/>
      <w:bookmarkEnd w:id="172"/>
      <w:bookmarkEnd w:id="173"/>
      <w:r>
        <w:rPr>
          <w:rFonts w:hint="eastAsia" w:ascii="仿宋" w:hAnsi="仿宋" w:eastAsia="仿宋" w:cs="仿宋"/>
          <w:b/>
          <w:bCs/>
          <w:color w:val="auto"/>
        </w:rPr>
        <w:t>5 履约检查和问题反馈</w:t>
      </w:r>
      <w:bookmarkEnd w:id="174"/>
      <w:bookmarkEnd w:id="175"/>
      <w:bookmarkEnd w:id="176"/>
      <w:bookmarkEnd w:id="177"/>
      <w:bookmarkEnd w:id="178"/>
      <w:bookmarkEnd w:id="179"/>
      <w:bookmarkEnd w:id="180"/>
      <w:bookmarkEnd w:id="181"/>
    </w:p>
    <w:p>
      <w:pPr>
        <w:spacing w:line="360" w:lineRule="auto"/>
        <w:ind w:firstLine="480" w:firstLineChars="200"/>
        <w:rPr>
          <w:rFonts w:hint="eastAsia" w:ascii="仿宋" w:hAnsi="仿宋" w:eastAsia="仿宋" w:cs="仿宋"/>
          <w:color w:val="auto"/>
        </w:rPr>
      </w:pPr>
      <w:bookmarkStart w:id="182" w:name="_Ref467379657"/>
      <w:r>
        <w:rPr>
          <w:rFonts w:hint="eastAsia" w:ascii="仿宋" w:hAnsi="仿宋" w:eastAsia="仿宋" w:cs="仿宋"/>
          <w:color w:val="auto"/>
        </w:rPr>
        <w:t>2.5.1</w:t>
      </w:r>
      <w:bookmarkEnd w:id="182"/>
      <w:bookmarkStart w:id="183" w:name="_Toc186431854"/>
      <w:bookmarkStart w:id="184" w:name="_Toc279701247"/>
      <w:bookmarkStart w:id="185" w:name="_Ref467379807"/>
      <w:bookmarkStart w:id="186" w:name="_Toc259093676"/>
      <w:bookmarkStart w:id="187" w:name="_Ref467379793"/>
      <w:bookmarkStart w:id="188" w:name="_Toc487900357"/>
      <w:r>
        <w:rPr>
          <w:rFonts w:hint="eastAsia" w:ascii="仿宋" w:hAnsi="仿宋" w:eastAsia="仿宋" w:cs="仿宋"/>
          <w:color w:val="auto"/>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2.5.2 合同履行期间，甲方有权将履行过程中出现的问题反馈给乙方，双方当事人应以书面形式约定需要完善和改进的内容</w:t>
      </w:r>
      <w:bookmarkEnd w:id="183"/>
      <w:bookmarkStart w:id="189" w:name="_Toc186431855"/>
      <w:r>
        <w:rPr>
          <w:rFonts w:hint="eastAsia" w:ascii="仿宋" w:hAnsi="仿宋" w:eastAsia="仿宋" w:cs="仿宋"/>
          <w:color w:val="auto"/>
        </w:rPr>
        <w:t>。</w:t>
      </w:r>
    </w:p>
    <w:bookmarkEnd w:id="189"/>
    <w:p>
      <w:pPr>
        <w:spacing w:line="360" w:lineRule="auto"/>
        <w:rPr>
          <w:rFonts w:hint="eastAsia" w:ascii="仿宋" w:hAnsi="仿宋" w:eastAsia="仿宋" w:cs="仿宋"/>
          <w:b/>
          <w:bCs/>
          <w:color w:val="auto"/>
        </w:rPr>
      </w:pPr>
      <w:bookmarkStart w:id="190" w:name="_Toc7836"/>
      <w:bookmarkStart w:id="191" w:name="_Toc11681"/>
      <w:bookmarkStart w:id="192" w:name="_Toc21350"/>
      <w:bookmarkStart w:id="193" w:name="_Toc17274"/>
      <w:bookmarkStart w:id="194" w:name="_Toc28150"/>
      <w:bookmarkStart w:id="195" w:name="_Toc19219"/>
      <w:bookmarkStart w:id="196" w:name="_Toc28451"/>
      <w:bookmarkStart w:id="197" w:name="_Toc30150"/>
      <w:r>
        <w:rPr>
          <w:rFonts w:hint="eastAsia" w:ascii="仿宋" w:hAnsi="仿宋" w:eastAsia="仿宋" w:cs="仿宋"/>
          <w:b/>
          <w:bCs/>
          <w:color w:val="auto"/>
        </w:rPr>
        <w:t>2.6 结算方式和付款条件</w:t>
      </w:r>
      <w:bookmarkEnd w:id="184"/>
      <w:bookmarkEnd w:id="185"/>
      <w:bookmarkEnd w:id="186"/>
      <w:bookmarkEnd w:id="187"/>
      <w:bookmarkEnd w:id="188"/>
      <w:bookmarkEnd w:id="190"/>
      <w:bookmarkEnd w:id="191"/>
      <w:bookmarkEnd w:id="192"/>
      <w:bookmarkEnd w:id="193"/>
      <w:bookmarkEnd w:id="194"/>
      <w:bookmarkEnd w:id="195"/>
      <w:bookmarkEnd w:id="196"/>
      <w:bookmarkEnd w:id="19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bCs/>
          <w:color w:val="auto"/>
        </w:rPr>
      </w:pPr>
      <w:bookmarkStart w:id="198" w:name="_Toc279701248"/>
      <w:bookmarkStart w:id="199" w:name="_Ref467379852"/>
      <w:bookmarkStart w:id="200" w:name="_Toc487900358"/>
      <w:bookmarkStart w:id="201" w:name="_Ref467379863"/>
      <w:bookmarkStart w:id="202" w:name="_Toc259093677"/>
      <w:bookmarkStart w:id="203" w:name="_Ref467379923"/>
      <w:bookmarkStart w:id="204" w:name="_Toc3225"/>
      <w:bookmarkStart w:id="205" w:name="_Toc774"/>
      <w:bookmarkStart w:id="206" w:name="_Toc8485"/>
      <w:bookmarkStart w:id="207" w:name="_Toc16110"/>
      <w:bookmarkStart w:id="208" w:name="_Toc24382"/>
      <w:bookmarkStart w:id="209" w:name="_Toc14262"/>
      <w:bookmarkStart w:id="210" w:name="_Toc15866"/>
      <w:bookmarkStart w:id="211" w:name="_Toc19837"/>
      <w:r>
        <w:rPr>
          <w:rFonts w:hint="eastAsia" w:ascii="仿宋" w:hAnsi="仿宋" w:eastAsia="仿宋" w:cs="仿宋"/>
          <w:b/>
          <w:bCs/>
          <w:color w:val="auto"/>
        </w:rPr>
        <w:t>2.7 技术资料</w:t>
      </w:r>
      <w:bookmarkEnd w:id="198"/>
      <w:bookmarkEnd w:id="199"/>
      <w:bookmarkEnd w:id="200"/>
      <w:bookmarkEnd w:id="201"/>
      <w:bookmarkEnd w:id="202"/>
      <w:bookmarkEnd w:id="203"/>
      <w:r>
        <w:rPr>
          <w:rFonts w:hint="eastAsia" w:ascii="仿宋" w:hAnsi="仿宋" w:eastAsia="仿宋" w:cs="仿宋"/>
          <w:b/>
          <w:bCs/>
          <w:color w:val="auto"/>
        </w:rPr>
        <w:t>和保密义务</w:t>
      </w:r>
      <w:bookmarkEnd w:id="204"/>
      <w:bookmarkEnd w:id="205"/>
      <w:bookmarkEnd w:id="206"/>
      <w:bookmarkEnd w:id="207"/>
      <w:bookmarkEnd w:id="208"/>
      <w:bookmarkEnd w:id="209"/>
      <w:bookmarkEnd w:id="210"/>
      <w:bookmarkEnd w:id="21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2.7.1 乙方有权依据合同约定和项目需要，向甲方了解有关情况，调阅有关资料等，甲方应予积极配合；</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2.7.2 乙方有义务妥善保管和保护由甲方提供的前款信息和资料等；</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rPr>
          <w:rFonts w:hint="eastAsia" w:ascii="仿宋" w:hAnsi="仿宋" w:eastAsia="仿宋" w:cs="仿宋"/>
          <w:b/>
          <w:color w:val="auto"/>
        </w:rPr>
      </w:pPr>
      <w:bookmarkStart w:id="212" w:name="_Toc22829"/>
      <w:bookmarkStart w:id="213" w:name="_Toc27141"/>
      <w:bookmarkStart w:id="214" w:name="_Toc31151"/>
      <w:bookmarkStart w:id="215" w:name="_Toc7860"/>
      <w:bookmarkStart w:id="216" w:name="_Toc12096"/>
      <w:bookmarkStart w:id="217" w:name="_Toc26527"/>
      <w:r>
        <w:rPr>
          <w:rFonts w:hint="eastAsia" w:ascii="仿宋" w:hAnsi="仿宋" w:eastAsia="仿宋" w:cs="仿宋"/>
          <w:b/>
          <w:bCs/>
          <w:color w:val="auto"/>
        </w:rPr>
        <w:t>2.8 质量保证</w:t>
      </w:r>
      <w:bookmarkEnd w:id="212"/>
      <w:bookmarkEnd w:id="213"/>
      <w:bookmarkEnd w:id="214"/>
      <w:bookmarkEnd w:id="215"/>
      <w:bookmarkEnd w:id="216"/>
      <w:bookmarkEnd w:id="21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2.8.1 乙方应建立和完善履行合同的内部质量保证体系，并提供相关内部规章制度给甲方，以便甲方进行监督检查；</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2.8.2 乙方应保证履行合同的人员数量和素质、软件和硬件设备的配置、场地、环境和设施等满足全面履行合同的要求，并应接受甲方的监督检查。</w:t>
      </w:r>
    </w:p>
    <w:p>
      <w:pPr>
        <w:spacing w:line="360" w:lineRule="auto"/>
        <w:rPr>
          <w:rFonts w:hint="eastAsia" w:ascii="仿宋" w:hAnsi="仿宋" w:eastAsia="仿宋" w:cs="仿宋"/>
          <w:b/>
          <w:bCs/>
          <w:color w:val="auto"/>
        </w:rPr>
      </w:pPr>
      <w:bookmarkStart w:id="218" w:name="_Toc18586"/>
      <w:bookmarkStart w:id="219" w:name="_Toc17244"/>
      <w:bookmarkStart w:id="220" w:name="_Toc11370"/>
      <w:bookmarkStart w:id="221" w:name="_Toc8746"/>
      <w:bookmarkStart w:id="222" w:name="_Toc25513"/>
      <w:bookmarkStart w:id="223" w:name="_Toc13387"/>
      <w:bookmarkStart w:id="224" w:name="_Toc279701252"/>
      <w:bookmarkStart w:id="225" w:name="_Toc487900362"/>
      <w:bookmarkStart w:id="226" w:name="_Toc259093681"/>
      <w:r>
        <w:rPr>
          <w:rFonts w:hint="eastAsia" w:ascii="仿宋" w:hAnsi="仿宋" w:eastAsia="仿宋" w:cs="仿宋"/>
          <w:b/>
          <w:bCs/>
          <w:color w:val="auto"/>
        </w:rPr>
        <w:t>2.9 货物的风险负担</w:t>
      </w:r>
      <w:bookmarkEnd w:id="218"/>
      <w:bookmarkEnd w:id="219"/>
      <w:bookmarkEnd w:id="220"/>
      <w:bookmarkEnd w:id="221"/>
      <w:bookmarkEnd w:id="222"/>
      <w:bookmarkEnd w:id="223"/>
    </w:p>
    <w:p>
      <w:pPr>
        <w:spacing w:line="360" w:lineRule="auto"/>
        <w:ind w:firstLine="480" w:firstLineChars="200"/>
        <w:rPr>
          <w:rFonts w:hint="eastAsia" w:ascii="仿宋" w:hAnsi="仿宋" w:eastAsia="仿宋" w:cs="仿宋"/>
          <w:b/>
          <w:color w:val="auto"/>
        </w:rPr>
      </w:pPr>
      <w:r>
        <w:rPr>
          <w:rFonts w:hint="eastAsia" w:ascii="仿宋" w:hAnsi="仿宋" w:eastAsia="仿宋" w:cs="仿宋"/>
          <w:color w:val="auto"/>
        </w:rPr>
        <w:t>货物或者在途货物或者交付给第一承运人后的货物毁损、灭失的风险负担详见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color w:val="auto"/>
        </w:rPr>
      </w:pPr>
      <w:bookmarkStart w:id="227" w:name="_Toc22575"/>
      <w:bookmarkStart w:id="228" w:name="_Toc31546"/>
      <w:bookmarkStart w:id="229" w:name="_Toc14055"/>
      <w:bookmarkStart w:id="230" w:name="_Toc8241"/>
      <w:bookmarkStart w:id="231" w:name="_Toc19186"/>
      <w:bookmarkStart w:id="232" w:name="_Toc25414"/>
      <w:r>
        <w:rPr>
          <w:rFonts w:hint="eastAsia" w:ascii="仿宋" w:hAnsi="仿宋" w:eastAsia="仿宋" w:cs="仿宋"/>
          <w:b/>
          <w:bCs/>
          <w:color w:val="auto"/>
        </w:rPr>
        <w:t>2.10 延迟交货</w:t>
      </w:r>
      <w:bookmarkEnd w:id="224"/>
      <w:bookmarkEnd w:id="225"/>
      <w:bookmarkEnd w:id="226"/>
      <w:bookmarkEnd w:id="227"/>
      <w:bookmarkEnd w:id="228"/>
      <w:bookmarkEnd w:id="229"/>
      <w:bookmarkEnd w:id="230"/>
      <w:bookmarkEnd w:id="231"/>
      <w:bookmarkEnd w:id="23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rPr>
          <w:rFonts w:hint="eastAsia" w:ascii="仿宋" w:hAnsi="仿宋" w:eastAsia="仿宋" w:cs="仿宋"/>
          <w:b/>
          <w:bCs/>
          <w:color w:val="auto"/>
        </w:rPr>
      </w:pPr>
      <w:bookmarkStart w:id="233" w:name="_Toc17330"/>
      <w:bookmarkStart w:id="234" w:name="_Toc17922"/>
      <w:bookmarkStart w:id="235" w:name="_Toc7502"/>
      <w:bookmarkStart w:id="236" w:name="_Toc14296"/>
      <w:bookmarkStart w:id="237" w:name="_Toc4583"/>
      <w:bookmarkStart w:id="238" w:name="_Toc11707"/>
      <w:bookmarkStart w:id="239" w:name="_Toc279701254"/>
      <w:bookmarkStart w:id="240" w:name="_Toc259093683"/>
      <w:bookmarkStart w:id="241" w:name="_Toc487900364"/>
      <w:bookmarkStart w:id="242" w:name="_Ref467378121"/>
      <w:r>
        <w:rPr>
          <w:rFonts w:hint="eastAsia" w:ascii="仿宋" w:hAnsi="仿宋" w:eastAsia="仿宋" w:cs="仿宋"/>
          <w:b/>
          <w:bCs/>
          <w:color w:val="auto"/>
        </w:rPr>
        <w:t>2.11 合同变更</w:t>
      </w:r>
      <w:bookmarkEnd w:id="233"/>
      <w:bookmarkEnd w:id="234"/>
      <w:bookmarkEnd w:id="235"/>
      <w:bookmarkEnd w:id="236"/>
      <w:bookmarkEnd w:id="237"/>
      <w:bookmarkEnd w:id="23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2.11.2 合同继续履行将损害国家利益和社会公共利益的，双方当事人应当以书面形式变更合同。有过错的一方应当承担赔偿责任，双方当事人都有过错的，各自承担相应的责任。</w:t>
      </w:r>
      <w:bookmarkStart w:id="243" w:name="_Toc259093688"/>
      <w:bookmarkStart w:id="244" w:name="_Toc279701259"/>
      <w:bookmarkStart w:id="245" w:name="_Toc487900369"/>
    </w:p>
    <w:p>
      <w:pPr>
        <w:spacing w:line="360" w:lineRule="auto"/>
        <w:rPr>
          <w:rFonts w:hint="eastAsia" w:ascii="仿宋" w:hAnsi="仿宋" w:eastAsia="仿宋" w:cs="仿宋"/>
          <w:b/>
          <w:color w:val="auto"/>
        </w:rPr>
      </w:pPr>
      <w:bookmarkStart w:id="246" w:name="_Toc11437"/>
      <w:bookmarkStart w:id="247" w:name="_Toc22955"/>
      <w:bookmarkStart w:id="248" w:name="_Toc7594"/>
      <w:bookmarkStart w:id="249" w:name="_Toc18501"/>
      <w:bookmarkStart w:id="250" w:name="_Toc15237"/>
      <w:bookmarkStart w:id="251" w:name="_Toc10366"/>
      <w:bookmarkStart w:id="252" w:name="_Toc31458"/>
      <w:bookmarkStart w:id="253" w:name="_Toc7580"/>
      <w:r>
        <w:rPr>
          <w:rFonts w:hint="eastAsia" w:ascii="仿宋" w:hAnsi="仿宋" w:eastAsia="仿宋" w:cs="仿宋"/>
          <w:b/>
          <w:bCs/>
          <w:color w:val="auto"/>
        </w:rPr>
        <w:t>2.12 合同转让</w:t>
      </w:r>
      <w:bookmarkEnd w:id="243"/>
      <w:bookmarkEnd w:id="244"/>
      <w:bookmarkEnd w:id="245"/>
      <w:r>
        <w:rPr>
          <w:rFonts w:hint="eastAsia" w:ascii="仿宋" w:hAnsi="仿宋" w:eastAsia="仿宋" w:cs="仿宋"/>
          <w:b/>
          <w:bCs/>
          <w:color w:val="auto"/>
        </w:rPr>
        <w:t>和分包</w:t>
      </w:r>
      <w:bookmarkEnd w:id="246"/>
      <w:bookmarkEnd w:id="247"/>
      <w:bookmarkEnd w:id="248"/>
      <w:bookmarkEnd w:id="249"/>
      <w:bookmarkEnd w:id="250"/>
      <w:bookmarkEnd w:id="251"/>
      <w:bookmarkEnd w:id="252"/>
      <w:bookmarkEnd w:id="25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rPr>
          <w:rFonts w:hint="eastAsia" w:ascii="仿宋" w:hAnsi="仿宋" w:eastAsia="仿宋" w:cs="仿宋"/>
          <w:b/>
          <w:bCs/>
          <w:color w:val="auto"/>
        </w:rPr>
      </w:pPr>
      <w:bookmarkStart w:id="254" w:name="_Toc29008"/>
      <w:bookmarkStart w:id="255" w:name="_Toc16508"/>
      <w:bookmarkStart w:id="256" w:name="_Toc23069"/>
      <w:bookmarkStart w:id="257" w:name="_Toc16419"/>
      <w:bookmarkStart w:id="258" w:name="_Toc5259"/>
      <w:bookmarkStart w:id="259" w:name="_Toc13566"/>
      <w:bookmarkStart w:id="260" w:name="_Toc14066"/>
      <w:bookmarkStart w:id="261" w:name="_Toc10925"/>
      <w:r>
        <w:rPr>
          <w:rFonts w:hint="eastAsia" w:ascii="仿宋" w:hAnsi="仿宋" w:eastAsia="仿宋" w:cs="仿宋"/>
          <w:b/>
          <w:bCs/>
          <w:color w:val="auto"/>
        </w:rPr>
        <w:t>2.13 不可抗力</w:t>
      </w:r>
      <w:bookmarkEnd w:id="254"/>
      <w:bookmarkEnd w:id="255"/>
      <w:bookmarkEnd w:id="256"/>
      <w:bookmarkEnd w:id="257"/>
      <w:bookmarkEnd w:id="258"/>
      <w:bookmarkEnd w:id="259"/>
      <w:bookmarkEnd w:id="260"/>
      <w:bookmarkEnd w:id="26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2.13.2 因不可抗力致使不能实现合同目的的，当事人可以解除合同；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2.13.3 因不可抗力致使合同有变更必要的，双方当事人应在</w:t>
      </w:r>
      <w:r>
        <w:rPr>
          <w:rFonts w:hint="eastAsia" w:ascii="仿宋" w:hAnsi="仿宋" w:eastAsia="仿宋" w:cs="仿宋"/>
          <w:b/>
          <w:color w:val="auto"/>
          <w:u w:val="single"/>
        </w:rPr>
        <w:t>合同专用条款</w:t>
      </w:r>
      <w:r>
        <w:rPr>
          <w:rFonts w:hint="eastAsia" w:ascii="仿宋" w:hAnsi="仿宋" w:eastAsia="仿宋" w:cs="仿宋"/>
          <w:color w:val="auto"/>
        </w:rPr>
        <w:t>约定时间内以书面形式变更合同；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2.13.4受不可抗力影响的一方在不可抗力发生后，应在</w:t>
      </w:r>
      <w:r>
        <w:rPr>
          <w:rFonts w:hint="eastAsia" w:ascii="仿宋" w:hAnsi="仿宋" w:eastAsia="仿宋" w:cs="仿宋"/>
          <w:b/>
          <w:color w:val="auto"/>
          <w:u w:val="single"/>
        </w:rPr>
        <w:t>合同专用条款</w:t>
      </w:r>
      <w:r>
        <w:rPr>
          <w:rFonts w:hint="eastAsia" w:ascii="仿宋" w:hAnsi="仿宋" w:eastAsia="仿宋" w:cs="仿宋"/>
          <w:color w:val="auto"/>
        </w:rPr>
        <w:t>约定时间内以书面形式通知对方当事人，并在</w:t>
      </w:r>
      <w:r>
        <w:rPr>
          <w:rFonts w:hint="eastAsia" w:ascii="仿宋" w:hAnsi="仿宋" w:eastAsia="仿宋" w:cs="仿宋"/>
          <w:b/>
          <w:color w:val="auto"/>
          <w:u w:val="single"/>
        </w:rPr>
        <w:t>合同专用条款</w:t>
      </w:r>
      <w:r>
        <w:rPr>
          <w:rFonts w:hint="eastAsia" w:ascii="仿宋" w:hAnsi="仿宋" w:eastAsia="仿宋" w:cs="仿宋"/>
          <w:color w:val="auto"/>
        </w:rPr>
        <w:t>约定时间内，将有关部门出具的证明文件送达对方当事人。</w:t>
      </w:r>
    </w:p>
    <w:p>
      <w:pPr>
        <w:spacing w:line="360" w:lineRule="auto"/>
        <w:rPr>
          <w:rFonts w:hint="eastAsia" w:ascii="仿宋" w:hAnsi="仿宋" w:eastAsia="仿宋" w:cs="仿宋"/>
          <w:b/>
          <w:bCs/>
          <w:color w:val="auto"/>
        </w:rPr>
      </w:pPr>
      <w:bookmarkStart w:id="262" w:name="_Toc27645"/>
      <w:bookmarkStart w:id="263" w:name="_Toc259093684"/>
      <w:bookmarkStart w:id="264" w:name="_Toc279701255"/>
      <w:bookmarkStart w:id="265" w:name="_Toc487900365"/>
      <w:bookmarkStart w:id="266" w:name="_Toc8779"/>
      <w:bookmarkStart w:id="267" w:name="_Toc8591"/>
      <w:bookmarkStart w:id="268" w:name="_Toc6969"/>
      <w:bookmarkStart w:id="269" w:name="_Toc4207"/>
      <w:bookmarkStart w:id="270" w:name="_Toc30676"/>
      <w:bookmarkStart w:id="271" w:name="_Toc689"/>
      <w:bookmarkStart w:id="272" w:name="_Toc13003"/>
      <w:r>
        <w:rPr>
          <w:rFonts w:hint="eastAsia" w:ascii="仿宋" w:hAnsi="仿宋" w:eastAsia="仿宋" w:cs="仿宋"/>
          <w:b/>
          <w:bCs/>
          <w:color w:val="auto"/>
        </w:rPr>
        <w:t>2.14 税费</w:t>
      </w:r>
      <w:bookmarkEnd w:id="262"/>
      <w:bookmarkEnd w:id="263"/>
      <w:bookmarkEnd w:id="264"/>
      <w:bookmarkEnd w:id="265"/>
      <w:bookmarkEnd w:id="266"/>
      <w:bookmarkEnd w:id="267"/>
      <w:bookmarkEnd w:id="268"/>
      <w:bookmarkEnd w:id="269"/>
      <w:bookmarkEnd w:id="270"/>
      <w:bookmarkEnd w:id="271"/>
      <w:bookmarkEnd w:id="27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与合同有关的一切税费，均按照中华人民共和国法律的相关规定。</w:t>
      </w:r>
    </w:p>
    <w:p>
      <w:pPr>
        <w:spacing w:line="360" w:lineRule="auto"/>
        <w:rPr>
          <w:rFonts w:hint="eastAsia" w:ascii="仿宋" w:hAnsi="仿宋" w:eastAsia="仿宋" w:cs="仿宋"/>
          <w:b/>
          <w:bCs/>
          <w:color w:val="auto"/>
        </w:rPr>
      </w:pPr>
      <w:bookmarkStart w:id="273" w:name="_Toc7102"/>
      <w:bookmarkStart w:id="274" w:name="_Toc16959"/>
      <w:bookmarkStart w:id="275" w:name="_Toc487900368"/>
      <w:bookmarkStart w:id="276" w:name="_Toc3729"/>
      <w:bookmarkStart w:id="277" w:name="_Toc22295"/>
      <w:bookmarkStart w:id="278" w:name="_Toc9807"/>
      <w:bookmarkStart w:id="279" w:name="_Toc20618"/>
      <w:bookmarkStart w:id="280" w:name="_Toc10412"/>
      <w:bookmarkStart w:id="281" w:name="_Toc8298"/>
      <w:bookmarkStart w:id="282" w:name="_Toc259093687"/>
      <w:bookmarkStart w:id="283" w:name="_Toc279701258"/>
      <w:r>
        <w:rPr>
          <w:rFonts w:hint="eastAsia" w:ascii="仿宋" w:hAnsi="仿宋" w:eastAsia="仿宋" w:cs="仿宋"/>
          <w:b/>
          <w:bCs/>
          <w:color w:val="auto"/>
        </w:rPr>
        <w:t>2.15 乙方破产</w:t>
      </w:r>
      <w:bookmarkEnd w:id="273"/>
      <w:bookmarkEnd w:id="274"/>
      <w:bookmarkEnd w:id="275"/>
      <w:bookmarkEnd w:id="276"/>
      <w:bookmarkEnd w:id="277"/>
      <w:bookmarkEnd w:id="278"/>
      <w:bookmarkEnd w:id="279"/>
      <w:bookmarkEnd w:id="280"/>
      <w:bookmarkEnd w:id="281"/>
      <w:bookmarkEnd w:id="282"/>
      <w:bookmarkEnd w:id="28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rPr>
          <w:rFonts w:hint="eastAsia" w:ascii="仿宋" w:hAnsi="仿宋" w:eastAsia="仿宋" w:cs="仿宋"/>
          <w:b/>
          <w:bCs/>
          <w:color w:val="auto"/>
        </w:rPr>
      </w:pPr>
      <w:bookmarkStart w:id="284" w:name="_Toc29333"/>
      <w:bookmarkStart w:id="285" w:name="_Toc436"/>
      <w:bookmarkStart w:id="286" w:name="_Toc2327"/>
      <w:bookmarkStart w:id="287" w:name="_Toc15387"/>
      <w:bookmarkStart w:id="288" w:name="_Toc17192"/>
      <w:bookmarkStart w:id="289" w:name="_Toc19501"/>
      <w:bookmarkStart w:id="290" w:name="_Toc28935"/>
      <w:bookmarkStart w:id="291" w:name="_Toc6134"/>
      <w:r>
        <w:rPr>
          <w:rFonts w:hint="eastAsia" w:ascii="仿宋" w:hAnsi="仿宋" w:eastAsia="仿宋" w:cs="仿宋"/>
          <w:b/>
          <w:bCs/>
          <w:color w:val="auto"/>
        </w:rPr>
        <w:t>2.16 合同中止、终止</w:t>
      </w:r>
      <w:bookmarkEnd w:id="284"/>
      <w:bookmarkEnd w:id="285"/>
      <w:bookmarkEnd w:id="286"/>
      <w:bookmarkEnd w:id="287"/>
      <w:bookmarkEnd w:id="288"/>
      <w:bookmarkEnd w:id="289"/>
      <w:bookmarkEnd w:id="290"/>
      <w:bookmarkEnd w:id="29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2.16.1 双方当事人不得擅自中止或者终止合同；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2.16.2合同继续履行将损害国家利益和社会公共利益的，双方当事人应当中止或者终止合同。有过错的一方应当承担赔偿责任，双方当事人都有过错的，各自承担相应的责任。</w:t>
      </w:r>
    </w:p>
    <w:p>
      <w:pPr>
        <w:spacing w:line="360" w:lineRule="auto"/>
        <w:rPr>
          <w:rFonts w:hint="eastAsia" w:ascii="仿宋" w:hAnsi="仿宋" w:eastAsia="仿宋" w:cs="仿宋"/>
          <w:b/>
          <w:bCs/>
          <w:color w:val="auto"/>
        </w:rPr>
      </w:pPr>
      <w:bookmarkStart w:id="292" w:name="_Toc1860"/>
      <w:bookmarkStart w:id="293" w:name="_Toc6596"/>
      <w:bookmarkStart w:id="294" w:name="_Toc3743"/>
      <w:bookmarkStart w:id="295" w:name="_Toc10159"/>
      <w:bookmarkStart w:id="296" w:name="_Toc1125"/>
      <w:bookmarkStart w:id="297" w:name="_Toc16208"/>
      <w:bookmarkStart w:id="298" w:name="_Toc28634"/>
      <w:bookmarkStart w:id="299" w:name="_Toc14563"/>
      <w:r>
        <w:rPr>
          <w:rFonts w:hint="eastAsia" w:ascii="仿宋" w:hAnsi="仿宋" w:eastAsia="仿宋" w:cs="仿宋"/>
          <w:b/>
          <w:bCs/>
          <w:color w:val="auto"/>
        </w:rPr>
        <w:t>2.17 检验和验收</w:t>
      </w:r>
      <w:bookmarkEnd w:id="292"/>
      <w:bookmarkEnd w:id="293"/>
      <w:bookmarkEnd w:id="294"/>
      <w:bookmarkEnd w:id="295"/>
      <w:bookmarkEnd w:id="296"/>
      <w:bookmarkEnd w:id="297"/>
      <w:bookmarkEnd w:id="298"/>
      <w:bookmarkEnd w:id="299"/>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2.17.1货物交付前，乙方应对货物的质量、数量等方面进行详细、全面的检验，并向甲方出具证明货物符合合同约定的文件；货物交付时，乙方在</w:t>
      </w:r>
      <w:r>
        <w:rPr>
          <w:rFonts w:hint="eastAsia" w:ascii="仿宋" w:hAnsi="仿宋" w:eastAsia="仿宋" w:cs="仿宋"/>
          <w:b/>
          <w:color w:val="auto"/>
          <w:u w:val="single"/>
        </w:rPr>
        <w:t>合同专用条款</w:t>
      </w:r>
      <w:r>
        <w:rPr>
          <w:rFonts w:hint="eastAsia" w:ascii="仿宋" w:hAnsi="仿宋" w:eastAsia="仿宋" w:cs="仿宋"/>
          <w:color w:val="auto"/>
        </w:rPr>
        <w:t>约定时间内组织验收，并可依法邀请相关方参加，验收应出具验收书。</w:t>
      </w:r>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2.17.3 检验和验收标准、程序等具体内容以及前述验收书的效力详见</w:t>
      </w:r>
      <w:r>
        <w:rPr>
          <w:rFonts w:hint="eastAsia" w:ascii="仿宋" w:hAnsi="仿宋" w:eastAsia="仿宋" w:cs="仿宋"/>
          <w:b/>
          <w:color w:val="auto"/>
          <w:u w:val="single"/>
        </w:rPr>
        <w:t>合同专用条款</w:t>
      </w:r>
      <w:r>
        <w:rPr>
          <w:rFonts w:hint="eastAsia" w:ascii="仿宋" w:hAnsi="仿宋" w:eastAsia="仿宋" w:cs="仿宋"/>
          <w:color w:val="auto"/>
        </w:rPr>
        <w:t>。</w:t>
      </w:r>
    </w:p>
    <w:bookmarkEnd w:id="239"/>
    <w:bookmarkEnd w:id="240"/>
    <w:bookmarkEnd w:id="241"/>
    <w:bookmarkEnd w:id="242"/>
    <w:p>
      <w:pPr>
        <w:spacing w:line="360" w:lineRule="auto"/>
        <w:rPr>
          <w:rFonts w:hint="eastAsia" w:ascii="仿宋" w:hAnsi="仿宋" w:eastAsia="仿宋" w:cs="仿宋"/>
          <w:b/>
          <w:bCs/>
          <w:color w:val="auto"/>
        </w:rPr>
      </w:pPr>
      <w:bookmarkStart w:id="300" w:name="_Toc259093690"/>
      <w:bookmarkStart w:id="301" w:name="_Toc487900371"/>
      <w:bookmarkStart w:id="302" w:name="_Toc279701261"/>
      <w:bookmarkStart w:id="303" w:name="_Toc25182"/>
      <w:bookmarkStart w:id="304" w:name="_Toc25376"/>
      <w:bookmarkStart w:id="305" w:name="_Toc16485"/>
      <w:bookmarkStart w:id="306" w:name="_Toc29797"/>
      <w:bookmarkStart w:id="307" w:name="_Toc28366"/>
      <w:bookmarkStart w:id="308" w:name="_Toc11284"/>
      <w:bookmarkStart w:id="309" w:name="_Toc11628"/>
      <w:bookmarkStart w:id="310" w:name="_Toc19604"/>
      <w:r>
        <w:rPr>
          <w:rFonts w:hint="eastAsia" w:ascii="仿宋" w:hAnsi="仿宋" w:eastAsia="仿宋" w:cs="仿宋"/>
          <w:b/>
          <w:bCs/>
          <w:color w:val="auto"/>
        </w:rPr>
        <w:t>2.18 通知</w:t>
      </w:r>
      <w:bookmarkEnd w:id="300"/>
      <w:bookmarkEnd w:id="301"/>
      <w:bookmarkEnd w:id="302"/>
      <w:r>
        <w:rPr>
          <w:rFonts w:hint="eastAsia" w:ascii="仿宋" w:hAnsi="仿宋" w:eastAsia="仿宋" w:cs="仿宋"/>
          <w:b/>
          <w:bCs/>
          <w:color w:val="auto"/>
        </w:rPr>
        <w:t>和送达</w:t>
      </w:r>
      <w:bookmarkEnd w:id="303"/>
      <w:bookmarkEnd w:id="304"/>
      <w:bookmarkEnd w:id="305"/>
      <w:bookmarkEnd w:id="306"/>
      <w:bookmarkEnd w:id="307"/>
      <w:bookmarkEnd w:id="308"/>
      <w:bookmarkEnd w:id="309"/>
      <w:bookmarkEnd w:id="310"/>
    </w:p>
    <w:p>
      <w:pPr>
        <w:spacing w:line="360" w:lineRule="auto"/>
        <w:ind w:firstLine="480" w:firstLineChars="200"/>
        <w:rPr>
          <w:rFonts w:hint="eastAsia" w:ascii="仿宋" w:hAnsi="仿宋" w:eastAsia="仿宋" w:cs="仿宋"/>
          <w:color w:val="auto"/>
        </w:rPr>
      </w:pPr>
      <w:bookmarkStart w:id="311" w:name="_Toc6698"/>
      <w:bookmarkStart w:id="312" w:name="_Toc3135"/>
      <w:bookmarkStart w:id="313" w:name="_Toc487900372"/>
      <w:bookmarkStart w:id="314" w:name="_Toc279701262"/>
      <w:bookmarkStart w:id="315" w:name="_Toc259093691"/>
      <w:r>
        <w:rPr>
          <w:rFonts w:hint="eastAsia" w:ascii="仿宋" w:hAnsi="仿宋" w:eastAsia="仿宋" w:cs="仿宋"/>
          <w:color w:val="auto"/>
        </w:rPr>
        <w:t>2.18.1 任何一方因履行合同而以合同第一部分尾部所列明的</w:t>
      </w:r>
      <w:r>
        <w:rPr>
          <w:rFonts w:hint="eastAsia" w:ascii="仿宋" w:hAnsi="仿宋" w:eastAsia="仿宋" w:cs="仿宋"/>
          <w:color w:val="auto"/>
          <w:u w:val="single"/>
        </w:rPr>
        <w:t xml:space="preserve">          </w:t>
      </w:r>
      <w:r>
        <w:rPr>
          <w:rFonts w:hint="eastAsia" w:ascii="仿宋" w:hAnsi="仿宋" w:eastAsia="仿宋" w:cs="仿宋"/>
          <w:color w:val="auto"/>
        </w:rPr>
        <w:t>发出的所有通知、文件、材料，均视为已向对方当事人送达；任何一方变更上述送达方式或者地址的，应于</w:t>
      </w:r>
      <w:r>
        <w:rPr>
          <w:rFonts w:hint="eastAsia" w:ascii="仿宋" w:hAnsi="仿宋" w:eastAsia="仿宋" w:cs="仿宋"/>
          <w:color w:val="auto"/>
          <w:u w:val="single"/>
        </w:rPr>
        <w:t xml:space="preserve">   </w:t>
      </w:r>
      <w:r>
        <w:rPr>
          <w:rFonts w:hint="eastAsia" w:ascii="仿宋" w:hAnsi="仿宋" w:eastAsia="仿宋" w:cs="仿宋"/>
          <w:color w:val="auto"/>
        </w:rPr>
        <w:t>个工作日内书面通知对方当事人，在对方当事人收到有关变更通知之前，变更前的约定送达方式或者地址仍视为有效。</w:t>
      </w:r>
      <w:bookmarkEnd w:id="311"/>
      <w:bookmarkEnd w:id="312"/>
    </w:p>
    <w:p>
      <w:pPr>
        <w:spacing w:line="360" w:lineRule="auto"/>
        <w:ind w:firstLine="480" w:firstLineChars="200"/>
        <w:rPr>
          <w:rFonts w:hint="eastAsia" w:ascii="仿宋" w:hAnsi="仿宋" w:eastAsia="仿宋" w:cs="仿宋"/>
          <w:color w:val="auto"/>
        </w:rPr>
      </w:pPr>
      <w:bookmarkStart w:id="316" w:name="_Toc23128"/>
      <w:bookmarkStart w:id="317" w:name="_Toc23294"/>
      <w:r>
        <w:rPr>
          <w:rFonts w:hint="eastAsia" w:ascii="仿宋" w:hAnsi="仿宋" w:eastAsia="仿宋" w:cs="仿宋"/>
          <w:color w:val="auto"/>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6"/>
      <w:bookmarkEnd w:id="317"/>
    </w:p>
    <w:p>
      <w:pPr>
        <w:spacing w:line="360" w:lineRule="auto"/>
        <w:rPr>
          <w:rFonts w:hint="eastAsia" w:ascii="仿宋" w:hAnsi="仿宋" w:eastAsia="仿宋" w:cs="仿宋"/>
          <w:b/>
          <w:bCs/>
          <w:color w:val="auto"/>
        </w:rPr>
      </w:pPr>
      <w:bookmarkStart w:id="318" w:name="_Toc30599"/>
      <w:bookmarkStart w:id="319" w:name="_Toc4355"/>
      <w:bookmarkStart w:id="320" w:name="_Toc22680"/>
      <w:bookmarkStart w:id="321" w:name="_Toc20762"/>
      <w:bookmarkStart w:id="322" w:name="_Toc27139"/>
      <w:bookmarkStart w:id="323" w:name="_Toc18540"/>
      <w:bookmarkStart w:id="324" w:name="_Toc2287"/>
      <w:bookmarkStart w:id="325" w:name="_Toc26810"/>
      <w:r>
        <w:rPr>
          <w:rFonts w:hint="eastAsia" w:ascii="仿宋" w:hAnsi="仿宋" w:eastAsia="仿宋" w:cs="仿宋"/>
          <w:b/>
          <w:bCs/>
          <w:color w:val="auto"/>
        </w:rPr>
        <w:t>2.19 计量单位</w:t>
      </w:r>
      <w:bookmarkEnd w:id="313"/>
      <w:bookmarkEnd w:id="314"/>
      <w:bookmarkEnd w:id="315"/>
      <w:bookmarkEnd w:id="318"/>
      <w:bookmarkEnd w:id="319"/>
      <w:bookmarkEnd w:id="320"/>
      <w:bookmarkEnd w:id="321"/>
      <w:bookmarkEnd w:id="322"/>
      <w:bookmarkEnd w:id="323"/>
      <w:bookmarkEnd w:id="324"/>
      <w:bookmarkEnd w:id="325"/>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除技术规范中另有规定外,合同的计量单位均使用国家法定计量单位。</w:t>
      </w:r>
    </w:p>
    <w:p>
      <w:pPr>
        <w:spacing w:line="360" w:lineRule="auto"/>
        <w:rPr>
          <w:rFonts w:hint="eastAsia" w:ascii="仿宋" w:hAnsi="仿宋" w:eastAsia="仿宋" w:cs="仿宋"/>
          <w:b/>
          <w:bCs/>
          <w:color w:val="auto"/>
        </w:rPr>
      </w:pPr>
      <w:bookmarkStart w:id="326" w:name="_Toc279701263"/>
      <w:bookmarkStart w:id="327" w:name="_Toc18567"/>
      <w:bookmarkStart w:id="328" w:name="_Toc22634"/>
      <w:bookmarkStart w:id="329" w:name="_Toc12773"/>
      <w:bookmarkStart w:id="330" w:name="_Toc23591"/>
      <w:bookmarkStart w:id="331" w:name="_Toc259093692"/>
      <w:bookmarkStart w:id="332" w:name="_Toc27932"/>
      <w:bookmarkStart w:id="333" w:name="_Toc487900373"/>
      <w:bookmarkStart w:id="334" w:name="_Toc21718"/>
      <w:bookmarkStart w:id="335" w:name="_Toc10330"/>
      <w:bookmarkStart w:id="336" w:name="_Toc8457"/>
      <w:r>
        <w:rPr>
          <w:rFonts w:hint="eastAsia" w:ascii="仿宋" w:hAnsi="仿宋" w:eastAsia="仿宋" w:cs="仿宋"/>
          <w:b/>
          <w:bCs/>
          <w:color w:val="auto"/>
        </w:rPr>
        <w:t>2.20 合同使用的文字和适用的法律</w:t>
      </w:r>
      <w:bookmarkEnd w:id="326"/>
      <w:bookmarkEnd w:id="327"/>
      <w:bookmarkEnd w:id="328"/>
      <w:bookmarkEnd w:id="329"/>
      <w:bookmarkEnd w:id="330"/>
      <w:bookmarkEnd w:id="331"/>
      <w:bookmarkEnd w:id="332"/>
      <w:bookmarkEnd w:id="333"/>
      <w:bookmarkEnd w:id="334"/>
      <w:bookmarkEnd w:id="335"/>
      <w:bookmarkEnd w:id="336"/>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2.20.1 合同使用汉语书就、变更和解释；</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2.20.2 合同适用中华人民共和国法律。</w:t>
      </w:r>
    </w:p>
    <w:p>
      <w:pPr>
        <w:spacing w:line="360" w:lineRule="auto"/>
        <w:rPr>
          <w:rFonts w:hint="eastAsia" w:ascii="仿宋" w:hAnsi="仿宋" w:eastAsia="仿宋" w:cs="仿宋"/>
          <w:b/>
          <w:bCs/>
          <w:color w:val="auto"/>
        </w:rPr>
      </w:pPr>
      <w:bookmarkStart w:id="337" w:name="_Toc16673"/>
      <w:bookmarkStart w:id="338" w:name="_Toc279701264"/>
      <w:bookmarkStart w:id="339" w:name="_Toc9890"/>
      <w:bookmarkStart w:id="340" w:name="_Toc12004"/>
      <w:bookmarkStart w:id="341" w:name="_Toc28010"/>
      <w:bookmarkStart w:id="342" w:name="_Toc259093693"/>
      <w:bookmarkStart w:id="343" w:name="_Toc3081"/>
      <w:bookmarkStart w:id="344" w:name="_Toc28088"/>
      <w:bookmarkStart w:id="345" w:name="_Toc3148"/>
      <w:bookmarkStart w:id="346" w:name="_Toc3344"/>
      <w:bookmarkStart w:id="347" w:name="_Toc487900374"/>
      <w:r>
        <w:rPr>
          <w:rFonts w:hint="eastAsia" w:ascii="仿宋" w:hAnsi="仿宋" w:eastAsia="仿宋" w:cs="仿宋"/>
          <w:b/>
          <w:bCs/>
          <w:color w:val="auto"/>
        </w:rPr>
        <w:t>2.21 履约保证金</w:t>
      </w:r>
      <w:bookmarkEnd w:id="337"/>
      <w:bookmarkEnd w:id="338"/>
      <w:bookmarkEnd w:id="339"/>
      <w:bookmarkEnd w:id="340"/>
      <w:bookmarkEnd w:id="341"/>
      <w:bookmarkEnd w:id="342"/>
      <w:bookmarkEnd w:id="343"/>
      <w:bookmarkEnd w:id="344"/>
      <w:bookmarkEnd w:id="345"/>
      <w:bookmarkEnd w:id="346"/>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2.21.1 采购文件要求乙方提交履约保证金的，乙方应按</w:t>
      </w:r>
      <w:r>
        <w:rPr>
          <w:rFonts w:hint="eastAsia" w:ascii="仿宋" w:hAnsi="仿宋" w:eastAsia="仿宋" w:cs="仿宋"/>
          <w:b/>
          <w:color w:val="auto"/>
          <w:u w:val="single"/>
        </w:rPr>
        <w:t>合同专用条款</w:t>
      </w:r>
      <w:r>
        <w:rPr>
          <w:rFonts w:hint="eastAsia" w:ascii="仿宋" w:hAnsi="仿宋" w:eastAsia="仿宋" w:cs="仿宋"/>
          <w:color w:val="auto"/>
        </w:rPr>
        <w:t>约定的方式，以支票、汇票、本票或者金融机构、担保机构出具的保函等非现金形式，提交不超过合同价10%的履约保证金；</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2.21.2  履约保证金在</w:t>
      </w:r>
      <w:r>
        <w:rPr>
          <w:rFonts w:hint="eastAsia" w:ascii="仿宋" w:hAnsi="仿宋" w:eastAsia="仿宋" w:cs="仿宋"/>
          <w:b/>
          <w:color w:val="auto"/>
          <w:u w:val="single"/>
        </w:rPr>
        <w:t>合同专用条款</w:t>
      </w:r>
      <w:r>
        <w:rPr>
          <w:rFonts w:hint="eastAsia" w:ascii="仿宋" w:hAnsi="仿宋" w:eastAsia="仿宋" w:cs="仿宋"/>
          <w:color w:val="auto"/>
        </w:rPr>
        <w:t>约定期间内或者货物质量保证期内不予退还或者应完全有效，前述约定期间届满或者货物质量保证期届满之日起</w:t>
      </w:r>
      <w:r>
        <w:rPr>
          <w:rFonts w:hint="eastAsia" w:ascii="仿宋" w:hAnsi="仿宋" w:eastAsia="仿宋" w:cs="仿宋"/>
          <w:color w:val="auto"/>
          <w:u w:val="single"/>
        </w:rPr>
        <w:t xml:space="preserve">  </w:t>
      </w:r>
      <w:r>
        <w:rPr>
          <w:rFonts w:hint="eastAsia" w:ascii="仿宋" w:hAnsi="仿宋" w:eastAsia="仿宋" w:cs="仿宋"/>
          <w:color w:val="auto"/>
        </w:rPr>
        <w:t>个工作日内，甲方应将履约保证金退还乙方；</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7"/>
    <w:p>
      <w:pPr>
        <w:spacing w:line="360" w:lineRule="auto"/>
        <w:rPr>
          <w:rFonts w:hint="eastAsia" w:ascii="仿宋" w:hAnsi="仿宋" w:eastAsia="仿宋" w:cs="仿宋"/>
          <w:b/>
          <w:bCs/>
          <w:color w:val="auto"/>
        </w:rPr>
      </w:pPr>
      <w:bookmarkStart w:id="348" w:name="_Toc20428"/>
      <w:bookmarkStart w:id="349" w:name="_Toc6810"/>
      <w:bookmarkStart w:id="350" w:name="_Toc6885"/>
      <w:bookmarkStart w:id="351" w:name="_Toc19890"/>
      <w:bookmarkStart w:id="352" w:name="_Toc757"/>
      <w:bookmarkStart w:id="353" w:name="_Toc12124"/>
      <w:bookmarkStart w:id="354" w:name="_Toc9292"/>
      <w:bookmarkStart w:id="355" w:name="_Toc14001"/>
      <w:r>
        <w:rPr>
          <w:rFonts w:hint="eastAsia" w:ascii="仿宋" w:hAnsi="仿宋" w:eastAsia="仿宋" w:cs="仿宋"/>
          <w:b/>
          <w:bCs/>
          <w:color w:val="auto"/>
        </w:rPr>
        <w:t>2.22 合同份数</w:t>
      </w:r>
      <w:bookmarkEnd w:id="348"/>
      <w:bookmarkEnd w:id="349"/>
      <w:bookmarkEnd w:id="350"/>
      <w:bookmarkEnd w:id="351"/>
      <w:bookmarkEnd w:id="352"/>
      <w:bookmarkEnd w:id="353"/>
      <w:bookmarkEnd w:id="354"/>
      <w:bookmarkEnd w:id="355"/>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合同份数按</w:t>
      </w:r>
      <w:r>
        <w:rPr>
          <w:rFonts w:hint="eastAsia" w:ascii="仿宋" w:hAnsi="仿宋" w:eastAsia="仿宋" w:cs="仿宋"/>
          <w:b/>
          <w:color w:val="auto"/>
          <w:u w:val="single"/>
        </w:rPr>
        <w:t>合同专用条款</w:t>
      </w:r>
      <w:r>
        <w:rPr>
          <w:rFonts w:hint="eastAsia" w:ascii="仿宋" w:hAnsi="仿宋" w:eastAsia="仿宋" w:cs="仿宋"/>
          <w:color w:val="auto"/>
        </w:rPr>
        <w:t>规定，每份均具有同等法律效力。</w:t>
      </w:r>
    </w:p>
    <w:p>
      <w:pPr>
        <w:pStyle w:val="39"/>
        <w:spacing w:line="360" w:lineRule="auto"/>
        <w:ind w:firstLine="0"/>
        <w:jc w:val="center"/>
        <w:rPr>
          <w:rFonts w:hint="eastAsia" w:ascii="仿宋" w:hAnsi="仿宋" w:eastAsia="仿宋" w:cs="仿宋"/>
          <w:b/>
          <w:bCs/>
          <w:color w:val="auto"/>
        </w:rPr>
      </w:pPr>
      <w:r>
        <w:rPr>
          <w:rFonts w:hint="eastAsia" w:ascii="仿宋" w:hAnsi="仿宋" w:eastAsia="仿宋" w:cs="仿宋"/>
          <w:color w:val="auto"/>
          <w:szCs w:val="24"/>
        </w:rPr>
        <w:br w:type="page"/>
      </w:r>
      <w:bookmarkStart w:id="356" w:name="_Toc331685784"/>
      <w:r>
        <w:rPr>
          <w:rFonts w:hint="eastAsia" w:ascii="仿宋" w:hAnsi="仿宋" w:eastAsia="仿宋" w:cs="仿宋"/>
          <w:b/>
          <w:bCs/>
          <w:color w:val="auto"/>
        </w:rPr>
        <w:t>第三部分  合同专用条款</w:t>
      </w:r>
      <w:bookmarkEnd w:id="356"/>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条款号</w:t>
            </w:r>
          </w:p>
        </w:tc>
        <w:tc>
          <w:tcPr>
            <w:tcW w:w="7633"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r>
    </w:tbl>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pStyle w:val="7"/>
        <w:rPr>
          <w:rFonts w:hint="eastAsia" w:ascii="仿宋" w:hAnsi="仿宋" w:eastAsia="仿宋" w:cs="仿宋"/>
          <w:b/>
          <w:bCs/>
          <w:color w:val="auto"/>
          <w:sz w:val="40"/>
          <w:szCs w:val="40"/>
        </w:rPr>
      </w:pPr>
    </w:p>
    <w:p>
      <w:pPr>
        <w:rPr>
          <w:rFonts w:hint="eastAsia" w:ascii="仿宋" w:hAnsi="仿宋" w:eastAsia="仿宋" w:cs="仿宋"/>
          <w:color w:val="auto"/>
        </w:rPr>
      </w:pPr>
    </w:p>
    <w:p>
      <w:pPr>
        <w:spacing w:line="360" w:lineRule="auto"/>
        <w:jc w:val="center"/>
        <w:rPr>
          <w:rFonts w:hint="eastAsia" w:ascii="仿宋" w:hAnsi="仿宋" w:eastAsia="仿宋" w:cs="仿宋"/>
          <w:b/>
          <w:bCs/>
          <w:color w:val="auto"/>
          <w:sz w:val="40"/>
          <w:szCs w:val="40"/>
        </w:rPr>
      </w:pPr>
    </w:p>
    <w:p>
      <w:pPr>
        <w:pStyle w:val="18"/>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jc w:val="center"/>
        <w:outlineLvl w:val="0"/>
        <w:rPr>
          <w:rFonts w:hint="eastAsia" w:ascii="仿宋" w:hAnsi="仿宋" w:eastAsia="仿宋" w:cs="仿宋"/>
          <w:b/>
          <w:bCs/>
          <w:color w:val="auto"/>
          <w:sz w:val="40"/>
          <w:szCs w:val="40"/>
        </w:rPr>
      </w:pPr>
      <w:bookmarkStart w:id="357" w:name="_Toc25153"/>
      <w:bookmarkStart w:id="358" w:name="_Toc20344"/>
      <w:bookmarkStart w:id="359" w:name="_Toc6770"/>
      <w:r>
        <w:rPr>
          <w:rFonts w:hint="eastAsia" w:ascii="仿宋" w:hAnsi="仿宋" w:eastAsia="仿宋" w:cs="仿宋"/>
          <w:b/>
          <w:bCs/>
          <w:color w:val="auto"/>
          <w:sz w:val="40"/>
          <w:szCs w:val="40"/>
        </w:rPr>
        <w:t>第五章  质疑及处理</w:t>
      </w:r>
      <w:bookmarkEnd w:id="82"/>
      <w:bookmarkEnd w:id="83"/>
      <w:bookmarkEnd w:id="84"/>
      <w:bookmarkEnd w:id="85"/>
      <w:bookmarkEnd w:id="86"/>
      <w:bookmarkEnd w:id="357"/>
      <w:bookmarkEnd w:id="358"/>
      <w:bookmarkEnd w:id="359"/>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 质疑的提出</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1.1 质疑人必须是直接参与本次采购活动的投标人。质疑不接受邮寄。</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rPr>
        <w:fldChar w:fldCharType="separate"/>
      </w:r>
      <w:r>
        <w:rPr>
          <w:rStyle w:val="27"/>
          <w:rFonts w:hint="eastAsia" w:ascii="仿宋" w:hAnsi="仿宋" w:eastAsia="仿宋" w:cs="仿宋"/>
          <w:bCs/>
          <w:color w:val="auto"/>
          <w:sz w:val="24"/>
          <w:lang w:val="en-US" w:eastAsia="zh-CN"/>
        </w:rPr>
        <w:t>329324376@qq.com</w:t>
      </w:r>
      <w:r>
        <w:rPr>
          <w:rStyle w:val="27"/>
          <w:rFonts w:hint="eastAsia" w:ascii="仿宋" w:hAnsi="仿宋" w:eastAsia="仿宋" w:cs="仿宋"/>
          <w:bCs/>
          <w:color w:val="auto"/>
          <w:sz w:val="24"/>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27"/>
          <w:rFonts w:hint="eastAsia" w:ascii="仿宋" w:hAnsi="仿宋" w:eastAsia="仿宋" w:cs="仿宋"/>
          <w:bCs/>
          <w:color w:val="auto"/>
          <w:sz w:val="24"/>
        </w:rPr>
        <w:fldChar w:fldCharType="end"/>
      </w:r>
      <w:r>
        <w:rPr>
          <w:rFonts w:hint="eastAsia" w:ascii="仿宋" w:hAnsi="仿宋" w:eastAsia="仿宋" w:cs="仿宋"/>
          <w:bCs/>
          <w:color w:val="auto"/>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1.3 对成交公告有异议的，在成交公告发布之日起五个工作日内，以书面形式并加盖公章和法人代表签字向招标方提出质疑。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1.4 提出质疑时，必须按照“实事求是”、“谁主张，谁举证”的原则，提供相关证明材料，不能主观臆测。</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1.5 质疑函采用实名制，不得进行虚假、恶意质疑。质疑人应在质疑有效期内提交《质疑函》（格式后附），质疑函内容应包括质疑人相关信息、质疑事项、事实依据、适应法规条款、佐证材料等。</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1.7 佐证材料要具备客观性、关联性、合法性，无法查实的（如宣传册、媒体报道、猜测、推理等）不能作为佐证材料。</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1.8 对不能提供相关佐证材料的、涉及商业秘密的、非书面形式送达的、匿名的质疑将不予受理。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1.9 对于有关资质要求、技术参数存在限制性、倾向性条款的及付款方式等方面的质疑，可在规定的时间内直接向采购单位提出并抄送招标方。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 受理和处理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2.1 《质疑函》必须由质疑方的法定代表人或投标代表以招标文件指定的方式送达招标方或采购单位。</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2.2 对符合要求的质疑，采购单位或招标方须签收。同一质疑人的质疑只接受一次。</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2.3 对于不符合上述所有条款要求的质疑，招标方将不予受理。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2.4 在处理过程中，发现需要质疑人进一步补充相关佐证材料的，要求质疑人在规定时间内提供。质疑人不能按照要求提供相关佐证材料的，视同放弃质疑。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2.5 招标方或采购单位负责对质疑的回复工作，将质疑人的质疑材料提供给相关专家或评标委员会，并将处理意见回复质疑人。</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 质疑无效的处理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3.1 质疑人提供的相关佐证材料不能证明质疑成立的，招标方可要求质疑人补充相关佐证材料，如补充材料仍不能证明质疑成立的，将不予受理。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3.2 对于质疑人在质疑期间不配合进行质疑调查处理的，视为自动放弃质疑。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3.3 质疑人提出的质疑，经评标专家审定后驳回的，列为无效质疑。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3.4 对于质疑中使用虚假材料或恶意方式质疑的，按无效质疑处理，并列入不良记录供应商名单。</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3.5质疑人进行质疑后，招标方在法定时间内对质疑进行回复，质疑人认为回复不满意的，可向政府采购管理部门进行投诉。</w:t>
      </w:r>
    </w:p>
    <w:p>
      <w:pPr>
        <w:overflowPunct w:val="0"/>
        <w:spacing w:line="360" w:lineRule="auto"/>
        <w:jc w:val="center"/>
        <w:outlineLvl w:val="0"/>
        <w:rPr>
          <w:rStyle w:val="35"/>
          <w:rFonts w:hint="eastAsia" w:ascii="仿宋" w:hAnsi="仿宋" w:eastAsia="仿宋" w:cs="仿宋"/>
          <w:color w:val="auto"/>
          <w:sz w:val="36"/>
          <w:szCs w:val="36"/>
        </w:rPr>
      </w:pPr>
      <w:r>
        <w:rPr>
          <w:rFonts w:hint="eastAsia" w:ascii="仿宋" w:hAnsi="仿宋" w:eastAsia="仿宋" w:cs="仿宋"/>
          <w:bCs/>
          <w:color w:val="auto"/>
        </w:rPr>
        <w:br w:type="page"/>
      </w:r>
      <w:bookmarkStart w:id="360" w:name="_Toc22619"/>
      <w:bookmarkStart w:id="361" w:name="_Toc5029"/>
      <w:bookmarkStart w:id="362" w:name="_Toc25594"/>
      <w:bookmarkStart w:id="363" w:name="_Toc11998"/>
      <w:bookmarkStart w:id="364" w:name="_Toc1020"/>
      <w:bookmarkStart w:id="365" w:name="_Toc27328"/>
      <w:bookmarkStart w:id="366" w:name="_Toc2183"/>
      <w:bookmarkStart w:id="367" w:name="_Toc30135"/>
      <w:bookmarkStart w:id="368" w:name="_Toc14886"/>
      <w:r>
        <w:rPr>
          <w:rStyle w:val="35"/>
          <w:rFonts w:hint="eastAsia" w:ascii="仿宋" w:hAnsi="仿宋" w:eastAsia="仿宋" w:cs="仿宋"/>
          <w:color w:val="auto"/>
          <w:sz w:val="36"/>
          <w:szCs w:val="36"/>
        </w:rPr>
        <w:t>质疑函</w:t>
      </w:r>
      <w:bookmarkEnd w:id="360"/>
      <w:bookmarkEnd w:id="361"/>
      <w:bookmarkEnd w:id="362"/>
      <w:bookmarkEnd w:id="363"/>
    </w:p>
    <w:bookmarkEnd w:id="364"/>
    <w:bookmarkEnd w:id="365"/>
    <w:bookmarkEnd w:id="366"/>
    <w:bookmarkEnd w:id="367"/>
    <w:bookmarkEnd w:id="368"/>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                    ：</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依据政府采购相关法规，我公司对           项目的（项目编号：         ）招标活动存在疑问，特提出质疑（详见下表）。</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我公司和本人对此质疑函内容的真实性负责，并愿意承担由此引起的相应处理和法律责任。</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法定代表人（签字并盖名章）：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身份证号码：</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固话：      传真：     手机：</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本项目授权委托人（签字并盖名章）：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身份证号码：</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固话：        传真：    手机：</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公司地址：              邮编：</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（如法人为质疑人则不需要填此项）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质疑人（公章）：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年   月   日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pStyle w:val="18"/>
        <w:rPr>
          <w:rFonts w:hint="eastAsia" w:ascii="仿宋" w:hAnsi="仿宋" w:eastAsia="仿宋" w:cs="仿宋"/>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质   疑  内  容</w:t>
      </w:r>
    </w:p>
    <w:p>
      <w:pPr>
        <w:overflowPunct w:val="0"/>
        <w:spacing w:line="360" w:lineRule="auto"/>
        <w:rPr>
          <w:rFonts w:hint="eastAsia" w:ascii="仿宋" w:hAnsi="仿宋" w:eastAsia="仿宋" w:cs="仿宋"/>
          <w:bCs/>
          <w:color w:val="auto"/>
        </w:rPr>
      </w:pPr>
    </w:p>
    <w:tbl>
      <w:tblPr>
        <w:tblStyle w:val="21"/>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一、质疑事项1：</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主要内容：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事实依据：</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适应法规条款：</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佐证材料：</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二、质疑事项2：</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主要内容：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事实依据：</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适应法规条款：</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佐证材料：</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三、同上</w:t>
            </w:r>
          </w:p>
          <w:p>
            <w:pPr>
              <w:overflowPunct w:val="0"/>
              <w:spacing w:line="360" w:lineRule="auto"/>
              <w:rPr>
                <w:rFonts w:hint="eastAsia" w:ascii="仿宋" w:hAnsi="仿宋" w:eastAsia="仿宋" w:cs="仿宋"/>
                <w:bCs/>
                <w:color w:val="auto"/>
              </w:rPr>
            </w:pPr>
          </w:p>
        </w:tc>
      </w:tr>
    </w:tbl>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备注：</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3、“具体的质疑事项及事实依据”一栏填写不下时，质疑人可另附页（A4），但附纸要求加盖质疑人公章。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4、与质疑事项有关的材料应与质疑函合并装订。</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5、质疑函一式三份。</w:t>
      </w:r>
    </w:p>
    <w:p>
      <w:pPr>
        <w:pStyle w:val="4"/>
        <w:spacing w:line="360" w:lineRule="auto"/>
        <w:ind w:firstLine="2715" w:firstLineChars="1127"/>
        <w:jc w:val="both"/>
        <w:outlineLvl w:val="9"/>
        <w:rPr>
          <w:rFonts w:hint="eastAsia" w:ascii="仿宋" w:hAnsi="仿宋" w:eastAsia="仿宋" w:cs="仿宋"/>
          <w:color w:val="auto"/>
          <w:sz w:val="24"/>
        </w:rPr>
      </w:pPr>
      <w:r>
        <w:rPr>
          <w:rFonts w:hint="eastAsia" w:ascii="仿宋" w:hAnsi="仿宋" w:eastAsia="仿宋" w:cs="仿宋"/>
          <w:color w:val="auto"/>
          <w:sz w:val="24"/>
        </w:rPr>
        <w:br w:type="page"/>
      </w:r>
    </w:p>
    <w:p>
      <w:pPr>
        <w:pStyle w:val="4"/>
        <w:spacing w:line="360" w:lineRule="auto"/>
        <w:ind w:firstLine="2715" w:firstLineChars="1127"/>
        <w:jc w:val="both"/>
        <w:outlineLvl w:val="9"/>
        <w:rPr>
          <w:rFonts w:hint="eastAsia" w:ascii="仿宋" w:hAnsi="仿宋" w:eastAsia="仿宋" w:cs="仿宋"/>
          <w:color w:val="auto"/>
          <w:sz w:val="24"/>
        </w:rPr>
      </w:pPr>
    </w:p>
    <w:p>
      <w:pPr>
        <w:pStyle w:val="4"/>
        <w:spacing w:line="360" w:lineRule="auto"/>
        <w:rPr>
          <w:rFonts w:hint="eastAsia" w:ascii="仿宋" w:hAnsi="仿宋" w:eastAsia="仿宋" w:cs="仿宋"/>
          <w:color w:val="auto"/>
          <w:sz w:val="32"/>
        </w:rPr>
      </w:pPr>
      <w:bookmarkStart w:id="369" w:name="_Toc15680"/>
      <w:bookmarkStart w:id="370" w:name="_Toc23170"/>
      <w:bookmarkStart w:id="371" w:name="_Toc28262"/>
      <w:bookmarkStart w:id="372" w:name="_Toc20393"/>
      <w:r>
        <w:rPr>
          <w:rFonts w:hint="eastAsia" w:ascii="仿宋" w:hAnsi="仿宋" w:eastAsia="仿宋" w:cs="仿宋"/>
          <w:color w:val="auto"/>
          <w:sz w:val="32"/>
          <w:szCs w:val="32"/>
        </w:rPr>
        <w:t>第六章  谈判响应文件格式</w:t>
      </w:r>
      <w:bookmarkEnd w:id="87"/>
      <w:bookmarkEnd w:id="369"/>
      <w:bookmarkEnd w:id="370"/>
      <w:bookmarkEnd w:id="371"/>
      <w:bookmarkEnd w:id="372"/>
    </w:p>
    <w:tbl>
      <w:tblPr>
        <w:tblStyle w:val="21"/>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正本</w:t>
            </w:r>
          </w:p>
        </w:tc>
      </w:tr>
    </w:tbl>
    <w:p>
      <w:pPr>
        <w:spacing w:line="360" w:lineRule="auto"/>
        <w:rPr>
          <w:rFonts w:hint="eastAsia" w:ascii="仿宋" w:hAnsi="仿宋" w:eastAsia="仿宋" w:cs="仿宋"/>
          <w:color w:val="auto"/>
        </w:rPr>
      </w:pPr>
      <w:r>
        <w:rPr>
          <w:rFonts w:hint="eastAsia" w:ascii="仿宋" w:hAnsi="仿宋" w:eastAsia="仿宋" w:cs="仿宋"/>
          <w:color w:val="auto"/>
        </w:rPr>
        <w:t xml:space="preserve">                                                                        </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（谈判项目名称）</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rPr>
      </w:pPr>
      <w:r>
        <w:rPr>
          <w:rFonts w:hint="eastAsia" w:ascii="仿宋" w:hAnsi="仿宋" w:eastAsia="仿宋" w:cs="仿宋"/>
          <w:color w:val="auto"/>
          <w:sz w:val="28"/>
          <w:szCs w:val="28"/>
        </w:rPr>
        <w:t xml:space="preserve">       </w:t>
      </w:r>
      <w:r>
        <w:rPr>
          <w:rFonts w:hint="eastAsia" w:ascii="仿宋" w:hAnsi="仿宋" w:eastAsia="仿宋" w:cs="仿宋"/>
          <w:color w:val="auto"/>
        </w:rPr>
        <w:t>谈判项目编号：</w:t>
      </w:r>
      <w:r>
        <w:rPr>
          <w:rFonts w:hint="eastAsia" w:ascii="仿宋" w:hAnsi="仿宋" w:eastAsia="仿宋" w:cs="仿宋"/>
          <w:color w:val="auto"/>
          <w:u w:val="single"/>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outlineLvl w:val="0"/>
        <w:rPr>
          <w:rFonts w:hint="eastAsia" w:ascii="仿宋" w:hAnsi="仿宋" w:eastAsia="仿宋" w:cs="仿宋"/>
          <w:b/>
          <w:color w:val="auto"/>
          <w:sz w:val="36"/>
          <w:szCs w:val="36"/>
        </w:rPr>
      </w:pPr>
      <w:bookmarkStart w:id="373" w:name="_Toc5679"/>
      <w:bookmarkStart w:id="374" w:name="_Toc12183"/>
      <w:bookmarkStart w:id="375" w:name="_Toc20575"/>
      <w:bookmarkStart w:id="376" w:name="_Toc27660"/>
      <w:r>
        <w:rPr>
          <w:rFonts w:hint="eastAsia" w:ascii="仿宋" w:hAnsi="仿宋" w:eastAsia="仿宋" w:cs="仿宋"/>
          <w:b/>
          <w:color w:val="auto"/>
          <w:sz w:val="36"/>
          <w:szCs w:val="36"/>
        </w:rPr>
        <w:t>谈  判  响  应  文  件</w:t>
      </w:r>
      <w:bookmarkEnd w:id="373"/>
      <w:bookmarkEnd w:id="374"/>
      <w:bookmarkEnd w:id="375"/>
      <w:bookmarkEnd w:id="376"/>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color w:val="auto"/>
        </w:rPr>
      </w:pPr>
      <w:r>
        <w:rPr>
          <w:rFonts w:hint="eastAsia" w:ascii="仿宋" w:hAnsi="仿宋" w:eastAsia="仿宋" w:cs="仿宋"/>
          <w:b/>
          <w:color w:val="auto"/>
        </w:rPr>
        <w:t xml:space="preserve">       </w:t>
      </w:r>
      <w:r>
        <w:rPr>
          <w:rFonts w:hint="eastAsia" w:ascii="仿宋" w:hAnsi="仿宋" w:eastAsia="仿宋" w:cs="仿宋"/>
          <w:color w:val="auto"/>
        </w:rPr>
        <w:t>报价人：</w:t>
      </w:r>
      <w:r>
        <w:rPr>
          <w:rFonts w:hint="eastAsia" w:ascii="仿宋" w:hAnsi="仿宋" w:eastAsia="仿宋" w:cs="仿宋"/>
          <w:color w:val="auto"/>
          <w:u w:val="single"/>
        </w:rPr>
        <w:t xml:space="preserve">                                  </w:t>
      </w:r>
      <w:r>
        <w:rPr>
          <w:rFonts w:hint="eastAsia" w:ascii="仿宋" w:hAnsi="仿宋" w:eastAsia="仿宋" w:cs="仿宋"/>
          <w:color w:val="auto"/>
        </w:rPr>
        <w:t>（单位公章）</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 xml:space="preserve">       法定代表人：</w:t>
      </w:r>
      <w:r>
        <w:rPr>
          <w:rFonts w:hint="eastAsia" w:ascii="仿宋" w:hAnsi="仿宋" w:eastAsia="仿宋" w:cs="仿宋"/>
          <w:color w:val="auto"/>
          <w:u w:val="single"/>
        </w:rPr>
        <w:t xml:space="preserve">                              </w:t>
      </w:r>
      <w:r>
        <w:rPr>
          <w:rFonts w:hint="eastAsia" w:ascii="仿宋" w:hAnsi="仿宋" w:eastAsia="仿宋" w:cs="仿宋"/>
          <w:color w:val="auto"/>
        </w:rPr>
        <w:t>（签字或盖章）</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 xml:space="preserve">                             年      月      日</w:t>
      </w:r>
    </w:p>
    <w:p>
      <w:pPr>
        <w:ind w:firstLine="480" w:firstLineChars="200"/>
        <w:rPr>
          <w:rFonts w:hint="eastAsia" w:ascii="仿宋" w:hAnsi="仿宋" w:eastAsia="仿宋" w:cs="仿宋"/>
          <w:color w:val="auto"/>
        </w:rPr>
      </w:pPr>
      <w:bookmarkStart w:id="377" w:name="_Toc17628"/>
      <w:bookmarkStart w:id="378" w:name="_Toc4774"/>
      <w:bookmarkStart w:id="379" w:name="_Toc18068"/>
      <w:bookmarkStart w:id="380" w:name="_Toc12110"/>
      <w:bookmarkStart w:id="381" w:name="_Toc7247"/>
    </w:p>
    <w:p>
      <w:pPr>
        <w:jc w:val="center"/>
        <w:rPr>
          <w:rFonts w:hint="eastAsia" w:ascii="仿宋" w:hAnsi="仿宋" w:eastAsia="仿宋" w:cs="仿宋"/>
          <w:color w:val="auto"/>
          <w:sz w:val="28"/>
          <w:szCs w:val="28"/>
          <w:u w:val="single"/>
        </w:rPr>
      </w:pPr>
    </w:p>
    <w:p>
      <w:pPr>
        <w:jc w:val="center"/>
        <w:rPr>
          <w:rFonts w:hint="eastAsia" w:ascii="仿宋" w:hAnsi="仿宋" w:eastAsia="仿宋" w:cs="仿宋"/>
          <w:color w:val="auto"/>
          <w:sz w:val="36"/>
          <w:szCs w:val="36"/>
        </w:rPr>
      </w:pPr>
    </w:p>
    <w:p>
      <w:pPr>
        <w:jc w:val="center"/>
        <w:rPr>
          <w:rFonts w:hint="eastAsia" w:ascii="仿宋" w:hAnsi="仿宋" w:eastAsia="仿宋" w:cs="仿宋"/>
          <w:color w:val="auto"/>
          <w:sz w:val="36"/>
          <w:szCs w:val="36"/>
        </w:rPr>
      </w:pPr>
      <w:r>
        <w:rPr>
          <w:rFonts w:hint="eastAsia" w:ascii="仿宋" w:hAnsi="仿宋" w:eastAsia="仿宋" w:cs="仿宋"/>
          <w:color w:val="auto"/>
          <w:sz w:val="36"/>
          <w:szCs w:val="36"/>
        </w:rPr>
        <w:t>目    录</w:t>
      </w:r>
    </w:p>
    <w:p>
      <w:pPr>
        <w:jc w:val="center"/>
        <w:rPr>
          <w:rFonts w:hint="eastAsia" w:ascii="仿宋" w:hAnsi="仿宋" w:eastAsia="仿宋" w:cs="仿宋"/>
          <w:color w:val="auto"/>
          <w:sz w:val="36"/>
          <w:szCs w:val="36"/>
        </w:rPr>
      </w:pPr>
    </w:p>
    <w:p>
      <w:pPr>
        <w:spacing w:line="360" w:lineRule="auto"/>
        <w:ind w:firstLine="410" w:firstLineChars="171"/>
        <w:rPr>
          <w:rFonts w:hint="eastAsia" w:ascii="仿宋" w:hAnsi="仿宋" w:eastAsia="仿宋" w:cs="仿宋"/>
          <w:color w:val="auto"/>
          <w:sz w:val="24"/>
        </w:rPr>
      </w:pPr>
      <w:r>
        <w:rPr>
          <w:rFonts w:hint="eastAsia" w:ascii="仿宋" w:hAnsi="仿宋" w:eastAsia="仿宋" w:cs="仿宋"/>
          <w:color w:val="auto"/>
          <w:sz w:val="24"/>
        </w:rPr>
        <w:t>1、投标函及投标报价表；</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（一）投标函</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（二）投标报价表</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 xml:space="preserve">（三）投标函附录（附：价格指数权重表）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2、法定代表人身份证明或附有法定代表人身份证明的授权委托书；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3、联合体协议书；（若有时）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4、投标保证金（附</w:t>
      </w:r>
      <w:r>
        <w:rPr>
          <w:rFonts w:hint="eastAsia" w:ascii="仿宋" w:hAnsi="仿宋" w:eastAsia="仿宋" w:cs="仿宋"/>
          <w:color w:val="auto"/>
          <w:sz w:val="24"/>
          <w:lang w:eastAsia="zh-CN"/>
        </w:rPr>
        <w:t>基本账号转账凭证</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 、项目管理机构（现场技术力量配备情况）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5.1、项目管理机构组成表；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5.2、主要人员简历表；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5.2.1、主要项目管理人员简历表；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6、近年完成的类似项目情况表；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7、拟分包项目情况表；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 、不良行为记录；；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、中标企业用工承诺书；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、建筑工人实名制管理工作承诺书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其他投标资料。</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color w:val="auto"/>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1、投标函及投标报价表</w:t>
      </w:r>
    </w:p>
    <w:p>
      <w:pPr>
        <w:pStyle w:val="47"/>
        <w:spacing w:line="240" w:lineRule="auto"/>
        <w:jc w:val="center"/>
        <w:rPr>
          <w:rFonts w:hint="eastAsia" w:ascii="仿宋" w:hAnsi="仿宋" w:eastAsia="仿宋" w:cs="仿宋"/>
          <w:color w:val="auto"/>
          <w:sz w:val="32"/>
          <w:szCs w:val="28"/>
        </w:rPr>
      </w:pPr>
    </w:p>
    <w:p>
      <w:pPr>
        <w:pStyle w:val="47"/>
        <w:spacing w:line="240" w:lineRule="auto"/>
        <w:jc w:val="center"/>
        <w:rPr>
          <w:rFonts w:hint="eastAsia" w:ascii="仿宋" w:hAnsi="仿宋" w:eastAsia="仿宋" w:cs="仿宋"/>
          <w:color w:val="auto"/>
          <w:sz w:val="32"/>
          <w:szCs w:val="28"/>
        </w:rPr>
      </w:pPr>
      <w:r>
        <w:rPr>
          <w:rFonts w:hint="eastAsia" w:ascii="仿宋" w:hAnsi="仿宋" w:eastAsia="仿宋" w:cs="仿宋"/>
          <w:color w:val="auto"/>
          <w:sz w:val="32"/>
          <w:szCs w:val="28"/>
        </w:rPr>
        <w:t>（一）投 标 函</w:t>
      </w:r>
    </w:p>
    <w:p>
      <w:pPr>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1．我方已仔细研究了</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标段施工招标文件的全部内容，愿意以人民币（大写）</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元（¥</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）的投标总报价，工期</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日历天，按合同约定实施和完成承包工程，修补工程中的任何缺陷，工程质量达到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2．我方承诺在投标有效期内不修改、撤销投标文件。</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3．随同本投标函提交投标保证金一份，金额为人民币（大写）</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元（¥</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4．如我方中标：</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（1）我方承诺在收到中标通知书后，在中标通知书规定的期限内与你方签订合同。</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（2）随同本投标函递交的投标函附录属于合同文件的组成部分。</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（3）我方承诺按照招标文件规定向你方递交履约担保。</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（4）我方承诺在合同约定的期限内完成并移交全部合同工程。</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w:t>
      </w:r>
      <w:r>
        <w:rPr>
          <w:rFonts w:hint="eastAsia" w:ascii="仿宋" w:hAnsi="仿宋" w:eastAsia="仿宋" w:cs="仿宋"/>
          <w:color w:val="auto"/>
          <w:sz w:val="24"/>
        </w:rPr>
        <w:t>我方在此声明，所递交的投标文件及有关资料内容完整、真实和准确，且不存在第二章“投标人须知”第1.4.3项规定的任何一种情形。</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（其他补充说明）。</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jc w:val="right"/>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jc w:val="center"/>
        <w:rPr>
          <w:rFonts w:hint="eastAsia" w:ascii="仿宋" w:hAnsi="仿宋" w:eastAsia="仿宋" w:cs="仿宋"/>
          <w:bCs/>
          <w:color w:val="auto"/>
          <w:sz w:val="32"/>
          <w:szCs w:val="28"/>
        </w:rPr>
      </w:pPr>
      <w:r>
        <w:rPr>
          <w:rFonts w:hint="eastAsia" w:ascii="仿宋" w:hAnsi="仿宋" w:eastAsia="仿宋" w:cs="仿宋"/>
          <w:bCs/>
          <w:color w:val="auto"/>
          <w:sz w:val="32"/>
          <w:szCs w:val="28"/>
        </w:rPr>
        <w:t>（二）投标报价表</w:t>
      </w:r>
    </w:p>
    <w:p>
      <w:pPr>
        <w:jc w:val="center"/>
        <w:rPr>
          <w:rFonts w:hint="eastAsia" w:ascii="仿宋" w:hAnsi="仿宋" w:eastAsia="仿宋" w:cs="仿宋"/>
          <w:b/>
          <w:color w:val="auto"/>
          <w:sz w:val="28"/>
          <w:szCs w:val="28"/>
        </w:rPr>
      </w:pPr>
    </w:p>
    <w:tbl>
      <w:tblPr>
        <w:tblStyle w:val="21"/>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731"/>
        <w:gridCol w:w="1565"/>
        <w:gridCol w:w="1681"/>
        <w:gridCol w:w="840"/>
        <w:gridCol w:w="84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46" w:type="dxa"/>
            <w:noWrap w:val="0"/>
            <w:vAlign w:val="center"/>
          </w:tcPr>
          <w:p>
            <w:pP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2731" w:type="dxa"/>
            <w:noWrap w:val="0"/>
            <w:vAlign w:val="center"/>
          </w:tcPr>
          <w:p>
            <w:pPr>
              <w:rPr>
                <w:rFonts w:hint="eastAsia" w:ascii="仿宋" w:hAnsi="仿宋" w:eastAsia="仿宋" w:cs="仿宋"/>
                <w:b/>
                <w:color w:val="auto"/>
                <w:szCs w:val="21"/>
              </w:rPr>
            </w:pPr>
            <w:r>
              <w:rPr>
                <w:rFonts w:hint="eastAsia" w:ascii="仿宋" w:hAnsi="仿宋" w:eastAsia="仿宋" w:cs="仿宋"/>
                <w:b/>
                <w:color w:val="auto"/>
                <w:szCs w:val="21"/>
              </w:rPr>
              <w:t xml:space="preserve">项目名称 </w:t>
            </w:r>
          </w:p>
        </w:tc>
        <w:tc>
          <w:tcPr>
            <w:tcW w:w="1565"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建筑面积（㎡）</w:t>
            </w:r>
          </w:p>
        </w:tc>
        <w:tc>
          <w:tcPr>
            <w:tcW w:w="1681"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投标总价（元）</w:t>
            </w:r>
          </w:p>
        </w:tc>
        <w:tc>
          <w:tcPr>
            <w:tcW w:w="840"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工程质量</w:t>
            </w:r>
          </w:p>
        </w:tc>
        <w:tc>
          <w:tcPr>
            <w:tcW w:w="840"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开工日期</w:t>
            </w:r>
          </w:p>
        </w:tc>
        <w:tc>
          <w:tcPr>
            <w:tcW w:w="928"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1</w:t>
            </w:r>
          </w:p>
        </w:tc>
        <w:tc>
          <w:tcPr>
            <w:tcW w:w="2731" w:type="dxa"/>
            <w:noWrap w:val="0"/>
            <w:vAlign w:val="top"/>
          </w:tcPr>
          <w:p>
            <w:pPr>
              <w:rPr>
                <w:rFonts w:hint="eastAsia" w:ascii="仿宋" w:hAnsi="仿宋" w:eastAsia="仿宋" w:cs="仿宋"/>
                <w:color w:val="auto"/>
                <w:szCs w:val="21"/>
              </w:rPr>
            </w:pP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restart"/>
            <w:noWrap w:val="0"/>
            <w:vAlign w:val="top"/>
          </w:tcPr>
          <w:p>
            <w:pPr>
              <w:rPr>
                <w:rFonts w:hint="eastAsia" w:ascii="仿宋" w:hAnsi="仿宋" w:eastAsia="仿宋" w:cs="仿宋"/>
                <w:color w:val="auto"/>
                <w:szCs w:val="21"/>
              </w:rPr>
            </w:pPr>
          </w:p>
        </w:tc>
        <w:tc>
          <w:tcPr>
            <w:tcW w:w="840" w:type="dxa"/>
            <w:vMerge w:val="restart"/>
            <w:noWrap w:val="0"/>
            <w:vAlign w:val="top"/>
          </w:tcPr>
          <w:p>
            <w:pPr>
              <w:rPr>
                <w:rFonts w:hint="eastAsia" w:ascii="仿宋" w:hAnsi="仿宋" w:eastAsia="仿宋" w:cs="仿宋"/>
                <w:color w:val="auto"/>
                <w:szCs w:val="21"/>
              </w:rPr>
            </w:pPr>
          </w:p>
        </w:tc>
        <w:tc>
          <w:tcPr>
            <w:tcW w:w="928" w:type="dxa"/>
            <w:vMerge w:val="restart"/>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2</w:t>
            </w:r>
          </w:p>
        </w:tc>
        <w:tc>
          <w:tcPr>
            <w:tcW w:w="2731" w:type="dxa"/>
            <w:noWrap w:val="0"/>
            <w:vAlign w:val="top"/>
          </w:tcPr>
          <w:p>
            <w:pPr>
              <w:rPr>
                <w:rFonts w:hint="eastAsia" w:ascii="仿宋" w:hAnsi="仿宋" w:eastAsia="仿宋" w:cs="仿宋"/>
                <w:color w:val="auto"/>
                <w:szCs w:val="21"/>
              </w:rPr>
            </w:pP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928" w:type="dxa"/>
            <w:vMerge w:val="continue"/>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77" w:type="dxa"/>
            <w:gridSpan w:val="2"/>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合计</w:t>
            </w: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928" w:type="dxa"/>
            <w:vMerge w:val="continue"/>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31" w:type="dxa"/>
            <w:gridSpan w:val="7"/>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投标总价大写（人民币）：</w:t>
            </w:r>
          </w:p>
        </w:tc>
      </w:tr>
    </w:tbl>
    <w:p>
      <w:pPr>
        <w:rPr>
          <w:rFonts w:hint="eastAsia" w:ascii="仿宋" w:hAnsi="仿宋" w:eastAsia="仿宋" w:cs="仿宋"/>
          <w:color w:val="auto"/>
          <w:sz w:val="24"/>
        </w:rPr>
      </w:pPr>
      <w:r>
        <w:rPr>
          <w:rFonts w:hint="eastAsia" w:ascii="仿宋" w:hAnsi="仿宋" w:eastAsia="仿宋" w:cs="仿宋"/>
          <w:color w:val="auto"/>
          <w:sz w:val="24"/>
        </w:rPr>
        <w:t>注：投标总价应与已标价工程清单中“投标总报价”的金额一致。</w:t>
      </w:r>
    </w:p>
    <w:p>
      <w:pPr>
        <w:rPr>
          <w:rFonts w:hint="eastAsia" w:ascii="仿宋" w:hAnsi="仿宋" w:eastAsia="仿宋" w:cs="仿宋"/>
          <w:color w:val="auto"/>
          <w:szCs w:val="21"/>
        </w:rPr>
      </w:pPr>
    </w:p>
    <w:p>
      <w:pPr>
        <w:jc w:val="center"/>
        <w:rPr>
          <w:rFonts w:hint="eastAsia" w:ascii="仿宋" w:hAnsi="仿宋" w:eastAsia="仿宋" w:cs="仿宋"/>
          <w:b/>
          <w:color w:val="auto"/>
          <w:sz w:val="24"/>
          <w:szCs w:val="28"/>
        </w:rPr>
      </w:pPr>
    </w:p>
    <w:p>
      <w:pPr>
        <w:jc w:val="center"/>
        <w:rPr>
          <w:rFonts w:hint="eastAsia" w:ascii="仿宋" w:hAnsi="仿宋" w:eastAsia="仿宋" w:cs="仿宋"/>
          <w:b/>
          <w:color w:val="auto"/>
          <w:sz w:val="24"/>
          <w:szCs w:val="28"/>
        </w:rPr>
      </w:pPr>
    </w:p>
    <w:p>
      <w:pPr>
        <w:jc w:val="center"/>
        <w:rPr>
          <w:rFonts w:hint="eastAsia" w:ascii="仿宋" w:hAnsi="仿宋" w:eastAsia="仿宋" w:cs="仿宋"/>
          <w:b/>
          <w:color w:val="auto"/>
          <w:sz w:val="24"/>
          <w:szCs w:val="28"/>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（盖单位章）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ind w:firstLine="4200" w:firstLineChars="1750"/>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jc w:val="center"/>
        <w:rPr>
          <w:rFonts w:hint="eastAsia" w:ascii="仿宋" w:hAnsi="仿宋" w:eastAsia="仿宋" w:cs="仿宋"/>
          <w:color w:val="auto"/>
          <w:sz w:val="32"/>
          <w:szCs w:val="32"/>
        </w:rPr>
      </w:pPr>
      <w:r>
        <w:rPr>
          <w:rFonts w:hint="eastAsia" w:ascii="仿宋" w:hAnsi="仿宋" w:eastAsia="仿宋" w:cs="仿宋"/>
          <w:color w:val="auto"/>
          <w:sz w:val="24"/>
          <w:szCs w:val="20"/>
        </w:rPr>
        <w:br w:type="page"/>
      </w:r>
      <w:r>
        <w:rPr>
          <w:rFonts w:hint="eastAsia" w:ascii="仿宋" w:hAnsi="仿宋" w:eastAsia="仿宋" w:cs="仿宋"/>
          <w:color w:val="auto"/>
          <w:sz w:val="32"/>
          <w:szCs w:val="32"/>
        </w:rPr>
        <w:t>（三）投标函附录</w:t>
      </w:r>
    </w:p>
    <w:tbl>
      <w:tblPr>
        <w:tblStyle w:val="21"/>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序号</w:t>
            </w:r>
          </w:p>
        </w:tc>
        <w:tc>
          <w:tcPr>
            <w:tcW w:w="2633"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条款内容</w:t>
            </w:r>
          </w:p>
        </w:tc>
        <w:tc>
          <w:tcPr>
            <w:tcW w:w="2214"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招标人要求</w:t>
            </w:r>
          </w:p>
        </w:tc>
        <w:tc>
          <w:tcPr>
            <w:tcW w:w="2288"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 xml:space="preserve">投标人承诺 </w:t>
            </w:r>
          </w:p>
        </w:tc>
        <w:tc>
          <w:tcPr>
            <w:tcW w:w="1458"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项目负责人</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投标人须知1.4.1</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rPr>
              <w:t>姓名：</w:t>
            </w:r>
            <w:r>
              <w:rPr>
                <w:rFonts w:hint="eastAsia" w:ascii="仿宋" w:hAnsi="仿宋" w:eastAsia="仿宋" w:cs="仿宋"/>
                <w:iCs/>
                <w:color w:val="auto"/>
                <w:szCs w:val="21"/>
                <w:u w:val="single"/>
              </w:rPr>
              <w:t xml:space="preserve">           </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2</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工期</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投标人须知1.3.2</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rPr>
              <w:t>天数：</w:t>
            </w:r>
            <w:r>
              <w:rPr>
                <w:rFonts w:hint="eastAsia" w:ascii="仿宋" w:hAnsi="仿宋" w:eastAsia="仿宋" w:cs="仿宋"/>
                <w:iCs/>
                <w:color w:val="auto"/>
                <w:szCs w:val="21"/>
                <w:u w:val="single"/>
              </w:rPr>
              <w:t xml:space="preserve">       </w:t>
            </w:r>
            <w:r>
              <w:rPr>
                <w:rFonts w:hint="eastAsia" w:ascii="仿宋" w:hAnsi="仿宋" w:eastAsia="仿宋" w:cs="仿宋"/>
                <w:iCs/>
                <w:color w:val="auto"/>
                <w:szCs w:val="21"/>
              </w:rPr>
              <w:t>日历天</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3</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承包人履约担保金额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u w:val="single"/>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4</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分包</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投标人须知1.11</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5</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逾期竣工违约金</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u w:val="single"/>
              </w:rPr>
              <w:t xml:space="preserve">         </w:t>
            </w:r>
            <w:r>
              <w:rPr>
                <w:rFonts w:hint="eastAsia" w:ascii="仿宋" w:hAnsi="仿宋" w:eastAsia="仿宋" w:cs="仿宋"/>
                <w:iCs/>
                <w:color w:val="auto"/>
                <w:szCs w:val="21"/>
              </w:rPr>
              <w:t>元/天</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21" w:type="dxa"/>
            <w:noWrap w:val="0"/>
            <w:vAlign w:val="center"/>
          </w:tcPr>
          <w:p>
            <w:pPr>
              <w:jc w:val="center"/>
              <w:rPr>
                <w:rFonts w:hint="eastAsia" w:ascii="仿宋" w:hAnsi="仿宋" w:eastAsia="仿宋" w:cs="仿宋"/>
                <w:iCs/>
                <w:color w:val="auto"/>
                <w:sz w:val="18"/>
                <w:szCs w:val="18"/>
              </w:rPr>
            </w:pPr>
            <w:r>
              <w:rPr>
                <w:rFonts w:hint="eastAsia" w:ascii="仿宋" w:hAnsi="仿宋" w:eastAsia="仿宋" w:cs="仿宋"/>
                <w:iCs/>
                <w:color w:val="auto"/>
                <w:szCs w:val="21"/>
              </w:rPr>
              <w:t>6</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逾期竣工违约金最高限额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u w:val="single"/>
              </w:rPr>
              <w:t xml:space="preserve">            </w:t>
            </w:r>
          </w:p>
        </w:tc>
        <w:tc>
          <w:tcPr>
            <w:tcW w:w="1458" w:type="dxa"/>
            <w:noWrap w:val="0"/>
            <w:vAlign w:val="center"/>
          </w:tcPr>
          <w:p>
            <w:pPr>
              <w:jc w:val="center"/>
              <w:rPr>
                <w:rFonts w:hint="eastAsia" w:ascii="仿宋" w:hAnsi="仿宋" w:eastAsia="仿宋" w:cs="仿宋"/>
                <w:i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7</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质量标准</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投标人须知1.3.3</w:t>
            </w:r>
          </w:p>
        </w:tc>
        <w:tc>
          <w:tcPr>
            <w:tcW w:w="2288" w:type="dxa"/>
            <w:noWrap w:val="0"/>
            <w:vAlign w:val="center"/>
          </w:tcPr>
          <w:p>
            <w:pPr>
              <w:jc w:val="cente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8</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价格调整的差额计算</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见价格指数权重表</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9</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预付款额度</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10</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预付款保函金额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11</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质量保证金扣留百分比</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12</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质量保证金额度</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w:t>
            </w:r>
          </w:p>
        </w:tc>
        <w:tc>
          <w:tcPr>
            <w:tcW w:w="2633"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工程质量保修期限</w:t>
            </w:r>
          </w:p>
        </w:tc>
        <w:tc>
          <w:tcPr>
            <w:tcW w:w="2214" w:type="dxa"/>
            <w:noWrap w:val="0"/>
            <w:vAlign w:val="center"/>
          </w:tcPr>
          <w:p>
            <w:pPr>
              <w:jc w:val="center"/>
              <w:rPr>
                <w:rFonts w:hint="eastAsia" w:ascii="仿宋" w:hAnsi="仿宋" w:eastAsia="仿宋" w:cs="仿宋"/>
                <w:color w:val="auto"/>
                <w:szCs w:val="21"/>
              </w:rPr>
            </w:pP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13.1</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地基基础工程和主体结构工程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为设计文件规定的该工程合理使用年限；</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13.2</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保温工程、屋面防水工程、有防水要求的卫生间、房间和外墙面的防渗漏</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13.3</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电气管线、给排水管道、设备安装工程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13.4</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供热与供冷系统工程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个采暖与供冷期</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  个采暖供冷期</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13.5</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主体、室外等其他工程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备注：投标人在响应招标文件中规定的实质性要求和条件的基础上，可做出其他有利于招标人的承诺。此类承诺可在本表中予以补充填写。</w:t>
            </w:r>
          </w:p>
        </w:tc>
      </w:tr>
    </w:tbl>
    <w:p>
      <w:pPr>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p>
    <w:p>
      <w:pPr>
        <w:jc w:val="center"/>
        <w:rPr>
          <w:rFonts w:hint="eastAsia" w:ascii="仿宋" w:hAnsi="仿宋" w:eastAsia="仿宋" w:cs="仿宋"/>
          <w:b/>
          <w:color w:val="auto"/>
          <w:sz w:val="32"/>
          <w:szCs w:val="32"/>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r>
        <w:rPr>
          <w:rFonts w:hint="eastAsia" w:ascii="仿宋" w:hAnsi="仿宋" w:eastAsia="仿宋" w:cs="仿宋"/>
          <w:color w:val="auto"/>
          <w:sz w:val="24"/>
          <w:szCs w:val="20"/>
        </w:rPr>
        <w:br w:type="page"/>
      </w:r>
      <w:r>
        <w:rPr>
          <w:rFonts w:hint="eastAsia" w:ascii="仿宋" w:hAnsi="仿宋" w:eastAsia="仿宋" w:cs="仿宋"/>
          <w:b/>
          <w:color w:val="auto"/>
          <w:sz w:val="32"/>
          <w:szCs w:val="32"/>
        </w:rPr>
        <w:t>2.1、法定代表人身份证明</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单位性质：</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成立时间：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日</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经营期限：</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年    龄：</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（投标人名称）的法定代表人。</w:t>
      </w:r>
    </w:p>
    <w:p>
      <w:pPr>
        <w:ind w:firstLine="960" w:firstLineChars="400"/>
        <w:rPr>
          <w:rFonts w:hint="eastAsia" w:ascii="仿宋" w:hAnsi="仿宋" w:eastAsia="仿宋" w:cs="仿宋"/>
          <w:color w:val="auto"/>
          <w:sz w:val="24"/>
        </w:rPr>
      </w:pPr>
      <w:r>
        <w:rPr>
          <w:rFonts w:hint="eastAsia" w:ascii="仿宋" w:hAnsi="仿宋" w:eastAsia="仿宋" w:cs="仿宋"/>
          <w:color w:val="auto"/>
          <w:sz w:val="24"/>
        </w:rPr>
        <w:t>特此证明。</w:t>
      </w:r>
    </w:p>
    <w:p>
      <w:pPr>
        <w:rPr>
          <w:rFonts w:hint="eastAsia" w:ascii="仿宋" w:hAnsi="仿宋" w:eastAsia="仿宋" w:cs="仿宋"/>
          <w:color w:val="auto"/>
          <w:sz w:val="24"/>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4261" w:type="dxa"/>
            <w:noWrap w:val="0"/>
            <w:vAlign w:val="top"/>
          </w:tcPr>
          <w:p>
            <w:pPr>
              <w:pStyle w:val="46"/>
              <w:ind w:left="0" w:leftChars="0" w:firstLine="0" w:firstLineChars="0"/>
              <w:jc w:val="both"/>
              <w:rPr>
                <w:rFonts w:hint="eastAsia" w:ascii="仿宋" w:hAnsi="仿宋" w:eastAsia="仿宋" w:cs="仿宋"/>
                <w:color w:val="auto"/>
                <w:vertAlign w:val="baseline"/>
              </w:rPr>
            </w:pPr>
          </w:p>
          <w:p>
            <w:pPr>
              <w:pStyle w:val="46"/>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法定代表人身份证正面复印件</w:t>
            </w:r>
          </w:p>
          <w:p>
            <w:pPr>
              <w:pStyle w:val="46"/>
              <w:jc w:val="center"/>
              <w:rPr>
                <w:rFonts w:hint="eastAsia" w:ascii="仿宋" w:hAnsi="仿宋" w:eastAsia="仿宋" w:cs="仿宋"/>
                <w:color w:val="auto"/>
                <w:vertAlign w:val="baseline"/>
              </w:rPr>
            </w:pPr>
          </w:p>
        </w:tc>
        <w:tc>
          <w:tcPr>
            <w:tcW w:w="4261" w:type="dxa"/>
            <w:noWrap w:val="0"/>
            <w:vAlign w:val="top"/>
          </w:tcPr>
          <w:p>
            <w:pPr>
              <w:pStyle w:val="46"/>
              <w:ind w:left="0" w:leftChars="0" w:firstLine="0" w:firstLineChars="0"/>
              <w:jc w:val="both"/>
              <w:rPr>
                <w:rFonts w:hint="eastAsia" w:ascii="仿宋" w:hAnsi="仿宋" w:eastAsia="仿宋" w:cs="仿宋"/>
                <w:color w:val="auto"/>
                <w:vertAlign w:val="baseline"/>
              </w:rPr>
            </w:pPr>
          </w:p>
          <w:p>
            <w:pPr>
              <w:pStyle w:val="46"/>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法定代表人身份证反面复印件</w:t>
            </w:r>
          </w:p>
          <w:p>
            <w:pPr>
              <w:pStyle w:val="46"/>
              <w:jc w:val="center"/>
              <w:rPr>
                <w:rFonts w:hint="eastAsia" w:ascii="仿宋" w:hAnsi="仿宋" w:eastAsia="仿宋" w:cs="仿宋"/>
                <w:color w:val="auto"/>
                <w:vertAlign w:val="baseline"/>
              </w:rPr>
            </w:pPr>
          </w:p>
        </w:tc>
      </w:tr>
    </w:tbl>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                                   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（盖单位章）</w:t>
      </w:r>
    </w:p>
    <w:p>
      <w:pPr>
        <w:rPr>
          <w:rFonts w:hint="eastAsia" w:ascii="仿宋" w:hAnsi="仿宋" w:eastAsia="仿宋" w:cs="仿宋"/>
          <w:color w:val="auto"/>
          <w:sz w:val="24"/>
        </w:rPr>
      </w:pPr>
      <w:r>
        <w:rPr>
          <w:rFonts w:hint="eastAsia" w:ascii="仿宋" w:hAnsi="仿宋" w:eastAsia="仿宋" w:cs="仿宋"/>
          <w:color w:val="auto"/>
          <w:sz w:val="24"/>
        </w:rPr>
        <w:t xml:space="preserve">                                     法定代表或委托代理人（签字或盖章）</w:t>
      </w:r>
    </w:p>
    <w:p>
      <w:pPr>
        <w:rPr>
          <w:rFonts w:hint="eastAsia" w:ascii="仿宋" w:hAnsi="仿宋" w:eastAsia="仿宋" w:cs="仿宋"/>
          <w:color w:val="auto"/>
          <w:sz w:val="24"/>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48"/>
        <w:spacing w:line="24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2.2、法定代表人的授权委托书</w:t>
      </w:r>
    </w:p>
    <w:p>
      <w:pPr>
        <w:rPr>
          <w:rFonts w:hint="eastAsia" w:ascii="仿宋" w:hAnsi="仿宋" w:eastAsia="仿宋" w:cs="仿宋"/>
          <w:color w:val="auto"/>
          <w:szCs w:val="21"/>
        </w:rPr>
      </w:pPr>
    </w:p>
    <w:p>
      <w:pPr>
        <w:topLinePunct/>
        <w:ind w:firstLine="480" w:firstLineChars="200"/>
        <w:rPr>
          <w:rFonts w:hint="eastAsia" w:ascii="仿宋" w:hAnsi="仿宋" w:eastAsia="仿宋" w:cs="仿宋"/>
          <w:color w:val="auto"/>
          <w:sz w:val="24"/>
        </w:rPr>
      </w:pPr>
      <w:r>
        <w:rPr>
          <w:rFonts w:hint="eastAsia" w:ascii="仿宋" w:hAnsi="仿宋" w:eastAsia="仿宋" w:cs="仿宋"/>
          <w:color w:val="auto"/>
          <w:sz w:val="24"/>
        </w:rPr>
        <w:t>本人</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（姓名）系</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（投标人名称）的法定代表人，现委托</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（姓名）为我方代理人。代理人根据授权，以我方名义签署、澄清、说明、补正、递交、撤回、修改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标段施工投标文件、签订合同和处理有关事宜，其法律后果由我方承担。</w:t>
      </w:r>
    </w:p>
    <w:p>
      <w:pPr>
        <w:rPr>
          <w:rFonts w:hint="eastAsia" w:ascii="仿宋" w:hAnsi="仿宋" w:eastAsia="仿宋" w:cs="仿宋"/>
          <w:color w:val="auto"/>
          <w:sz w:val="24"/>
        </w:rPr>
      </w:pPr>
      <w:r>
        <w:rPr>
          <w:rFonts w:hint="eastAsia" w:ascii="仿宋" w:hAnsi="仿宋" w:eastAsia="仿宋" w:cs="仿宋"/>
          <w:color w:val="auto"/>
          <w:sz w:val="24"/>
        </w:rPr>
        <w:t xml:space="preserve">    </w:t>
      </w:r>
    </w:p>
    <w:p>
      <w:pPr>
        <w:rPr>
          <w:rFonts w:hint="eastAsia" w:ascii="仿宋" w:hAnsi="仿宋" w:eastAsia="仿宋" w:cs="仿宋"/>
          <w:color w:val="auto"/>
          <w:sz w:val="24"/>
        </w:rPr>
      </w:pPr>
      <w:r>
        <w:rPr>
          <w:rFonts w:hint="eastAsia" w:ascii="仿宋" w:hAnsi="仿宋" w:eastAsia="仿宋" w:cs="仿宋"/>
          <w:color w:val="auto"/>
          <w:sz w:val="24"/>
        </w:rPr>
        <w:t xml:space="preserve">    委托期限：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代理人无转委托权。</w:t>
      </w:r>
    </w:p>
    <w:p>
      <w:pPr>
        <w:ind w:firstLine="480" w:firstLineChars="200"/>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附：法定代表人身份证明</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法定代表人身份证正面复印件</w:t>
            </w:r>
          </w:p>
          <w:p>
            <w:pPr>
              <w:jc w:val="center"/>
              <w:rPr>
                <w:rFonts w:hint="eastAsia" w:ascii="仿宋" w:hAnsi="仿宋" w:eastAsia="仿宋" w:cs="仿宋"/>
                <w:color w:val="auto"/>
                <w:sz w:val="24"/>
              </w:rPr>
            </w:pPr>
          </w:p>
        </w:tc>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法定代表人身份证反面复印件</w:t>
            </w:r>
          </w:p>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委托代理人身份证正面复印件</w:t>
            </w:r>
          </w:p>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c>
          <w:tcPr>
            <w:tcW w:w="4261" w:type="dxa"/>
            <w:noWrap w:val="0"/>
            <w:vAlign w:val="top"/>
          </w:tcPr>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委托代理人身份证反面复印件</w:t>
            </w:r>
          </w:p>
          <w:p>
            <w:pPr>
              <w:jc w:val="center"/>
              <w:rPr>
                <w:rFonts w:hint="eastAsia" w:ascii="仿宋" w:hAnsi="仿宋" w:eastAsia="仿宋" w:cs="仿宋"/>
                <w:color w:val="auto"/>
                <w:sz w:val="24"/>
              </w:rPr>
            </w:pPr>
          </w:p>
        </w:tc>
      </w:tr>
    </w:tbl>
    <w:p>
      <w:pPr>
        <w:ind w:firstLine="480" w:firstLineChars="200"/>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（盖单位章）</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 </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jc w:val="center"/>
        <w:rPr>
          <w:rFonts w:hint="eastAsia" w:ascii="仿宋" w:hAnsi="仿宋" w:eastAsia="仿宋" w:cs="仿宋"/>
          <w:color w:val="auto"/>
          <w:sz w:val="24"/>
        </w:rPr>
      </w:pPr>
      <w:r>
        <w:rPr>
          <w:rFonts w:hint="eastAsia" w:ascii="仿宋" w:hAnsi="仿宋" w:eastAsia="仿宋" w:cs="仿宋"/>
          <w:color w:val="auto"/>
          <w:sz w:val="24"/>
        </w:rPr>
        <w:t xml:space="preserve">                                                 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spacing w:before="312" w:beforeLines="100" w:after="156" w:afterLines="5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3、联合体协议书(若有时填报)</w:t>
      </w:r>
    </w:p>
    <w:p>
      <w:pPr>
        <w:rPr>
          <w:rFonts w:hint="eastAsia" w:ascii="仿宋" w:hAnsi="仿宋" w:eastAsia="仿宋" w:cs="仿宋"/>
          <w:color w:val="auto"/>
          <w:sz w:val="24"/>
          <w:szCs w:val="21"/>
        </w:rPr>
      </w:pPr>
      <w:r>
        <w:rPr>
          <w:rFonts w:hint="eastAsia" w:ascii="仿宋" w:hAnsi="仿宋" w:eastAsia="仿宋" w:cs="仿宋"/>
          <w:color w:val="auto"/>
          <w:sz w:val="24"/>
          <w:szCs w:val="21"/>
        </w:rPr>
        <w:t>牵头人名称：</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法定住所：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成员二名称：</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r>
        <w:rPr>
          <w:rFonts w:hint="eastAsia" w:ascii="仿宋" w:hAnsi="仿宋" w:eastAsia="仿宋" w:cs="仿宋"/>
          <w:color w:val="auto"/>
          <w:sz w:val="24"/>
          <w:szCs w:val="21"/>
        </w:rPr>
        <w:t>法定住所：</w:t>
      </w:r>
      <w:r>
        <w:rPr>
          <w:rFonts w:hint="eastAsia" w:ascii="仿宋" w:hAnsi="仿宋" w:eastAsia="仿宋" w:cs="仿宋"/>
          <w:color w:val="auto"/>
          <w:sz w:val="24"/>
          <w:szCs w:val="21"/>
          <w:u w:val="single"/>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鉴于上述各成员单位经过友好协商，自愿组成</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（联合体名称）联合体，共同参加</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（招标人名称）（以下简称招标人）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标段（以下简称本工程）的施工投标并争取赢得本工程施工承包合同（以下简称合同）。现就联合体投标事宜订立如下协议：</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（某成员单位名称）为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（联合体名称）牵头人。</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4．联合体各成员单位内部的职责分工如下：</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。按照本条上述分工，联合体成员单位各自所承担的合同工作量比例如下：</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5．投标工作和联合体在中标后工程实施过程中的有关费用按各自承担的工作量分摊。</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6．联合体中标后，本联合体协议是合同的附件，对联合体各成员单位有合同约束力。</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7．本协议书自签署之日起生效，联合体未中标或者中标时合同履行完毕后自动失效。</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8．本协议书一式</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份，联合体成员和招标人各执一份。</w:t>
      </w:r>
    </w:p>
    <w:p>
      <w:pPr>
        <w:rPr>
          <w:rFonts w:hint="eastAsia" w:ascii="仿宋" w:hAnsi="仿宋" w:eastAsia="仿宋" w:cs="仿宋"/>
          <w:color w:val="auto"/>
          <w:sz w:val="24"/>
          <w:szCs w:val="21"/>
        </w:rPr>
      </w:pPr>
      <w:r>
        <w:rPr>
          <w:rFonts w:hint="eastAsia" w:ascii="仿宋" w:hAnsi="仿宋" w:eastAsia="仿宋" w:cs="仿宋"/>
          <w:color w:val="auto"/>
          <w:sz w:val="24"/>
          <w:szCs w:val="21"/>
        </w:rPr>
        <w:t>牵头人名称：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成员二名称：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jc w:val="right"/>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日           </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备注：本协议书由委托代理人签字的，应附法定代表人签字的授权委托书。</w:t>
      </w: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pStyle w:val="18"/>
        <w:rPr>
          <w:rFonts w:hint="eastAsia" w:ascii="仿宋" w:hAnsi="仿宋" w:eastAsia="仿宋" w:cs="仿宋"/>
          <w:b/>
          <w:color w:val="auto"/>
          <w:sz w:val="32"/>
          <w:szCs w:val="32"/>
        </w:rPr>
      </w:pPr>
    </w:p>
    <w:p>
      <w:pPr>
        <w:pStyle w:val="18"/>
        <w:rPr>
          <w:rFonts w:hint="eastAsia" w:ascii="仿宋" w:hAnsi="仿宋" w:eastAsia="仿宋" w:cs="仿宋"/>
          <w:b/>
          <w:color w:val="auto"/>
          <w:sz w:val="32"/>
          <w:szCs w:val="32"/>
        </w:rPr>
      </w:pPr>
    </w:p>
    <w:p>
      <w:pPr>
        <w:pStyle w:val="18"/>
        <w:rPr>
          <w:rFonts w:hint="eastAsia" w:ascii="仿宋" w:hAnsi="仿宋" w:eastAsia="仿宋" w:cs="仿宋"/>
          <w:b/>
          <w:color w:val="auto"/>
          <w:sz w:val="32"/>
          <w:szCs w:val="32"/>
        </w:rPr>
      </w:pPr>
    </w:p>
    <w:p>
      <w:pPr>
        <w:pStyle w:val="18"/>
        <w:rPr>
          <w:rFonts w:hint="eastAsia" w:ascii="仿宋" w:hAnsi="仿宋" w:eastAsia="仿宋" w:cs="仿宋"/>
          <w:b/>
          <w:color w:val="auto"/>
          <w:sz w:val="32"/>
          <w:szCs w:val="32"/>
        </w:rPr>
      </w:pPr>
    </w:p>
    <w:p>
      <w:pPr>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4、投标保证金</w:t>
      </w:r>
    </w:p>
    <w:p>
      <w:pPr>
        <w:ind w:firstLine="7200" w:firstLineChars="3000"/>
        <w:rPr>
          <w:rFonts w:hint="eastAsia" w:ascii="仿宋" w:hAnsi="仿宋" w:eastAsia="仿宋" w:cs="仿宋"/>
          <w:color w:val="auto"/>
          <w:szCs w:val="21"/>
        </w:rPr>
      </w:pPr>
    </w:p>
    <w:p>
      <w:pPr>
        <w:ind w:firstLine="5880" w:firstLineChars="2450"/>
        <w:rPr>
          <w:rFonts w:hint="eastAsia" w:ascii="仿宋" w:hAnsi="仿宋" w:eastAsia="仿宋" w:cs="仿宋"/>
          <w:color w:val="auto"/>
          <w:sz w:val="24"/>
          <w:szCs w:val="21"/>
        </w:rPr>
      </w:pPr>
      <w:r>
        <w:rPr>
          <w:rFonts w:hint="eastAsia" w:ascii="仿宋" w:hAnsi="仿宋" w:eastAsia="仿宋" w:cs="仿宋"/>
          <w:color w:val="auto"/>
          <w:sz w:val="24"/>
          <w:szCs w:val="21"/>
        </w:rPr>
        <w:t>保函编号：</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鉴于</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（投标人名称）（以下简称“投标人”）参加你方</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标段的施工投标，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（投标保函额度）的任何你方要求的金额：</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1．投标人在规定的投标有效期内撤销或者修改其投标文件。</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2．投标人在收到中标通知书后无正当理由而未在规定期限内与贵方签署合同。</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3．投标人在收到中标通知书后未能在招标文件规定期限内向贵方提交招标文件所要求的履约担保。</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本保函项下所有权利和义务均受中华人民共和国法律管辖和制约。</w:t>
      </w:r>
    </w:p>
    <w:p>
      <w:pPr>
        <w:ind w:firstLine="480" w:firstLineChars="200"/>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担保人名称：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    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    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    真：</w:t>
      </w:r>
      <w:r>
        <w:rPr>
          <w:rFonts w:hint="eastAsia" w:ascii="仿宋" w:hAnsi="仿宋" w:eastAsia="仿宋" w:cs="仿宋"/>
          <w:color w:val="auto"/>
          <w:sz w:val="24"/>
          <w:szCs w:val="21"/>
          <w:u w:val="single"/>
        </w:rPr>
        <w:t xml:space="preserve">                                            </w:t>
      </w:r>
    </w:p>
    <w:p>
      <w:pPr>
        <w:jc w:val="right"/>
        <w:rPr>
          <w:rFonts w:hint="eastAsia" w:ascii="仿宋" w:hAnsi="仿宋" w:eastAsia="仿宋" w:cs="仿宋"/>
          <w:color w:val="auto"/>
          <w:sz w:val="24"/>
          <w:szCs w:val="21"/>
          <w:u w:val="single"/>
        </w:rPr>
      </w:pPr>
    </w:p>
    <w:p>
      <w:pPr>
        <w:jc w:val="right"/>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日      </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备注：经过招标人事先的书面同意，投标人可采用招标人认可的投标保函格式，但相关内容不得背离招标文件约定的实质性内容。</w:t>
      </w:r>
    </w:p>
    <w:p>
      <w:pPr>
        <w:jc w:val="center"/>
        <w:rPr>
          <w:rFonts w:hint="eastAsia" w:ascii="仿宋" w:hAnsi="仿宋" w:eastAsia="仿宋" w:cs="仿宋"/>
          <w:color w:val="auto"/>
          <w:sz w:val="24"/>
          <w:szCs w:val="28"/>
        </w:rPr>
      </w:pPr>
    </w:p>
    <w:p>
      <w:pPr>
        <w:pStyle w:val="48"/>
        <w:spacing w:line="24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5、项目管理机构</w:t>
      </w:r>
    </w:p>
    <w:p>
      <w:pPr>
        <w:topLinePunct/>
        <w:jc w:val="center"/>
        <w:rPr>
          <w:rFonts w:hint="eastAsia" w:ascii="仿宋" w:hAnsi="仿宋" w:eastAsia="仿宋" w:cs="仿宋"/>
          <w:color w:val="auto"/>
          <w:sz w:val="28"/>
          <w:szCs w:val="28"/>
        </w:rPr>
      </w:pPr>
      <w:r>
        <w:rPr>
          <w:rFonts w:hint="eastAsia" w:ascii="仿宋" w:hAnsi="仿宋" w:eastAsia="仿宋" w:cs="仿宋"/>
          <w:color w:val="auto"/>
          <w:sz w:val="28"/>
          <w:szCs w:val="28"/>
        </w:rPr>
        <w:t>5.1项目管理机构组成表</w:t>
      </w:r>
    </w:p>
    <w:p>
      <w:pPr>
        <w:jc w:val="center"/>
        <w:rPr>
          <w:rFonts w:hint="eastAsia" w:ascii="仿宋" w:hAnsi="仿宋" w:eastAsia="仿宋" w:cs="仿宋"/>
          <w:b/>
          <w:color w:val="auto"/>
          <w:sz w:val="28"/>
          <w:szCs w:val="28"/>
        </w:rPr>
      </w:pPr>
    </w:p>
    <w:tbl>
      <w:tblPr>
        <w:tblStyle w:val="2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1153"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29"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5244" w:type="dxa"/>
            <w:gridSpan w:val="5"/>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执业或职业资格证明</w:t>
            </w:r>
          </w:p>
        </w:tc>
        <w:tc>
          <w:tcPr>
            <w:tcW w:w="74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jc w:val="center"/>
              <w:rPr>
                <w:rFonts w:hint="eastAsia" w:ascii="仿宋" w:hAnsi="仿宋" w:eastAsia="仿宋" w:cs="仿宋"/>
                <w:color w:val="auto"/>
                <w:szCs w:val="21"/>
              </w:rPr>
            </w:pPr>
          </w:p>
        </w:tc>
        <w:tc>
          <w:tcPr>
            <w:tcW w:w="1153" w:type="dxa"/>
            <w:vMerge w:val="continue"/>
            <w:noWrap w:val="0"/>
            <w:vAlign w:val="center"/>
          </w:tcPr>
          <w:p>
            <w:pPr>
              <w:jc w:val="center"/>
              <w:rPr>
                <w:rFonts w:hint="eastAsia" w:ascii="仿宋" w:hAnsi="仿宋" w:eastAsia="仿宋" w:cs="仿宋"/>
                <w:color w:val="auto"/>
                <w:szCs w:val="21"/>
              </w:rPr>
            </w:pPr>
          </w:p>
        </w:tc>
        <w:tc>
          <w:tcPr>
            <w:tcW w:w="929" w:type="dxa"/>
            <w:vMerge w:val="continue"/>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803"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级别</w:t>
            </w:r>
          </w:p>
        </w:tc>
        <w:tc>
          <w:tcPr>
            <w:tcW w:w="1317"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证号</w:t>
            </w:r>
          </w:p>
        </w:tc>
        <w:tc>
          <w:tcPr>
            <w:tcW w:w="80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1166" w:type="dxa"/>
            <w:noWrap w:val="0"/>
            <w:vAlign w:val="center"/>
          </w:tcPr>
          <w:p>
            <w:pPr>
              <w:ind w:right="125" w:rightChars="52"/>
              <w:jc w:val="center"/>
              <w:rPr>
                <w:rFonts w:hint="eastAsia" w:ascii="仿宋" w:hAnsi="仿宋" w:eastAsia="仿宋" w:cs="仿宋"/>
                <w:color w:val="auto"/>
                <w:szCs w:val="21"/>
              </w:rPr>
            </w:pPr>
            <w:r>
              <w:rPr>
                <w:rFonts w:hint="eastAsia" w:ascii="仿宋" w:hAnsi="仿宋" w:eastAsia="仿宋" w:cs="仿宋"/>
                <w:color w:val="auto"/>
                <w:szCs w:val="21"/>
              </w:rPr>
              <w:t>养老保险</w:t>
            </w: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1153" w:type="dxa"/>
            <w:noWrap w:val="0"/>
            <w:vAlign w:val="center"/>
          </w:tcPr>
          <w:p>
            <w:pPr>
              <w:jc w:val="center"/>
              <w:rPr>
                <w:rFonts w:hint="eastAsia" w:ascii="仿宋" w:hAnsi="仿宋" w:eastAsia="仿宋" w:cs="仿宋"/>
                <w:color w:val="auto"/>
                <w:szCs w:val="21"/>
              </w:rPr>
            </w:pPr>
          </w:p>
        </w:tc>
        <w:tc>
          <w:tcPr>
            <w:tcW w:w="929" w:type="dxa"/>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p>
        </w:tc>
        <w:tc>
          <w:tcPr>
            <w:tcW w:w="803" w:type="dxa"/>
            <w:noWrap w:val="0"/>
            <w:vAlign w:val="center"/>
          </w:tcPr>
          <w:p>
            <w:pPr>
              <w:jc w:val="center"/>
              <w:rPr>
                <w:rFonts w:hint="eastAsia" w:ascii="仿宋" w:hAnsi="仿宋" w:eastAsia="仿宋" w:cs="仿宋"/>
                <w:color w:val="auto"/>
                <w:szCs w:val="21"/>
              </w:rPr>
            </w:pPr>
          </w:p>
        </w:tc>
        <w:tc>
          <w:tcPr>
            <w:tcW w:w="1317" w:type="dxa"/>
            <w:noWrap w:val="0"/>
            <w:vAlign w:val="center"/>
          </w:tcPr>
          <w:p>
            <w:pPr>
              <w:jc w:val="center"/>
              <w:rPr>
                <w:rFonts w:hint="eastAsia" w:ascii="仿宋" w:hAnsi="仿宋" w:eastAsia="仿宋" w:cs="仿宋"/>
                <w:color w:val="auto"/>
                <w:szCs w:val="21"/>
              </w:rPr>
            </w:pPr>
          </w:p>
        </w:tc>
        <w:tc>
          <w:tcPr>
            <w:tcW w:w="801" w:type="dxa"/>
            <w:noWrap w:val="0"/>
            <w:vAlign w:val="center"/>
          </w:tcPr>
          <w:p>
            <w:pPr>
              <w:jc w:val="center"/>
              <w:rPr>
                <w:rFonts w:hint="eastAsia" w:ascii="仿宋" w:hAnsi="仿宋" w:eastAsia="仿宋" w:cs="仿宋"/>
                <w:color w:val="auto"/>
                <w:szCs w:val="21"/>
              </w:rPr>
            </w:pPr>
          </w:p>
        </w:tc>
        <w:tc>
          <w:tcPr>
            <w:tcW w:w="1166" w:type="dxa"/>
            <w:noWrap w:val="0"/>
            <w:vAlign w:val="center"/>
          </w:tcPr>
          <w:p>
            <w:pPr>
              <w:jc w:val="center"/>
              <w:rPr>
                <w:rFonts w:hint="eastAsia" w:ascii="仿宋" w:hAnsi="仿宋" w:eastAsia="仿宋" w:cs="仿宋"/>
                <w:color w:val="auto"/>
                <w:szCs w:val="21"/>
              </w:rPr>
            </w:pP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项目技术负责人</w:t>
            </w:r>
          </w:p>
        </w:tc>
        <w:tc>
          <w:tcPr>
            <w:tcW w:w="1153" w:type="dxa"/>
            <w:noWrap w:val="0"/>
            <w:vAlign w:val="center"/>
          </w:tcPr>
          <w:p>
            <w:pPr>
              <w:jc w:val="center"/>
              <w:rPr>
                <w:rFonts w:hint="eastAsia" w:ascii="仿宋" w:hAnsi="仿宋" w:eastAsia="仿宋" w:cs="仿宋"/>
                <w:color w:val="auto"/>
                <w:szCs w:val="21"/>
              </w:rPr>
            </w:pPr>
          </w:p>
        </w:tc>
        <w:tc>
          <w:tcPr>
            <w:tcW w:w="929" w:type="dxa"/>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p>
        </w:tc>
        <w:tc>
          <w:tcPr>
            <w:tcW w:w="803" w:type="dxa"/>
            <w:noWrap w:val="0"/>
            <w:vAlign w:val="center"/>
          </w:tcPr>
          <w:p>
            <w:pPr>
              <w:jc w:val="center"/>
              <w:rPr>
                <w:rFonts w:hint="eastAsia" w:ascii="仿宋" w:hAnsi="仿宋" w:eastAsia="仿宋" w:cs="仿宋"/>
                <w:color w:val="auto"/>
                <w:szCs w:val="21"/>
              </w:rPr>
            </w:pPr>
          </w:p>
        </w:tc>
        <w:tc>
          <w:tcPr>
            <w:tcW w:w="1317" w:type="dxa"/>
            <w:noWrap w:val="0"/>
            <w:vAlign w:val="center"/>
          </w:tcPr>
          <w:p>
            <w:pPr>
              <w:jc w:val="center"/>
              <w:rPr>
                <w:rFonts w:hint="eastAsia" w:ascii="仿宋" w:hAnsi="仿宋" w:eastAsia="仿宋" w:cs="仿宋"/>
                <w:color w:val="auto"/>
                <w:szCs w:val="21"/>
              </w:rPr>
            </w:pPr>
          </w:p>
        </w:tc>
        <w:tc>
          <w:tcPr>
            <w:tcW w:w="801" w:type="dxa"/>
            <w:noWrap w:val="0"/>
            <w:vAlign w:val="center"/>
          </w:tcPr>
          <w:p>
            <w:pPr>
              <w:jc w:val="center"/>
              <w:rPr>
                <w:rFonts w:hint="eastAsia" w:ascii="仿宋" w:hAnsi="仿宋" w:eastAsia="仿宋" w:cs="仿宋"/>
                <w:color w:val="auto"/>
                <w:szCs w:val="21"/>
              </w:rPr>
            </w:pPr>
          </w:p>
        </w:tc>
        <w:tc>
          <w:tcPr>
            <w:tcW w:w="1166" w:type="dxa"/>
            <w:noWrap w:val="0"/>
            <w:vAlign w:val="center"/>
          </w:tcPr>
          <w:p>
            <w:pPr>
              <w:jc w:val="center"/>
              <w:rPr>
                <w:rFonts w:hint="eastAsia" w:ascii="仿宋" w:hAnsi="仿宋" w:eastAsia="仿宋" w:cs="仿宋"/>
                <w:color w:val="auto"/>
                <w:szCs w:val="21"/>
              </w:rPr>
            </w:pP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土建工程师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电气工程师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设备工程师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专职质检员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专职安全员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试验员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材料员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预算员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color w:val="auto"/>
                <w:szCs w:val="21"/>
              </w:rPr>
              <w:t>其他人员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bl>
    <w:p>
      <w:pPr>
        <w:jc w:val="left"/>
        <w:rPr>
          <w:rFonts w:hint="eastAsia" w:ascii="仿宋" w:hAnsi="仿宋" w:eastAsia="仿宋" w:cs="仿宋"/>
          <w:color w:val="auto"/>
          <w:sz w:val="24"/>
          <w:szCs w:val="21"/>
        </w:rPr>
      </w:pPr>
    </w:p>
    <w:p>
      <w:pPr>
        <w:jc w:val="left"/>
        <w:rPr>
          <w:rFonts w:hint="eastAsia" w:ascii="仿宋" w:hAnsi="仿宋" w:eastAsia="仿宋" w:cs="仿宋"/>
          <w:color w:val="auto"/>
          <w:sz w:val="24"/>
          <w:szCs w:val="21"/>
        </w:rPr>
      </w:pPr>
      <w:r>
        <w:rPr>
          <w:rFonts w:hint="eastAsia" w:ascii="仿宋" w:hAnsi="仿宋" w:eastAsia="仿宋" w:cs="仿宋"/>
          <w:color w:val="auto"/>
          <w:sz w:val="24"/>
          <w:szCs w:val="21"/>
        </w:rPr>
        <w:t>注：本工程一旦我单位中标，将配备上述项目管理人员。上述填报内容真实，  如不真实，将按照有关规定接受处理。</w:t>
      </w:r>
    </w:p>
    <w:p>
      <w:pPr>
        <w:jc w:val="left"/>
        <w:rPr>
          <w:rFonts w:hint="eastAsia" w:ascii="仿宋" w:hAnsi="仿宋" w:eastAsia="仿宋" w:cs="仿宋"/>
          <w:color w:val="auto"/>
          <w:kern w:val="0"/>
          <w:sz w:val="24"/>
          <w:szCs w:val="21"/>
        </w:rPr>
      </w:pPr>
      <w:r>
        <w:rPr>
          <w:rFonts w:hint="eastAsia" w:ascii="仿宋" w:hAnsi="仿宋" w:eastAsia="仿宋" w:cs="仿宋"/>
          <w:color w:val="auto"/>
          <w:kern w:val="0"/>
          <w:sz w:val="24"/>
          <w:szCs w:val="21"/>
        </w:rPr>
        <w:t xml:space="preserve">    </w:t>
      </w:r>
    </w:p>
    <w:p>
      <w:pPr>
        <w:jc w:val="left"/>
        <w:rPr>
          <w:rFonts w:hint="eastAsia" w:ascii="仿宋" w:hAnsi="仿宋" w:eastAsia="仿宋" w:cs="仿宋"/>
          <w:color w:val="auto"/>
          <w:kern w:val="0"/>
          <w:sz w:val="24"/>
          <w:szCs w:val="21"/>
        </w:rPr>
      </w:pPr>
    </w:p>
    <w:p>
      <w:pPr>
        <w:jc w:val="left"/>
        <w:rPr>
          <w:rFonts w:hint="eastAsia" w:ascii="仿宋" w:hAnsi="仿宋" w:eastAsia="仿宋" w:cs="仿宋"/>
          <w:color w:val="auto"/>
          <w:sz w:val="24"/>
          <w:szCs w:val="28"/>
        </w:rPr>
      </w:pPr>
    </w:p>
    <w:p>
      <w:pPr>
        <w:jc w:val="left"/>
        <w:rPr>
          <w:rFonts w:hint="eastAsia" w:ascii="仿宋" w:hAnsi="仿宋" w:eastAsia="仿宋" w:cs="仿宋"/>
          <w:color w:val="auto"/>
          <w:sz w:val="24"/>
        </w:rPr>
      </w:pPr>
    </w:p>
    <w:p>
      <w:pPr>
        <w:jc w:val="left"/>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szCs w:val="21"/>
        </w:rPr>
      </w:pPr>
    </w:p>
    <w:p>
      <w:pPr>
        <w:topLinePunct/>
        <w:jc w:val="center"/>
        <w:rPr>
          <w:rFonts w:hint="eastAsia" w:ascii="仿宋" w:hAnsi="仿宋" w:eastAsia="仿宋" w:cs="仿宋"/>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color w:val="auto"/>
          <w:sz w:val="28"/>
          <w:szCs w:val="28"/>
        </w:rPr>
        <w:t>5.2现场主要人员简历表</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主要项目管理人员简历表</w:t>
      </w:r>
    </w:p>
    <w:p>
      <w:pPr>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主要项目管理人员指项目副经理、技术负责人、合同商务负责人、专职安全生产管理人员等岗位人员。应附注册资格证书、身份证、职称证、养老保险复印件，专职安全生产管理人员应附安全生产考核合格证书，主要业绩须附合同协议书。</w:t>
      </w:r>
    </w:p>
    <w:p>
      <w:pPr>
        <w:topLinePunct/>
        <w:jc w:val="center"/>
        <w:rPr>
          <w:rFonts w:hint="eastAsia" w:ascii="仿宋" w:hAnsi="仿宋" w:eastAsia="仿宋" w:cs="仿宋"/>
          <w:color w:val="auto"/>
          <w:sz w:val="23"/>
          <w:szCs w:val="23"/>
        </w:rPr>
      </w:pPr>
    </w:p>
    <w:tbl>
      <w:tblPr>
        <w:tblStyle w:val="21"/>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姓名</w:t>
            </w:r>
          </w:p>
        </w:tc>
        <w:tc>
          <w:tcPr>
            <w:tcW w:w="3420" w:type="dxa"/>
            <w:noWrap w:val="0"/>
            <w:vAlign w:val="center"/>
          </w:tcPr>
          <w:p>
            <w:pPr>
              <w:rPr>
                <w:rFonts w:hint="eastAsia" w:ascii="仿宋" w:hAnsi="仿宋" w:eastAsia="仿宋" w:cs="仿宋"/>
                <w:color w:val="auto"/>
                <w:sz w:val="24"/>
                <w:szCs w:val="21"/>
              </w:rPr>
            </w:pPr>
          </w:p>
        </w:tc>
        <w:tc>
          <w:tcPr>
            <w:tcW w:w="1261" w:type="dxa"/>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年龄</w:t>
            </w:r>
          </w:p>
        </w:tc>
        <w:tc>
          <w:tcPr>
            <w:tcW w:w="2296" w:type="dxa"/>
            <w:noWrap w:val="0"/>
            <w:vAlign w:val="center"/>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性别</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毕业学校</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学历和专业</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毕业时间</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拥有的执业资格</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专业职称</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执业资格证书编号</w:t>
            </w:r>
          </w:p>
        </w:tc>
        <w:tc>
          <w:tcPr>
            <w:tcW w:w="3420" w:type="dxa"/>
            <w:noWrap w:val="0"/>
            <w:vAlign w:val="center"/>
          </w:tcPr>
          <w:p>
            <w:pPr>
              <w:rPr>
                <w:rFonts w:hint="eastAsia" w:ascii="仿宋" w:hAnsi="仿宋" w:eastAsia="仿宋" w:cs="仿宋"/>
                <w:color w:val="auto"/>
                <w:sz w:val="24"/>
                <w:szCs w:val="21"/>
              </w:rPr>
            </w:pPr>
          </w:p>
        </w:tc>
        <w:tc>
          <w:tcPr>
            <w:tcW w:w="1261" w:type="dxa"/>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工作年限</w:t>
            </w:r>
          </w:p>
        </w:tc>
        <w:tc>
          <w:tcPr>
            <w:tcW w:w="2296" w:type="dxa"/>
            <w:noWrap w:val="0"/>
            <w:vAlign w:val="center"/>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主要工作业绩及担任的主要工作</w:t>
            </w:r>
          </w:p>
          <w:p>
            <w:pPr>
              <w:rPr>
                <w:rFonts w:hint="eastAsia" w:ascii="仿宋" w:hAnsi="仿宋" w:eastAsia="仿宋" w:cs="仿宋"/>
                <w:color w:val="auto"/>
                <w:sz w:val="24"/>
                <w:szCs w:val="21"/>
              </w:rPr>
            </w:pPr>
          </w:p>
        </w:tc>
        <w:tc>
          <w:tcPr>
            <w:tcW w:w="8300" w:type="dxa"/>
            <w:gridSpan w:val="4"/>
            <w:noWrap w:val="0"/>
            <w:vAlign w:val="center"/>
          </w:tcPr>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tc>
      </w:tr>
    </w:tbl>
    <w:p>
      <w:pPr>
        <w:pStyle w:val="49"/>
        <w:spacing w:line="240" w:lineRule="auto"/>
        <w:jc w:val="center"/>
        <w:rPr>
          <w:rFonts w:hint="eastAsia" w:ascii="仿宋" w:hAnsi="仿宋" w:eastAsia="仿宋" w:cs="仿宋"/>
          <w:color w:val="auto"/>
          <w:kern w:val="2"/>
          <w:sz w:val="32"/>
          <w:szCs w:val="28"/>
        </w:rPr>
      </w:pPr>
    </w:p>
    <w:p>
      <w:pPr>
        <w:pStyle w:val="49"/>
        <w:spacing w:line="240" w:lineRule="auto"/>
        <w:jc w:val="center"/>
        <w:rPr>
          <w:rFonts w:hint="eastAsia" w:ascii="仿宋" w:hAnsi="仿宋" w:eastAsia="仿宋" w:cs="仿宋"/>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r>
        <w:rPr>
          <w:rFonts w:hint="eastAsia" w:ascii="仿宋" w:hAnsi="仿宋" w:eastAsia="仿宋" w:cs="仿宋"/>
          <w:b/>
          <w:color w:val="auto"/>
          <w:kern w:val="2"/>
          <w:sz w:val="32"/>
          <w:szCs w:val="28"/>
        </w:rPr>
        <w:t>6、</w:t>
      </w:r>
      <w:r>
        <w:rPr>
          <w:rFonts w:hint="eastAsia" w:ascii="仿宋" w:hAnsi="仿宋" w:eastAsia="仿宋" w:cs="仿宋"/>
          <w:b/>
          <w:color w:val="auto"/>
          <w:sz w:val="32"/>
          <w:szCs w:val="28"/>
        </w:rPr>
        <w:t>近年完成的</w:t>
      </w:r>
      <w:r>
        <w:rPr>
          <w:rFonts w:hint="eastAsia" w:ascii="仿宋" w:hAnsi="仿宋" w:eastAsia="仿宋" w:cs="仿宋"/>
          <w:b/>
          <w:color w:val="auto"/>
          <w:kern w:val="2"/>
          <w:sz w:val="32"/>
          <w:szCs w:val="28"/>
        </w:rPr>
        <w:t>类似工程业绩表</w:t>
      </w:r>
    </w:p>
    <w:tbl>
      <w:tblPr>
        <w:tblStyle w:val="2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项目所在地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发包人名称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发包人地址</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发包人联系人及电话</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合同价格</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开工日期</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竣工日期</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承担的工作</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工程质量</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总监理工程师及电话</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项目描述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6094" w:type="dxa"/>
            <w:noWrap w:val="0"/>
            <w:vAlign w:val="center"/>
          </w:tcPr>
          <w:p>
            <w:pPr>
              <w:jc w:val="center"/>
              <w:rPr>
                <w:rFonts w:hint="eastAsia" w:ascii="仿宋" w:hAnsi="仿宋" w:eastAsia="仿宋" w:cs="仿宋"/>
                <w:color w:val="auto"/>
                <w:szCs w:val="21"/>
              </w:rPr>
            </w:pPr>
          </w:p>
        </w:tc>
      </w:tr>
    </w:tbl>
    <w:p>
      <w:pPr>
        <w:ind w:left="720" w:hanging="720" w:hangingChars="300"/>
        <w:rPr>
          <w:rFonts w:hint="eastAsia" w:ascii="仿宋" w:hAnsi="仿宋" w:eastAsia="仿宋" w:cs="仿宋"/>
          <w:color w:val="auto"/>
          <w:sz w:val="24"/>
          <w:szCs w:val="21"/>
        </w:rPr>
      </w:pPr>
    </w:p>
    <w:p>
      <w:pPr>
        <w:ind w:left="720" w:hanging="720" w:hangingChars="300"/>
        <w:rPr>
          <w:rFonts w:hint="eastAsia" w:ascii="仿宋" w:hAnsi="仿宋" w:eastAsia="仿宋" w:cs="仿宋"/>
          <w:color w:val="auto"/>
          <w:sz w:val="24"/>
          <w:szCs w:val="21"/>
        </w:rPr>
      </w:pPr>
      <w:r>
        <w:rPr>
          <w:rFonts w:hint="eastAsia" w:ascii="仿宋" w:hAnsi="仿宋" w:eastAsia="仿宋" w:cs="仿宋"/>
          <w:color w:val="auto"/>
          <w:sz w:val="24"/>
          <w:szCs w:val="21"/>
        </w:rPr>
        <w:t>备注：1、类似项目指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工程。</w:t>
      </w:r>
    </w:p>
    <w:p>
      <w:pPr>
        <w:ind w:left="720" w:leftChars="300"/>
        <w:rPr>
          <w:rFonts w:hint="eastAsia" w:ascii="仿宋" w:hAnsi="仿宋" w:eastAsia="仿宋" w:cs="仿宋"/>
          <w:color w:val="auto"/>
          <w:sz w:val="24"/>
          <w:szCs w:val="21"/>
        </w:rPr>
      </w:pPr>
      <w:r>
        <w:rPr>
          <w:rFonts w:hint="eastAsia" w:ascii="仿宋" w:hAnsi="仿宋" w:eastAsia="仿宋" w:cs="仿宋"/>
          <w:color w:val="auto"/>
          <w:sz w:val="24"/>
          <w:szCs w:val="21"/>
        </w:rPr>
        <w:t xml:space="preserve"> 2、本表后附中标通知书和（或）合同协议书、工程接收证书（工程竣工  验收证书）的复印件，具体年份要求见投标人须知前附表。每张表格只填写一个项目，并标明序号。</w:t>
      </w:r>
    </w:p>
    <w:p>
      <w:pPr>
        <w:pStyle w:val="49"/>
        <w:spacing w:line="240" w:lineRule="auto"/>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投标人：（盖章）</w:t>
      </w:r>
    </w:p>
    <w:p>
      <w:pPr>
        <w:pStyle w:val="14"/>
        <w:spacing w:line="240" w:lineRule="auto"/>
        <w:rPr>
          <w:rFonts w:hint="eastAsia" w:ascii="仿宋" w:hAnsi="仿宋" w:eastAsia="仿宋" w:cs="仿宋"/>
          <w:color w:val="auto"/>
          <w:szCs w:val="21"/>
        </w:rPr>
      </w:pPr>
    </w:p>
    <w:p>
      <w:pPr>
        <w:pStyle w:val="14"/>
        <w:spacing w:line="240" w:lineRule="auto"/>
        <w:rPr>
          <w:rFonts w:hint="eastAsia" w:ascii="仿宋" w:hAnsi="仿宋" w:eastAsia="仿宋" w:cs="仿宋"/>
          <w:color w:val="auto"/>
          <w:szCs w:val="21"/>
        </w:rPr>
      </w:pPr>
      <w:r>
        <w:rPr>
          <w:rFonts w:hint="eastAsia" w:ascii="仿宋" w:hAnsi="仿宋" w:eastAsia="仿宋" w:cs="仿宋"/>
          <w:color w:val="auto"/>
          <w:szCs w:val="21"/>
        </w:rPr>
        <w:t>法定代表人或投标授权代理人：（签字或盖章）</w:t>
      </w:r>
    </w:p>
    <w:p>
      <w:pPr>
        <w:pStyle w:val="49"/>
        <w:spacing w:line="240" w:lineRule="auto"/>
        <w:ind w:firstLine="6090"/>
        <w:rPr>
          <w:rFonts w:hint="eastAsia" w:ascii="仿宋" w:hAnsi="仿宋" w:eastAsia="仿宋" w:cs="仿宋"/>
          <w:color w:val="auto"/>
          <w:sz w:val="24"/>
          <w:szCs w:val="21"/>
        </w:rPr>
      </w:pPr>
    </w:p>
    <w:p>
      <w:pPr>
        <w:pStyle w:val="49"/>
        <w:spacing w:line="240" w:lineRule="auto"/>
        <w:ind w:firstLine="6090"/>
        <w:rPr>
          <w:rFonts w:hint="eastAsia" w:ascii="仿宋" w:hAnsi="仿宋" w:eastAsia="仿宋" w:cs="仿宋"/>
          <w:color w:val="auto"/>
          <w:sz w:val="24"/>
          <w:szCs w:val="21"/>
        </w:rPr>
      </w:pPr>
      <w:r>
        <w:rPr>
          <w:rFonts w:hint="eastAsia" w:ascii="仿宋" w:hAnsi="仿宋" w:eastAsia="仿宋" w:cs="仿宋"/>
          <w:color w:val="auto"/>
          <w:sz w:val="24"/>
          <w:szCs w:val="21"/>
        </w:rPr>
        <w:t>年     月    日</w:t>
      </w:r>
    </w:p>
    <w:p>
      <w:pPr>
        <w:rPr>
          <w:rFonts w:hint="eastAsia" w:ascii="仿宋" w:hAnsi="仿宋" w:eastAsia="仿宋" w:cs="仿宋"/>
          <w:color w:val="auto"/>
          <w:szCs w:val="21"/>
        </w:rPr>
      </w:pPr>
    </w:p>
    <w:p>
      <w:pPr>
        <w:pStyle w:val="49"/>
        <w:spacing w:line="240" w:lineRule="auto"/>
        <w:jc w:val="center"/>
        <w:rPr>
          <w:rFonts w:hint="eastAsia" w:ascii="仿宋" w:hAnsi="仿宋" w:eastAsia="仿宋" w:cs="仿宋"/>
          <w:color w:val="auto"/>
          <w:kern w:val="2"/>
          <w:sz w:val="32"/>
          <w:szCs w:val="28"/>
        </w:rPr>
      </w:pPr>
    </w:p>
    <w:p>
      <w:pPr>
        <w:pStyle w:val="48"/>
        <w:spacing w:line="240" w:lineRule="auto"/>
        <w:jc w:val="center"/>
        <w:rPr>
          <w:rFonts w:hint="eastAsia" w:ascii="仿宋" w:hAnsi="仿宋" w:eastAsia="仿宋" w:cs="仿宋"/>
          <w:color w:val="auto"/>
        </w:rPr>
      </w:pPr>
      <w:r>
        <w:rPr>
          <w:rFonts w:hint="eastAsia" w:ascii="仿宋" w:hAnsi="仿宋" w:eastAsia="仿宋" w:cs="仿宋"/>
          <w:b/>
          <w:color w:val="auto"/>
          <w:sz w:val="32"/>
        </w:rPr>
        <w:t>7、拟分包项目情况表</w:t>
      </w:r>
    </w:p>
    <w:tbl>
      <w:tblPr>
        <w:tblStyle w:val="21"/>
        <w:tblpPr w:leftFromText="180" w:rightFromText="180" w:vertAnchor="text" w:horzAnchor="margin" w:tblpXSpec="center" w:tblpY="53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411"/>
        <w:gridCol w:w="201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分包人名称</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 址</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电 话</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营业执照号码</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资质等级</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拟分包的工程项目</w:t>
            </w:r>
          </w:p>
        </w:tc>
        <w:tc>
          <w:tcPr>
            <w:tcW w:w="241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主 要 内 容</w:t>
            </w: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预计造价（万元）</w:t>
            </w:r>
          </w:p>
        </w:tc>
        <w:tc>
          <w:tcPr>
            <w:tcW w:w="2390"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restart"/>
            <w:noWrap w:val="0"/>
            <w:vAlign w:val="center"/>
          </w:tcPr>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bl>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ind w:firstLine="570"/>
        <w:jc w:val="center"/>
        <w:rPr>
          <w:rFonts w:hint="eastAsia" w:ascii="仿宋" w:hAnsi="仿宋" w:eastAsia="仿宋" w:cs="仿宋"/>
          <w:b/>
          <w:color w:val="auto"/>
          <w:sz w:val="32"/>
          <w:szCs w:val="32"/>
        </w:rPr>
      </w:pPr>
    </w:p>
    <w:p>
      <w:pPr>
        <w:ind w:firstLine="57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8、近年企业不良行为记录情况</w:t>
      </w:r>
    </w:p>
    <w:p>
      <w:pPr>
        <w:ind w:firstLine="570"/>
        <w:jc w:val="center"/>
        <w:rPr>
          <w:rFonts w:hint="eastAsia" w:ascii="仿宋" w:hAnsi="仿宋" w:eastAsia="仿宋" w:cs="仿宋"/>
          <w:color w:val="auto"/>
          <w:sz w:val="32"/>
          <w:szCs w:val="32"/>
        </w:rPr>
      </w:pPr>
    </w:p>
    <w:p>
      <w:pPr>
        <w:ind w:firstLine="570"/>
        <w:jc w:val="left"/>
        <w:rPr>
          <w:rFonts w:hint="eastAsia" w:ascii="仿宋" w:hAnsi="仿宋" w:eastAsia="仿宋" w:cs="仿宋"/>
          <w:color w:val="auto"/>
          <w:sz w:val="28"/>
          <w:szCs w:val="28"/>
        </w:rPr>
      </w:pPr>
      <w:r>
        <w:rPr>
          <w:rFonts w:hint="eastAsia" w:ascii="仿宋" w:hAnsi="仿宋" w:eastAsia="仿宋" w:cs="仿宋"/>
          <w:color w:val="auto"/>
          <w:sz w:val="28"/>
          <w:szCs w:val="28"/>
        </w:rPr>
        <w:t>应提供县以上（含县）建设行政主管部门出具的近一年度的证明材料（或企业自行承诺无不良行为并加盖公司公章）。</w:t>
      </w:r>
    </w:p>
    <w:p>
      <w:pPr>
        <w:jc w:val="center"/>
        <w:rPr>
          <w:rFonts w:hint="eastAsia" w:ascii="仿宋" w:hAnsi="仿宋" w:eastAsia="仿宋" w:cs="仿宋"/>
          <w:color w:val="auto"/>
          <w:sz w:val="28"/>
          <w:szCs w:val="28"/>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9</w:t>
      </w:r>
      <w:r>
        <w:rPr>
          <w:rFonts w:hint="eastAsia" w:ascii="仿宋" w:hAnsi="仿宋" w:eastAsia="仿宋" w:cs="仿宋"/>
          <w:b/>
          <w:color w:val="auto"/>
          <w:sz w:val="32"/>
          <w:szCs w:val="32"/>
        </w:rPr>
        <w:t>、中标企业用工承诺书：我公司承诺中标后严格按照新疆维吾尔自治区住房和城乡建设厅新建建函[2017]46号《关于进一步做好自治区住房城乡建设行业固定资产投资项目促进农村劳动力转移就业工作的通知》文件精神，严格落实吸纳新疆籍务工人员就业比例不少于70%（其中普工吸纳新疆籍劳动力就业比例不少于90%）的政策规定。</w:t>
      </w: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pStyle w:val="18"/>
        <w:rPr>
          <w:rFonts w:hint="eastAsia" w:ascii="仿宋" w:hAnsi="仿宋" w:eastAsia="仿宋" w:cs="仿宋"/>
          <w:b/>
          <w:color w:val="auto"/>
          <w:sz w:val="32"/>
          <w:szCs w:val="32"/>
        </w:rPr>
      </w:pPr>
    </w:p>
    <w:p>
      <w:pPr>
        <w:pStyle w:val="18"/>
        <w:rPr>
          <w:rFonts w:hint="eastAsia" w:ascii="仿宋" w:hAnsi="仿宋" w:eastAsia="仿宋" w:cs="仿宋"/>
          <w:b/>
          <w:color w:val="auto"/>
          <w:sz w:val="32"/>
          <w:szCs w:val="32"/>
        </w:rPr>
      </w:pPr>
    </w:p>
    <w:p>
      <w:pPr>
        <w:pStyle w:val="46"/>
        <w:rPr>
          <w:rFonts w:hint="eastAsia" w:ascii="仿宋" w:hAnsi="仿宋" w:eastAsia="仿宋" w:cs="仿宋"/>
          <w:color w:val="auto"/>
        </w:rPr>
      </w:pPr>
    </w:p>
    <w:p>
      <w:pPr>
        <w:jc w:val="center"/>
        <w:rPr>
          <w:rFonts w:hint="eastAsia" w:ascii="仿宋" w:hAnsi="仿宋" w:eastAsia="仿宋" w:cs="仿宋"/>
          <w:b/>
          <w:color w:val="auto"/>
          <w:sz w:val="32"/>
          <w:szCs w:val="32"/>
        </w:rPr>
      </w:pPr>
    </w:p>
    <w:p>
      <w:pPr>
        <w:jc w:val="center"/>
        <w:rPr>
          <w:rFonts w:hint="eastAsia" w:ascii="仿宋" w:hAnsi="仿宋" w:eastAsia="仿宋" w:cs="仿宋"/>
          <w:color w:val="auto"/>
          <w:sz w:val="24"/>
          <w:szCs w:val="24"/>
          <w:u w:val="none"/>
        </w:rPr>
      </w:pPr>
      <w:r>
        <w:rPr>
          <w:rFonts w:hint="eastAsia" w:ascii="仿宋" w:hAnsi="仿宋" w:eastAsia="仿宋" w:cs="仿宋"/>
          <w:b/>
          <w:bCs w:val="0"/>
          <w:color w:val="auto"/>
          <w:sz w:val="32"/>
          <w:szCs w:val="32"/>
          <w:lang w:val="en-US" w:eastAsia="zh-CN"/>
        </w:rPr>
        <w:t>10</w:t>
      </w:r>
      <w:r>
        <w:rPr>
          <w:rFonts w:hint="eastAsia" w:ascii="仿宋" w:hAnsi="仿宋" w:eastAsia="仿宋" w:cs="仿宋"/>
          <w:b/>
          <w:bCs w:val="0"/>
          <w:color w:val="auto"/>
          <w:sz w:val="32"/>
          <w:szCs w:val="32"/>
        </w:rPr>
        <w:t>、</w:t>
      </w:r>
      <w:r>
        <w:rPr>
          <w:rFonts w:hint="eastAsia" w:ascii="仿宋" w:hAnsi="仿宋" w:eastAsia="仿宋" w:cs="仿宋"/>
          <w:b/>
          <w:bCs w:val="0"/>
          <w:color w:val="auto"/>
          <w:sz w:val="32"/>
          <w:szCs w:val="32"/>
          <w:u w:val="none"/>
          <w:lang w:val="en-US" w:eastAsia="zh-CN"/>
        </w:rPr>
        <w:t>建筑工人实名制承诺书</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承诺书</w:t>
      </w:r>
    </w:p>
    <w:p>
      <w:pPr>
        <w:autoSpaceDE w:val="0"/>
        <w:autoSpaceDN w:val="0"/>
        <w:spacing w:line="440" w:lineRule="exact"/>
        <w:rPr>
          <w:rFonts w:hint="eastAsia" w:ascii="仿宋" w:hAnsi="仿宋" w:eastAsia="仿宋" w:cs="仿宋"/>
          <w:color w:val="auto"/>
          <w:szCs w:val="21"/>
          <w:u w:val="single"/>
        </w:rPr>
      </w:pPr>
      <w:r>
        <w:rPr>
          <w:rFonts w:hint="eastAsia" w:ascii="仿宋" w:hAnsi="仿宋" w:eastAsia="仿宋" w:cs="仿宋"/>
          <w:color w:val="auto"/>
          <w:szCs w:val="21"/>
          <w:u w:val="single"/>
        </w:rPr>
        <w:t xml:space="preserve">            （招标人名称）：</w:t>
      </w:r>
    </w:p>
    <w:p>
      <w:pPr>
        <w:autoSpaceDE w:val="0"/>
        <w:autoSpaceDN w:val="0"/>
        <w:spacing w:line="44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若我单位中标，将积极响应并贯彻落实新疆维吾尔自治区住房和城乡建设厅《关于推进建筑工人实名制管理工作的通知》（新建建〔2018〕14号）有关规定，完成建筑企业负责本企业和所承建项目的建筑工人实名制管理的具体实施，并接受各级住房城乡建设主管部门的监督检查,我单位郑重承诺：</w:t>
      </w:r>
    </w:p>
    <w:p>
      <w:pPr>
        <w:autoSpaceDE w:val="0"/>
        <w:autoSpaceDN w:val="0"/>
        <w:spacing w:line="44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我单位对</w:t>
      </w:r>
      <w:r>
        <w:rPr>
          <w:rFonts w:hint="eastAsia" w:ascii="仿宋" w:hAnsi="仿宋" w:eastAsia="仿宋" w:cs="仿宋"/>
          <w:color w:val="auto"/>
          <w:szCs w:val="21"/>
          <w:u w:val="single"/>
        </w:rPr>
        <w:t xml:space="preserve">                 （项目名称）</w:t>
      </w:r>
      <w:r>
        <w:rPr>
          <w:rFonts w:hint="eastAsia" w:ascii="仿宋" w:hAnsi="仿宋" w:eastAsia="仿宋" w:cs="仿宋"/>
          <w:color w:val="auto"/>
          <w:szCs w:val="21"/>
        </w:rPr>
        <w:t>的施工所承接工程项目的建筑工人实名制管理负总责，将制定本企业建筑工人实名制管理制度，落实合同中约定的实名制管理义务。在工程项目部现场配备专（兼）职实名制专管员，负责本企业派出的专业作业人员的日常管理、实名制信息的登记与核实，并按劳动合同约定发放工资，保障建筑工人合法权益。做到及时对本企业的建筑工人信息进行采集、核实、更新，建立实名制管理台账，并按时将台账提交</w:t>
      </w:r>
      <w:r>
        <w:rPr>
          <w:rFonts w:hint="eastAsia" w:ascii="仿宋" w:hAnsi="仿宋" w:eastAsia="仿宋" w:cs="仿宋"/>
          <w:color w:val="auto"/>
          <w:szCs w:val="21"/>
          <w:lang w:eastAsia="zh-CN"/>
        </w:rPr>
        <w:t>施工</w:t>
      </w:r>
      <w:r>
        <w:rPr>
          <w:rFonts w:hint="eastAsia" w:ascii="仿宋" w:hAnsi="仿宋" w:eastAsia="仿宋" w:cs="仿宋"/>
          <w:color w:val="auto"/>
          <w:szCs w:val="21"/>
        </w:rPr>
        <w:t>企业</w:t>
      </w:r>
      <w:r>
        <w:rPr>
          <w:rFonts w:hint="eastAsia" w:ascii="仿宋" w:hAnsi="仿宋" w:eastAsia="仿宋" w:cs="仿宋"/>
          <w:color w:val="auto"/>
          <w:szCs w:val="21"/>
          <w:lang w:eastAsia="zh-CN"/>
        </w:rPr>
        <w:t>、监理单位</w:t>
      </w:r>
      <w:r>
        <w:rPr>
          <w:rFonts w:hint="eastAsia" w:ascii="仿宋" w:hAnsi="仿宋" w:eastAsia="仿宋" w:cs="仿宋"/>
          <w:color w:val="auto"/>
          <w:szCs w:val="21"/>
        </w:rPr>
        <w:t>备案。</w:t>
      </w:r>
    </w:p>
    <w:p>
      <w:pPr>
        <w:autoSpaceDE w:val="0"/>
        <w:autoSpaceDN w:val="0"/>
        <w:spacing w:line="440" w:lineRule="exact"/>
        <w:rPr>
          <w:rFonts w:hint="eastAsia" w:ascii="仿宋" w:hAnsi="仿宋" w:eastAsia="仿宋" w:cs="仿宋"/>
          <w:color w:val="auto"/>
          <w:szCs w:val="21"/>
        </w:rPr>
      </w:pPr>
    </w:p>
    <w:p>
      <w:pPr>
        <w:autoSpaceDE w:val="0"/>
        <w:autoSpaceDN w:val="0"/>
        <w:spacing w:line="440" w:lineRule="exact"/>
        <w:rPr>
          <w:rFonts w:hint="eastAsia" w:ascii="仿宋" w:hAnsi="仿宋" w:eastAsia="仿宋" w:cs="仿宋"/>
          <w:color w:val="auto"/>
          <w:szCs w:val="21"/>
        </w:rPr>
      </w:pP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特此承诺</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承诺单位（盖章）：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企业法定代表人（签字或盖章）：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联系电话：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承诺人：本工程项目经理（签字或盖章）：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联系电话：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Cs w:val="21"/>
        </w:rPr>
      </w:pPr>
      <w:r>
        <w:rPr>
          <w:rFonts w:hint="eastAsia" w:ascii="仿宋" w:hAnsi="仿宋" w:eastAsia="仿宋" w:cs="仿宋"/>
          <w:color w:val="auto"/>
          <w:szCs w:val="21"/>
        </w:rPr>
        <w:t xml:space="preserve">                            承诺日期：  20</w:t>
      </w:r>
      <w:r>
        <w:rPr>
          <w:rFonts w:hint="eastAsia" w:ascii="仿宋" w:hAnsi="仿宋" w:eastAsia="仿宋" w:cs="仿宋"/>
          <w:color w:val="auto"/>
          <w:szCs w:val="21"/>
          <w:lang w:val="en-US" w:eastAsia="zh-CN"/>
        </w:rPr>
        <w:t>21</w:t>
      </w:r>
      <w:r>
        <w:rPr>
          <w:rFonts w:hint="eastAsia" w:ascii="仿宋" w:hAnsi="仿宋" w:eastAsia="仿宋" w:cs="仿宋"/>
          <w:color w:val="auto"/>
          <w:szCs w:val="21"/>
        </w:rPr>
        <w:t>年     月      日</w:t>
      </w:r>
    </w:p>
    <w:p>
      <w:pPr>
        <w:widowControl/>
        <w:shd w:val="clear" w:color="auto" w:fill="FFFFFF"/>
        <w:ind w:firstLine="640"/>
        <w:jc w:val="left"/>
        <w:rPr>
          <w:rFonts w:hint="eastAsia" w:ascii="仿宋" w:hAnsi="仿宋" w:eastAsia="仿宋" w:cs="仿宋"/>
          <w:color w:val="auto"/>
          <w:spacing w:val="13"/>
          <w:kern w:val="0"/>
          <w:szCs w:val="21"/>
        </w:rPr>
      </w:pPr>
    </w:p>
    <w:p>
      <w:pPr>
        <w:jc w:val="center"/>
        <w:rPr>
          <w:rFonts w:hint="eastAsia" w:ascii="仿宋" w:hAnsi="仿宋" w:eastAsia="仿宋" w:cs="仿宋"/>
          <w:b/>
          <w:color w:val="auto"/>
          <w:sz w:val="36"/>
          <w:szCs w:val="36"/>
        </w:rPr>
      </w:pPr>
    </w:p>
    <w:p>
      <w:pPr>
        <w:pStyle w:val="18"/>
        <w:rPr>
          <w:rFonts w:hint="eastAsia" w:ascii="仿宋" w:hAnsi="仿宋" w:eastAsia="仿宋" w:cs="仿宋"/>
          <w:b/>
          <w:color w:val="auto"/>
          <w:sz w:val="36"/>
          <w:szCs w:val="36"/>
        </w:rPr>
      </w:pPr>
    </w:p>
    <w:p>
      <w:pPr>
        <w:pStyle w:val="18"/>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p>
    <w:p>
      <w:pPr>
        <w:numPr>
          <w:ilvl w:val="0"/>
          <w:numId w:val="0"/>
        </w:numPr>
        <w:spacing w:line="360" w:lineRule="auto"/>
        <w:jc w:val="center"/>
        <w:rPr>
          <w:rFonts w:hint="eastAsia" w:ascii="仿宋" w:hAnsi="仿宋" w:eastAsia="仿宋" w:cs="仿宋"/>
          <w:b/>
          <w:color w:val="auto"/>
          <w:sz w:val="32"/>
          <w:szCs w:val="32"/>
          <w:lang w:val="en-US" w:eastAsia="zh-CN"/>
        </w:rPr>
      </w:pPr>
    </w:p>
    <w:p>
      <w:pPr>
        <w:numPr>
          <w:ilvl w:val="0"/>
          <w:numId w:val="0"/>
        </w:num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11、</w:t>
      </w:r>
      <w:r>
        <w:rPr>
          <w:rFonts w:hint="eastAsia" w:ascii="仿宋" w:hAnsi="仿宋" w:eastAsia="仿宋" w:cs="仿宋"/>
          <w:b/>
          <w:color w:val="auto"/>
          <w:sz w:val="32"/>
          <w:szCs w:val="32"/>
        </w:rPr>
        <w:t>其他资料</w:t>
      </w:r>
    </w:p>
    <w:p>
      <w:pPr>
        <w:widowControl w:val="0"/>
        <w:numPr>
          <w:ilvl w:val="0"/>
          <w:numId w:val="0"/>
        </w:numPr>
        <w:spacing w:line="360" w:lineRule="auto"/>
        <w:jc w:val="center"/>
        <w:rPr>
          <w:rFonts w:hint="eastAsia" w:ascii="仿宋" w:hAnsi="仿宋" w:eastAsia="仿宋" w:cs="仿宋"/>
          <w:b/>
          <w:color w:val="auto"/>
          <w:sz w:val="32"/>
          <w:szCs w:val="32"/>
        </w:rPr>
      </w:pPr>
    </w:p>
    <w:p>
      <w:pPr>
        <w:topLinePunct/>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目 录</w:t>
      </w:r>
    </w:p>
    <w:p>
      <w:pPr>
        <w:topLinePunct/>
        <w:jc w:val="center"/>
        <w:rPr>
          <w:rFonts w:hint="eastAsia" w:ascii="仿宋" w:hAnsi="仿宋" w:eastAsia="仿宋" w:cs="仿宋"/>
          <w:b/>
          <w:color w:val="auto"/>
          <w:sz w:val="32"/>
          <w:szCs w:val="28"/>
        </w:rPr>
      </w:pPr>
    </w:p>
    <w:p>
      <w:pPr>
        <w:spacing w:line="500" w:lineRule="exact"/>
        <w:rPr>
          <w:rFonts w:hint="eastAsia" w:ascii="仿宋" w:hAnsi="仿宋" w:eastAsia="仿宋" w:cs="仿宋"/>
          <w:color w:val="auto"/>
          <w:sz w:val="24"/>
        </w:rPr>
      </w:pPr>
      <w:r>
        <w:rPr>
          <w:rFonts w:hint="eastAsia" w:ascii="仿宋" w:hAnsi="仿宋" w:eastAsia="仿宋" w:cs="仿宋"/>
          <w:color w:val="auto"/>
          <w:sz w:val="24"/>
        </w:rPr>
        <w:t>1、施工方案与技术措施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2、质量保证措施和创优计划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3、施工总进度计划及保证措施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4、施工安全措施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5、文明施工措施计划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6、施工场地治安保卫管理计划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7、施工环保措施计划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8、施工现场总平面布置（附图）</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9、项目组织管理机构</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10、成品保护和工程保修工作的管理和承诺</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11、任何可能的紧急情况的处理措施、预案以及抵抗风险的措施</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12、对总包管理的认识以及对专业分包工程的配合、协调、管理、服务方案</w:t>
      </w:r>
    </w:p>
    <w:p>
      <w:pPr>
        <w:spacing w:line="500" w:lineRule="exact"/>
        <w:jc w:val="left"/>
        <w:rPr>
          <w:rFonts w:hint="eastAsia" w:ascii="仿宋" w:hAnsi="仿宋" w:eastAsia="仿宋" w:cs="仿宋"/>
          <w:color w:val="auto"/>
          <w:sz w:val="24"/>
        </w:rPr>
      </w:pPr>
    </w:p>
    <w:p>
      <w:pPr>
        <w:topLinePunct/>
        <w:spacing w:line="400" w:lineRule="exact"/>
        <w:rPr>
          <w:rFonts w:hint="eastAsia" w:ascii="仿宋" w:hAnsi="仿宋" w:eastAsia="仿宋" w:cs="仿宋"/>
          <w:color w:val="auto"/>
          <w:kern w:val="0"/>
          <w:sz w:val="24"/>
          <w:szCs w:val="28"/>
        </w:rPr>
      </w:pPr>
      <w:r>
        <w:rPr>
          <w:rFonts w:hint="eastAsia" w:ascii="仿宋" w:hAnsi="仿宋" w:eastAsia="仿宋" w:cs="仿宋"/>
          <w:color w:val="auto"/>
          <w:sz w:val="24"/>
        </w:rPr>
        <w:t>注：</w:t>
      </w:r>
      <w:r>
        <w:rPr>
          <w:rFonts w:hint="eastAsia" w:ascii="仿宋" w:hAnsi="仿宋" w:eastAsia="仿宋" w:cs="仿宋"/>
          <w:color w:val="auto"/>
          <w:kern w:val="0"/>
          <w:sz w:val="24"/>
        </w:rPr>
        <w:t>投标文件须按技术标格式目录顺序编写</w:t>
      </w:r>
    </w:p>
    <w:p>
      <w:pPr>
        <w:topLinePunct/>
        <w:rPr>
          <w:rFonts w:hint="eastAsia" w:ascii="仿宋" w:hAnsi="仿宋" w:eastAsia="仿宋" w:cs="仿宋"/>
          <w:color w:val="auto"/>
          <w:kern w:val="0"/>
          <w:sz w:val="24"/>
          <w:szCs w:val="28"/>
        </w:rPr>
      </w:pPr>
    </w:p>
    <w:p>
      <w:pPr>
        <w:autoSpaceDE w:val="0"/>
        <w:autoSpaceDN w:val="0"/>
        <w:adjustRightInd w:val="0"/>
        <w:rPr>
          <w:rFonts w:hint="eastAsia" w:ascii="仿宋" w:hAnsi="仿宋" w:eastAsia="仿宋" w:cs="仿宋"/>
          <w:color w:val="auto"/>
          <w:kern w:val="0"/>
          <w:sz w:val="24"/>
        </w:rPr>
      </w:pPr>
    </w:p>
    <w:p>
      <w:pPr>
        <w:topLinePunct/>
        <w:ind w:left="2642" w:leftChars="857" w:hanging="585" w:hangingChars="183"/>
        <w:rPr>
          <w:rFonts w:hint="eastAsia" w:ascii="仿宋" w:hAnsi="仿宋" w:eastAsia="仿宋" w:cs="仿宋"/>
          <w:color w:val="auto"/>
          <w:kern w:val="0"/>
          <w:sz w:val="32"/>
          <w:szCs w:val="32"/>
        </w:rPr>
      </w:pPr>
    </w:p>
    <w:p>
      <w:pPr>
        <w:topLinePunct/>
        <w:ind w:left="2642" w:leftChars="857" w:hanging="585" w:hangingChars="183"/>
        <w:rPr>
          <w:rFonts w:hint="eastAsia" w:ascii="仿宋" w:hAnsi="仿宋" w:eastAsia="仿宋" w:cs="仿宋"/>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jc w:val="center"/>
        <w:rPr>
          <w:rFonts w:hint="eastAsia" w:ascii="仿宋" w:hAnsi="仿宋" w:eastAsia="仿宋" w:cs="仿宋"/>
          <w:b/>
          <w:color w:val="auto"/>
          <w:kern w:val="0"/>
          <w:sz w:val="32"/>
          <w:szCs w:val="32"/>
        </w:rPr>
      </w:pPr>
    </w:p>
    <w:p>
      <w:pPr>
        <w:pStyle w:val="18"/>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pStyle w:val="18"/>
        <w:rPr>
          <w:rFonts w:hint="eastAsia" w:ascii="仿宋" w:hAnsi="仿宋" w:eastAsia="仿宋" w:cs="仿宋"/>
          <w:color w:val="auto"/>
        </w:rPr>
      </w:pPr>
    </w:p>
    <w:p>
      <w:pPr>
        <w:topLinePunct/>
        <w:ind w:left="2645" w:leftChars="857" w:hanging="588" w:hangingChars="183"/>
        <w:rPr>
          <w:rFonts w:hint="eastAsia" w:ascii="仿宋" w:hAnsi="仿宋" w:eastAsia="仿宋" w:cs="仿宋"/>
          <w:b/>
          <w:color w:val="auto"/>
          <w:kern w:val="0"/>
          <w:sz w:val="32"/>
          <w:szCs w:val="32"/>
        </w:rPr>
      </w:pPr>
    </w:p>
    <w:p>
      <w:pPr>
        <w:topLinePunct/>
        <w:ind w:left="2792" w:leftChars="857" w:hanging="735" w:hangingChars="183"/>
        <w:rPr>
          <w:rFonts w:hint="eastAsia" w:ascii="仿宋" w:hAnsi="仿宋" w:eastAsia="仿宋" w:cs="仿宋"/>
          <w:b/>
          <w:color w:val="auto"/>
          <w:kern w:val="0"/>
          <w:sz w:val="40"/>
          <w:szCs w:val="40"/>
        </w:rPr>
      </w:pPr>
    </w:p>
    <w:p>
      <w:pPr>
        <w:topLinePunct/>
        <w:jc w:val="center"/>
        <w:rPr>
          <w:rFonts w:hint="eastAsia" w:ascii="仿宋" w:hAnsi="仿宋" w:eastAsia="仿宋" w:cs="仿宋"/>
          <w:b/>
          <w:color w:val="auto"/>
          <w:sz w:val="32"/>
          <w:szCs w:val="32"/>
        </w:rPr>
      </w:pPr>
      <w:r>
        <w:rPr>
          <w:rFonts w:hint="eastAsia" w:ascii="仿宋" w:hAnsi="仿宋" w:eastAsia="仿宋" w:cs="仿宋"/>
          <w:b/>
          <w:color w:val="auto"/>
          <w:kern w:val="0"/>
          <w:sz w:val="40"/>
          <w:szCs w:val="40"/>
        </w:rPr>
        <w:t>三、经济标投标格式(明标)</w:t>
      </w:r>
    </w:p>
    <w:p>
      <w:pPr>
        <w:autoSpaceDE w:val="0"/>
        <w:autoSpaceDN w:val="0"/>
        <w:adjustRightInd w:val="0"/>
        <w:jc w:val="center"/>
        <w:rPr>
          <w:rFonts w:hint="eastAsia" w:ascii="仿宋" w:hAnsi="仿宋" w:eastAsia="仿宋" w:cs="仿宋"/>
          <w:color w:val="auto"/>
          <w:kern w:val="0"/>
          <w:sz w:val="32"/>
          <w:szCs w:val="32"/>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目  录</w:t>
      </w:r>
    </w:p>
    <w:p>
      <w:pPr>
        <w:topLinePunct/>
        <w:jc w:val="center"/>
        <w:rPr>
          <w:rFonts w:hint="eastAsia" w:ascii="仿宋" w:hAnsi="仿宋" w:eastAsia="仿宋" w:cs="仿宋"/>
          <w:b/>
          <w:color w:val="auto"/>
          <w:sz w:val="32"/>
          <w:szCs w:val="28"/>
        </w:rPr>
      </w:pPr>
    </w:p>
    <w:p>
      <w:pPr>
        <w:widowControl/>
        <w:topLinePunct/>
        <w:rPr>
          <w:rFonts w:hint="eastAsia" w:ascii="仿宋" w:hAnsi="仿宋" w:eastAsia="仿宋" w:cs="仿宋"/>
          <w:color w:val="auto"/>
          <w:sz w:val="24"/>
        </w:rPr>
      </w:pPr>
      <w:r>
        <w:rPr>
          <w:rFonts w:hint="eastAsia" w:ascii="仿宋" w:hAnsi="仿宋" w:eastAsia="仿宋" w:cs="仿宋"/>
          <w:color w:val="auto"/>
          <w:sz w:val="24"/>
        </w:rPr>
        <w:t>１.总说明（附表1）</w:t>
      </w:r>
    </w:p>
    <w:p>
      <w:pPr>
        <w:widowControl/>
        <w:topLinePunct/>
        <w:rPr>
          <w:rFonts w:hint="eastAsia" w:ascii="仿宋" w:hAnsi="仿宋" w:eastAsia="仿宋" w:cs="仿宋"/>
          <w:color w:val="auto"/>
          <w:sz w:val="24"/>
        </w:rPr>
      </w:pPr>
      <w:r>
        <w:rPr>
          <w:rFonts w:hint="eastAsia" w:ascii="仿宋" w:hAnsi="仿宋" w:eastAsia="仿宋" w:cs="仿宋"/>
          <w:color w:val="auto"/>
          <w:sz w:val="24"/>
        </w:rPr>
        <w:t>２.工程项目投标报价汇总表（附表2）</w:t>
      </w:r>
    </w:p>
    <w:p>
      <w:pPr>
        <w:widowControl/>
        <w:topLinePunct/>
        <w:rPr>
          <w:rFonts w:hint="eastAsia" w:ascii="仿宋" w:hAnsi="仿宋" w:eastAsia="仿宋" w:cs="仿宋"/>
          <w:color w:val="auto"/>
          <w:sz w:val="24"/>
        </w:rPr>
      </w:pPr>
      <w:r>
        <w:rPr>
          <w:rFonts w:hint="eastAsia" w:ascii="仿宋" w:hAnsi="仿宋" w:eastAsia="仿宋" w:cs="仿宋"/>
          <w:color w:val="auto"/>
          <w:sz w:val="24"/>
        </w:rPr>
        <w:t>3. 单项工程投标报价汇总表；（附表3）</w:t>
      </w:r>
    </w:p>
    <w:p>
      <w:pPr>
        <w:widowControl/>
        <w:topLinePunct/>
        <w:rPr>
          <w:rFonts w:hint="eastAsia" w:ascii="仿宋" w:hAnsi="仿宋" w:eastAsia="仿宋" w:cs="仿宋"/>
          <w:color w:val="auto"/>
          <w:sz w:val="24"/>
        </w:rPr>
      </w:pPr>
      <w:r>
        <w:rPr>
          <w:rFonts w:hint="eastAsia" w:ascii="仿宋" w:hAnsi="仿宋" w:eastAsia="仿宋" w:cs="仿宋"/>
          <w:color w:val="auto"/>
          <w:sz w:val="24"/>
        </w:rPr>
        <w:t>4.单位工程项目投标报价汇总表（附表4）</w:t>
      </w:r>
    </w:p>
    <w:p>
      <w:pPr>
        <w:widowControl/>
        <w:topLinePunct/>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rPr>
        <w:t xml:space="preserve"> </w:t>
      </w:r>
      <w:r>
        <w:rPr>
          <w:rFonts w:hint="eastAsia" w:ascii="仿宋" w:hAnsi="仿宋" w:eastAsia="仿宋" w:cs="仿宋"/>
          <w:color w:val="auto"/>
          <w:sz w:val="24"/>
        </w:rPr>
        <w:t>分部分项工程和单价措施项目清单与计价表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5.1. 分部分项工程和单价措施项目清单与计价表（土建）（附表5.1）</w:t>
      </w:r>
    </w:p>
    <w:p>
      <w:pPr>
        <w:widowControl/>
        <w:topLinePunct/>
        <w:rPr>
          <w:rFonts w:hint="eastAsia" w:ascii="仿宋" w:hAnsi="仿宋" w:eastAsia="仿宋" w:cs="仿宋"/>
          <w:color w:val="auto"/>
          <w:sz w:val="24"/>
        </w:rPr>
      </w:pPr>
      <w:r>
        <w:rPr>
          <w:rFonts w:hint="eastAsia" w:ascii="仿宋" w:hAnsi="仿宋" w:eastAsia="仿宋" w:cs="仿宋"/>
          <w:color w:val="auto"/>
          <w:sz w:val="24"/>
        </w:rPr>
        <w:t>5.2. 分部分项工程和单价措施项目清单与计价表（装饰、安装）（附表5.2）</w:t>
      </w:r>
    </w:p>
    <w:p>
      <w:pPr>
        <w:widowControl/>
        <w:topLinePunct/>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rPr>
        <w:t xml:space="preserve"> </w:t>
      </w:r>
      <w:r>
        <w:rPr>
          <w:rFonts w:hint="eastAsia" w:ascii="仿宋" w:hAnsi="仿宋" w:eastAsia="仿宋" w:cs="仿宋"/>
          <w:color w:val="auto"/>
          <w:sz w:val="24"/>
        </w:rPr>
        <w:t>总价措施项目清单与计价表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6.1总价措施项目清单与计价表（土建）（附表6.1）</w:t>
      </w:r>
    </w:p>
    <w:p>
      <w:pPr>
        <w:widowControl/>
        <w:topLinePunct/>
        <w:rPr>
          <w:rFonts w:hint="eastAsia" w:ascii="仿宋" w:hAnsi="仿宋" w:eastAsia="仿宋" w:cs="仿宋"/>
          <w:color w:val="auto"/>
          <w:sz w:val="24"/>
        </w:rPr>
      </w:pPr>
      <w:r>
        <w:rPr>
          <w:rFonts w:hint="eastAsia" w:ascii="仿宋" w:hAnsi="仿宋" w:eastAsia="仿宋" w:cs="仿宋"/>
          <w:color w:val="auto"/>
          <w:sz w:val="24"/>
        </w:rPr>
        <w:t>6.2总价措施项目清单与计价表（装饰、安装）（附表6.2）</w:t>
      </w:r>
    </w:p>
    <w:p>
      <w:pPr>
        <w:widowControl/>
        <w:topLinePunct/>
        <w:rPr>
          <w:rFonts w:hint="eastAsia" w:ascii="仿宋" w:hAnsi="仿宋" w:eastAsia="仿宋" w:cs="仿宋"/>
          <w:color w:val="auto"/>
          <w:sz w:val="24"/>
        </w:rPr>
      </w:pPr>
      <w:r>
        <w:rPr>
          <w:rFonts w:hint="eastAsia" w:ascii="仿宋" w:hAnsi="仿宋" w:eastAsia="仿宋" w:cs="仿宋"/>
          <w:color w:val="auto"/>
          <w:sz w:val="24"/>
        </w:rPr>
        <w:t>7.其他项目清单与计价汇总表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7.1暂列金额明细表（附表7.1）</w:t>
      </w:r>
    </w:p>
    <w:p>
      <w:pPr>
        <w:widowControl/>
        <w:topLinePunct/>
        <w:rPr>
          <w:rFonts w:hint="eastAsia" w:ascii="仿宋" w:hAnsi="仿宋" w:eastAsia="仿宋" w:cs="仿宋"/>
          <w:color w:val="auto"/>
          <w:sz w:val="24"/>
        </w:rPr>
      </w:pPr>
      <w:r>
        <w:rPr>
          <w:rFonts w:hint="eastAsia" w:ascii="仿宋" w:hAnsi="仿宋" w:eastAsia="仿宋" w:cs="仿宋"/>
          <w:color w:val="auto"/>
          <w:sz w:val="24"/>
        </w:rPr>
        <w:t>7.2材料暂估单价表（附表7.2）</w:t>
      </w:r>
    </w:p>
    <w:p>
      <w:pPr>
        <w:widowControl/>
        <w:topLinePunct/>
        <w:rPr>
          <w:rFonts w:hint="eastAsia" w:ascii="仿宋" w:hAnsi="仿宋" w:eastAsia="仿宋" w:cs="仿宋"/>
          <w:color w:val="auto"/>
          <w:sz w:val="24"/>
        </w:rPr>
      </w:pPr>
      <w:r>
        <w:rPr>
          <w:rFonts w:hint="eastAsia" w:ascii="仿宋" w:hAnsi="仿宋" w:eastAsia="仿宋" w:cs="仿宋"/>
          <w:color w:val="auto"/>
          <w:sz w:val="24"/>
        </w:rPr>
        <w:t>7.3专业工程暂估价表(附表7.3)</w:t>
      </w:r>
    </w:p>
    <w:p>
      <w:pPr>
        <w:widowControl/>
        <w:topLinePunct/>
        <w:rPr>
          <w:rFonts w:hint="eastAsia" w:ascii="仿宋" w:hAnsi="仿宋" w:eastAsia="仿宋" w:cs="仿宋"/>
          <w:color w:val="auto"/>
          <w:sz w:val="24"/>
        </w:rPr>
      </w:pPr>
      <w:r>
        <w:rPr>
          <w:rFonts w:hint="eastAsia" w:ascii="仿宋" w:hAnsi="仿宋" w:eastAsia="仿宋" w:cs="仿宋"/>
          <w:color w:val="auto"/>
          <w:sz w:val="24"/>
        </w:rPr>
        <w:t>7.4计日工表（附表7.4）</w:t>
      </w:r>
    </w:p>
    <w:p>
      <w:pPr>
        <w:widowControl/>
        <w:topLinePunct/>
        <w:rPr>
          <w:rFonts w:hint="eastAsia" w:ascii="仿宋" w:hAnsi="仿宋" w:eastAsia="仿宋" w:cs="仿宋"/>
          <w:color w:val="auto"/>
          <w:sz w:val="24"/>
        </w:rPr>
      </w:pPr>
      <w:r>
        <w:rPr>
          <w:rFonts w:hint="eastAsia" w:ascii="仿宋" w:hAnsi="仿宋" w:eastAsia="仿宋" w:cs="仿宋"/>
          <w:color w:val="auto"/>
          <w:sz w:val="24"/>
        </w:rPr>
        <w:t>7.5总承包服务费计价表（附表7.5）</w:t>
      </w:r>
    </w:p>
    <w:p>
      <w:pPr>
        <w:widowControl/>
        <w:topLinePunct/>
        <w:rPr>
          <w:rFonts w:hint="eastAsia" w:ascii="仿宋" w:hAnsi="仿宋" w:eastAsia="仿宋" w:cs="仿宋"/>
          <w:color w:val="auto"/>
          <w:sz w:val="24"/>
        </w:rPr>
      </w:pPr>
      <w:r>
        <w:rPr>
          <w:rFonts w:hint="eastAsia" w:ascii="仿宋" w:hAnsi="仿宋" w:eastAsia="仿宋" w:cs="仿宋"/>
          <w:color w:val="auto"/>
          <w:sz w:val="24"/>
        </w:rPr>
        <w:t>8.规费税金计价表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8.1规费税金项目清单与计价表（土建）（附表8.1）</w:t>
      </w:r>
    </w:p>
    <w:p>
      <w:pPr>
        <w:widowControl/>
        <w:topLinePunct/>
        <w:rPr>
          <w:rFonts w:hint="eastAsia" w:ascii="仿宋" w:hAnsi="仿宋" w:eastAsia="仿宋" w:cs="仿宋"/>
          <w:color w:val="auto"/>
          <w:sz w:val="24"/>
        </w:rPr>
      </w:pPr>
      <w:r>
        <w:rPr>
          <w:rFonts w:hint="eastAsia" w:ascii="仿宋" w:hAnsi="仿宋" w:eastAsia="仿宋" w:cs="仿宋"/>
          <w:color w:val="auto"/>
          <w:sz w:val="24"/>
        </w:rPr>
        <w:t>8.2规费税金项目清单与计价表（安装）（附表8.2）</w:t>
      </w:r>
    </w:p>
    <w:p>
      <w:pPr>
        <w:widowControl/>
        <w:topLinePunct/>
        <w:rPr>
          <w:rFonts w:hint="eastAsia" w:ascii="仿宋" w:hAnsi="仿宋" w:eastAsia="仿宋" w:cs="仿宋"/>
          <w:color w:val="auto"/>
          <w:sz w:val="24"/>
        </w:rPr>
      </w:pPr>
      <w:r>
        <w:rPr>
          <w:rFonts w:hint="eastAsia" w:ascii="仿宋" w:hAnsi="仿宋" w:eastAsia="仿宋" w:cs="仿宋"/>
          <w:color w:val="auto"/>
          <w:sz w:val="24"/>
        </w:rPr>
        <w:t>9.主要材料价格表（附表9）</w:t>
      </w:r>
    </w:p>
    <w:p>
      <w:pPr>
        <w:widowControl/>
        <w:topLinePunct/>
        <w:rPr>
          <w:rFonts w:hint="eastAsia" w:ascii="仿宋" w:hAnsi="仿宋" w:eastAsia="仿宋" w:cs="仿宋"/>
          <w:color w:val="auto"/>
          <w:sz w:val="24"/>
        </w:rPr>
      </w:pPr>
      <w:r>
        <w:rPr>
          <w:rFonts w:hint="eastAsia" w:ascii="仿宋" w:hAnsi="仿宋" w:eastAsia="仿宋" w:cs="仿宋"/>
          <w:color w:val="auto"/>
          <w:sz w:val="24"/>
        </w:rPr>
        <w:t>10.综合单价分析表</w:t>
      </w:r>
    </w:p>
    <w:p>
      <w:pPr>
        <w:widowControl/>
        <w:topLinePunct/>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bCs/>
          <w:color w:val="auto"/>
          <w:sz w:val="24"/>
          <w:u w:val="single"/>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附表1 </w:t>
      </w:r>
    </w:p>
    <w:p>
      <w:pPr>
        <w:autoSpaceDE w:val="0"/>
        <w:autoSpaceDN w:val="0"/>
        <w:adjustRightInd w:val="0"/>
        <w:ind w:left="210" w:hanging="21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　说　明</w:t>
      </w:r>
    </w:p>
    <w:p>
      <w:pPr>
        <w:autoSpaceDE w:val="0"/>
        <w:autoSpaceDN w:val="0"/>
        <w:adjustRightInd w:val="0"/>
        <w:ind w:left="210" w:hanging="210"/>
        <w:jc w:val="center"/>
        <w:rPr>
          <w:rFonts w:hint="eastAsia" w:ascii="仿宋" w:hAnsi="仿宋" w:eastAsia="仿宋" w:cs="仿宋"/>
          <w:b/>
          <w:bCs/>
          <w:color w:val="auto"/>
          <w:sz w:val="32"/>
          <w:szCs w:val="30"/>
          <w:lang w:val="zh-CN"/>
        </w:rPr>
      </w:pPr>
    </w:p>
    <w:p>
      <w:pPr>
        <w:spacing w:after="156" w:afterLines="50"/>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1"/>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jc w:val="center"/>
        </w:trPr>
        <w:tc>
          <w:tcPr>
            <w:tcW w:w="8767" w:type="dxa"/>
            <w:noWrap w:val="0"/>
            <w:vAlign w:val="top"/>
          </w:tcPr>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工程概况</w:t>
            </w:r>
          </w:p>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投标报价包括范围</w:t>
            </w:r>
          </w:p>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投标报价编制依据</w:t>
            </w:r>
          </w:p>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其他需要说明的内容</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tc>
      </w:tr>
    </w:tbl>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附表2 </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工程项目投标报价汇总表</w:t>
      </w:r>
    </w:p>
    <w:p>
      <w:pPr>
        <w:autoSpaceDE w:val="0"/>
        <w:autoSpaceDN w:val="0"/>
        <w:adjustRightInd w:val="0"/>
        <w:jc w:val="center"/>
        <w:rPr>
          <w:rFonts w:hint="eastAsia" w:ascii="仿宋" w:hAnsi="仿宋" w:eastAsia="仿宋" w:cs="仿宋"/>
          <w:b/>
          <w:bCs/>
          <w:color w:val="auto"/>
          <w:sz w:val="18"/>
          <w:szCs w:val="18"/>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126" w:type="dxa"/>
        <w:jc w:val="center"/>
        <w:tblLayout w:type="fixed"/>
        <w:tblCellMar>
          <w:top w:w="0" w:type="dxa"/>
          <w:left w:w="10" w:type="dxa"/>
          <w:bottom w:w="0" w:type="dxa"/>
          <w:right w:w="10" w:type="dxa"/>
        </w:tblCellMar>
      </w:tblPr>
      <w:tblGrid>
        <w:gridCol w:w="738"/>
        <w:gridCol w:w="3228"/>
        <w:gridCol w:w="1440"/>
        <w:gridCol w:w="1110"/>
        <w:gridCol w:w="1530"/>
        <w:gridCol w:w="1080"/>
      </w:tblGrid>
      <w:tr>
        <w:tblPrEx>
          <w:tblCellMar>
            <w:top w:w="0" w:type="dxa"/>
            <w:left w:w="10" w:type="dxa"/>
            <w:bottom w:w="0" w:type="dxa"/>
            <w:right w:w="10" w:type="dxa"/>
          </w:tblCellMar>
        </w:tblPrEx>
        <w:trPr>
          <w:cantSplit/>
          <w:trHeight w:val="354" w:hRule="atLeast"/>
          <w:jc w:val="center"/>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322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单项工程名称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72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685" w:hRule="atLeast"/>
          <w:jc w:val="center"/>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2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暂估价（元）</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安全文明</w:t>
            </w:r>
            <w:r>
              <w:rPr>
                <w:rFonts w:hint="eastAsia" w:ascii="仿宋" w:hAnsi="仿宋" w:eastAsia="仿宋" w:cs="仿宋"/>
                <w:color w:val="auto"/>
                <w:sz w:val="24"/>
              </w:rPr>
              <w:t xml:space="preserve">    </w:t>
            </w:r>
            <w:r>
              <w:rPr>
                <w:rFonts w:hint="eastAsia" w:ascii="仿宋" w:hAnsi="仿宋" w:eastAsia="仿宋" w:cs="仿宋"/>
                <w:color w:val="auto"/>
                <w:sz w:val="24"/>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规费</w:t>
            </w:r>
          </w:p>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（元）</w:t>
            </w:r>
          </w:p>
        </w:tc>
      </w:tr>
      <w:tr>
        <w:tblPrEx>
          <w:tblCellMar>
            <w:top w:w="0" w:type="dxa"/>
            <w:left w:w="10" w:type="dxa"/>
            <w:bottom w:w="0" w:type="dxa"/>
            <w:right w:w="10" w:type="dxa"/>
          </w:tblCellMar>
        </w:tblPrEx>
        <w:trPr>
          <w:trHeight w:val="1569" w:hRule="atLeast"/>
          <w:jc w:val="center"/>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2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jc w:val="center"/>
        </w:trPr>
        <w:tc>
          <w:tcPr>
            <w:tcW w:w="39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注：工程量清单只有一个单位工程时本表不填写</w:t>
      </w:r>
    </w:p>
    <w:p>
      <w:pPr>
        <w:widowControl/>
        <w:rPr>
          <w:rFonts w:hint="eastAsia" w:ascii="仿宋" w:hAnsi="仿宋" w:eastAsia="仿宋" w:cs="仿宋"/>
          <w:color w:val="auto"/>
          <w:sz w:val="24"/>
          <w:szCs w:val="28"/>
        </w:rPr>
      </w:pPr>
    </w:p>
    <w:p>
      <w:pPr>
        <w:rPr>
          <w:rFonts w:hint="eastAsia" w:ascii="仿宋" w:hAnsi="仿宋" w:eastAsia="仿宋" w:cs="仿宋"/>
          <w:b/>
          <w:color w:val="auto"/>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附表3</w:t>
      </w:r>
    </w:p>
    <w:p>
      <w:pPr>
        <w:autoSpaceDE w:val="0"/>
        <w:autoSpaceDN w:val="0"/>
        <w:adjustRightInd w:val="0"/>
        <w:jc w:val="center"/>
        <w:rPr>
          <w:rFonts w:hint="eastAsia" w:ascii="仿宋" w:hAnsi="仿宋" w:eastAsia="仿宋" w:cs="仿宋"/>
          <w:b/>
          <w:color w:val="auto"/>
          <w:sz w:val="32"/>
          <w:szCs w:val="30"/>
          <w:lang w:val="zh-CN"/>
        </w:rPr>
      </w:pPr>
      <w:r>
        <w:rPr>
          <w:rFonts w:hint="eastAsia" w:ascii="仿宋" w:hAnsi="仿宋" w:eastAsia="仿宋" w:cs="仿宋"/>
          <w:b/>
          <w:color w:val="auto"/>
          <w:sz w:val="32"/>
          <w:szCs w:val="30"/>
          <w:lang w:val="zh-CN"/>
        </w:rPr>
        <w:t>单项工程投标报价汇总表</w:t>
      </w:r>
    </w:p>
    <w:p>
      <w:pPr>
        <w:autoSpaceDE w:val="0"/>
        <w:autoSpaceDN w:val="0"/>
        <w:adjustRightInd w:val="0"/>
        <w:jc w:val="center"/>
        <w:rPr>
          <w:rFonts w:hint="eastAsia" w:ascii="仿宋" w:hAnsi="仿宋" w:eastAsia="仿宋" w:cs="仿宋"/>
          <w:b/>
          <w:bCs/>
          <w:color w:val="auto"/>
          <w:szCs w:val="21"/>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118" w:type="dxa"/>
        <w:tblInd w:w="-108" w:type="dxa"/>
        <w:tblLayout w:type="fixed"/>
        <w:tblCellMar>
          <w:top w:w="0" w:type="dxa"/>
          <w:left w:w="10" w:type="dxa"/>
          <w:bottom w:w="0" w:type="dxa"/>
          <w:right w:w="10" w:type="dxa"/>
        </w:tblCellMar>
      </w:tblPr>
      <w:tblGrid>
        <w:gridCol w:w="738"/>
        <w:gridCol w:w="3700"/>
        <w:gridCol w:w="1440"/>
        <w:gridCol w:w="900"/>
        <w:gridCol w:w="1260"/>
        <w:gridCol w:w="1080"/>
      </w:tblGrid>
      <w:tr>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序号</w:t>
            </w:r>
          </w:p>
        </w:tc>
        <w:tc>
          <w:tcPr>
            <w:tcW w:w="37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单位工程名称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金额（元）</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其中</w:t>
            </w:r>
          </w:p>
        </w:tc>
      </w:tr>
      <w:tr>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暂估价（元）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rPr>
            </w:pPr>
            <w:r>
              <w:rPr>
                <w:rFonts w:hint="eastAsia" w:ascii="仿宋" w:hAnsi="仿宋" w:eastAsia="仿宋" w:cs="仿宋"/>
                <w:color w:val="auto"/>
                <w:szCs w:val="21"/>
                <w:lang w:val="zh-CN"/>
              </w:rPr>
              <w:t>安全文明</w:t>
            </w:r>
            <w:r>
              <w:rPr>
                <w:rFonts w:hint="eastAsia" w:ascii="仿宋" w:hAnsi="仿宋" w:eastAsia="仿宋" w:cs="仿宋"/>
                <w:color w:val="auto"/>
                <w:szCs w:val="21"/>
              </w:rPr>
              <w:t xml:space="preserve">    </w:t>
            </w:r>
            <w:r>
              <w:rPr>
                <w:rFonts w:hint="eastAsia" w:ascii="仿宋" w:hAnsi="仿宋" w:eastAsia="仿宋" w:cs="仿宋"/>
                <w:color w:val="auto"/>
                <w:szCs w:val="21"/>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规费</w:t>
            </w:r>
          </w:p>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（元）</w:t>
            </w:r>
          </w:p>
        </w:tc>
      </w:tr>
      <w:tr>
        <w:trPr>
          <w:trHeight w:val="65" w:hRule="atLeast"/>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r>
        <w:tc>
          <w:tcPr>
            <w:tcW w:w="4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附表4</w:t>
      </w:r>
    </w:p>
    <w:p>
      <w:pPr>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单位工程投标报价汇总表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133" w:type="dxa"/>
        <w:tblInd w:w="-108" w:type="dxa"/>
        <w:tblLayout w:type="fixed"/>
        <w:tblCellMar>
          <w:top w:w="0" w:type="dxa"/>
          <w:left w:w="10" w:type="dxa"/>
          <w:bottom w:w="0" w:type="dxa"/>
          <w:right w:w="10" w:type="dxa"/>
        </w:tblCellMar>
      </w:tblPr>
      <w:tblGrid>
        <w:gridCol w:w="820"/>
        <w:gridCol w:w="4112"/>
        <w:gridCol w:w="1306"/>
        <w:gridCol w:w="1080"/>
        <w:gridCol w:w="793"/>
        <w:gridCol w:w="1022"/>
      </w:tblGrid>
      <w:tr>
        <w:tblPrEx>
          <w:tblCellMar>
            <w:top w:w="0" w:type="dxa"/>
            <w:left w:w="10" w:type="dxa"/>
            <w:bottom w:w="0" w:type="dxa"/>
            <w:right w:w="10" w:type="dxa"/>
          </w:tblCellMar>
        </w:tblPrEx>
        <w:trPr>
          <w:trHeight w:val="301" w:hRule="atLeast"/>
        </w:trPr>
        <w:tc>
          <w:tcPr>
            <w:tcW w:w="8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411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306"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c>
          <w:tcPr>
            <w:tcW w:w="2895"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   中</w:t>
            </w:r>
          </w:p>
        </w:tc>
      </w:tr>
      <w:tr>
        <w:tblPrEx>
          <w:tblCellMar>
            <w:top w:w="0" w:type="dxa"/>
            <w:left w:w="10" w:type="dxa"/>
            <w:bottom w:w="0" w:type="dxa"/>
            <w:right w:w="10" w:type="dxa"/>
          </w:tblCellMar>
        </w:tblPrEx>
        <w:trPr>
          <w:trHeight w:val="200" w:hRule="atLeast"/>
        </w:trPr>
        <w:tc>
          <w:tcPr>
            <w:tcW w:w="8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411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30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3"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1022"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分部分项工程</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firstLine="1320" w:firstLineChars="550"/>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措施项目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安全文明施工费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其他项目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暂列金额</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专业工程暂估价</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计日工</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总承包服务费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三项费用合计</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规费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增值税</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49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投标报价合计=1+2+3+5+6</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pStyle w:val="18"/>
        <w:rPr>
          <w:rFonts w:hint="eastAsia" w:ascii="仿宋" w:hAnsi="仿宋" w:eastAsia="仿宋" w:cs="仿宋"/>
          <w:bCs/>
          <w:color w:val="auto"/>
          <w:sz w:val="24"/>
        </w:rPr>
      </w:pPr>
    </w:p>
    <w:p>
      <w:pPr>
        <w:pStyle w:val="18"/>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分部分项工程和单价措施项目清单与计价表(建筑)</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338" w:type="dxa"/>
        <w:jc w:val="center"/>
        <w:tblLayout w:type="fixed"/>
        <w:tblCellMar>
          <w:top w:w="0" w:type="dxa"/>
          <w:left w:w="10" w:type="dxa"/>
          <w:bottom w:w="0" w:type="dxa"/>
          <w:right w:w="10" w:type="dxa"/>
        </w:tblCellMar>
      </w:tblPr>
      <w:tblGrid>
        <w:gridCol w:w="424"/>
        <w:gridCol w:w="1258"/>
        <w:gridCol w:w="1152"/>
        <w:gridCol w:w="1240"/>
        <w:gridCol w:w="720"/>
        <w:gridCol w:w="720"/>
        <w:gridCol w:w="720"/>
        <w:gridCol w:w="720"/>
        <w:gridCol w:w="795"/>
        <w:gridCol w:w="795"/>
        <w:gridCol w:w="794"/>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824"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2384"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794"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1629" w:hRule="atLeast"/>
          <w:jc w:val="center"/>
        </w:trPr>
        <w:tc>
          <w:tcPr>
            <w:tcW w:w="424"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1258"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tabs>
                <w:tab w:val="left" w:pos="1032"/>
              </w:tabs>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ab/>
            </w:r>
          </w:p>
        </w:tc>
        <w:tc>
          <w:tcPr>
            <w:tcW w:w="1152"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124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4" w:type="dxa"/>
            <w:tcBorders>
              <w:top w:val="single" w:color="auto" w:sz="6" w:space="0"/>
              <w:left w:val="single" w:color="auto" w:sz="8"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799" w:hRule="atLeast"/>
          <w:jc w:val="center"/>
        </w:trPr>
        <w:tc>
          <w:tcPr>
            <w:tcW w:w="6234" w:type="dxa"/>
            <w:gridSpan w:val="7"/>
            <w:tcBorders>
              <w:top w:val="single" w:color="auto" w:sz="8" w:space="0"/>
              <w:left w:val="single" w:color="auto" w:sz="6" w:space="0"/>
              <w:bottom w:val="single" w:color="auto" w:sz="6" w:space="0"/>
              <w:right w:val="single" w:color="auto" w:sz="8"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合计 </w:t>
            </w:r>
          </w:p>
        </w:tc>
        <w:tc>
          <w:tcPr>
            <w:tcW w:w="720"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4" w:type="dxa"/>
            <w:tcBorders>
              <w:top w:val="single" w:color="auto" w:sz="8" w:space="0"/>
              <w:left w:val="single" w:color="auto" w:sz="8"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附表5.2</w:t>
      </w:r>
    </w:p>
    <w:p>
      <w:pPr>
        <w:autoSpaceDE w:val="0"/>
        <w:autoSpaceDN w:val="0"/>
        <w:adjustRightInd w:val="0"/>
        <w:jc w:val="center"/>
        <w:rPr>
          <w:rFonts w:hint="eastAsia" w:ascii="仿宋" w:hAnsi="仿宋" w:eastAsia="仿宋" w:cs="仿宋"/>
          <w:b/>
          <w:bCs/>
          <w:color w:val="auto"/>
          <w:sz w:val="30"/>
          <w:szCs w:val="30"/>
          <w:lang w:val="zh-CN"/>
        </w:rPr>
      </w:pPr>
      <w:r>
        <w:rPr>
          <w:rFonts w:hint="eastAsia" w:ascii="仿宋" w:hAnsi="仿宋" w:eastAsia="仿宋" w:cs="仿宋"/>
          <w:b/>
          <w:bCs/>
          <w:color w:val="auto"/>
          <w:sz w:val="32"/>
          <w:szCs w:val="30"/>
          <w:lang w:val="zh-CN"/>
        </w:rPr>
        <w:t>分部分项工程和单价措施项目清单与计价表(装修、安装)</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158" w:type="dxa"/>
        <w:jc w:val="center"/>
        <w:tblLayout w:type="fixed"/>
        <w:tblCellMar>
          <w:top w:w="0" w:type="dxa"/>
          <w:left w:w="10" w:type="dxa"/>
          <w:bottom w:w="0" w:type="dxa"/>
          <w:right w:w="10" w:type="dxa"/>
        </w:tblCellMar>
      </w:tblPr>
      <w:tblGrid>
        <w:gridCol w:w="424"/>
        <w:gridCol w:w="1258"/>
        <w:gridCol w:w="1152"/>
        <w:gridCol w:w="1240"/>
        <w:gridCol w:w="720"/>
        <w:gridCol w:w="904"/>
        <w:gridCol w:w="720"/>
        <w:gridCol w:w="1080"/>
        <w:gridCol w:w="900"/>
        <w:gridCol w:w="760"/>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90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46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108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166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90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60"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r>
      <w:tr>
        <w:tblPrEx>
          <w:tblCellMar>
            <w:top w:w="0" w:type="dxa"/>
            <w:left w:w="10" w:type="dxa"/>
            <w:bottom w:w="0" w:type="dxa"/>
            <w:right w:w="10" w:type="dxa"/>
          </w:tblCellMar>
        </w:tblPrEx>
        <w:trPr>
          <w:trHeight w:val="2805" w:hRule="atLeast"/>
          <w:jc w:val="center"/>
        </w:trPr>
        <w:tc>
          <w:tcPr>
            <w:tcW w:w="42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tabs>
                <w:tab w:val="left" w:pos="1032"/>
              </w:tabs>
              <w:autoSpaceDE w:val="0"/>
              <w:autoSpaceDN w:val="0"/>
              <w:adjustRightInd w:val="0"/>
              <w:rPr>
                <w:rFonts w:hint="eastAsia" w:ascii="仿宋" w:hAnsi="仿宋" w:eastAsia="仿宋" w:cs="仿宋"/>
                <w:color w:val="auto"/>
                <w:lang w:val="zh-CN"/>
              </w:rPr>
            </w:pPr>
            <w:r>
              <w:rPr>
                <w:rFonts w:hint="eastAsia" w:ascii="仿宋" w:hAnsi="仿宋" w:eastAsia="仿宋" w:cs="仿宋"/>
                <w:color w:val="auto"/>
                <w:lang w:val="zh-CN"/>
              </w:rPr>
              <w:tab/>
            </w:r>
          </w:p>
        </w:tc>
        <w:tc>
          <w:tcPr>
            <w:tcW w:w="115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4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56" w:hRule="atLeast"/>
          <w:jc w:val="center"/>
        </w:trPr>
        <w:tc>
          <w:tcPr>
            <w:tcW w:w="6418"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附表6.1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总价措施项目清单与计价表（建筑）</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1"/>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r>
        <w:rPr>
          <w:rFonts w:hint="eastAsia" w:ascii="仿宋" w:hAnsi="仿宋" w:eastAsia="仿宋" w:cs="仿宋"/>
          <w:color w:val="auto"/>
        </w:rPr>
        <w:t xml:space="preserve"> </w:t>
      </w:r>
    </w:p>
    <w:p>
      <w:pPr>
        <w:pStyle w:val="18"/>
        <w:rPr>
          <w:rFonts w:hint="eastAsia" w:ascii="仿宋" w:hAnsi="仿宋" w:eastAsia="仿宋" w:cs="仿宋"/>
          <w:color w:val="auto"/>
        </w:rPr>
      </w:pPr>
    </w:p>
    <w:p>
      <w:pPr>
        <w:pStyle w:val="18"/>
        <w:rPr>
          <w:rFonts w:hint="eastAsia" w:ascii="仿宋" w:hAnsi="仿宋" w:eastAsia="仿宋" w:cs="仿宋"/>
          <w:color w:val="auto"/>
        </w:rPr>
      </w:pPr>
    </w:p>
    <w:p>
      <w:pPr>
        <w:pStyle w:val="18"/>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bCs/>
          <w:color w:val="auto"/>
          <w:sz w:val="24"/>
        </w:rPr>
      </w:pPr>
      <w:r>
        <w:rPr>
          <w:rFonts w:hint="eastAsia" w:ascii="仿宋" w:hAnsi="仿宋" w:eastAsia="仿宋" w:cs="仿宋"/>
          <w:bCs/>
          <w:color w:val="auto"/>
          <w:sz w:val="24"/>
        </w:rPr>
        <w:t>附表6.2.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总价措施项目清单与计价表（装修、安装）</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1"/>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注：装修工程、安装工程分别按规定项目记取。</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其他项目清单与计价汇总表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jc w:val="left"/>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118" w:type="dxa"/>
        <w:jc w:val="center"/>
        <w:tblLayout w:type="fixed"/>
        <w:tblCellMar>
          <w:top w:w="0" w:type="dxa"/>
          <w:left w:w="10" w:type="dxa"/>
          <w:bottom w:w="0" w:type="dxa"/>
          <w:right w:w="10" w:type="dxa"/>
        </w:tblCellMar>
      </w:tblPr>
      <w:tblGrid>
        <w:gridCol w:w="950"/>
        <w:gridCol w:w="2104"/>
        <w:gridCol w:w="1157"/>
        <w:gridCol w:w="1667"/>
        <w:gridCol w:w="3240"/>
      </w:tblGrid>
      <w:tr>
        <w:tblPrEx>
          <w:tblCellMar>
            <w:top w:w="0" w:type="dxa"/>
            <w:left w:w="10" w:type="dxa"/>
            <w:bottom w:w="0" w:type="dxa"/>
            <w:right w:w="10" w:type="dxa"/>
          </w:tblCellMar>
        </w:tblPrEx>
        <w:trPr>
          <w:trHeight w:val="29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计量单位</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tc>
      </w:tr>
      <w:tr>
        <w:tblPrEx>
          <w:tblCellMar>
            <w:top w:w="0" w:type="dxa"/>
            <w:left w:w="10" w:type="dxa"/>
            <w:bottom w:w="0" w:type="dxa"/>
            <w:right w:w="10" w:type="dxa"/>
          </w:tblCellMar>
        </w:tblPrEx>
        <w:trPr>
          <w:trHeight w:val="11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暂列金额</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tblPrEx>
          <w:tblCellMar>
            <w:top w:w="0" w:type="dxa"/>
            <w:left w:w="10" w:type="dxa"/>
            <w:bottom w:w="0" w:type="dxa"/>
            <w:right w:w="10" w:type="dxa"/>
          </w:tblCellMar>
        </w:tblPrEx>
        <w:trPr>
          <w:trHeight w:val="261"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9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材料暂估价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明细详见材料暂估价表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专业工程暂估价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明细详见专业工程暂估价表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计日工</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明细详见计日工表</w:t>
            </w:r>
          </w:p>
        </w:tc>
      </w:tr>
      <w:tr>
        <w:tblPrEx>
          <w:tblCellMar>
            <w:top w:w="0" w:type="dxa"/>
            <w:left w:w="10" w:type="dxa"/>
            <w:bottom w:w="0" w:type="dxa"/>
            <w:right w:w="10" w:type="dxa"/>
          </w:tblCellMar>
        </w:tblPrEx>
        <w:trPr>
          <w:trHeight w:val="21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总承包服务费</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明细详见总承包服务费计价表</w:t>
            </w:r>
          </w:p>
        </w:tc>
      </w:tr>
      <w:tr>
        <w:tblPrEx>
          <w:tblCellMar>
            <w:top w:w="0" w:type="dxa"/>
            <w:left w:w="10" w:type="dxa"/>
            <w:bottom w:w="0" w:type="dxa"/>
            <w:right w:w="10" w:type="dxa"/>
          </w:tblCellMar>
        </w:tblPrEx>
        <w:trPr>
          <w:trHeight w:val="6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177" w:hRule="atLeast"/>
          <w:jc w:val="center"/>
        </w:trPr>
        <w:tc>
          <w:tcPr>
            <w:tcW w:w="421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计</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注：材料和工程设备暂估单价进入清单子目综合单价，此处不汇总。</w:t>
      </w:r>
    </w:p>
    <w:p>
      <w:pPr>
        <w:spacing w:before="156" w:beforeLines="50"/>
        <w:rPr>
          <w:rFonts w:hint="eastAsia" w:ascii="仿宋" w:hAnsi="仿宋" w:eastAsia="仿宋" w:cs="仿宋"/>
          <w:bCs/>
          <w:color w:val="auto"/>
          <w:sz w:val="24"/>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附表7.1</w:t>
      </w:r>
    </w:p>
    <w:p>
      <w:pPr>
        <w:spacing w:before="156" w:beforeLines="50" w:after="156" w:afterLines="50"/>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暂列金额明细表</w:t>
      </w:r>
    </w:p>
    <w:p>
      <w:pPr>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1"/>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9"/>
        <w:gridCol w:w="1527"/>
        <w:gridCol w:w="1527"/>
        <w:gridCol w:w="15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序号</w:t>
            </w:r>
          </w:p>
        </w:tc>
        <w:tc>
          <w:tcPr>
            <w:tcW w:w="3069"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子目名称</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计量单位</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暂列金额</w:t>
            </w:r>
          </w:p>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(元)</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1</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不可避免的价格调整</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tcBorders>
              <w:bottom w:val="single" w:color="auto" w:sz="6" w:space="0"/>
            </w:tcBorders>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2</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设计变更、经济签证</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126" w:type="dxa"/>
            <w:gridSpan w:val="3"/>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合计</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注：1、此表由招标人填写，不包括计日工。暂列金额项目部分如不能详列明细，也可只列暂列金额项目总金额，投标人应将上述暂列金额计入投标总价中。</w:t>
      </w:r>
    </w:p>
    <w:p>
      <w:pPr>
        <w:spacing w:before="156" w:beforeLines="50"/>
        <w:rPr>
          <w:rFonts w:hint="eastAsia" w:ascii="仿宋" w:hAnsi="仿宋" w:eastAsia="仿宋" w:cs="仿宋"/>
          <w:color w:val="auto"/>
          <w:sz w:val="24"/>
        </w:rPr>
      </w:pPr>
      <w:r>
        <w:rPr>
          <w:rFonts w:hint="eastAsia" w:ascii="仿宋" w:hAnsi="仿宋" w:eastAsia="仿宋" w:cs="仿宋"/>
          <w:color w:val="auto"/>
          <w:sz w:val="24"/>
        </w:rPr>
        <w:t>2、是招标人暂定并包括在合同中的一笔款项（2.0.6）。</w:t>
      </w:r>
    </w:p>
    <w:p>
      <w:pPr>
        <w:spacing w:before="156" w:beforeLines="50" w:after="156" w:afterLines="50"/>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Cs/>
          <w:color w:val="auto"/>
          <w:sz w:val="24"/>
        </w:rPr>
        <w:t>附表7.2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材料暂估单价表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工程名称：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第  页    共  页</w:t>
      </w:r>
    </w:p>
    <w:tbl>
      <w:tblPr>
        <w:tblStyle w:val="21"/>
        <w:tblW w:w="8888" w:type="dxa"/>
        <w:jc w:val="center"/>
        <w:tblLayout w:type="fixed"/>
        <w:tblCellMar>
          <w:top w:w="0" w:type="dxa"/>
          <w:left w:w="108" w:type="dxa"/>
          <w:bottom w:w="0" w:type="dxa"/>
          <w:right w:w="108" w:type="dxa"/>
        </w:tblCellMar>
      </w:tblPr>
      <w:tblGrid>
        <w:gridCol w:w="811"/>
        <w:gridCol w:w="1291"/>
        <w:gridCol w:w="1596"/>
        <w:gridCol w:w="2076"/>
        <w:gridCol w:w="782"/>
        <w:gridCol w:w="876"/>
        <w:gridCol w:w="1456"/>
      </w:tblGrid>
      <w:tr>
        <w:tblPrEx>
          <w:tblCellMar>
            <w:top w:w="0" w:type="dxa"/>
            <w:left w:w="108" w:type="dxa"/>
            <w:bottom w:w="0" w:type="dxa"/>
            <w:right w:w="108" w:type="dxa"/>
          </w:tblCellMar>
        </w:tblPrEx>
        <w:trPr>
          <w:trHeight w:val="488"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129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材料名称</w:t>
            </w:r>
          </w:p>
        </w:tc>
        <w:tc>
          <w:tcPr>
            <w:tcW w:w="159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规格、型号</w:t>
            </w:r>
          </w:p>
        </w:tc>
        <w:tc>
          <w:tcPr>
            <w:tcW w:w="207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rPr>
              <w:t>拟使用清单子目号</w:t>
            </w:r>
          </w:p>
        </w:tc>
        <w:tc>
          <w:tcPr>
            <w:tcW w:w="7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计量</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单位</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单价</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(元)</w:t>
            </w:r>
          </w:p>
        </w:tc>
        <w:tc>
          <w:tcPr>
            <w:tcW w:w="14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备    注</w:t>
            </w:r>
          </w:p>
          <w:p>
            <w:pPr>
              <w:widowControl/>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（拟二次招标）</w:t>
            </w: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bl>
    <w:p>
      <w:pPr>
        <w:rPr>
          <w:rFonts w:hint="eastAsia" w:ascii="仿宋" w:hAnsi="仿宋" w:eastAsia="仿宋" w:cs="仿宋"/>
          <w:color w:val="auto"/>
        </w:rPr>
      </w:pPr>
      <w:r>
        <w:rPr>
          <w:rFonts w:hint="eastAsia" w:ascii="仿宋" w:hAnsi="仿宋" w:eastAsia="仿宋" w:cs="仿宋"/>
          <w:color w:val="auto"/>
        </w:rPr>
        <w:t>1、此表由招标人填写，投标人应将上述材料、工程设备暂估单价计入工程量清单综合单价报价中；达到规定的规模标准的重要设备、材料以外的其他材料、设备约定采用招标方式采购的，应当同时注明；</w:t>
      </w:r>
    </w:p>
    <w:p>
      <w:pPr>
        <w:rPr>
          <w:rFonts w:hint="eastAsia" w:ascii="仿宋" w:hAnsi="仿宋" w:eastAsia="仿宋" w:cs="仿宋"/>
          <w:color w:val="auto"/>
        </w:rPr>
      </w:pPr>
      <w:r>
        <w:rPr>
          <w:rFonts w:hint="eastAsia" w:ascii="仿宋" w:hAnsi="仿宋" w:eastAsia="仿宋" w:cs="仿宋"/>
          <w:color w:val="auto"/>
        </w:rPr>
        <w:t>2、投标人应注意，这些材料和工程设备暂估单价中不包括投标人的企业管理费和利润，组成相应清单子目综合单价时，应避免重复计取；</w:t>
      </w:r>
    </w:p>
    <w:p>
      <w:pPr>
        <w:rPr>
          <w:rFonts w:hint="eastAsia" w:ascii="仿宋" w:hAnsi="仿宋" w:eastAsia="仿宋" w:cs="仿宋"/>
          <w:color w:val="auto"/>
        </w:rPr>
      </w:pPr>
      <w:r>
        <w:rPr>
          <w:rFonts w:hint="eastAsia" w:ascii="仿宋" w:hAnsi="仿宋" w:eastAsia="仿宋" w:cs="仿宋"/>
          <w:color w:val="auto"/>
        </w:rPr>
        <w:t>3、材料、工程设备包括原材料、燃料、构配件以及按规定应计入建筑安装工程造价的设备。</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rPr>
        <w:t>附表7.3</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专业工程暂估价表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118" w:type="dxa"/>
        <w:jc w:val="center"/>
        <w:tblLayout w:type="fixed"/>
        <w:tblCellMar>
          <w:top w:w="0" w:type="dxa"/>
          <w:left w:w="10" w:type="dxa"/>
          <w:bottom w:w="0" w:type="dxa"/>
          <w:right w:w="10" w:type="dxa"/>
        </w:tblCellMar>
      </w:tblPr>
      <w:tblGrid>
        <w:gridCol w:w="1053"/>
        <w:gridCol w:w="2593"/>
        <w:gridCol w:w="1800"/>
        <w:gridCol w:w="1620"/>
        <w:gridCol w:w="2052"/>
      </w:tblGrid>
      <w:tr>
        <w:trPr>
          <w:trHeight w:val="795"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工程内容</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（是否分包）</w:t>
            </w:r>
          </w:p>
        </w:tc>
      </w:tr>
      <w:tr>
        <w:tblPrEx>
          <w:tblCellMar>
            <w:top w:w="0" w:type="dxa"/>
            <w:left w:w="10" w:type="dxa"/>
            <w:bottom w:w="0" w:type="dxa"/>
            <w:right w:w="10" w:type="dxa"/>
          </w:tblCellMar>
        </w:tblPrEx>
        <w:trPr>
          <w:trHeight w:val="480"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szCs w:val="21"/>
              </w:rPr>
            </w:pP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50" w:hRule="atLeast"/>
          <w:jc w:val="center"/>
        </w:trPr>
        <w:tc>
          <w:tcPr>
            <w:tcW w:w="105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59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bCs/>
                <w:color w:val="auto"/>
                <w:szCs w:val="21"/>
              </w:rPr>
              <w:t>······</w:t>
            </w:r>
          </w:p>
        </w:tc>
        <w:tc>
          <w:tcPr>
            <w:tcW w:w="18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2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0" w:hRule="atLeast"/>
          <w:jc w:val="center"/>
        </w:trPr>
        <w:tc>
          <w:tcPr>
            <w:tcW w:w="544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   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ind w:left="840" w:hanging="840" w:hangingChars="350"/>
        <w:rPr>
          <w:rFonts w:hint="eastAsia" w:ascii="仿宋" w:hAnsi="仿宋" w:eastAsia="仿宋" w:cs="仿宋"/>
          <w:color w:val="auto"/>
          <w:sz w:val="24"/>
        </w:rPr>
      </w:pPr>
      <w:r>
        <w:rPr>
          <w:rFonts w:hint="eastAsia" w:ascii="仿宋" w:hAnsi="仿宋" w:eastAsia="仿宋" w:cs="仿宋"/>
          <w:color w:val="auto"/>
          <w:sz w:val="24"/>
        </w:rPr>
        <w:t>注：1．此表由招标人填写，投标人应按招标方式将专业工程（</w:t>
      </w:r>
      <w:r>
        <w:rPr>
          <w:rFonts w:hint="eastAsia" w:ascii="仿宋" w:hAnsi="仿宋" w:eastAsia="仿宋" w:cs="仿宋"/>
          <w:bCs/>
          <w:color w:val="auto"/>
          <w:sz w:val="24"/>
        </w:rPr>
        <w:t>装饰工程、</w:t>
      </w:r>
      <w:r>
        <w:rPr>
          <w:rFonts w:hint="eastAsia" w:ascii="仿宋" w:hAnsi="仿宋" w:eastAsia="仿宋" w:cs="仿宋"/>
          <w:color w:val="auto"/>
          <w:sz w:val="24"/>
        </w:rPr>
        <w:t>建筑幕墙工程、钢结构工程、消防设施工程、建筑智能化工程、电梯安装工程、机电设备安装工程、单独设计的工艺性较强的专业工程）计入工程造价。</w:t>
      </w:r>
    </w:p>
    <w:p>
      <w:pPr>
        <w:spacing w:before="156" w:beforeLines="50"/>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2．暂估价（综合暂估价，包括：管理费、利润等除规费和税金以外的费用）计入投标总价中。</w:t>
      </w:r>
    </w:p>
    <w:p>
      <w:pPr>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3．备注栏中应当对未达到招标规模标准的是否采用分包做出说明，采用分包方式的应当由发包人和承包人依法招标方式选择分包人。</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8"/>
        <w:rPr>
          <w:rFonts w:hint="eastAsia" w:ascii="仿宋" w:hAnsi="仿宋" w:eastAsia="仿宋" w:cs="仿宋"/>
          <w:color w:val="auto"/>
          <w:sz w:val="24"/>
        </w:rPr>
      </w:pPr>
    </w:p>
    <w:p>
      <w:pPr>
        <w:pStyle w:val="18"/>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附表7.4</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计日工表</w:t>
      </w:r>
    </w:p>
    <w:p>
      <w:pPr>
        <w:autoSpaceDE w:val="0"/>
        <w:autoSpaceDN w:val="0"/>
        <w:adjustRightInd w:val="0"/>
        <w:ind w:leftChars="-200" w:hanging="420" w:hangingChars="175"/>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554" w:type="dxa"/>
        <w:jc w:val="center"/>
        <w:tblLayout w:type="fixed"/>
        <w:tblCellMar>
          <w:top w:w="0" w:type="dxa"/>
          <w:left w:w="10" w:type="dxa"/>
          <w:bottom w:w="0" w:type="dxa"/>
          <w:right w:w="10" w:type="dxa"/>
        </w:tblCellMar>
      </w:tblPr>
      <w:tblGrid>
        <w:gridCol w:w="846"/>
        <w:gridCol w:w="2337"/>
        <w:gridCol w:w="1592"/>
        <w:gridCol w:w="1593"/>
        <w:gridCol w:w="1593"/>
        <w:gridCol w:w="1593"/>
      </w:tblGrid>
      <w:tr>
        <w:tblPrEx>
          <w:tblCellMar>
            <w:top w:w="0" w:type="dxa"/>
            <w:left w:w="10" w:type="dxa"/>
            <w:bottom w:w="0" w:type="dxa"/>
            <w:right w:w="10" w:type="dxa"/>
          </w:tblCellMar>
        </w:tblPrEx>
        <w:trPr>
          <w:trHeight w:val="608"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编号</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项目名称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单位</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暂定数量</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综合单价</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合价</w:t>
            </w: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一</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290"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　工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二</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材料</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37"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　料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三</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left"/>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9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施工机械小计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44"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总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注：1．此表暂定项目、数量由招标人填写，编制招标控制价时，单价由招标人按有关计价规定确定：</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2．投标时，子目和数量按招标人提供数据计算，单价由投标人自主报价，计入投标总价中。</w:t>
      </w:r>
    </w:p>
    <w:p>
      <w:pPr>
        <w:ind w:firstLine="420"/>
        <w:rPr>
          <w:rFonts w:hint="eastAsia" w:ascii="仿宋" w:hAnsi="仿宋" w:eastAsia="仿宋" w:cs="仿宋"/>
          <w:color w:val="auto"/>
          <w:sz w:val="24"/>
        </w:rPr>
      </w:pPr>
      <w:r>
        <w:rPr>
          <w:rFonts w:hint="eastAsia" w:ascii="仿宋" w:hAnsi="仿宋" w:eastAsia="仿宋" w:cs="仿宋"/>
          <w:color w:val="auto"/>
          <w:sz w:val="24"/>
        </w:rPr>
        <w:t>3．此表总计的计日工金额应当作为暂列金额的一部分，计入附表6.1中。</w:t>
      </w:r>
    </w:p>
    <w:p>
      <w:pPr>
        <w:spacing w:before="156" w:beforeLines="50" w:after="156" w:afterLines="50"/>
        <w:rPr>
          <w:rFonts w:hint="eastAsia" w:ascii="仿宋" w:hAnsi="仿宋" w:eastAsia="仿宋" w:cs="仿宋"/>
          <w:bCs/>
          <w:color w:val="auto"/>
          <w:sz w:val="24"/>
        </w:rPr>
      </w:pPr>
    </w:p>
    <w:p>
      <w:pPr>
        <w:pStyle w:val="18"/>
        <w:rPr>
          <w:rFonts w:hint="eastAsia" w:ascii="仿宋" w:hAnsi="仿宋" w:eastAsia="仿宋" w:cs="仿宋"/>
          <w:bCs/>
          <w:color w:val="auto"/>
          <w:sz w:val="24"/>
        </w:rPr>
      </w:pPr>
    </w:p>
    <w:p>
      <w:pPr>
        <w:pStyle w:val="18"/>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附表7.5</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总承包服务费计价表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300" w:type="dxa"/>
        <w:jc w:val="center"/>
        <w:tblLayout w:type="fixed"/>
        <w:tblCellMar>
          <w:top w:w="0" w:type="dxa"/>
          <w:left w:w="10" w:type="dxa"/>
          <w:bottom w:w="0" w:type="dxa"/>
          <w:right w:w="10" w:type="dxa"/>
        </w:tblCellMar>
      </w:tblPr>
      <w:tblGrid>
        <w:gridCol w:w="747"/>
        <w:gridCol w:w="2415"/>
        <w:gridCol w:w="1533"/>
        <w:gridCol w:w="2263"/>
        <w:gridCol w:w="1170"/>
        <w:gridCol w:w="1172"/>
      </w:tblGrid>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项目价值（元）</w:t>
            </w: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服务内容</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费率（</w:t>
            </w:r>
            <w:r>
              <w:rPr>
                <w:rFonts w:hint="eastAsia" w:ascii="仿宋" w:hAnsi="仿宋" w:eastAsia="仿宋" w:cs="仿宋"/>
                <w:color w:val="auto"/>
                <w:sz w:val="24"/>
              </w:rPr>
              <w:t>%</w:t>
            </w:r>
            <w:r>
              <w:rPr>
                <w:rFonts w:hint="eastAsia" w:ascii="仿宋" w:hAnsi="仿宋" w:eastAsia="仿宋" w:cs="仿宋"/>
                <w:color w:val="auto"/>
                <w:sz w:val="24"/>
                <w:lang w:val="zh-CN"/>
              </w:rPr>
              <w:t>）</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rPr>
              <w:t>总包人发包专业工程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发包人发包专业工程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645"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812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bl>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bCs/>
          <w:color w:val="auto"/>
          <w:sz w:val="24"/>
        </w:rPr>
        <w:t>注：</w:t>
      </w:r>
      <w:r>
        <w:rPr>
          <w:rFonts w:hint="eastAsia" w:ascii="仿宋" w:hAnsi="仿宋" w:eastAsia="仿宋" w:cs="仿宋"/>
          <w:color w:val="auto"/>
          <w:sz w:val="24"/>
          <w:lang w:val="zh-CN"/>
        </w:rPr>
        <w:t>项目名称、项目价值（元）</w:t>
      </w:r>
      <w:r>
        <w:rPr>
          <w:rFonts w:hint="eastAsia" w:ascii="仿宋" w:hAnsi="仿宋" w:eastAsia="仿宋" w:cs="仿宋"/>
          <w:bCs/>
          <w:color w:val="auto"/>
          <w:sz w:val="24"/>
        </w:rPr>
        <w:t>同</w:t>
      </w:r>
      <w:r>
        <w:rPr>
          <w:rFonts w:hint="eastAsia" w:ascii="仿宋" w:hAnsi="仿宋" w:eastAsia="仿宋" w:cs="仿宋"/>
          <w:color w:val="auto"/>
          <w:sz w:val="24"/>
          <w:lang w:val="zh-CN"/>
        </w:rPr>
        <w:t>专业工程暂估价表</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规费、税金项目清单与计价表（建筑工程）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86"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2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2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二项费用人工费+机械费合计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2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7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规费、税金项目清单与计价表（装饰、安装工程）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1"/>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0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二项费用人工费合计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1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righ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9"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after="156" w:afterLines="50"/>
        <w:ind w:left="-617" w:leftChars="-257"/>
        <w:rPr>
          <w:rFonts w:hint="eastAsia" w:ascii="仿宋" w:hAnsi="仿宋" w:eastAsia="仿宋" w:cs="仿宋"/>
          <w:bCs/>
          <w:color w:val="auto"/>
          <w:sz w:val="24"/>
        </w:rPr>
      </w:pPr>
    </w:p>
    <w:p>
      <w:pPr>
        <w:spacing w:before="156" w:beforeLines="50" w:after="156" w:afterLines="50"/>
        <w:ind w:left="-617" w:leftChars="-257"/>
        <w:rPr>
          <w:rFonts w:hint="eastAsia" w:ascii="仿宋" w:hAnsi="仿宋" w:eastAsia="仿宋" w:cs="仿宋"/>
          <w:bCs/>
          <w:color w:val="auto"/>
          <w:sz w:val="24"/>
        </w:rPr>
      </w:pPr>
      <w:r>
        <w:rPr>
          <w:rFonts w:hint="eastAsia" w:ascii="仿宋" w:hAnsi="仿宋" w:eastAsia="仿宋" w:cs="仿宋"/>
          <w:bCs/>
          <w:color w:val="auto"/>
          <w:sz w:val="24"/>
        </w:rPr>
        <w:t>附表9</w:t>
      </w:r>
    </w:p>
    <w:p>
      <w:pPr>
        <w:spacing w:before="156" w:beforeLines="50" w:after="156" w:afterLines="50"/>
        <w:jc w:val="center"/>
        <w:rPr>
          <w:rFonts w:hint="eastAsia" w:ascii="仿宋" w:hAnsi="仿宋" w:eastAsia="仿宋" w:cs="仿宋"/>
          <w:color w:val="auto"/>
          <w:kern w:val="0"/>
          <w:sz w:val="32"/>
          <w:szCs w:val="28"/>
        </w:rPr>
      </w:pPr>
      <w:r>
        <w:rPr>
          <w:rFonts w:hint="eastAsia" w:ascii="仿宋" w:hAnsi="仿宋" w:eastAsia="仿宋" w:cs="仿宋"/>
          <w:color w:val="auto"/>
          <w:kern w:val="0"/>
          <w:sz w:val="32"/>
          <w:szCs w:val="28"/>
        </w:rPr>
        <w:t>主要材料价格表</w:t>
      </w:r>
    </w:p>
    <w:p>
      <w:pPr>
        <w:spacing w:before="156" w:beforeLines="50" w:after="156" w:afterLines="50"/>
        <w:ind w:left="-617" w:leftChars="-257"/>
        <w:rPr>
          <w:rFonts w:hint="eastAsia" w:ascii="仿宋" w:hAnsi="仿宋" w:eastAsia="仿宋" w:cs="仿宋"/>
          <w:color w:val="auto"/>
          <w:kern w:val="0"/>
          <w:sz w:val="24"/>
          <w:szCs w:val="28"/>
        </w:rPr>
      </w:pPr>
      <w:r>
        <w:rPr>
          <w:rFonts w:hint="eastAsia" w:ascii="仿宋" w:hAnsi="仿宋" w:eastAsia="仿宋" w:cs="仿宋"/>
          <w:color w:val="auto"/>
          <w:kern w:val="0"/>
          <w:sz w:val="24"/>
          <w:szCs w:val="21"/>
        </w:rPr>
        <w:t xml:space="preserve">工程名称:                                           </w:t>
      </w:r>
    </w:p>
    <w:tbl>
      <w:tblPr>
        <w:tblStyle w:val="21"/>
        <w:tblW w:w="9704" w:type="dxa"/>
        <w:jc w:val="center"/>
        <w:tblLayout w:type="fixed"/>
        <w:tblCellMar>
          <w:top w:w="0" w:type="dxa"/>
          <w:left w:w="108" w:type="dxa"/>
          <w:bottom w:w="0" w:type="dxa"/>
          <w:right w:w="108" w:type="dxa"/>
        </w:tblCellMar>
      </w:tblPr>
      <w:tblGrid>
        <w:gridCol w:w="668"/>
        <w:gridCol w:w="2349"/>
        <w:gridCol w:w="1762"/>
        <w:gridCol w:w="932"/>
        <w:gridCol w:w="904"/>
        <w:gridCol w:w="911"/>
        <w:gridCol w:w="1239"/>
        <w:gridCol w:w="429"/>
        <w:gridCol w:w="510"/>
      </w:tblGrid>
      <w:tr>
        <w:tblPrEx>
          <w:tblCellMar>
            <w:top w:w="0" w:type="dxa"/>
            <w:left w:w="108" w:type="dxa"/>
            <w:bottom w:w="0" w:type="dxa"/>
            <w:right w:w="108" w:type="dxa"/>
          </w:tblCellMar>
        </w:tblPrEx>
        <w:trPr>
          <w:trHeight w:val="328" w:hRule="atLeast"/>
          <w:jc w:val="center"/>
        </w:trPr>
        <w:tc>
          <w:tcPr>
            <w:tcW w:w="66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2349"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材料名称</w:t>
            </w: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型号规格等</w:t>
            </w:r>
          </w:p>
        </w:tc>
        <w:tc>
          <w:tcPr>
            <w:tcW w:w="932" w:type="dxa"/>
            <w:vMerge w:val="restart"/>
            <w:tcBorders>
              <w:top w:val="single" w:color="auto" w:sz="4" w:space="0"/>
              <w:left w:val="nil"/>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计量</w:t>
            </w:r>
          </w:p>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单位</w:t>
            </w:r>
          </w:p>
        </w:tc>
        <w:tc>
          <w:tcPr>
            <w:tcW w:w="9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工程量</w:t>
            </w:r>
          </w:p>
        </w:tc>
        <w:tc>
          <w:tcPr>
            <w:tcW w:w="911"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单价</w:t>
            </w:r>
          </w:p>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（元）</w:t>
            </w:r>
          </w:p>
        </w:tc>
        <w:tc>
          <w:tcPr>
            <w:tcW w:w="1239"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产地、厂家、品牌</w:t>
            </w:r>
          </w:p>
        </w:tc>
        <w:tc>
          <w:tcPr>
            <w:tcW w:w="4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等级</w:t>
            </w:r>
          </w:p>
        </w:tc>
        <w:tc>
          <w:tcPr>
            <w:tcW w:w="51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备注</w:t>
            </w:r>
          </w:p>
        </w:tc>
      </w:tr>
      <w:tr>
        <w:tblPrEx>
          <w:tblCellMar>
            <w:top w:w="0" w:type="dxa"/>
            <w:left w:w="108" w:type="dxa"/>
            <w:bottom w:w="0" w:type="dxa"/>
            <w:right w:w="108" w:type="dxa"/>
          </w:tblCellMar>
        </w:tblPrEx>
        <w:trPr>
          <w:trHeight w:val="385" w:hRule="atLeast"/>
          <w:jc w:val="center"/>
        </w:trPr>
        <w:tc>
          <w:tcPr>
            <w:tcW w:w="66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2349"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hint="eastAsia" w:ascii="仿宋" w:hAnsi="仿宋" w:eastAsia="仿宋" w:cs="仿宋"/>
                <w:b/>
                <w:bCs/>
                <w:color w:val="auto"/>
                <w:kern w:val="0"/>
                <w:szCs w:val="21"/>
              </w:rPr>
            </w:pP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特殊要求</w:t>
            </w:r>
          </w:p>
        </w:tc>
        <w:tc>
          <w:tcPr>
            <w:tcW w:w="932" w:type="dxa"/>
            <w:vMerge w:val="continue"/>
            <w:tcBorders>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p>
        </w:tc>
        <w:tc>
          <w:tcPr>
            <w:tcW w:w="9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12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4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51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349" w:type="dxa"/>
            <w:tcBorders>
              <w:top w:val="nil"/>
              <w:left w:val="nil"/>
              <w:bottom w:val="single" w:color="auto" w:sz="4" w:space="0"/>
              <w:right w:val="nil"/>
            </w:tcBorders>
            <w:shd w:val="clear" w:color="auto" w:fill="auto"/>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pStyle w:val="2"/>
        <w:rPr>
          <w:rFonts w:hint="eastAsia" w:ascii="仿宋" w:hAnsi="仿宋" w:eastAsia="仿宋" w:cs="仿宋"/>
          <w:bCs/>
          <w:color w:val="auto"/>
          <w:sz w:val="24"/>
        </w:rPr>
      </w:pPr>
    </w:p>
    <w:p>
      <w:pPr>
        <w:pStyle w:val="2"/>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附表10</w:t>
      </w:r>
    </w:p>
    <w:p>
      <w:pPr>
        <w:spacing w:before="156" w:beforeLines="50" w:after="156" w:afterLines="50"/>
        <w:ind w:right="360"/>
        <w:jc w:val="right"/>
        <w:rPr>
          <w:rFonts w:hint="eastAsia" w:ascii="仿宋" w:hAnsi="仿宋" w:eastAsia="仿宋" w:cs="仿宋"/>
          <w:color w:val="auto"/>
          <w:sz w:val="24"/>
        </w:rPr>
      </w:pPr>
      <w:r>
        <w:rPr>
          <w:rFonts w:hint="eastAsia" w:ascii="仿宋" w:hAnsi="仿宋" w:eastAsia="仿宋" w:cs="仿宋"/>
          <w:color w:val="auto"/>
          <w:sz w:val="24"/>
        </w:rPr>
        <w:t>分析表编号：</w:t>
      </w:r>
    </w:p>
    <w:p>
      <w:pPr>
        <w:spacing w:before="156" w:beforeLines="50" w:after="156" w:afterLines="5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综合单价分析表</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项目编码：</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计量单位：</w:t>
      </w:r>
      <w:r>
        <w:rPr>
          <w:rFonts w:hint="eastAsia" w:ascii="仿宋" w:hAnsi="仿宋" w:eastAsia="仿宋" w:cs="仿宋"/>
          <w:color w:val="auto"/>
          <w:sz w:val="22"/>
          <w:szCs w:val="22"/>
          <w:u w:val="single"/>
        </w:rPr>
        <w:t xml:space="preserve">  一个单位   </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项目名称：</w:t>
      </w:r>
      <w:r>
        <w:rPr>
          <w:rFonts w:hint="eastAsia" w:ascii="仿宋" w:hAnsi="仿宋" w:eastAsia="仿宋" w:cs="仿宋"/>
          <w:color w:val="auto"/>
          <w:sz w:val="22"/>
          <w:szCs w:val="22"/>
          <w:u w:val="single"/>
        </w:rPr>
        <w:t xml:space="preserve">                </w:t>
      </w:r>
    </w:p>
    <w:tbl>
      <w:tblPr>
        <w:tblStyle w:val="21"/>
        <w:tblpPr w:leftFromText="180" w:rightFromText="180" w:vertAnchor="text" w:horzAnchor="page" w:tblpXSpec="center" w:tblpY="48"/>
        <w:tblW w:w="9555" w:type="dxa"/>
        <w:jc w:val="center"/>
        <w:tblLayout w:type="fixed"/>
        <w:tblCellMar>
          <w:top w:w="0" w:type="dxa"/>
          <w:left w:w="0" w:type="dxa"/>
          <w:bottom w:w="0" w:type="dxa"/>
          <w:right w:w="0" w:type="dxa"/>
        </w:tblCellMar>
      </w:tblPr>
      <w:tblGrid>
        <w:gridCol w:w="368"/>
        <w:gridCol w:w="580"/>
        <w:gridCol w:w="520"/>
        <w:gridCol w:w="1765"/>
        <w:gridCol w:w="520"/>
        <w:gridCol w:w="1454"/>
        <w:gridCol w:w="37"/>
        <w:gridCol w:w="1001"/>
        <w:gridCol w:w="74"/>
        <w:gridCol w:w="718"/>
        <w:gridCol w:w="2518"/>
      </w:tblGrid>
      <w:tr>
        <w:tblPrEx>
          <w:tblCellMar>
            <w:top w:w="0" w:type="dxa"/>
            <w:left w:w="0" w:type="dxa"/>
            <w:bottom w:w="0" w:type="dxa"/>
            <w:right w:w="0" w:type="dxa"/>
          </w:tblCellMar>
        </w:tblPrEx>
        <w:trPr>
          <w:cantSplit/>
          <w:trHeight w:val="523" w:hRule="atLeast"/>
          <w:jc w:val="center"/>
        </w:trPr>
        <w:tc>
          <w:tcPr>
            <w:tcW w:w="948" w:type="dxa"/>
            <w:gridSpan w:val="2"/>
            <w:vMerge w:val="restart"/>
            <w:tcBorders>
              <w:top w:val="single" w:color="auto" w:sz="8" w:space="0"/>
              <w:left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2285" w:type="dxa"/>
            <w:gridSpan w:val="2"/>
            <w:vMerge w:val="restart"/>
            <w:tcBorders>
              <w:top w:val="single" w:color="auto" w:sz="8"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  目 名 称</w:t>
            </w:r>
          </w:p>
        </w:tc>
        <w:tc>
          <w:tcPr>
            <w:tcW w:w="520"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1454"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单位价值</w:t>
            </w:r>
          </w:p>
        </w:tc>
        <w:tc>
          <w:tcPr>
            <w:tcW w:w="1038" w:type="dxa"/>
            <w:gridSpan w:val="2"/>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项目特征</w:t>
            </w:r>
          </w:p>
        </w:tc>
        <w:tc>
          <w:tcPr>
            <w:tcW w:w="3310" w:type="dxa"/>
            <w:gridSpan w:val="3"/>
            <w:tcBorders>
              <w:top w:val="single" w:color="auto" w:sz="8" w:space="0"/>
              <w:left w:val="single" w:color="auto" w:sz="4" w:space="0"/>
              <w:bottom w:val="single" w:color="000000" w:sz="4" w:space="0"/>
              <w:right w:val="single" w:color="000000" w:sz="8" w:space="0"/>
            </w:tcBorders>
            <w:noWrap w:val="0"/>
            <w:vAlign w:val="center"/>
          </w:tcPr>
          <w:p>
            <w:pPr>
              <w:jc w:val="center"/>
              <w:rPr>
                <w:rFonts w:hint="eastAsia" w:ascii="仿宋" w:hAnsi="仿宋" w:eastAsia="仿宋" w:cs="仿宋"/>
                <w:b/>
                <w:bCs/>
                <w:color w:val="auto"/>
                <w:sz w:val="24"/>
              </w:rPr>
            </w:pPr>
          </w:p>
        </w:tc>
      </w:tr>
      <w:tr>
        <w:tblPrEx>
          <w:tblCellMar>
            <w:top w:w="0" w:type="dxa"/>
            <w:left w:w="0" w:type="dxa"/>
            <w:bottom w:w="0" w:type="dxa"/>
            <w:right w:w="0" w:type="dxa"/>
          </w:tblCellMar>
        </w:tblPrEx>
        <w:trPr>
          <w:cantSplit/>
          <w:trHeight w:val="310" w:hRule="atLeast"/>
          <w:jc w:val="center"/>
        </w:trPr>
        <w:tc>
          <w:tcPr>
            <w:tcW w:w="948" w:type="dxa"/>
            <w:gridSpan w:val="2"/>
            <w:vMerge w:val="continue"/>
            <w:tcBorders>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2285" w:type="dxa"/>
            <w:gridSpan w:val="2"/>
            <w:vMerge w:val="continue"/>
            <w:tcBorders>
              <w:top w:val="single" w:color="auto" w:sz="8" w:space="0"/>
              <w:left w:val="single" w:color="auto" w:sz="4" w:space="0"/>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24"/>
              </w:rPr>
            </w:pPr>
          </w:p>
        </w:tc>
        <w:tc>
          <w:tcPr>
            <w:tcW w:w="5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45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消耗量</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合价</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备    注</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 工</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工日</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32"/>
              </w:rPr>
            </w:pPr>
            <w:r>
              <w:rPr>
                <w:rFonts w:hint="eastAsia" w:ascii="仿宋" w:hAnsi="仿宋" w:eastAsia="仿宋" w:cs="仿宋"/>
                <w:b/>
                <w:bCs/>
                <w:color w:val="auto"/>
                <w:sz w:val="20"/>
                <w:szCs w:val="20"/>
              </w:rPr>
              <w:t>1.2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1.1～1.2之合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   料</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2.4</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2.5</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2.8</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材料费小计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2.1～2.7之合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3.1</w:t>
            </w:r>
          </w:p>
        </w:tc>
        <w:tc>
          <w:tcPr>
            <w:tcW w:w="520"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3.1～3.2之合</w:t>
            </w:r>
          </w:p>
        </w:tc>
      </w:tr>
      <w:tr>
        <w:tblPrEx>
          <w:tblCellMar>
            <w:top w:w="0" w:type="dxa"/>
            <w:left w:w="0" w:type="dxa"/>
            <w:bottom w:w="0" w:type="dxa"/>
            <w:right w:w="0" w:type="dxa"/>
          </w:tblCellMar>
        </w:tblPrEx>
        <w:trPr>
          <w:trHeight w:val="438" w:hRule="atLeast"/>
          <w:jc w:val="center"/>
        </w:trPr>
        <w:tc>
          <w:tcPr>
            <w:tcW w:w="368"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p>
        </w:tc>
        <w:tc>
          <w:tcPr>
            <w:tcW w:w="5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4</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人工、材料、机械费小计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3284" w:type="dxa"/>
            <w:gridSpan w:val="5"/>
            <w:tcBorders>
              <w:top w:val="single" w:color="auto" w:sz="4" w:space="0"/>
              <w:left w:val="nil"/>
              <w:bottom w:val="single" w:color="auto" w:sz="4" w:space="0"/>
              <w:right w:val="nil"/>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single" w:color="auto" w:sz="4" w:space="0"/>
              <w:bottom w:val="single" w:color="auto" w:sz="4" w:space="0"/>
              <w:right w:val="single" w:color="auto" w:sz="8" w:space="0"/>
            </w:tcBorders>
            <w:noWrap w:val="0"/>
            <w:tcMar>
              <w:top w:w="15" w:type="dxa"/>
              <w:left w:w="15" w:type="dxa"/>
              <w:bottom w:w="0" w:type="dxa"/>
              <w:right w:w="15" w:type="dxa"/>
            </w:tcMar>
            <w:vAlign w:val="center"/>
          </w:tcPr>
          <w:p>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1.3+2.8+3.3</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5</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各项费用</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管   理   费</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利        润</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风   险   金</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8</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xml:space="preserve">     费 用 小 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5802" w:type="dxa"/>
            <w:gridSpan w:val="6"/>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18"/>
                <w:szCs w:val="18"/>
              </w:rPr>
            </w:pPr>
            <w:r>
              <w:rPr>
                <w:rFonts w:hint="eastAsia" w:ascii="仿宋" w:hAnsi="仿宋" w:eastAsia="仿宋" w:cs="仿宋"/>
                <w:b/>
                <w:bCs/>
                <w:color w:val="auto"/>
              </w:rPr>
              <w:t>5+6+7</w:t>
            </w:r>
          </w:p>
        </w:tc>
      </w:tr>
      <w:tr>
        <w:tblPrEx>
          <w:tblCellMar>
            <w:top w:w="0" w:type="dxa"/>
            <w:left w:w="0" w:type="dxa"/>
            <w:bottom w:w="0" w:type="dxa"/>
            <w:right w:w="0" w:type="dxa"/>
          </w:tblCellMar>
        </w:tblPrEx>
        <w:trPr>
          <w:trHeight w:val="435" w:hRule="atLeast"/>
          <w:jc w:val="center"/>
        </w:trPr>
        <w:tc>
          <w:tcPr>
            <w:tcW w:w="3233" w:type="dxa"/>
            <w:gridSpan w:val="4"/>
            <w:tcBorders>
              <w:top w:val="single" w:color="auto" w:sz="4" w:space="0"/>
              <w:left w:val="single" w:color="auto" w:sz="8" w:space="0"/>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28"/>
              </w:rPr>
            </w:pPr>
            <w:r>
              <w:rPr>
                <w:rFonts w:hint="eastAsia" w:ascii="仿宋" w:hAnsi="仿宋" w:eastAsia="仿宋" w:cs="仿宋"/>
                <w:b/>
                <w:bCs/>
                <w:color w:val="auto"/>
                <w:sz w:val="24"/>
                <w:szCs w:val="28"/>
              </w:rPr>
              <w:t>综   合   单   价</w:t>
            </w:r>
          </w:p>
        </w:tc>
        <w:tc>
          <w:tcPr>
            <w:tcW w:w="520" w:type="dxa"/>
            <w:tcBorders>
              <w:top w:val="nil"/>
              <w:left w:val="nil"/>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32"/>
              </w:rPr>
            </w:pPr>
            <w:r>
              <w:rPr>
                <w:rFonts w:hint="eastAsia" w:ascii="仿宋" w:hAnsi="仿宋" w:eastAsia="仿宋" w:cs="仿宋"/>
                <w:b/>
                <w:bCs/>
                <w:color w:val="auto"/>
                <w:sz w:val="24"/>
                <w:szCs w:val="32"/>
              </w:rPr>
              <w:t>元</w:t>
            </w:r>
          </w:p>
        </w:tc>
        <w:tc>
          <w:tcPr>
            <w:tcW w:w="5802" w:type="dxa"/>
            <w:gridSpan w:val="6"/>
            <w:tcBorders>
              <w:top w:val="single" w:color="auto" w:sz="4" w:space="0"/>
              <w:left w:val="nil"/>
              <w:bottom w:val="single" w:color="auto" w:sz="8"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　</w:t>
            </w:r>
          </w:p>
          <w:p>
            <w:pPr>
              <w:jc w:val="center"/>
              <w:rPr>
                <w:rFonts w:hint="eastAsia" w:ascii="仿宋" w:hAnsi="仿宋" w:eastAsia="仿宋" w:cs="仿宋"/>
                <w:b/>
                <w:bCs/>
                <w:color w:val="auto"/>
                <w:sz w:val="24"/>
              </w:rPr>
            </w:pPr>
            <w:r>
              <w:rPr>
                <w:rFonts w:hint="eastAsia" w:ascii="仿宋" w:hAnsi="仿宋" w:eastAsia="仿宋" w:cs="仿宋"/>
                <w:b/>
                <w:bCs/>
                <w:color w:val="auto"/>
              </w:rPr>
              <w:t>4+8</w:t>
            </w:r>
          </w:p>
        </w:tc>
      </w:tr>
    </w:tbl>
    <w:p>
      <w:pPr>
        <w:rPr>
          <w:rFonts w:hint="eastAsia" w:ascii="仿宋" w:hAnsi="仿宋" w:eastAsia="仿宋" w:cs="仿宋"/>
          <w:bCs/>
          <w:color w:val="auto"/>
          <w:sz w:val="20"/>
          <w:szCs w:val="22"/>
        </w:rPr>
      </w:pPr>
    </w:p>
    <w:p>
      <w:pPr>
        <w:rPr>
          <w:rFonts w:hint="eastAsia" w:ascii="仿宋" w:hAnsi="仿宋" w:eastAsia="仿宋" w:cs="仿宋"/>
          <w:bCs/>
          <w:color w:val="auto"/>
          <w:sz w:val="24"/>
          <w:szCs w:val="22"/>
        </w:rPr>
      </w:pPr>
      <w:r>
        <w:rPr>
          <w:rFonts w:hint="eastAsia" w:ascii="仿宋" w:hAnsi="仿宋" w:eastAsia="仿宋" w:cs="仿宋"/>
          <w:bCs/>
          <w:color w:val="auto"/>
          <w:sz w:val="24"/>
          <w:szCs w:val="22"/>
        </w:rPr>
        <w:t>注：1、分部分项项目编码为工程量清单中</w:t>
      </w:r>
      <w:r>
        <w:rPr>
          <w:rFonts w:hint="eastAsia" w:ascii="仿宋" w:hAnsi="仿宋" w:eastAsia="仿宋" w:cs="仿宋"/>
          <w:bCs/>
          <w:color w:val="auto"/>
          <w:sz w:val="24"/>
          <w:szCs w:val="20"/>
        </w:rPr>
        <w:t>综合单价分析项目名目表</w:t>
      </w:r>
      <w:r>
        <w:rPr>
          <w:rFonts w:hint="eastAsia" w:ascii="仿宋" w:hAnsi="仿宋" w:eastAsia="仿宋" w:cs="仿宋"/>
          <w:bCs/>
          <w:color w:val="auto"/>
          <w:sz w:val="24"/>
          <w:szCs w:val="22"/>
        </w:rPr>
        <w:t>的项目。</w:t>
      </w:r>
    </w:p>
    <w:p>
      <w:pPr>
        <w:numPr>
          <w:ilvl w:val="0"/>
          <w:numId w:val="5"/>
        </w:num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计量单位：以一为分析基数的工程量清单中相对应的工程量单位。</w:t>
      </w:r>
    </w:p>
    <w:p>
      <w:p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3、项目特征必须与工程量清单特征描述一致。</w:t>
      </w:r>
    </w:p>
    <w:p>
      <w:pPr>
        <w:rPr>
          <w:rFonts w:hint="eastAsia" w:ascii="仿宋" w:hAnsi="仿宋" w:eastAsia="仿宋" w:cs="仿宋"/>
          <w:bCs/>
          <w:color w:val="auto"/>
          <w:sz w:val="24"/>
          <w:szCs w:val="22"/>
        </w:rPr>
      </w:pPr>
    </w:p>
    <w:p>
      <w:pPr>
        <w:pStyle w:val="7"/>
        <w:spacing w:line="360" w:lineRule="auto"/>
        <w:rPr>
          <w:rFonts w:hint="eastAsia" w:ascii="仿宋" w:hAnsi="仿宋" w:eastAsia="仿宋" w:cs="仿宋"/>
          <w:color w:val="auto"/>
          <w:lang w:val="en-US" w:eastAsia="zh-CN"/>
        </w:rPr>
      </w:pPr>
    </w:p>
    <w:p>
      <w:pPr>
        <w:pStyle w:val="4"/>
        <w:spacing w:line="360" w:lineRule="auto"/>
        <w:rPr>
          <w:rFonts w:hint="eastAsia" w:ascii="仿宋" w:hAnsi="仿宋" w:eastAsia="仿宋" w:cs="仿宋"/>
          <w:color w:val="auto"/>
        </w:rPr>
      </w:pPr>
      <w:r>
        <w:rPr>
          <w:rFonts w:hint="eastAsia" w:ascii="仿宋" w:hAnsi="仿宋" w:eastAsia="仿宋" w:cs="仿宋"/>
          <w:color w:val="auto"/>
          <w:lang w:val="en-US" w:eastAsia="zh-CN"/>
        </w:rPr>
        <w:t xml:space="preserve">第七章  </w:t>
      </w:r>
      <w:r>
        <w:rPr>
          <w:rFonts w:hint="eastAsia" w:ascii="仿宋" w:hAnsi="仿宋" w:eastAsia="仿宋" w:cs="仿宋"/>
          <w:color w:val="auto"/>
        </w:rPr>
        <w:t>评审标准</w:t>
      </w:r>
      <w:bookmarkEnd w:id="377"/>
      <w:bookmarkEnd w:id="378"/>
      <w:bookmarkEnd w:id="379"/>
      <w:bookmarkEnd w:id="380"/>
      <w:bookmarkEnd w:id="381"/>
    </w:p>
    <w:p>
      <w:pPr>
        <w:pStyle w:val="18"/>
        <w:spacing w:before="120" w:line="360" w:lineRule="auto"/>
        <w:outlineLvl w:val="0"/>
        <w:rPr>
          <w:rFonts w:hint="eastAsia" w:ascii="仿宋" w:hAnsi="仿宋" w:eastAsia="仿宋" w:cs="仿宋"/>
          <w:bCs/>
          <w:color w:val="auto"/>
          <w:sz w:val="28"/>
          <w:szCs w:val="28"/>
          <w:lang w:bidi="ar"/>
        </w:rPr>
      </w:pPr>
      <w:bookmarkStart w:id="382" w:name="_Toc29516"/>
      <w:bookmarkStart w:id="383" w:name="_Toc24597"/>
      <w:bookmarkStart w:id="384" w:name="_Toc32669"/>
      <w:bookmarkStart w:id="385" w:name="_Toc8901"/>
      <w:r>
        <w:rPr>
          <w:rFonts w:hint="eastAsia" w:ascii="仿宋" w:hAnsi="仿宋" w:eastAsia="仿宋" w:cs="仿宋"/>
          <w:bCs/>
          <w:color w:val="auto"/>
          <w:sz w:val="28"/>
          <w:szCs w:val="28"/>
          <w:lang w:bidi="ar"/>
        </w:rPr>
        <w:t xml:space="preserve">附表1、   </w:t>
      </w:r>
      <w:bookmarkEnd w:id="382"/>
      <w:bookmarkEnd w:id="383"/>
      <w:bookmarkEnd w:id="384"/>
      <w:bookmarkEnd w:id="385"/>
      <w:r>
        <w:rPr>
          <w:rFonts w:hint="eastAsia" w:ascii="仿宋" w:hAnsi="仿宋" w:eastAsia="仿宋" w:cs="仿宋"/>
          <w:bCs/>
          <w:color w:val="auto"/>
          <w:sz w:val="28"/>
          <w:szCs w:val="28"/>
          <w:lang w:bidi="ar"/>
        </w:rPr>
        <w:t>初步评审标准</w:t>
      </w:r>
    </w:p>
    <w:p>
      <w:pPr>
        <w:pStyle w:val="18"/>
        <w:spacing w:before="120" w:line="360" w:lineRule="auto"/>
        <w:outlineLvl w:val="0"/>
        <w:rPr>
          <w:rFonts w:hint="eastAsia" w:ascii="仿宋" w:hAnsi="仿宋" w:eastAsia="仿宋" w:cs="仿宋"/>
          <w:bCs/>
          <w:color w:val="auto"/>
          <w:sz w:val="28"/>
          <w:szCs w:val="28"/>
          <w:lang w:bidi="ar"/>
        </w:rPr>
      </w:pPr>
      <w:bookmarkStart w:id="386" w:name="_Toc29695"/>
      <w:bookmarkStart w:id="387" w:name="_Toc25432"/>
      <w:bookmarkStart w:id="388" w:name="_Toc25720"/>
      <w:bookmarkStart w:id="389" w:name="_Toc24956"/>
      <w:r>
        <w:rPr>
          <w:rFonts w:hint="eastAsia" w:ascii="仿宋" w:hAnsi="仿宋" w:eastAsia="仿宋" w:cs="仿宋"/>
          <w:bCs/>
          <w:color w:val="auto"/>
          <w:sz w:val="28"/>
          <w:szCs w:val="28"/>
          <w:lang w:bidi="ar"/>
        </w:rPr>
        <w:t>附表</w:t>
      </w:r>
      <w:r>
        <w:rPr>
          <w:rFonts w:hint="eastAsia" w:ascii="仿宋" w:hAnsi="仿宋" w:eastAsia="仿宋" w:cs="仿宋"/>
          <w:bCs/>
          <w:color w:val="auto"/>
          <w:sz w:val="28"/>
          <w:szCs w:val="28"/>
          <w:lang w:val="en-US" w:eastAsia="zh-CN" w:bidi="ar"/>
        </w:rPr>
        <w:t>2</w:t>
      </w:r>
      <w:r>
        <w:rPr>
          <w:rFonts w:hint="eastAsia" w:ascii="仿宋" w:hAnsi="仿宋" w:eastAsia="仿宋" w:cs="仿宋"/>
          <w:bCs/>
          <w:color w:val="auto"/>
          <w:sz w:val="28"/>
          <w:szCs w:val="28"/>
          <w:lang w:bidi="ar"/>
        </w:rPr>
        <w:t xml:space="preserve">、   </w:t>
      </w:r>
      <w:bookmarkEnd w:id="386"/>
      <w:bookmarkEnd w:id="387"/>
      <w:bookmarkEnd w:id="388"/>
      <w:bookmarkEnd w:id="389"/>
      <w:r>
        <w:rPr>
          <w:rFonts w:hint="eastAsia" w:ascii="仿宋" w:hAnsi="仿宋" w:eastAsia="仿宋" w:cs="仿宋"/>
          <w:bCs/>
          <w:color w:val="auto"/>
          <w:sz w:val="28"/>
          <w:szCs w:val="28"/>
          <w:lang w:bidi="ar"/>
        </w:rPr>
        <w:t>重大偏差评审标准</w:t>
      </w:r>
    </w:p>
    <w:p>
      <w:pPr>
        <w:pStyle w:val="18"/>
        <w:spacing w:before="120" w:line="360" w:lineRule="auto"/>
        <w:outlineLvl w:val="0"/>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eastAsia="zh-CN" w:bidi="ar"/>
        </w:rPr>
        <w:t>附表</w:t>
      </w:r>
      <w:r>
        <w:rPr>
          <w:rFonts w:hint="eastAsia" w:ascii="仿宋" w:hAnsi="仿宋" w:eastAsia="仿宋" w:cs="仿宋"/>
          <w:bCs/>
          <w:color w:val="auto"/>
          <w:sz w:val="28"/>
          <w:szCs w:val="28"/>
          <w:lang w:val="en-US" w:eastAsia="zh-CN" w:bidi="ar"/>
        </w:rPr>
        <w:t xml:space="preserve">3、   </w:t>
      </w:r>
      <w:r>
        <w:rPr>
          <w:rFonts w:hint="eastAsia" w:ascii="仿宋" w:hAnsi="仿宋" w:eastAsia="仿宋" w:cs="仿宋"/>
          <w:bCs/>
          <w:color w:val="auto"/>
          <w:sz w:val="28"/>
          <w:szCs w:val="28"/>
          <w:lang w:bidi="ar"/>
        </w:rPr>
        <w:t>技术标评审标准</w:t>
      </w:r>
    </w:p>
    <w:p>
      <w:pPr>
        <w:pStyle w:val="18"/>
        <w:spacing w:before="120" w:line="360" w:lineRule="auto"/>
        <w:rPr>
          <w:rFonts w:hint="eastAsia" w:ascii="仿宋" w:hAnsi="仿宋" w:eastAsia="仿宋" w:cs="仿宋"/>
          <w:bCs/>
          <w:color w:val="auto"/>
          <w:sz w:val="28"/>
          <w:szCs w:val="28"/>
          <w:lang w:bidi="ar"/>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br w:type="page"/>
      </w:r>
    </w:p>
    <w:p>
      <w:pPr>
        <w:tabs>
          <w:tab w:val="left" w:pos="900"/>
        </w:tabs>
        <w:rPr>
          <w:rFonts w:hint="eastAsia" w:ascii="仿宋" w:hAnsi="仿宋" w:eastAsia="仿宋" w:cs="仿宋"/>
          <w:color w:val="auto"/>
          <w:sz w:val="24"/>
        </w:rPr>
      </w:pPr>
      <w:r>
        <w:rPr>
          <w:rFonts w:hint="eastAsia" w:ascii="仿宋" w:hAnsi="仿宋" w:eastAsia="仿宋" w:cs="仿宋"/>
          <w:color w:val="auto"/>
          <w:sz w:val="24"/>
        </w:rPr>
        <w:t>附表1</w:t>
      </w:r>
    </w:p>
    <w:p>
      <w:pPr>
        <w:jc w:val="center"/>
        <w:rPr>
          <w:rFonts w:hint="eastAsia" w:ascii="仿宋" w:hAnsi="仿宋" w:eastAsia="仿宋" w:cs="仿宋"/>
          <w:b/>
          <w:color w:val="auto"/>
          <w:sz w:val="32"/>
        </w:rPr>
      </w:pPr>
      <w:r>
        <w:rPr>
          <w:rFonts w:hint="eastAsia" w:ascii="仿宋" w:hAnsi="仿宋" w:eastAsia="仿宋" w:cs="仿宋"/>
          <w:b/>
          <w:color w:val="auto"/>
          <w:sz w:val="32"/>
        </w:rPr>
        <w:t>初步评审标准</w:t>
      </w:r>
    </w:p>
    <w:tbl>
      <w:tblPr>
        <w:tblStyle w:val="21"/>
        <w:tblW w:w="8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543"/>
        <w:gridCol w:w="5583"/>
        <w:gridCol w:w="16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33" w:type="dxa"/>
            <w:vMerge w:val="restart"/>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w:t>
            </w:r>
          </w:p>
        </w:tc>
        <w:tc>
          <w:tcPr>
            <w:tcW w:w="6126" w:type="dxa"/>
            <w:gridSpan w:val="2"/>
            <w:vMerge w:val="restart"/>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评审内容</w:t>
            </w:r>
          </w:p>
        </w:tc>
        <w:tc>
          <w:tcPr>
            <w:tcW w:w="1606" w:type="dxa"/>
            <w:tcBorders>
              <w:bottom w:val="single" w:color="auto" w:sz="4" w:space="0"/>
            </w:tcBorders>
            <w:noWrap w:val="0"/>
            <w:vAlign w:val="top"/>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833" w:type="dxa"/>
            <w:vMerge w:val="continue"/>
            <w:noWrap w:val="0"/>
            <w:vAlign w:val="center"/>
          </w:tcPr>
          <w:p>
            <w:pPr>
              <w:jc w:val="center"/>
              <w:rPr>
                <w:rFonts w:hint="eastAsia" w:ascii="仿宋" w:hAnsi="仿宋" w:eastAsia="仿宋" w:cs="仿宋"/>
                <w:b/>
                <w:color w:val="auto"/>
                <w:sz w:val="24"/>
              </w:rPr>
            </w:pPr>
          </w:p>
        </w:tc>
        <w:tc>
          <w:tcPr>
            <w:tcW w:w="6126" w:type="dxa"/>
            <w:gridSpan w:val="2"/>
            <w:vMerge w:val="continue"/>
            <w:noWrap w:val="0"/>
            <w:vAlign w:val="center"/>
          </w:tcPr>
          <w:p>
            <w:pPr>
              <w:jc w:val="center"/>
              <w:rPr>
                <w:rFonts w:hint="eastAsia" w:ascii="仿宋" w:hAnsi="仿宋" w:eastAsia="仿宋" w:cs="仿宋"/>
                <w:b/>
                <w:color w:val="auto"/>
                <w:sz w:val="24"/>
              </w:rPr>
            </w:pPr>
          </w:p>
        </w:tc>
        <w:tc>
          <w:tcPr>
            <w:tcW w:w="1606" w:type="dxa"/>
            <w:tcBorders>
              <w:top w:val="single" w:color="auto" w:sz="4" w:space="0"/>
            </w:tcBorders>
            <w:noWrap w:val="0"/>
            <w:vAlign w:val="top"/>
          </w:tcPr>
          <w:p>
            <w:pPr>
              <w:rPr>
                <w:rFonts w:hint="eastAsia" w:ascii="仿宋" w:hAnsi="仿宋" w:eastAsia="仿宋" w:cs="仿宋"/>
                <w:b/>
                <w:color w:val="auto"/>
                <w:sz w:val="24"/>
              </w:rPr>
            </w:pPr>
            <w:r>
              <w:rPr>
                <w:rFonts w:hint="eastAsia" w:ascii="仿宋" w:hAnsi="仿宋" w:eastAsia="仿宋" w:cs="仿宋"/>
                <w:b/>
                <w:color w:val="auto"/>
                <w:szCs w:val="21"/>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restart"/>
            <w:noWrap w:val="0"/>
            <w:textDirection w:val="tbRlV"/>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形式评审</w:t>
            </w: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投标保证金的缴纳主体与投标人不一致的，没有按照招标文件要求提供投标担保，或者所提供的投标担保有瑕疵的；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textDirection w:val="tbRlV"/>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投标文件没有投标单位法定代表人或其授权代表签字（章）和加盖投标单位公章的；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textDirection w:val="tbRlV"/>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投标的施工、装修、附属材料设备采购、工程监理完成期限超过招标文件规定期限的；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投标文件载明的技术规格、技术标准、货物包装方式、检验标准和方法等，不符合招标文件要求的；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5583" w:type="dxa"/>
            <w:noWrap w:val="0"/>
            <w:vAlign w:val="center"/>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投标文件附有招标人不能接受条件的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不满足招标文件实质性要求的其他情形；</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p>
        </w:tc>
        <w:tc>
          <w:tcPr>
            <w:tcW w:w="5583" w:type="dxa"/>
            <w:noWrap w:val="0"/>
            <w:vAlign w:val="top"/>
          </w:tcPr>
          <w:p>
            <w:pPr>
              <w:rPr>
                <w:rFonts w:hint="eastAsia" w:ascii="仿宋" w:hAnsi="仿宋" w:eastAsia="仿宋" w:cs="仿宋"/>
                <w:color w:val="auto"/>
                <w:sz w:val="24"/>
              </w:rPr>
            </w:pP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restart"/>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资</w:t>
            </w:r>
          </w:p>
          <w:p>
            <w:pPr>
              <w:jc w:val="center"/>
              <w:rPr>
                <w:rFonts w:hint="eastAsia" w:ascii="仿宋" w:hAnsi="仿宋" w:eastAsia="仿宋" w:cs="仿宋"/>
                <w:color w:val="auto"/>
                <w:sz w:val="24"/>
              </w:rPr>
            </w:pPr>
            <w:r>
              <w:rPr>
                <w:rFonts w:hint="eastAsia" w:ascii="仿宋" w:hAnsi="仿宋" w:eastAsia="仿宋" w:cs="仿宋"/>
                <w:color w:val="auto"/>
                <w:sz w:val="24"/>
              </w:rPr>
              <w:t>格</w:t>
            </w:r>
          </w:p>
          <w:p>
            <w:pPr>
              <w:jc w:val="center"/>
              <w:rPr>
                <w:rFonts w:hint="eastAsia" w:ascii="仿宋" w:hAnsi="仿宋" w:eastAsia="仿宋" w:cs="仿宋"/>
                <w:color w:val="auto"/>
                <w:sz w:val="24"/>
              </w:rPr>
            </w:pPr>
            <w:r>
              <w:rPr>
                <w:rFonts w:hint="eastAsia" w:ascii="仿宋" w:hAnsi="仿宋" w:eastAsia="仿宋" w:cs="仿宋"/>
                <w:color w:val="auto"/>
                <w:sz w:val="24"/>
              </w:rPr>
              <w:t>评</w:t>
            </w:r>
          </w:p>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(适</w:t>
            </w:r>
          </w:p>
          <w:p>
            <w:pPr>
              <w:jc w:val="center"/>
              <w:rPr>
                <w:rFonts w:hint="eastAsia" w:ascii="仿宋" w:hAnsi="仿宋" w:eastAsia="仿宋" w:cs="仿宋"/>
                <w:color w:val="auto"/>
                <w:sz w:val="24"/>
              </w:rPr>
            </w:pPr>
            <w:r>
              <w:rPr>
                <w:rFonts w:hint="eastAsia" w:ascii="仿宋" w:hAnsi="仿宋" w:eastAsia="仿宋" w:cs="仿宋"/>
                <w:color w:val="auto"/>
                <w:sz w:val="24"/>
              </w:rPr>
              <w:t>用</w:t>
            </w:r>
          </w:p>
          <w:p>
            <w:pPr>
              <w:jc w:val="center"/>
              <w:rPr>
                <w:rFonts w:hint="eastAsia" w:ascii="仿宋" w:hAnsi="仿宋" w:eastAsia="仿宋" w:cs="仿宋"/>
                <w:color w:val="auto"/>
                <w:sz w:val="24"/>
              </w:rPr>
            </w:pPr>
            <w:r>
              <w:rPr>
                <w:rFonts w:hint="eastAsia" w:ascii="仿宋" w:hAnsi="仿宋" w:eastAsia="仿宋" w:cs="仿宋"/>
                <w:color w:val="auto"/>
                <w:sz w:val="24"/>
              </w:rPr>
              <w:t>于</w:t>
            </w:r>
          </w:p>
          <w:p>
            <w:pPr>
              <w:jc w:val="center"/>
              <w:rPr>
                <w:rFonts w:hint="eastAsia" w:ascii="仿宋" w:hAnsi="仿宋" w:eastAsia="仿宋" w:cs="仿宋"/>
                <w:color w:val="auto"/>
                <w:sz w:val="24"/>
              </w:rPr>
            </w:pPr>
            <w:r>
              <w:rPr>
                <w:rFonts w:hint="eastAsia" w:ascii="仿宋" w:hAnsi="仿宋" w:eastAsia="仿宋" w:cs="仿宋"/>
                <w:color w:val="auto"/>
                <w:sz w:val="24"/>
              </w:rPr>
              <w:t>资</w:t>
            </w:r>
          </w:p>
          <w:p>
            <w:pPr>
              <w:jc w:val="center"/>
              <w:rPr>
                <w:rFonts w:hint="eastAsia" w:ascii="仿宋" w:hAnsi="仿宋" w:eastAsia="仿宋" w:cs="仿宋"/>
                <w:color w:val="auto"/>
                <w:sz w:val="24"/>
              </w:rPr>
            </w:pPr>
            <w:r>
              <w:rPr>
                <w:rFonts w:hint="eastAsia" w:ascii="仿宋" w:hAnsi="仿宋" w:eastAsia="仿宋" w:cs="仿宋"/>
                <w:color w:val="auto"/>
                <w:sz w:val="24"/>
              </w:rPr>
              <w:t>格</w:t>
            </w:r>
          </w:p>
          <w:p>
            <w:pPr>
              <w:jc w:val="center"/>
              <w:rPr>
                <w:rFonts w:hint="eastAsia" w:ascii="仿宋" w:hAnsi="仿宋" w:eastAsia="仿宋" w:cs="仿宋"/>
                <w:color w:val="auto"/>
                <w:sz w:val="24"/>
              </w:rPr>
            </w:pPr>
            <w:r>
              <w:rPr>
                <w:rFonts w:hint="eastAsia" w:ascii="仿宋" w:hAnsi="仿宋" w:eastAsia="仿宋" w:cs="仿宋"/>
                <w:color w:val="auto"/>
                <w:sz w:val="24"/>
              </w:rPr>
              <w:t>后</w:t>
            </w:r>
          </w:p>
          <w:p>
            <w:pPr>
              <w:jc w:val="center"/>
              <w:rPr>
                <w:rFonts w:hint="eastAsia" w:ascii="仿宋" w:hAnsi="仿宋" w:eastAsia="仿宋" w:cs="仿宋"/>
                <w:color w:val="auto"/>
                <w:szCs w:val="21"/>
              </w:rPr>
            </w:pPr>
            <w:r>
              <w:rPr>
                <w:rFonts w:hint="eastAsia" w:ascii="仿宋" w:hAnsi="仿宋" w:eastAsia="仿宋" w:cs="仿宋"/>
                <w:color w:val="auto"/>
                <w:sz w:val="24"/>
              </w:rPr>
              <w:t>审)</w:t>
            </w: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是否提供合格的营业执照；</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是否提供合格的资质证书（可为复印件），且满足招标项目的需要；</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是否提供合格的安全生产许可证；</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kern w:val="0"/>
                <w:szCs w:val="21"/>
              </w:rPr>
              <w:t>自治区区外投标单位</w:t>
            </w:r>
            <w:r>
              <w:rPr>
                <w:rFonts w:hint="eastAsia" w:ascii="仿宋" w:hAnsi="仿宋" w:eastAsia="仿宋" w:cs="仿宋"/>
                <w:color w:val="auto"/>
                <w:szCs w:val="21"/>
              </w:rPr>
              <w:t>是否提供</w:t>
            </w:r>
            <w:r>
              <w:rPr>
                <w:rFonts w:hint="eastAsia" w:ascii="仿宋" w:hAnsi="仿宋" w:eastAsia="仿宋" w:cs="仿宋"/>
                <w:color w:val="auto"/>
                <w:kern w:val="0"/>
                <w:szCs w:val="21"/>
              </w:rPr>
              <w:t>建设行政主管部门的合格备案书</w:t>
            </w: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类似项目业绩是否满足招标文件要求</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企业信誉是否满足招标文件的要求</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top"/>
          </w:tcPr>
          <w:p>
            <w:pPr>
              <w:jc w:val="center"/>
              <w:rPr>
                <w:rFonts w:hint="eastAsia" w:ascii="仿宋" w:hAnsi="仿宋" w:eastAsia="仿宋" w:cs="仿宋"/>
                <w:color w:val="auto"/>
                <w:sz w:val="24"/>
              </w:rPr>
            </w:pP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833" w:type="dxa"/>
            <w:noWrap w:val="0"/>
            <w:vAlign w:val="center"/>
          </w:tcPr>
          <w:p>
            <w:pPr>
              <w:jc w:val="center"/>
              <w:rPr>
                <w:rFonts w:hint="eastAsia" w:ascii="仿宋" w:hAnsi="仿宋" w:eastAsia="仿宋" w:cs="仿宋"/>
                <w:color w:val="auto"/>
              </w:rPr>
            </w:pPr>
          </w:p>
        </w:tc>
        <w:tc>
          <w:tcPr>
            <w:tcW w:w="6126" w:type="dxa"/>
            <w:gridSpan w:val="2"/>
            <w:noWrap w:val="0"/>
            <w:vAlign w:val="top"/>
          </w:tcPr>
          <w:p>
            <w:pPr>
              <w:rPr>
                <w:rFonts w:hint="eastAsia" w:ascii="仿宋" w:hAnsi="仿宋" w:eastAsia="仿宋" w:cs="仿宋"/>
                <w:color w:val="auto"/>
                <w:szCs w:val="21"/>
              </w:rPr>
            </w:pPr>
            <w:r>
              <w:rPr>
                <w:rFonts w:hint="eastAsia" w:ascii="仿宋" w:hAnsi="仿宋" w:eastAsia="仿宋" w:cs="仿宋"/>
                <w:color w:val="auto"/>
                <w:sz w:val="24"/>
              </w:rPr>
              <w:t>结论：是否通过评审</w:t>
            </w:r>
          </w:p>
        </w:tc>
        <w:tc>
          <w:tcPr>
            <w:tcW w:w="1606" w:type="dxa"/>
            <w:noWrap w:val="0"/>
            <w:vAlign w:val="top"/>
          </w:tcPr>
          <w:p>
            <w:pPr>
              <w:rPr>
                <w:rFonts w:hint="eastAsia" w:ascii="仿宋" w:hAnsi="仿宋" w:eastAsia="仿宋" w:cs="仿宋"/>
                <w:color w:val="auto"/>
                <w:sz w:val="24"/>
              </w:rPr>
            </w:pPr>
          </w:p>
        </w:tc>
      </w:tr>
    </w:tbl>
    <w:p>
      <w:pPr>
        <w:ind w:firstLine="723" w:firstLineChars="300"/>
        <w:jc w:val="left"/>
        <w:rPr>
          <w:rFonts w:hint="eastAsia" w:ascii="仿宋" w:hAnsi="仿宋" w:eastAsia="仿宋" w:cs="仿宋"/>
          <w:color w:val="auto"/>
          <w:szCs w:val="21"/>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投标人有一项未通过不得参与下阶段评审，</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p>
      <w:pPr>
        <w:pStyle w:val="46"/>
        <w:rPr>
          <w:rFonts w:hint="eastAsia" w:ascii="仿宋" w:hAnsi="仿宋" w:eastAsia="仿宋" w:cs="仿宋"/>
          <w:color w:val="auto"/>
        </w:rPr>
      </w:pPr>
    </w:p>
    <w:p>
      <w:pPr>
        <w:pStyle w:val="46"/>
        <w:rPr>
          <w:rFonts w:hint="eastAsia" w:ascii="仿宋" w:hAnsi="仿宋" w:eastAsia="仿宋" w:cs="仿宋"/>
          <w:color w:val="auto"/>
        </w:rPr>
      </w:pPr>
    </w:p>
    <w:p>
      <w:pPr>
        <w:pStyle w:val="46"/>
        <w:rPr>
          <w:rFonts w:hint="eastAsia" w:ascii="仿宋" w:hAnsi="仿宋" w:eastAsia="仿宋" w:cs="仿宋"/>
          <w:color w:val="auto"/>
        </w:rPr>
      </w:pPr>
    </w:p>
    <w:p>
      <w:pPr>
        <w:pStyle w:val="46"/>
        <w:rPr>
          <w:rFonts w:hint="eastAsia" w:ascii="仿宋" w:hAnsi="仿宋" w:eastAsia="仿宋" w:cs="仿宋"/>
          <w:color w:val="auto"/>
        </w:rPr>
      </w:pPr>
    </w:p>
    <w:p>
      <w:pPr>
        <w:rPr>
          <w:rFonts w:hint="eastAsia" w:ascii="仿宋" w:hAnsi="仿宋" w:eastAsia="仿宋" w:cs="仿宋"/>
          <w:color w:val="auto"/>
          <w:sz w:val="24"/>
        </w:rPr>
      </w:pPr>
    </w:p>
    <w:p>
      <w:pPr>
        <w:rPr>
          <w:rFonts w:hint="eastAsia" w:ascii="仿宋" w:hAnsi="仿宋" w:eastAsia="仿宋" w:cs="仿宋"/>
          <w:b/>
          <w:color w:val="auto"/>
          <w:sz w:val="24"/>
        </w:rPr>
      </w:pPr>
      <w:r>
        <w:rPr>
          <w:rFonts w:hint="eastAsia" w:ascii="仿宋" w:hAnsi="仿宋" w:eastAsia="仿宋" w:cs="仿宋"/>
          <w:color w:val="auto"/>
          <w:sz w:val="24"/>
        </w:rPr>
        <w:t>附表2</w:t>
      </w:r>
    </w:p>
    <w:p>
      <w:pPr>
        <w:jc w:val="center"/>
        <w:rPr>
          <w:rFonts w:hint="eastAsia" w:ascii="仿宋" w:hAnsi="仿宋" w:eastAsia="仿宋" w:cs="仿宋"/>
          <w:b/>
          <w:color w:val="auto"/>
          <w:sz w:val="28"/>
        </w:rPr>
      </w:pPr>
      <w:r>
        <w:rPr>
          <w:rFonts w:hint="eastAsia" w:ascii="仿宋" w:hAnsi="仿宋" w:eastAsia="仿宋" w:cs="仿宋"/>
          <w:b/>
          <w:color w:val="auto"/>
          <w:sz w:val="28"/>
        </w:rPr>
        <w:t>重大偏差评审标准</w:t>
      </w:r>
    </w:p>
    <w:p>
      <w:pPr>
        <w:tabs>
          <w:tab w:val="left" w:pos="900"/>
        </w:tabs>
        <w:rPr>
          <w:rFonts w:hint="eastAsia" w:ascii="仿宋" w:hAnsi="仿宋" w:eastAsia="仿宋" w:cs="仿宋"/>
          <w:color w:val="auto"/>
          <w:szCs w:val="21"/>
        </w:rPr>
      </w:pPr>
    </w:p>
    <w:tbl>
      <w:tblPr>
        <w:tblStyle w:val="21"/>
        <w:tblpPr w:leftFromText="180" w:rightFromText="180" w:vertAnchor="text" w:horzAnchor="margin" w:tblpY="2"/>
        <w:tblW w:w="91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551"/>
        <w:gridCol w:w="6159"/>
        <w:gridCol w:w="15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844" w:type="dxa"/>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项目</w:t>
            </w:r>
          </w:p>
        </w:tc>
        <w:tc>
          <w:tcPr>
            <w:tcW w:w="6710" w:type="dxa"/>
            <w:gridSpan w:val="2"/>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评审内容</w:t>
            </w:r>
          </w:p>
        </w:tc>
        <w:tc>
          <w:tcPr>
            <w:tcW w:w="1576"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844" w:type="dxa"/>
            <w:vMerge w:val="continue"/>
            <w:tcBorders>
              <w:bottom w:val="single" w:color="auto" w:sz="4" w:space="0"/>
            </w:tcBorders>
            <w:noWrap w:val="0"/>
            <w:vAlign w:val="center"/>
          </w:tcPr>
          <w:p>
            <w:pPr>
              <w:jc w:val="center"/>
              <w:rPr>
                <w:rFonts w:hint="eastAsia" w:ascii="仿宋" w:hAnsi="仿宋" w:eastAsia="仿宋" w:cs="仿宋"/>
                <w:b/>
                <w:color w:val="auto"/>
                <w:sz w:val="24"/>
              </w:rPr>
            </w:pPr>
          </w:p>
        </w:tc>
        <w:tc>
          <w:tcPr>
            <w:tcW w:w="6710" w:type="dxa"/>
            <w:gridSpan w:val="2"/>
            <w:vMerge w:val="continue"/>
            <w:tcBorders>
              <w:bottom w:val="single" w:color="auto" w:sz="4" w:space="0"/>
            </w:tcBorders>
            <w:noWrap w:val="0"/>
            <w:vAlign w:val="top"/>
          </w:tcPr>
          <w:p>
            <w:pPr>
              <w:rPr>
                <w:rFonts w:hint="eastAsia" w:ascii="仿宋" w:hAnsi="仿宋" w:eastAsia="仿宋" w:cs="仿宋"/>
                <w:b/>
                <w:color w:val="auto"/>
                <w:sz w:val="24"/>
              </w:rPr>
            </w:pPr>
          </w:p>
        </w:tc>
        <w:tc>
          <w:tcPr>
            <w:tcW w:w="1576" w:type="dxa"/>
            <w:noWrap w:val="0"/>
            <w:vAlign w:val="center"/>
          </w:tcPr>
          <w:p>
            <w:pPr>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通过打“√”，</w:t>
            </w:r>
          </w:p>
          <w:p>
            <w:pPr>
              <w:jc w:val="center"/>
              <w:rPr>
                <w:rFonts w:hint="eastAsia" w:ascii="仿宋" w:hAnsi="仿宋" w:eastAsia="仿宋" w:cs="仿宋"/>
                <w:b/>
                <w:color w:val="auto"/>
                <w:sz w:val="24"/>
              </w:rPr>
            </w:pPr>
            <w:r>
              <w:rPr>
                <w:rFonts w:hint="eastAsia" w:ascii="仿宋" w:hAnsi="仿宋" w:eastAsia="仿宋" w:cs="仿宋"/>
                <w:b/>
                <w:color w:val="auto"/>
                <w:sz w:val="18"/>
                <w:szCs w:val="18"/>
              </w:rPr>
              <w:t>不通过打“×</w:t>
            </w:r>
            <w:r>
              <w:rPr>
                <w:rFonts w:hint="eastAsia" w:ascii="仿宋" w:hAnsi="仿宋" w:eastAsia="仿宋" w:cs="仿宋"/>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atLeast"/>
        </w:trPr>
        <w:tc>
          <w:tcPr>
            <w:tcW w:w="844" w:type="dxa"/>
            <w:vMerge w:val="restart"/>
            <w:tcBorders>
              <w:top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查</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准</w:t>
            </w:r>
          </w:p>
        </w:tc>
        <w:tc>
          <w:tcPr>
            <w:tcW w:w="551" w:type="dxa"/>
            <w:tcBorders>
              <w:top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1</w:t>
            </w:r>
          </w:p>
        </w:tc>
        <w:tc>
          <w:tcPr>
            <w:tcW w:w="6159" w:type="dxa"/>
            <w:tcBorders>
              <w:left w:val="single" w:color="auto" w:sz="4" w:space="0"/>
              <w:right w:val="single" w:color="auto" w:sz="4" w:space="0"/>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由政府立项核准、审批的建筑工程, 投标报价高于设定的工程预算招标控制价（工程限额）的；</w:t>
            </w:r>
          </w:p>
        </w:tc>
        <w:tc>
          <w:tcPr>
            <w:tcW w:w="1576" w:type="dxa"/>
            <w:tcBorders>
              <w:left w:val="single" w:color="auto" w:sz="4" w:space="0"/>
            </w:tcBorders>
            <w:noWrap w:val="0"/>
            <w:vAlign w:val="center"/>
          </w:tcPr>
          <w:p>
            <w:pPr>
              <w:rPr>
                <w:rFonts w:hint="eastAsia" w:ascii="仿宋" w:hAnsi="仿宋" w:eastAsia="仿宋" w:cs="仿宋"/>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844" w:type="dxa"/>
            <w:vMerge w:val="continue"/>
            <w:noWrap w:val="0"/>
            <w:vAlign w:val="center"/>
          </w:tcPr>
          <w:p>
            <w:pPr>
              <w:jc w:val="center"/>
              <w:rPr>
                <w:rFonts w:hint="eastAsia" w:ascii="仿宋" w:hAnsi="仿宋" w:eastAsia="仿宋" w:cs="仿宋"/>
                <w:color w:val="auto"/>
              </w:rPr>
            </w:pPr>
          </w:p>
        </w:tc>
        <w:tc>
          <w:tcPr>
            <w:tcW w:w="551" w:type="dxa"/>
            <w:tcBorders>
              <w:top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2</w:t>
            </w:r>
          </w:p>
        </w:tc>
        <w:tc>
          <w:tcPr>
            <w:tcW w:w="6159" w:type="dxa"/>
            <w:tcBorders>
              <w:left w:val="single" w:color="auto" w:sz="4" w:space="0"/>
              <w:right w:val="single" w:color="auto" w:sz="4" w:space="0"/>
            </w:tcBorders>
            <w:noWrap w:val="0"/>
            <w:vAlign w:val="center"/>
          </w:tcPr>
          <w:p>
            <w:pPr>
              <w:rPr>
                <w:rFonts w:hint="eastAsia" w:ascii="仿宋" w:hAnsi="仿宋" w:eastAsia="仿宋" w:cs="仿宋"/>
                <w:b/>
                <w:color w:val="auto"/>
                <w:szCs w:val="21"/>
              </w:rPr>
            </w:pPr>
            <w:r>
              <w:rPr>
                <w:rFonts w:hint="eastAsia" w:ascii="仿宋" w:hAnsi="仿宋" w:eastAsia="仿宋" w:cs="仿宋"/>
                <w:color w:val="auto"/>
                <w:szCs w:val="21"/>
              </w:rPr>
              <w:t>投标人对同一招标项目作出两个以上报价未明确效力的；</w:t>
            </w:r>
          </w:p>
        </w:tc>
        <w:tc>
          <w:tcPr>
            <w:tcW w:w="1576" w:type="dxa"/>
            <w:tcBorders>
              <w:left w:val="single" w:color="auto" w:sz="4" w:space="0"/>
            </w:tcBorders>
            <w:noWrap w:val="0"/>
            <w:vAlign w:val="center"/>
          </w:tcPr>
          <w:p>
            <w:pPr>
              <w:rPr>
                <w:rFonts w:hint="eastAsia" w:ascii="仿宋" w:hAnsi="仿宋" w:eastAsia="仿宋" w:cs="仿宋"/>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3</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未按招标文件要求提供投标报价的电子投标文件的；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tcBorders>
              <w:top w:val="nil"/>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4</w:t>
            </w:r>
          </w:p>
        </w:tc>
        <w:tc>
          <w:tcPr>
            <w:tcW w:w="6159" w:type="dxa"/>
            <w:tcBorders>
              <w:top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未按招标文件规定的格式填写，内容不全或关键字迹模糊、无法辨认的（包括分部分项工程量清单中暂估价、暂列金额的改动）；</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5</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改变招标文件提供的工程量清单中的计量单位、工程量的；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6</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将工程排污费、社会保障费、住房公积金、危险作业意外伤害保险等规费和营业税、城市维护建设税、教育费附加等税金，以及安全文明施工费列入招标投标竞争性费用的；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7</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投标人名称、组织机构与资格预审时不符，涉嫌以他人名义投标的；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8</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投标人之间或者投标人与招标人串通投标的；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9</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以行贿手段谋取中标或者以其他弄虚作假方式投标的；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844" w:type="dxa"/>
            <w:noWrap w:val="0"/>
            <w:vAlign w:val="center"/>
          </w:tcPr>
          <w:p>
            <w:pPr>
              <w:jc w:val="center"/>
              <w:rPr>
                <w:rFonts w:hint="eastAsia" w:ascii="仿宋" w:hAnsi="仿宋" w:eastAsia="仿宋" w:cs="仿宋"/>
                <w:color w:val="auto"/>
              </w:rPr>
            </w:pPr>
            <w:r>
              <w:rPr>
                <w:rFonts w:hint="eastAsia" w:ascii="仿宋" w:hAnsi="仿宋" w:eastAsia="仿宋" w:cs="仿宋"/>
                <w:color w:val="auto"/>
                <w:sz w:val="24"/>
              </w:rPr>
              <w:t>结论</w:t>
            </w:r>
          </w:p>
        </w:tc>
        <w:tc>
          <w:tcPr>
            <w:tcW w:w="6710" w:type="dxa"/>
            <w:gridSpan w:val="2"/>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是否通过评审</w:t>
            </w:r>
          </w:p>
        </w:tc>
        <w:tc>
          <w:tcPr>
            <w:tcW w:w="1576" w:type="dxa"/>
            <w:noWrap w:val="0"/>
            <w:vAlign w:val="center"/>
          </w:tcPr>
          <w:p>
            <w:pPr>
              <w:rPr>
                <w:rFonts w:hint="eastAsia" w:ascii="仿宋" w:hAnsi="仿宋" w:eastAsia="仿宋" w:cs="仿宋"/>
                <w:color w:val="auto"/>
              </w:rPr>
            </w:pPr>
          </w:p>
        </w:tc>
      </w:tr>
    </w:tbl>
    <w:p>
      <w:pPr>
        <w:tabs>
          <w:tab w:val="left" w:pos="900"/>
        </w:tabs>
        <w:ind w:left="-617" w:leftChars="-257" w:firstLine="723" w:firstLineChars="300"/>
        <w:rPr>
          <w:rFonts w:hint="eastAsia" w:ascii="仿宋" w:hAnsi="仿宋" w:eastAsia="仿宋" w:cs="仿宋"/>
          <w:color w:val="auto"/>
          <w:szCs w:val="21"/>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投标人有一项未通过不得参与下阶段评审，</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p>
      <w:pPr>
        <w:pStyle w:val="46"/>
        <w:rPr>
          <w:rFonts w:hint="eastAsia" w:ascii="仿宋" w:hAnsi="仿宋" w:eastAsia="仿宋" w:cs="仿宋"/>
          <w:color w:val="auto"/>
        </w:rPr>
      </w:pPr>
    </w:p>
    <w:p>
      <w:pPr>
        <w:pStyle w:val="46"/>
        <w:rPr>
          <w:rFonts w:hint="eastAsia" w:ascii="仿宋" w:hAnsi="仿宋" w:eastAsia="仿宋" w:cs="仿宋"/>
          <w:color w:val="auto"/>
        </w:rPr>
      </w:pPr>
    </w:p>
    <w:p>
      <w:pPr>
        <w:tabs>
          <w:tab w:val="left" w:pos="900"/>
        </w:tabs>
        <w:ind w:left="-617" w:leftChars="-257" w:firstLine="480" w:firstLineChars="200"/>
        <w:rPr>
          <w:rFonts w:hint="eastAsia" w:ascii="仿宋" w:hAnsi="仿宋" w:eastAsia="仿宋" w:cs="仿宋"/>
          <w:color w:val="auto"/>
          <w:sz w:val="24"/>
        </w:rPr>
      </w:pPr>
    </w:p>
    <w:p>
      <w:pPr>
        <w:tabs>
          <w:tab w:val="left" w:pos="900"/>
        </w:tabs>
        <w:ind w:left="-617"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附表3</w:t>
      </w: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技术标评审标准</w:t>
      </w:r>
    </w:p>
    <w:tbl>
      <w:tblPr>
        <w:tblStyle w:val="21"/>
        <w:tblpPr w:leftFromText="180" w:rightFromText="180" w:vertAnchor="text" w:horzAnchor="margin" w:tblpY="236"/>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
        <w:gridCol w:w="702"/>
        <w:gridCol w:w="4377"/>
        <w:gridCol w:w="30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85" w:type="dxa"/>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项目</w:t>
            </w:r>
          </w:p>
        </w:tc>
        <w:tc>
          <w:tcPr>
            <w:tcW w:w="5079" w:type="dxa"/>
            <w:gridSpan w:val="2"/>
            <w:vMerge w:val="restart"/>
            <w:tcBorders>
              <w:right w:val="single" w:color="auto" w:sz="4" w:space="0"/>
            </w:tcBorders>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评审内容</w:t>
            </w:r>
          </w:p>
        </w:tc>
        <w:tc>
          <w:tcPr>
            <w:tcW w:w="3014" w:type="dxa"/>
            <w:tcBorders>
              <w:left w:val="single" w:color="auto" w:sz="4" w:space="0"/>
              <w:bottom w:val="single" w:color="auto" w:sz="4" w:space="0"/>
            </w:tcBorders>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985" w:type="dxa"/>
            <w:vMerge w:val="continue"/>
            <w:noWrap w:val="0"/>
            <w:vAlign w:val="center"/>
          </w:tcPr>
          <w:p>
            <w:pPr>
              <w:jc w:val="center"/>
              <w:rPr>
                <w:rFonts w:hint="eastAsia" w:ascii="仿宋" w:hAnsi="仿宋" w:eastAsia="仿宋" w:cs="仿宋"/>
                <w:b/>
                <w:color w:val="auto"/>
                <w:sz w:val="24"/>
              </w:rPr>
            </w:pPr>
          </w:p>
        </w:tc>
        <w:tc>
          <w:tcPr>
            <w:tcW w:w="5079" w:type="dxa"/>
            <w:gridSpan w:val="2"/>
            <w:vMerge w:val="continue"/>
            <w:tcBorders>
              <w:right w:val="single" w:color="auto" w:sz="4" w:space="0"/>
            </w:tcBorders>
            <w:noWrap w:val="0"/>
            <w:vAlign w:val="center"/>
          </w:tcPr>
          <w:p>
            <w:pPr>
              <w:jc w:val="center"/>
              <w:rPr>
                <w:rFonts w:hint="eastAsia" w:ascii="仿宋" w:hAnsi="仿宋" w:eastAsia="仿宋" w:cs="仿宋"/>
                <w:b/>
                <w:color w:val="auto"/>
                <w:sz w:val="24"/>
              </w:rPr>
            </w:pPr>
          </w:p>
        </w:tc>
        <w:tc>
          <w:tcPr>
            <w:tcW w:w="3014" w:type="dxa"/>
            <w:tcBorders>
              <w:top w:val="single" w:color="auto" w:sz="4" w:space="0"/>
              <w:left w:val="single" w:color="auto" w:sz="4" w:space="0"/>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restart"/>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技</w:t>
            </w:r>
          </w:p>
          <w:p>
            <w:pPr>
              <w:jc w:val="center"/>
              <w:rPr>
                <w:rFonts w:hint="eastAsia" w:ascii="仿宋" w:hAnsi="仿宋" w:eastAsia="仿宋" w:cs="仿宋"/>
                <w:color w:val="auto"/>
                <w:sz w:val="24"/>
              </w:rPr>
            </w:pPr>
            <w:r>
              <w:rPr>
                <w:rFonts w:hint="eastAsia" w:ascii="仿宋" w:hAnsi="仿宋" w:eastAsia="仿宋" w:cs="仿宋"/>
                <w:color w:val="auto"/>
                <w:sz w:val="24"/>
              </w:rPr>
              <w:t>术</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评</w:t>
            </w:r>
          </w:p>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准</w:t>
            </w: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施工方案与技术措施</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质量保证措施和创优计划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施工总进度计划及保证措施</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施工安全措施计划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文明施工措施计划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6</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施工场地治安保卫管理计划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7</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施工环保措施计划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8</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施工现场总平面布置（附图）</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9</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项目组织管理机构</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成品保护和工程保修工作的管理和承诺</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任何可能的紧急情况的处理措施、预案以及抵抗风险的措施</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对总包管理的认识以及对专业分包工程的配合、协调、管理、服务方案</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85" w:type="dxa"/>
            <w:vMerge w:val="continue"/>
            <w:tcBorders>
              <w:bottom w:val="single" w:color="auto" w:sz="4" w:space="0"/>
            </w:tcBorders>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985" w:type="dxa"/>
            <w:tcBorders>
              <w:top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5079" w:type="dxa"/>
            <w:gridSpan w:val="2"/>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是否通过评审</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w:t>
      </w:r>
      <w:r>
        <w:rPr>
          <w:rFonts w:hint="eastAsia" w:ascii="仿宋" w:hAnsi="仿宋" w:eastAsia="仿宋" w:cs="仿宋"/>
          <w:b/>
          <w:bCs/>
          <w:color w:val="auto"/>
          <w:kern w:val="0"/>
          <w:lang w:eastAsia="zh-CN"/>
        </w:rPr>
        <w:t>二次报价</w:t>
      </w:r>
      <w:r>
        <w:rPr>
          <w:rFonts w:hint="eastAsia" w:ascii="仿宋" w:hAnsi="仿宋" w:eastAsia="仿宋" w:cs="仿宋"/>
          <w:b/>
          <w:bCs/>
          <w:color w:val="auto"/>
          <w:kern w:val="0"/>
        </w:rPr>
        <w:t>，</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sectPr>
      <w:headerReference r:id="rId8" w:type="default"/>
      <w:footerReference r:id="rId9"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31"/>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VsssBAACY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6&#10;TQINHmuqe/BUGce3MKbiOY4UTLzHLtj0JUaM8iTv6SqvGiOT6dKqWq1KSknKXRzCKR6v+4DxnQLL&#10;ktHwQO+XZRXHDxin0ktJ6ubgXhtDcVEbx4aGv76pbvKFa4bAjaMeicQ0bLLiuBtnBjtoT0RsoB1o&#10;uKOV58y8dyRxWpeLES7GbjZSS/RvDpEmyIMl1AlqbkYPlqnNy5U24m8/Vz3+U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LvVbLLAQAAm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OcpHKzwEAAKYDAAAOAAAAAAAAAAEAIAAAAB4BAABkcnMv&#10;ZTJvRG9jLnhtbFBLBQYAAAAABgAGAFkBAABf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D8DD1"/>
    <w:multiLevelType w:val="singleLevel"/>
    <w:tmpl w:val="BBBD8DD1"/>
    <w:lvl w:ilvl="0" w:tentative="0">
      <w:start w:val="3"/>
      <w:numFmt w:val="chineseCounting"/>
      <w:suff w:val="space"/>
      <w:lvlText w:val="第%1章"/>
      <w:lvlJc w:val="left"/>
      <w:rPr>
        <w:rFonts w:hint="eastAsia"/>
      </w:rPr>
    </w:lvl>
  </w:abstractNum>
  <w:abstractNum w:abstractNumId="1">
    <w:nsid w:val="E5ACD4D1"/>
    <w:multiLevelType w:val="singleLevel"/>
    <w:tmpl w:val="E5ACD4D1"/>
    <w:lvl w:ilvl="0" w:tentative="0">
      <w:start w:val="1"/>
      <w:numFmt w:val="chineseCounting"/>
      <w:suff w:val="nothing"/>
      <w:lvlText w:val="%1、"/>
      <w:lvlJc w:val="left"/>
      <w:rPr>
        <w:rFonts w:hint="eastAsia"/>
      </w:rPr>
    </w:lvl>
  </w:abstractNum>
  <w:abstractNum w:abstractNumId="2">
    <w:nsid w:val="0000000D"/>
    <w:multiLevelType w:val="singleLevel"/>
    <w:tmpl w:val="0000000D"/>
    <w:lvl w:ilvl="0" w:tentative="0">
      <w:start w:val="2"/>
      <w:numFmt w:val="decimal"/>
      <w:suff w:val="nothing"/>
      <w:lvlText w:val="%1、"/>
      <w:lvlJc w:val="left"/>
    </w:lvl>
  </w:abstractNum>
  <w:abstractNum w:abstractNumId="3">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DADD73E"/>
    <w:multiLevelType w:val="singleLevel"/>
    <w:tmpl w:val="2DADD73E"/>
    <w:lvl w:ilvl="0" w:tentative="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4BF"/>
    <w:rsid w:val="00104C70"/>
    <w:rsid w:val="0012169A"/>
    <w:rsid w:val="00172A27"/>
    <w:rsid w:val="00216BF8"/>
    <w:rsid w:val="0021779C"/>
    <w:rsid w:val="00344153"/>
    <w:rsid w:val="00386981"/>
    <w:rsid w:val="003D337A"/>
    <w:rsid w:val="00445C3D"/>
    <w:rsid w:val="00480178"/>
    <w:rsid w:val="004B1B11"/>
    <w:rsid w:val="004D20A8"/>
    <w:rsid w:val="0075614B"/>
    <w:rsid w:val="00844E1F"/>
    <w:rsid w:val="008A0081"/>
    <w:rsid w:val="00944359"/>
    <w:rsid w:val="009750AF"/>
    <w:rsid w:val="009A4004"/>
    <w:rsid w:val="009F17BA"/>
    <w:rsid w:val="00A9213A"/>
    <w:rsid w:val="00AC129C"/>
    <w:rsid w:val="00B32A60"/>
    <w:rsid w:val="00E20D62"/>
    <w:rsid w:val="00F71A8D"/>
    <w:rsid w:val="00F92614"/>
    <w:rsid w:val="00FF7E50"/>
    <w:rsid w:val="011E53F8"/>
    <w:rsid w:val="014172CF"/>
    <w:rsid w:val="014B0C2C"/>
    <w:rsid w:val="017653BA"/>
    <w:rsid w:val="0194221B"/>
    <w:rsid w:val="01B61F30"/>
    <w:rsid w:val="0213371D"/>
    <w:rsid w:val="03104DBB"/>
    <w:rsid w:val="034F1DFF"/>
    <w:rsid w:val="037F56F0"/>
    <w:rsid w:val="03923996"/>
    <w:rsid w:val="0420480A"/>
    <w:rsid w:val="04F241FB"/>
    <w:rsid w:val="05510F0B"/>
    <w:rsid w:val="05623073"/>
    <w:rsid w:val="06191511"/>
    <w:rsid w:val="06310336"/>
    <w:rsid w:val="071B4F03"/>
    <w:rsid w:val="080947BC"/>
    <w:rsid w:val="083C7452"/>
    <w:rsid w:val="08742179"/>
    <w:rsid w:val="08907291"/>
    <w:rsid w:val="089C3051"/>
    <w:rsid w:val="08CA70A7"/>
    <w:rsid w:val="09001592"/>
    <w:rsid w:val="09200A20"/>
    <w:rsid w:val="09D06107"/>
    <w:rsid w:val="0A0D3D33"/>
    <w:rsid w:val="0A790247"/>
    <w:rsid w:val="0AE32E85"/>
    <w:rsid w:val="0BAB4F00"/>
    <w:rsid w:val="0BD446AA"/>
    <w:rsid w:val="0C0D6A06"/>
    <w:rsid w:val="0CB64430"/>
    <w:rsid w:val="0D83719E"/>
    <w:rsid w:val="0DE6661A"/>
    <w:rsid w:val="0DF84213"/>
    <w:rsid w:val="0DFB3C3A"/>
    <w:rsid w:val="0E1423B6"/>
    <w:rsid w:val="0E460661"/>
    <w:rsid w:val="0EF840B2"/>
    <w:rsid w:val="0F4229A4"/>
    <w:rsid w:val="0F876D0A"/>
    <w:rsid w:val="10101D74"/>
    <w:rsid w:val="10151956"/>
    <w:rsid w:val="10195651"/>
    <w:rsid w:val="107505B5"/>
    <w:rsid w:val="108B38A3"/>
    <w:rsid w:val="10B20EE8"/>
    <w:rsid w:val="113F19ED"/>
    <w:rsid w:val="118B0B2E"/>
    <w:rsid w:val="11C27EAF"/>
    <w:rsid w:val="123A2361"/>
    <w:rsid w:val="123C1338"/>
    <w:rsid w:val="126047B8"/>
    <w:rsid w:val="12CC1638"/>
    <w:rsid w:val="12DE7850"/>
    <w:rsid w:val="12F61908"/>
    <w:rsid w:val="13221E3F"/>
    <w:rsid w:val="13467FDE"/>
    <w:rsid w:val="135A67B2"/>
    <w:rsid w:val="1423304B"/>
    <w:rsid w:val="142866C1"/>
    <w:rsid w:val="142C2680"/>
    <w:rsid w:val="14532D44"/>
    <w:rsid w:val="14E8441E"/>
    <w:rsid w:val="150B434B"/>
    <w:rsid w:val="15645E5E"/>
    <w:rsid w:val="16165524"/>
    <w:rsid w:val="16192F9B"/>
    <w:rsid w:val="163E1B97"/>
    <w:rsid w:val="169F7D34"/>
    <w:rsid w:val="1793280D"/>
    <w:rsid w:val="17F436AC"/>
    <w:rsid w:val="180122D1"/>
    <w:rsid w:val="1837780C"/>
    <w:rsid w:val="188511FE"/>
    <w:rsid w:val="18DE5CB4"/>
    <w:rsid w:val="18FC3D6D"/>
    <w:rsid w:val="198F2F98"/>
    <w:rsid w:val="199152FA"/>
    <w:rsid w:val="19DD5B52"/>
    <w:rsid w:val="19E16DE4"/>
    <w:rsid w:val="19F439C0"/>
    <w:rsid w:val="1A1D4BDD"/>
    <w:rsid w:val="1A5D0348"/>
    <w:rsid w:val="1A955906"/>
    <w:rsid w:val="1B05340F"/>
    <w:rsid w:val="1B1A3BD5"/>
    <w:rsid w:val="1B42758B"/>
    <w:rsid w:val="1C0F477B"/>
    <w:rsid w:val="1C822216"/>
    <w:rsid w:val="1CB24CC2"/>
    <w:rsid w:val="1D0F49C9"/>
    <w:rsid w:val="1D57651C"/>
    <w:rsid w:val="1DA93EF6"/>
    <w:rsid w:val="1E611AEF"/>
    <w:rsid w:val="1E6B1643"/>
    <w:rsid w:val="1EE10F71"/>
    <w:rsid w:val="1F836E34"/>
    <w:rsid w:val="1F893668"/>
    <w:rsid w:val="1FDF33CF"/>
    <w:rsid w:val="1FEA5CA7"/>
    <w:rsid w:val="20180484"/>
    <w:rsid w:val="205F4C05"/>
    <w:rsid w:val="20BE4151"/>
    <w:rsid w:val="20C82894"/>
    <w:rsid w:val="211640D6"/>
    <w:rsid w:val="2119652C"/>
    <w:rsid w:val="21AB65DB"/>
    <w:rsid w:val="21DA3510"/>
    <w:rsid w:val="21F95202"/>
    <w:rsid w:val="22DE5957"/>
    <w:rsid w:val="22E75988"/>
    <w:rsid w:val="22FA6604"/>
    <w:rsid w:val="23072FCF"/>
    <w:rsid w:val="23896D1F"/>
    <w:rsid w:val="23DD40D6"/>
    <w:rsid w:val="245F16F8"/>
    <w:rsid w:val="24EA0ADB"/>
    <w:rsid w:val="25173828"/>
    <w:rsid w:val="259255AA"/>
    <w:rsid w:val="25C145B5"/>
    <w:rsid w:val="26485D2F"/>
    <w:rsid w:val="2687382E"/>
    <w:rsid w:val="26BA48B0"/>
    <w:rsid w:val="26E045B3"/>
    <w:rsid w:val="26E862B1"/>
    <w:rsid w:val="274770C2"/>
    <w:rsid w:val="278155AC"/>
    <w:rsid w:val="278C62CC"/>
    <w:rsid w:val="27C442C6"/>
    <w:rsid w:val="2828486F"/>
    <w:rsid w:val="28784349"/>
    <w:rsid w:val="287F2BE3"/>
    <w:rsid w:val="288C3EE2"/>
    <w:rsid w:val="28E750F1"/>
    <w:rsid w:val="290F7223"/>
    <w:rsid w:val="299B3F7C"/>
    <w:rsid w:val="29A66C06"/>
    <w:rsid w:val="29BB144C"/>
    <w:rsid w:val="29EA05BD"/>
    <w:rsid w:val="29EF671E"/>
    <w:rsid w:val="2AE02E0C"/>
    <w:rsid w:val="2BD74AE8"/>
    <w:rsid w:val="2C557B11"/>
    <w:rsid w:val="2C5A7063"/>
    <w:rsid w:val="2CAF1403"/>
    <w:rsid w:val="2CD604AC"/>
    <w:rsid w:val="2D053EFC"/>
    <w:rsid w:val="2D1E3CB5"/>
    <w:rsid w:val="2D84453C"/>
    <w:rsid w:val="2DC92375"/>
    <w:rsid w:val="2E8375EF"/>
    <w:rsid w:val="2EE175DD"/>
    <w:rsid w:val="2EFE652E"/>
    <w:rsid w:val="3020296A"/>
    <w:rsid w:val="302C0555"/>
    <w:rsid w:val="306D109F"/>
    <w:rsid w:val="30B06731"/>
    <w:rsid w:val="310C5993"/>
    <w:rsid w:val="31255BB1"/>
    <w:rsid w:val="314E1CFD"/>
    <w:rsid w:val="316C0C9B"/>
    <w:rsid w:val="318078C7"/>
    <w:rsid w:val="31B648E9"/>
    <w:rsid w:val="31F67B49"/>
    <w:rsid w:val="3281657A"/>
    <w:rsid w:val="32D80290"/>
    <w:rsid w:val="32F205BC"/>
    <w:rsid w:val="32FB70D5"/>
    <w:rsid w:val="332E1BA1"/>
    <w:rsid w:val="33877538"/>
    <w:rsid w:val="3389089C"/>
    <w:rsid w:val="33BE7D07"/>
    <w:rsid w:val="340669DC"/>
    <w:rsid w:val="347771CD"/>
    <w:rsid w:val="34AE6A99"/>
    <w:rsid w:val="351852F5"/>
    <w:rsid w:val="354E5977"/>
    <w:rsid w:val="362178F7"/>
    <w:rsid w:val="362C4D4C"/>
    <w:rsid w:val="36364C68"/>
    <w:rsid w:val="36715364"/>
    <w:rsid w:val="3758350E"/>
    <w:rsid w:val="37AC02CE"/>
    <w:rsid w:val="381D2F49"/>
    <w:rsid w:val="38E70460"/>
    <w:rsid w:val="397815B9"/>
    <w:rsid w:val="39F96B6F"/>
    <w:rsid w:val="3A106E27"/>
    <w:rsid w:val="3A267D42"/>
    <w:rsid w:val="3A63546F"/>
    <w:rsid w:val="3AF148A2"/>
    <w:rsid w:val="3B3C354E"/>
    <w:rsid w:val="3B6C55F5"/>
    <w:rsid w:val="3B8B6852"/>
    <w:rsid w:val="3BDF78D2"/>
    <w:rsid w:val="3C5E2927"/>
    <w:rsid w:val="3CEC35AE"/>
    <w:rsid w:val="3D1D646B"/>
    <w:rsid w:val="3DA85F5E"/>
    <w:rsid w:val="3DAC5B3A"/>
    <w:rsid w:val="3DCF69EF"/>
    <w:rsid w:val="3DF525DA"/>
    <w:rsid w:val="3E1520AD"/>
    <w:rsid w:val="3E17498C"/>
    <w:rsid w:val="3E3A3FCF"/>
    <w:rsid w:val="3EAF3474"/>
    <w:rsid w:val="3EB214CF"/>
    <w:rsid w:val="40156630"/>
    <w:rsid w:val="408811D7"/>
    <w:rsid w:val="40FA70ED"/>
    <w:rsid w:val="410021E2"/>
    <w:rsid w:val="410539BD"/>
    <w:rsid w:val="413F6215"/>
    <w:rsid w:val="414A322A"/>
    <w:rsid w:val="4161752A"/>
    <w:rsid w:val="418B04C1"/>
    <w:rsid w:val="41DE7F47"/>
    <w:rsid w:val="41E372B8"/>
    <w:rsid w:val="41ED7E39"/>
    <w:rsid w:val="422743AE"/>
    <w:rsid w:val="422D022E"/>
    <w:rsid w:val="4264687D"/>
    <w:rsid w:val="42A5259A"/>
    <w:rsid w:val="43B4507A"/>
    <w:rsid w:val="445E7C78"/>
    <w:rsid w:val="44C442E4"/>
    <w:rsid w:val="44CC6CDA"/>
    <w:rsid w:val="456259CC"/>
    <w:rsid w:val="45EC76ED"/>
    <w:rsid w:val="464721DD"/>
    <w:rsid w:val="464F4045"/>
    <w:rsid w:val="466E4DF7"/>
    <w:rsid w:val="47285DD8"/>
    <w:rsid w:val="473B3D8F"/>
    <w:rsid w:val="476906B6"/>
    <w:rsid w:val="47695BF4"/>
    <w:rsid w:val="47A35D70"/>
    <w:rsid w:val="48D56A43"/>
    <w:rsid w:val="492C67C5"/>
    <w:rsid w:val="494D45E3"/>
    <w:rsid w:val="49BE3602"/>
    <w:rsid w:val="49FF5945"/>
    <w:rsid w:val="4A0C5883"/>
    <w:rsid w:val="4A547140"/>
    <w:rsid w:val="4A6A0783"/>
    <w:rsid w:val="4A6F4505"/>
    <w:rsid w:val="4A9553AE"/>
    <w:rsid w:val="4ADD04BF"/>
    <w:rsid w:val="4BCA2CDE"/>
    <w:rsid w:val="4CD16E5B"/>
    <w:rsid w:val="4CDC0D6A"/>
    <w:rsid w:val="4D5C4534"/>
    <w:rsid w:val="4E046D68"/>
    <w:rsid w:val="4E133C2A"/>
    <w:rsid w:val="4E547236"/>
    <w:rsid w:val="4EF470EB"/>
    <w:rsid w:val="4F733A67"/>
    <w:rsid w:val="4FDA2F77"/>
    <w:rsid w:val="506720D3"/>
    <w:rsid w:val="51015649"/>
    <w:rsid w:val="520A2CFD"/>
    <w:rsid w:val="52821BEF"/>
    <w:rsid w:val="52AF3245"/>
    <w:rsid w:val="52C3518A"/>
    <w:rsid w:val="53652828"/>
    <w:rsid w:val="53A40329"/>
    <w:rsid w:val="542A41C7"/>
    <w:rsid w:val="548F58F7"/>
    <w:rsid w:val="54B864B8"/>
    <w:rsid w:val="551B5D96"/>
    <w:rsid w:val="559512C4"/>
    <w:rsid w:val="55BA3A99"/>
    <w:rsid w:val="56185C7B"/>
    <w:rsid w:val="56315A50"/>
    <w:rsid w:val="56385A7F"/>
    <w:rsid w:val="56573C63"/>
    <w:rsid w:val="569A316E"/>
    <w:rsid w:val="56C1312C"/>
    <w:rsid w:val="57DC1393"/>
    <w:rsid w:val="590E65D6"/>
    <w:rsid w:val="597B36F4"/>
    <w:rsid w:val="59A16A1F"/>
    <w:rsid w:val="5A105358"/>
    <w:rsid w:val="5A2E409B"/>
    <w:rsid w:val="5A6928A6"/>
    <w:rsid w:val="5B615207"/>
    <w:rsid w:val="5BB54579"/>
    <w:rsid w:val="5BB8082D"/>
    <w:rsid w:val="5C550067"/>
    <w:rsid w:val="5C6421C9"/>
    <w:rsid w:val="5CDD55F3"/>
    <w:rsid w:val="5CE611CC"/>
    <w:rsid w:val="5D00705A"/>
    <w:rsid w:val="5DAB7BB0"/>
    <w:rsid w:val="5DB27194"/>
    <w:rsid w:val="5E0B1338"/>
    <w:rsid w:val="5E9D13E5"/>
    <w:rsid w:val="5EE65A13"/>
    <w:rsid w:val="5F7D6F40"/>
    <w:rsid w:val="5F9402F8"/>
    <w:rsid w:val="60BA6832"/>
    <w:rsid w:val="616917F4"/>
    <w:rsid w:val="616D1696"/>
    <w:rsid w:val="61E05B13"/>
    <w:rsid w:val="61FB0611"/>
    <w:rsid w:val="620211EE"/>
    <w:rsid w:val="62D858F4"/>
    <w:rsid w:val="64832D23"/>
    <w:rsid w:val="64AF6728"/>
    <w:rsid w:val="652517CA"/>
    <w:rsid w:val="654B6332"/>
    <w:rsid w:val="655C06CA"/>
    <w:rsid w:val="66657381"/>
    <w:rsid w:val="668B248D"/>
    <w:rsid w:val="668B7D9E"/>
    <w:rsid w:val="67743E38"/>
    <w:rsid w:val="679A3947"/>
    <w:rsid w:val="682938C8"/>
    <w:rsid w:val="6831681F"/>
    <w:rsid w:val="68454482"/>
    <w:rsid w:val="686C3ECB"/>
    <w:rsid w:val="688643B0"/>
    <w:rsid w:val="691435B6"/>
    <w:rsid w:val="694B0900"/>
    <w:rsid w:val="6979068B"/>
    <w:rsid w:val="697E4DE2"/>
    <w:rsid w:val="69AC611D"/>
    <w:rsid w:val="6A3640A9"/>
    <w:rsid w:val="6A862066"/>
    <w:rsid w:val="6AB36E88"/>
    <w:rsid w:val="6ACF2184"/>
    <w:rsid w:val="6AE57834"/>
    <w:rsid w:val="6B1C0782"/>
    <w:rsid w:val="6B8F4AC4"/>
    <w:rsid w:val="6B910B23"/>
    <w:rsid w:val="6B935BAC"/>
    <w:rsid w:val="6C7934B7"/>
    <w:rsid w:val="6CA541BB"/>
    <w:rsid w:val="6D780672"/>
    <w:rsid w:val="6DAA2819"/>
    <w:rsid w:val="6DCB5845"/>
    <w:rsid w:val="6DEA577A"/>
    <w:rsid w:val="6E0A3088"/>
    <w:rsid w:val="6E18201D"/>
    <w:rsid w:val="6E33784F"/>
    <w:rsid w:val="6E426274"/>
    <w:rsid w:val="6E4E30E2"/>
    <w:rsid w:val="6E822F8D"/>
    <w:rsid w:val="6ECE5CFE"/>
    <w:rsid w:val="6F5F270C"/>
    <w:rsid w:val="6FC821E7"/>
    <w:rsid w:val="6FE522CC"/>
    <w:rsid w:val="701019B8"/>
    <w:rsid w:val="70A55066"/>
    <w:rsid w:val="70AE03F6"/>
    <w:rsid w:val="70C80492"/>
    <w:rsid w:val="711340D8"/>
    <w:rsid w:val="71432719"/>
    <w:rsid w:val="71BC14C6"/>
    <w:rsid w:val="72157EBD"/>
    <w:rsid w:val="72352B20"/>
    <w:rsid w:val="727809EA"/>
    <w:rsid w:val="73950252"/>
    <w:rsid w:val="739B362E"/>
    <w:rsid w:val="73A2690C"/>
    <w:rsid w:val="73AF7D9B"/>
    <w:rsid w:val="7400692D"/>
    <w:rsid w:val="74BA43DC"/>
    <w:rsid w:val="75BB4F5F"/>
    <w:rsid w:val="75F74FCF"/>
    <w:rsid w:val="76671439"/>
    <w:rsid w:val="77730BA5"/>
    <w:rsid w:val="777D05BA"/>
    <w:rsid w:val="77B93BA5"/>
    <w:rsid w:val="77E42349"/>
    <w:rsid w:val="78BE1D53"/>
    <w:rsid w:val="78F71DE1"/>
    <w:rsid w:val="79A23FBB"/>
    <w:rsid w:val="79BA13AB"/>
    <w:rsid w:val="7A1C7A41"/>
    <w:rsid w:val="7AB1513F"/>
    <w:rsid w:val="7B2A33CB"/>
    <w:rsid w:val="7BCA5FF7"/>
    <w:rsid w:val="7CC1340A"/>
    <w:rsid w:val="7D7129D8"/>
    <w:rsid w:val="7D7B1D74"/>
    <w:rsid w:val="7D93553C"/>
    <w:rsid w:val="7DCE2025"/>
    <w:rsid w:val="7E9A0301"/>
    <w:rsid w:val="7EA0301F"/>
    <w:rsid w:val="7EFB0614"/>
    <w:rsid w:val="7F0B618A"/>
    <w:rsid w:val="7F2B27A3"/>
    <w:rsid w:val="7F334873"/>
    <w:rsid w:val="7F972780"/>
    <w:rsid w:val="7FA7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38"/>
    <w:qFormat/>
    <w:uiPriority w:val="0"/>
    <w:pPr>
      <w:keepNext/>
      <w:keepLines/>
      <w:spacing w:before="100" w:after="90" w:line="576" w:lineRule="auto"/>
      <w:jc w:val="center"/>
      <w:outlineLvl w:val="0"/>
    </w:pPr>
    <w:rPr>
      <w:b/>
      <w:kern w:val="44"/>
      <w:sz w:val="36"/>
      <w:szCs w:val="44"/>
    </w:rPr>
  </w:style>
  <w:style w:type="paragraph" w:styleId="5">
    <w:name w:val="heading 2"/>
    <w:basedOn w:val="1"/>
    <w:next w:val="1"/>
    <w:link w:val="35"/>
    <w:unhideWhenUsed/>
    <w:qFormat/>
    <w:uiPriority w:val="0"/>
    <w:pPr>
      <w:keepNext/>
      <w:keepLines/>
      <w:spacing w:before="240" w:after="240"/>
      <w:outlineLvl w:val="1"/>
    </w:pPr>
    <w:rPr>
      <w:rFonts w:ascii="Arial" w:hAnsi="Arial"/>
      <w:b/>
    </w:rPr>
  </w:style>
  <w:style w:type="paragraph" w:styleId="6">
    <w:name w:val="heading 3"/>
    <w:basedOn w:val="1"/>
    <w:next w:val="1"/>
    <w:link w:val="30"/>
    <w:semiHidden/>
    <w:unhideWhenUsed/>
    <w:qFormat/>
    <w:uiPriority w:val="0"/>
    <w:pPr>
      <w:keepNext/>
      <w:keepLines/>
      <w:jc w:val="left"/>
      <w:outlineLvl w:val="2"/>
    </w:pPr>
    <w:rPr>
      <w:b/>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qFormat/>
    <w:uiPriority w:val="0"/>
    <w:pPr>
      <w:spacing w:after="120"/>
      <w:ind w:left="420" w:leftChars="200"/>
    </w:pPr>
    <w:rPr>
      <w:kern w:val="0"/>
      <w:sz w:val="20"/>
    </w:rPr>
  </w:style>
  <w:style w:type="paragraph" w:styleId="7">
    <w:name w:val="Normal Indent"/>
    <w:basedOn w:val="1"/>
    <w:next w:val="1"/>
    <w:unhideWhenUsed/>
    <w:qFormat/>
    <w:uiPriority w:val="99"/>
    <w:pPr>
      <w:ind w:firstLine="420" w:firstLineChars="200"/>
    </w:pPr>
  </w:style>
  <w:style w:type="paragraph" w:styleId="8">
    <w:name w:val="Body Text 3"/>
    <w:basedOn w:val="1"/>
    <w:qFormat/>
    <w:uiPriority w:val="0"/>
    <w:pPr>
      <w:spacing w:after="120"/>
    </w:pPr>
    <w:rPr>
      <w:sz w:val="16"/>
      <w:szCs w:val="16"/>
    </w:rPr>
  </w:style>
  <w:style w:type="paragraph" w:styleId="9">
    <w:name w:val="Body Text"/>
    <w:basedOn w:val="1"/>
    <w:next w:val="10"/>
    <w:qFormat/>
    <w:uiPriority w:val="0"/>
    <w:pPr>
      <w:spacing w:after="120"/>
    </w:pPr>
    <w:rPr>
      <w:sz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2"/>
    <w:basedOn w:val="1"/>
    <w:qFormat/>
    <w:uiPriority w:val="99"/>
    <w:pPr>
      <w:ind w:left="100" w:leftChars="200" w:hanging="200" w:hangingChars="200"/>
      <w:contextualSpacing/>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11"/>
      <w:szCs w:val="20"/>
    </w:rPr>
  </w:style>
  <w:style w:type="paragraph" w:styleId="14">
    <w:name w:val="Body Text Indent 2"/>
    <w:basedOn w:val="1"/>
    <w:qFormat/>
    <w:uiPriority w:val="0"/>
    <w:pPr>
      <w:spacing w:line="360" w:lineRule="auto"/>
      <w:ind w:firstLine="570"/>
    </w:pPr>
    <w:rPr>
      <w:rFonts w:ascii="宋体" w:hAnsi="宋体"/>
      <w:iCs/>
      <w:sz w:val="28"/>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0"/>
  </w:style>
  <w:style w:type="paragraph" w:styleId="18">
    <w:name w:val="footnote text"/>
    <w:basedOn w:val="1"/>
    <w:qFormat/>
    <w:uiPriority w:val="0"/>
    <w:pPr>
      <w:adjustRightInd w:val="0"/>
      <w:spacing w:line="312" w:lineRule="atLeast"/>
      <w:jc w:val="left"/>
      <w:textAlignment w:val="baseline"/>
    </w:pPr>
    <w:rPr>
      <w:kern w:val="0"/>
      <w:sz w:val="18"/>
      <w:szCs w:val="20"/>
    </w:rPr>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kern w:val="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000000"/>
      <w:sz w:val="18"/>
      <w:szCs w:val="18"/>
      <w:u w:val="none"/>
    </w:rPr>
  </w:style>
  <w:style w:type="character" w:styleId="27">
    <w:name w:val="Hyperlink"/>
    <w:basedOn w:val="23"/>
    <w:qFormat/>
    <w:uiPriority w:val="0"/>
    <w:rPr>
      <w:color w:val="000000"/>
      <w:sz w:val="18"/>
      <w:szCs w:val="18"/>
      <w:u w:val="none"/>
    </w:rPr>
  </w:style>
  <w:style w:type="paragraph" w:customStyle="1" w:styleId="2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文本正文"/>
    <w:basedOn w:val="1"/>
    <w:qFormat/>
    <w:uiPriority w:val="0"/>
    <w:pPr>
      <w:spacing w:afterLines="50"/>
      <w:ind w:firstLine="200" w:firstLineChars="200"/>
      <w:jc w:val="left"/>
    </w:pPr>
    <w:rPr>
      <w:rFonts w:ascii="Calibri" w:hAnsi="Calibri"/>
      <w:szCs w:val="22"/>
      <w:lang w:bidi="en-US"/>
    </w:rPr>
  </w:style>
  <w:style w:type="character" w:customStyle="1" w:styleId="30">
    <w:name w:val="标题 3 字符"/>
    <w:basedOn w:val="23"/>
    <w:link w:val="6"/>
    <w:qFormat/>
    <w:uiPriority w:val="0"/>
    <w:rPr>
      <w:rFonts w:ascii="Times New Roman" w:hAnsi="Times New Roman" w:eastAsia="宋体"/>
      <w:b/>
      <w:bCs/>
      <w:sz w:val="24"/>
      <w:szCs w:val="32"/>
      <w:lang w:bidi="ar-SA"/>
    </w:rPr>
  </w:style>
  <w:style w:type="character" w:customStyle="1" w:styleId="31">
    <w:name w:val="font31"/>
    <w:basedOn w:val="23"/>
    <w:qFormat/>
    <w:uiPriority w:val="0"/>
    <w:rPr>
      <w:rFonts w:hint="eastAsia" w:ascii="宋体" w:hAnsi="宋体" w:eastAsia="宋体" w:cs="宋体"/>
      <w:color w:val="000000"/>
      <w:sz w:val="20"/>
      <w:szCs w:val="20"/>
      <w:u w:val="none"/>
    </w:rPr>
  </w:style>
  <w:style w:type="character" w:customStyle="1" w:styleId="32">
    <w:name w:val="font01"/>
    <w:basedOn w:val="23"/>
    <w:qFormat/>
    <w:uiPriority w:val="0"/>
    <w:rPr>
      <w:rFonts w:hint="eastAsia" w:ascii="宋体" w:hAnsi="宋体" w:eastAsia="宋体" w:cs="宋体"/>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4"/>
      <w:szCs w:val="24"/>
      <w:u w:val="none"/>
    </w:rPr>
  </w:style>
  <w:style w:type="character" w:customStyle="1" w:styleId="34">
    <w:name w:val="font11"/>
    <w:basedOn w:val="23"/>
    <w:qFormat/>
    <w:uiPriority w:val="0"/>
    <w:rPr>
      <w:rFonts w:hint="eastAsia" w:ascii="宋体" w:hAnsi="宋体" w:eastAsia="宋体" w:cs="宋体"/>
      <w:color w:val="000000"/>
      <w:sz w:val="20"/>
      <w:szCs w:val="20"/>
      <w:u w:val="none"/>
      <w:vertAlign w:val="superscript"/>
    </w:rPr>
  </w:style>
  <w:style w:type="character" w:customStyle="1" w:styleId="35">
    <w:name w:val="标题 2 字符"/>
    <w:link w:val="5"/>
    <w:qFormat/>
    <w:uiPriority w:val="0"/>
    <w:rPr>
      <w:rFonts w:ascii="Arial" w:hAnsi="Arial" w:eastAsia="宋体"/>
      <w:b/>
      <w:sz w:val="24"/>
      <w:szCs w:val="24"/>
      <w:lang w:bidi="ar-SA"/>
    </w:rPr>
  </w:style>
  <w:style w:type="paragraph" w:customStyle="1" w:styleId="36">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8">
    <w:name w:val="标题 1 字符"/>
    <w:link w:val="4"/>
    <w:qFormat/>
    <w:uiPriority w:val="0"/>
    <w:rPr>
      <w:rFonts w:ascii="Times New Roman" w:hAnsi="Times New Roman" w:eastAsia="宋体"/>
      <w:b/>
      <w:kern w:val="44"/>
      <w:sz w:val="36"/>
      <w:szCs w:val="44"/>
    </w:rPr>
  </w:style>
  <w:style w:type="paragraph" w:customStyle="1" w:styleId="39">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0">
    <w:name w:val="纯文本1"/>
    <w:basedOn w:val="1"/>
    <w:qFormat/>
    <w:uiPriority w:val="0"/>
    <w:rPr>
      <w:rFonts w:ascii="宋体" w:hAnsi="Courier New"/>
      <w:szCs w:val="22"/>
    </w:rPr>
  </w:style>
  <w:style w:type="character" w:customStyle="1" w:styleId="41">
    <w:name w:val="font61"/>
    <w:basedOn w:val="23"/>
    <w:qFormat/>
    <w:uiPriority w:val="0"/>
    <w:rPr>
      <w:rFonts w:hint="eastAsia" w:ascii="宋体" w:hAnsi="宋体" w:eastAsia="宋体" w:cs="宋体"/>
      <w:color w:val="FF0000"/>
      <w:sz w:val="20"/>
      <w:szCs w:val="20"/>
      <w:u w:val="none"/>
    </w:rPr>
  </w:style>
  <w:style w:type="paragraph" w:customStyle="1" w:styleId="42">
    <w:name w:val="Table Paragraph"/>
    <w:basedOn w:val="1"/>
    <w:qFormat/>
    <w:uiPriority w:val="99"/>
  </w:style>
  <w:style w:type="paragraph" w:styleId="43">
    <w:name w:val="List Paragraph"/>
    <w:basedOn w:val="1"/>
    <w:qFormat/>
    <w:uiPriority w:val="99"/>
    <w:pPr>
      <w:ind w:firstLine="420" w:firstLineChars="200"/>
    </w:p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样式1"/>
    <w:basedOn w:val="1"/>
    <w:qFormat/>
    <w:uiPriority w:val="0"/>
    <w:pPr>
      <w:tabs>
        <w:tab w:val="left" w:pos="1455"/>
      </w:tabs>
      <w:ind w:left="1455" w:hanging="1455"/>
    </w:pPr>
    <w:rPr>
      <w:sz w:val="28"/>
    </w:rPr>
  </w:style>
  <w:style w:type="paragraph" w:customStyle="1" w:styleId="47">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 w:type="paragraph" w:customStyle="1" w:styleId="4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szCs w:val="20"/>
    </w:rPr>
  </w:style>
  <w:style w:type="paragraph" w:customStyle="1" w:styleId="49">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4993</Words>
  <Characters>28466</Characters>
  <Lines>237</Lines>
  <Paragraphs>66</Paragraphs>
  <TotalTime>19</TotalTime>
  <ScaleCrop>false</ScaleCrop>
  <LinksUpToDate>false</LinksUpToDate>
  <CharactersWithSpaces>33393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&amp;纸上谈情#</cp:lastModifiedBy>
  <cp:lastPrinted>2021-03-23T12:01:00Z</cp:lastPrinted>
  <dcterms:modified xsi:type="dcterms:W3CDTF">2021-10-31T12:08:49Z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79C429B236714C5F9FC6CA30396233A6</vt:lpwstr>
  </property>
</Properties>
</file>