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044" w:firstLineChars="200"/>
        <w:rPr>
          <w:rFonts w:ascii="仿宋_GB2312" w:hAnsi="宋体" w:eastAsia="仿宋_GB2312"/>
          <w:b/>
          <w:bCs/>
          <w:color w:val="auto"/>
          <w:sz w:val="52"/>
          <w:highlight w:val="none"/>
        </w:rPr>
      </w:pPr>
    </w:p>
    <w:p>
      <w:pPr>
        <w:spacing w:line="560" w:lineRule="exact"/>
        <w:ind w:left="86" w:leftChars="41"/>
        <w:jc w:val="center"/>
        <w:rPr>
          <w:rFonts w:ascii="黑体" w:hAnsi="黑体" w:eastAsia="黑体"/>
          <w:b/>
          <w:color w:val="auto"/>
          <w:sz w:val="44"/>
          <w:szCs w:val="44"/>
          <w:highlight w:val="none"/>
        </w:rPr>
      </w:pPr>
      <w:r>
        <w:rPr>
          <w:rFonts w:hint="eastAsia" w:ascii="黑体" w:hAnsi="黑体" w:eastAsia="黑体"/>
          <w:b/>
          <w:color w:val="auto"/>
          <w:sz w:val="44"/>
          <w:szCs w:val="44"/>
          <w:highlight w:val="none"/>
        </w:rPr>
        <w:t>昌</w:t>
      </w:r>
      <w:r>
        <w:rPr>
          <w:rFonts w:hint="eastAsia" w:ascii="黑体" w:hAnsi="黑体" w:eastAsia="黑体"/>
          <w:b/>
          <w:color w:val="auto"/>
          <w:sz w:val="44"/>
          <w:szCs w:val="44"/>
          <w:highlight w:val="none"/>
        </w:rPr>
        <w:t xml:space="preserve"> 吉 市 政 府 采 购 中 心</w:t>
      </w:r>
    </w:p>
    <w:p>
      <w:pPr>
        <w:spacing w:line="560" w:lineRule="exact"/>
        <w:rPr>
          <w:rFonts w:ascii="仿宋_GB2312" w:hAnsi="宋体" w:eastAsia="仿宋_GB2312"/>
          <w:b/>
          <w:bCs/>
          <w:color w:val="auto"/>
          <w:sz w:val="52"/>
          <w:highlight w:val="none"/>
        </w:rPr>
      </w:pPr>
    </w:p>
    <w:p>
      <w:pPr>
        <w:spacing w:line="560" w:lineRule="exact"/>
        <w:rPr>
          <w:rFonts w:ascii="仿宋_GB2312" w:hAnsi="宋体" w:eastAsia="仿宋_GB2312"/>
          <w:b/>
          <w:bCs/>
          <w:color w:val="auto"/>
          <w:sz w:val="52"/>
          <w:highlight w:val="none"/>
        </w:rPr>
      </w:pPr>
    </w:p>
    <w:p>
      <w:pPr>
        <w:spacing w:line="560" w:lineRule="exact"/>
        <w:rPr>
          <w:rFonts w:ascii="仿宋_GB2312" w:hAnsi="宋体" w:eastAsia="仿宋_GB2312"/>
          <w:b/>
          <w:bCs/>
          <w:color w:val="auto"/>
          <w:sz w:val="52"/>
          <w:highlight w:val="none"/>
        </w:rPr>
      </w:pPr>
    </w:p>
    <w:p>
      <w:pPr>
        <w:spacing w:line="560" w:lineRule="exact"/>
        <w:rPr>
          <w:rFonts w:ascii="仿宋_GB2312" w:hAnsi="宋体" w:eastAsia="仿宋_GB2312"/>
          <w:b/>
          <w:bCs/>
          <w:color w:val="auto"/>
          <w:sz w:val="52"/>
          <w:highlight w:val="none"/>
        </w:rPr>
      </w:pPr>
    </w:p>
    <w:p>
      <w:pPr>
        <w:spacing w:line="560" w:lineRule="exact"/>
        <w:jc w:val="center"/>
        <w:rPr>
          <w:rFonts w:ascii="仿宋" w:hAnsi="仿宋" w:eastAsia="仿宋"/>
          <w:b/>
          <w:bCs/>
          <w:color w:val="auto"/>
          <w:sz w:val="52"/>
          <w:szCs w:val="52"/>
          <w:highlight w:val="none"/>
        </w:rPr>
      </w:pPr>
      <w:r>
        <w:rPr>
          <w:rFonts w:hint="eastAsia" w:ascii="仿宋" w:hAnsi="仿宋" w:eastAsia="仿宋"/>
          <w:b/>
          <w:bCs/>
          <w:color w:val="auto"/>
          <w:sz w:val="52"/>
          <w:szCs w:val="52"/>
          <w:highlight w:val="none"/>
        </w:rPr>
        <w:t>竞 争 性 谈 判 文 件</w:t>
      </w:r>
    </w:p>
    <w:p>
      <w:pPr>
        <w:spacing w:line="560" w:lineRule="exact"/>
        <w:rPr>
          <w:rFonts w:ascii="仿宋_GB2312" w:hAnsi="宋体" w:eastAsia="仿宋_GB2312"/>
          <w:color w:val="auto"/>
          <w:sz w:val="52"/>
          <w:highlight w:val="none"/>
        </w:rPr>
      </w:pPr>
    </w:p>
    <w:p>
      <w:pPr>
        <w:spacing w:line="560" w:lineRule="exact"/>
        <w:rPr>
          <w:rFonts w:ascii="仿宋_GB2312" w:hAnsi="宋体" w:eastAsia="仿宋_GB2312"/>
          <w:color w:val="auto"/>
          <w:sz w:val="36"/>
          <w:highlight w:val="none"/>
        </w:rPr>
      </w:pPr>
    </w:p>
    <w:p>
      <w:pPr>
        <w:spacing w:line="560" w:lineRule="exact"/>
        <w:rPr>
          <w:rFonts w:ascii="仿宋_GB2312" w:hAnsi="宋体" w:eastAsia="仿宋_GB2312"/>
          <w:color w:val="auto"/>
          <w:sz w:val="36"/>
          <w:highlight w:val="none"/>
        </w:rPr>
      </w:pPr>
      <w:bookmarkStart w:id="2" w:name="_GoBack"/>
      <w:bookmarkEnd w:id="2"/>
    </w:p>
    <w:p>
      <w:pPr>
        <w:pStyle w:val="11"/>
        <w:spacing w:line="560" w:lineRule="exact"/>
        <w:rPr>
          <w:rFonts w:ascii="仿宋_GB2312"/>
          <w:b/>
          <w:color w:val="auto"/>
          <w:highlight w:val="none"/>
        </w:rPr>
      </w:pPr>
    </w:p>
    <w:p>
      <w:pPr>
        <w:pStyle w:val="11"/>
        <w:spacing w:line="560" w:lineRule="exact"/>
        <w:rPr>
          <w:rFonts w:ascii="仿宋_GB2312"/>
          <w:b/>
          <w:color w:val="auto"/>
          <w:highlight w:val="none"/>
        </w:rPr>
      </w:pPr>
    </w:p>
    <w:p>
      <w:pPr>
        <w:pStyle w:val="11"/>
        <w:spacing w:line="560" w:lineRule="exact"/>
        <w:rPr>
          <w:rFonts w:ascii="仿宋_GB2312"/>
          <w:b/>
          <w:color w:val="auto"/>
          <w:highlight w:val="none"/>
        </w:rPr>
      </w:pPr>
    </w:p>
    <w:p>
      <w:pPr>
        <w:pStyle w:val="11"/>
        <w:spacing w:line="560" w:lineRule="exact"/>
        <w:rPr>
          <w:rFonts w:ascii="仿宋_GB2312"/>
          <w:b/>
          <w:color w:val="auto"/>
          <w:highlight w:val="none"/>
        </w:rPr>
      </w:pPr>
    </w:p>
    <w:p>
      <w:pPr>
        <w:pStyle w:val="11"/>
        <w:spacing w:line="560" w:lineRule="exact"/>
        <w:rPr>
          <w:rFonts w:ascii="仿宋_GB2312"/>
          <w:b/>
          <w:color w:val="auto"/>
          <w:highlight w:val="none"/>
        </w:rPr>
      </w:pPr>
    </w:p>
    <w:p>
      <w:pPr>
        <w:pStyle w:val="11"/>
        <w:spacing w:line="560" w:lineRule="exact"/>
        <w:rPr>
          <w:rFonts w:ascii="仿宋_GB2312"/>
          <w:b/>
          <w:color w:val="auto"/>
          <w:highlight w:val="none"/>
        </w:rPr>
      </w:pPr>
    </w:p>
    <w:p>
      <w:pPr>
        <w:spacing w:line="560" w:lineRule="exact"/>
        <w:ind w:left="2069" w:leftChars="228" w:hanging="1590" w:hangingChars="495"/>
        <w:rPr>
          <w:rFonts w:ascii="宋体" w:hAnsi="宋体"/>
          <w:b/>
          <w:color w:val="auto"/>
          <w:sz w:val="32"/>
          <w:szCs w:val="32"/>
          <w:highlight w:val="none"/>
        </w:rPr>
      </w:pPr>
      <w:r>
        <w:rPr>
          <w:rFonts w:hint="eastAsia" w:ascii="仿宋" w:hAnsi="仿宋" w:eastAsia="仿宋"/>
          <w:b/>
          <w:color w:val="auto"/>
          <w:sz w:val="32"/>
          <w:szCs w:val="32"/>
          <w:highlight w:val="none"/>
        </w:rPr>
        <w:t>项目名称：昌吉市第十四小学分校（昌吉市第十一小学）教师电脑及学生机房项目</w:t>
      </w:r>
    </w:p>
    <w:p>
      <w:pPr>
        <w:spacing w:line="560" w:lineRule="exact"/>
        <w:ind w:left="2069" w:leftChars="228" w:hanging="1590" w:hangingChars="495"/>
        <w:rPr>
          <w:rFonts w:hint="default" w:ascii="仿宋" w:hAnsi="仿宋" w:eastAsia="仿宋"/>
          <w:b/>
          <w:color w:val="auto"/>
          <w:sz w:val="32"/>
          <w:szCs w:val="32"/>
          <w:highlight w:val="none"/>
          <w:lang w:val="en-US" w:eastAsia="zh-CN"/>
        </w:rPr>
      </w:pPr>
      <w:r>
        <w:rPr>
          <w:rFonts w:hint="eastAsia" w:ascii="仿宋" w:hAnsi="仿宋" w:eastAsia="仿宋"/>
          <w:b/>
          <w:color w:val="auto"/>
          <w:sz w:val="32"/>
          <w:szCs w:val="32"/>
          <w:highlight w:val="none"/>
        </w:rPr>
        <w:t>项目编号：</w:t>
      </w:r>
      <w:r>
        <w:rPr>
          <w:rFonts w:hint="eastAsia" w:ascii="仿宋" w:hAnsi="仿宋" w:eastAsia="仿宋"/>
          <w:b/>
          <w:color w:val="auto"/>
          <w:sz w:val="32"/>
          <w:szCs w:val="32"/>
          <w:highlight w:val="none"/>
        </w:rPr>
        <w:t>CJSCG-GC2021-</w:t>
      </w:r>
      <w:r>
        <w:rPr>
          <w:rFonts w:hint="eastAsia" w:ascii="仿宋" w:hAnsi="仿宋" w:eastAsia="仿宋"/>
          <w:b/>
          <w:color w:val="auto"/>
          <w:sz w:val="32"/>
          <w:szCs w:val="32"/>
          <w:highlight w:val="none"/>
          <w:lang w:val="en-US" w:eastAsia="zh-CN"/>
        </w:rPr>
        <w:t>068</w:t>
      </w:r>
    </w:p>
    <w:p>
      <w:pPr>
        <w:spacing w:line="560" w:lineRule="exact"/>
        <w:ind w:firstLine="472" w:firstLineChars="147"/>
        <w:rPr>
          <w:rFonts w:ascii="仿宋" w:hAnsi="仿宋" w:eastAsia="仿宋"/>
          <w:b/>
          <w:color w:val="auto"/>
          <w:sz w:val="32"/>
          <w:szCs w:val="32"/>
          <w:highlight w:val="none"/>
        </w:rPr>
      </w:pPr>
      <w:r>
        <w:rPr>
          <w:rFonts w:hint="eastAsia" w:ascii="仿宋" w:hAnsi="仿宋" w:eastAsia="仿宋"/>
          <w:b/>
          <w:color w:val="auto"/>
          <w:sz w:val="32"/>
          <w:szCs w:val="32"/>
          <w:highlight w:val="none"/>
        </w:rPr>
        <w:t>采购机构：昌吉市政府采购中心</w:t>
      </w:r>
    </w:p>
    <w:p>
      <w:pPr>
        <w:spacing w:line="560" w:lineRule="exact"/>
        <w:ind w:firstLine="469" w:firstLineChars="146"/>
        <w:rPr>
          <w:rFonts w:ascii="仿宋" w:hAnsi="仿宋" w:eastAsia="仿宋"/>
          <w:b/>
          <w:color w:val="auto"/>
          <w:sz w:val="32"/>
          <w:szCs w:val="32"/>
          <w:highlight w:val="none"/>
        </w:rPr>
      </w:pPr>
      <w:r>
        <w:rPr>
          <w:rFonts w:hint="eastAsia" w:ascii="仿宋" w:hAnsi="仿宋" w:eastAsia="仿宋"/>
          <w:b/>
          <w:color w:val="auto"/>
          <w:sz w:val="32"/>
          <w:szCs w:val="32"/>
          <w:highlight w:val="none"/>
        </w:rPr>
        <w:t>联系人：胡察  陈宁</w:t>
      </w:r>
    </w:p>
    <w:p>
      <w:pPr>
        <w:pStyle w:val="11"/>
        <w:spacing w:line="560" w:lineRule="exact"/>
        <w:ind w:firstLine="472" w:firstLineChars="147"/>
        <w:rPr>
          <w:rFonts w:ascii="仿宋" w:hAnsi="仿宋" w:eastAsia="仿宋"/>
          <w:b/>
          <w:color w:val="auto"/>
          <w:sz w:val="32"/>
          <w:szCs w:val="32"/>
          <w:highlight w:val="none"/>
        </w:rPr>
      </w:pPr>
      <w:r>
        <w:rPr>
          <w:rFonts w:hint="eastAsia" w:ascii="仿宋" w:hAnsi="仿宋" w:eastAsia="仿宋"/>
          <w:b/>
          <w:color w:val="auto"/>
          <w:sz w:val="32"/>
          <w:szCs w:val="32"/>
          <w:highlight w:val="none"/>
        </w:rPr>
        <w:t>联系电话：0994-2528713</w:t>
      </w:r>
    </w:p>
    <w:p>
      <w:pPr>
        <w:pStyle w:val="11"/>
        <w:spacing w:line="560" w:lineRule="exact"/>
        <w:ind w:firstLine="472" w:firstLineChars="147"/>
        <w:rPr>
          <w:rFonts w:ascii="仿宋" w:hAnsi="仿宋" w:eastAsia="仿宋"/>
          <w:b/>
          <w:color w:val="auto"/>
          <w:sz w:val="32"/>
          <w:szCs w:val="32"/>
          <w:highlight w:val="none"/>
        </w:rPr>
      </w:pPr>
      <w:r>
        <w:rPr>
          <w:rFonts w:hint="eastAsia" w:ascii="仿宋" w:hAnsi="仿宋" w:eastAsia="仿宋"/>
          <w:b/>
          <w:color w:val="auto"/>
          <w:sz w:val="32"/>
          <w:szCs w:val="32"/>
          <w:highlight w:val="none"/>
        </w:rPr>
        <w:t>联系电话：0994-2528512</w:t>
      </w:r>
    </w:p>
    <w:p>
      <w:pPr>
        <w:spacing w:line="560" w:lineRule="exact"/>
        <w:rPr>
          <w:rFonts w:ascii="仿宋" w:hAnsi="仿宋" w:eastAsia="仿宋"/>
          <w:b/>
          <w:color w:val="auto"/>
          <w:sz w:val="32"/>
          <w:szCs w:val="32"/>
          <w:highlight w:val="none"/>
        </w:rPr>
      </w:pPr>
    </w:p>
    <w:p>
      <w:pPr>
        <w:spacing w:line="560" w:lineRule="exact"/>
        <w:jc w:val="center"/>
        <w:rPr>
          <w:rFonts w:ascii="黑体" w:hAnsi="黑体" w:eastAsia="黑体"/>
          <w:b/>
          <w:color w:val="auto"/>
          <w:sz w:val="44"/>
          <w:szCs w:val="44"/>
          <w:highlight w:val="none"/>
        </w:rPr>
      </w:pPr>
      <w:r>
        <w:rPr>
          <w:rFonts w:hint="eastAsia" w:ascii="黑体" w:hAnsi="黑体" w:eastAsia="黑体"/>
          <w:b/>
          <w:color w:val="auto"/>
          <w:sz w:val="44"/>
          <w:szCs w:val="44"/>
          <w:highlight w:val="none"/>
        </w:rPr>
        <w:t>温馨提示</w:t>
      </w:r>
    </w:p>
    <w:p>
      <w:pPr>
        <w:spacing w:line="560" w:lineRule="exact"/>
        <w:jc w:val="center"/>
        <w:rPr>
          <w:rFonts w:ascii="仿宋" w:hAnsi="仿宋" w:eastAsia="仿宋"/>
          <w:b/>
          <w:color w:val="auto"/>
          <w:sz w:val="32"/>
          <w:szCs w:val="32"/>
          <w:highlight w:val="none"/>
        </w:rPr>
      </w:pPr>
    </w:p>
    <w:p>
      <w:pPr>
        <w:spacing w:line="560" w:lineRule="exact"/>
        <w:rPr>
          <w:rFonts w:ascii="仿宋" w:hAnsi="仿宋" w:eastAsia="仿宋"/>
          <w:b/>
          <w:color w:val="auto"/>
          <w:sz w:val="32"/>
          <w:szCs w:val="32"/>
          <w:highlight w:val="none"/>
        </w:rPr>
      </w:pPr>
      <w:r>
        <w:rPr>
          <w:rFonts w:hint="eastAsia" w:ascii="仿宋" w:hAnsi="仿宋" w:eastAsia="仿宋"/>
          <w:b/>
          <w:color w:val="auto"/>
          <w:sz w:val="32"/>
          <w:szCs w:val="32"/>
          <w:highlight w:val="none"/>
        </w:rPr>
        <w:t>尊敬的供应商：</w:t>
      </w:r>
    </w:p>
    <w:p>
      <w:pPr>
        <w:spacing w:line="56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您好！非常感谢您前来参加昌吉市政府采购中心组织的竞争性谈判活动，您的参与是对我们工作最大的支持，招投标是一项法律性、规范性要求很高的工作，为了避免不必要的失误造成投标失败，我们在此对投标的关键环节及注意事项向您做出提示，请您认真阅读。</w:t>
      </w:r>
    </w:p>
    <w:p>
      <w:pPr>
        <w:spacing w:line="560" w:lineRule="exact"/>
        <w:rPr>
          <w:rFonts w:ascii="仿宋" w:hAnsi="仿宋" w:eastAsia="仿宋"/>
          <w:b/>
          <w:color w:val="auto"/>
          <w:sz w:val="32"/>
          <w:szCs w:val="32"/>
          <w:highlight w:val="none"/>
        </w:rPr>
      </w:pPr>
      <w:r>
        <w:rPr>
          <w:rFonts w:hint="eastAsia" w:ascii="仿宋" w:hAnsi="仿宋" w:eastAsia="仿宋"/>
          <w:b/>
          <w:color w:val="auto"/>
          <w:sz w:val="32"/>
          <w:szCs w:val="32"/>
          <w:highlight w:val="none"/>
        </w:rPr>
        <w:t>一：请您务必仔细阅读、认真理解竞争性谈判采购文件，尤其要对实质性条款及否决投标的条件要引起高度重视。</w:t>
      </w:r>
    </w:p>
    <w:p>
      <w:pPr>
        <w:spacing w:line="560" w:lineRule="exact"/>
        <w:rPr>
          <w:rFonts w:ascii="仿宋" w:hAnsi="仿宋" w:eastAsia="仿宋"/>
          <w:b/>
          <w:color w:val="auto"/>
          <w:sz w:val="32"/>
          <w:szCs w:val="32"/>
          <w:highlight w:val="none"/>
        </w:rPr>
      </w:pPr>
      <w:r>
        <w:rPr>
          <w:rFonts w:hint="eastAsia" w:ascii="仿宋" w:hAnsi="仿宋" w:eastAsia="仿宋"/>
          <w:b/>
          <w:color w:val="auto"/>
          <w:sz w:val="32"/>
          <w:szCs w:val="32"/>
          <w:highlight w:val="none"/>
        </w:rPr>
        <w:t>二：请您务必在递交竞争性谈判响应文件之前确认贵单位响应文件的全部内容。</w:t>
      </w:r>
    </w:p>
    <w:p>
      <w:pPr>
        <w:spacing w:line="560" w:lineRule="exact"/>
        <w:rPr>
          <w:rFonts w:ascii="仿宋" w:hAnsi="仿宋" w:eastAsia="仿宋"/>
          <w:b/>
          <w:color w:val="auto"/>
          <w:sz w:val="32"/>
          <w:szCs w:val="32"/>
          <w:highlight w:val="none"/>
        </w:rPr>
      </w:pPr>
      <w:r>
        <w:rPr>
          <w:rFonts w:hint="eastAsia" w:ascii="仿宋" w:hAnsi="仿宋" w:eastAsia="仿宋"/>
          <w:b/>
          <w:color w:val="auto"/>
          <w:sz w:val="32"/>
          <w:szCs w:val="32"/>
          <w:highlight w:val="none"/>
        </w:rPr>
        <w:t>三：评定内容均在谈判文件中体现，请务必认真阅读，充分且完全响应谈判文件。</w:t>
      </w:r>
    </w:p>
    <w:p>
      <w:pPr>
        <w:spacing w:line="560" w:lineRule="exact"/>
        <w:ind w:firstLine="472" w:firstLineChars="147"/>
        <w:rPr>
          <w:rFonts w:ascii="仿宋" w:hAnsi="仿宋" w:eastAsia="仿宋"/>
          <w:b/>
          <w:color w:val="auto"/>
          <w:sz w:val="32"/>
          <w:szCs w:val="32"/>
          <w:highlight w:val="none"/>
        </w:rPr>
      </w:pPr>
      <w:r>
        <w:rPr>
          <w:rFonts w:hint="eastAsia" w:ascii="仿宋" w:hAnsi="仿宋" w:eastAsia="仿宋"/>
          <w:b/>
          <w:color w:val="auto"/>
          <w:sz w:val="32"/>
          <w:szCs w:val="32"/>
          <w:highlight w:val="none"/>
        </w:rPr>
        <w:t>四：文中“竞争性谈判采购文件”为我中心印发的采购文件，“竞争性谈判响应文件”为供应商针对此项目印制的响应文件。</w:t>
      </w:r>
    </w:p>
    <w:p>
      <w:pPr>
        <w:spacing w:line="560" w:lineRule="exact"/>
        <w:rPr>
          <w:rFonts w:ascii="仿宋" w:hAnsi="仿宋" w:eastAsia="仿宋"/>
          <w:b/>
          <w:color w:val="auto"/>
          <w:sz w:val="32"/>
          <w:szCs w:val="32"/>
          <w:highlight w:val="none"/>
        </w:rPr>
      </w:pPr>
      <w:r>
        <w:rPr>
          <w:rFonts w:hint="eastAsia" w:ascii="仿宋" w:hAnsi="仿宋" w:eastAsia="仿宋"/>
          <w:b/>
          <w:color w:val="auto"/>
          <w:sz w:val="32"/>
          <w:szCs w:val="32"/>
          <w:highlight w:val="none"/>
        </w:rPr>
        <w:t>以上仅是友情提示，不作为谈判采购文件的一部分，请您严格按照谈判采购文件的要求做好谈判响应文件的编制及相关谈判准备工作。</w:t>
      </w:r>
    </w:p>
    <w:p>
      <w:pPr>
        <w:spacing w:line="560" w:lineRule="exact"/>
        <w:rPr>
          <w:rFonts w:ascii="仿宋" w:hAnsi="仿宋" w:eastAsia="仿宋"/>
          <w:b/>
          <w:color w:val="auto"/>
          <w:sz w:val="32"/>
          <w:szCs w:val="32"/>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spacing w:line="560" w:lineRule="exact"/>
        <w:rPr>
          <w:rFonts w:ascii="仿宋" w:hAnsi="仿宋" w:eastAsia="仿宋"/>
          <w:b/>
          <w:color w:val="auto"/>
          <w:sz w:val="32"/>
          <w:szCs w:val="32"/>
          <w:highlight w:val="none"/>
        </w:rPr>
      </w:pPr>
    </w:p>
    <w:p>
      <w:pPr>
        <w:spacing w:line="560" w:lineRule="exact"/>
        <w:jc w:val="center"/>
        <w:rPr>
          <w:rFonts w:ascii="仿宋" w:hAnsi="仿宋" w:eastAsia="仿宋"/>
          <w:b/>
          <w:color w:val="auto"/>
          <w:sz w:val="44"/>
          <w:szCs w:val="44"/>
          <w:highlight w:val="none"/>
        </w:rPr>
      </w:pPr>
      <w:r>
        <w:rPr>
          <w:rFonts w:hint="eastAsia" w:ascii="仿宋" w:hAnsi="仿宋" w:eastAsia="仿宋"/>
          <w:b/>
          <w:color w:val="auto"/>
          <w:sz w:val="44"/>
          <w:szCs w:val="44"/>
          <w:highlight w:val="none"/>
        </w:rPr>
        <w:t>竞争性谈判文件目录</w:t>
      </w:r>
    </w:p>
    <w:p>
      <w:pPr>
        <w:spacing w:line="560" w:lineRule="exact"/>
        <w:jc w:val="center"/>
        <w:rPr>
          <w:rFonts w:ascii="仿宋" w:hAnsi="仿宋" w:eastAsia="仿宋"/>
          <w:b/>
          <w:color w:val="auto"/>
          <w:sz w:val="32"/>
          <w:szCs w:val="32"/>
          <w:highlight w:val="none"/>
        </w:rPr>
      </w:pPr>
    </w:p>
    <w:p>
      <w:pPr>
        <w:spacing w:line="560" w:lineRule="exact"/>
        <w:rPr>
          <w:rFonts w:ascii="仿宋" w:hAnsi="仿宋" w:eastAsia="仿宋"/>
          <w:b/>
          <w:color w:val="auto"/>
          <w:sz w:val="32"/>
          <w:szCs w:val="32"/>
          <w:highlight w:val="none"/>
        </w:rPr>
      </w:pPr>
      <w:r>
        <w:rPr>
          <w:rFonts w:hint="eastAsia" w:ascii="仿宋" w:hAnsi="仿宋" w:eastAsia="仿宋"/>
          <w:b/>
          <w:color w:val="auto"/>
          <w:sz w:val="32"/>
          <w:szCs w:val="32"/>
          <w:highlight w:val="none"/>
        </w:rPr>
        <w:t>第一部分竞争性谈判公告（略）或项目概要</w:t>
      </w:r>
    </w:p>
    <w:p>
      <w:pPr>
        <w:spacing w:line="560" w:lineRule="exact"/>
        <w:rPr>
          <w:rFonts w:ascii="仿宋" w:hAnsi="仿宋" w:eastAsia="仿宋"/>
          <w:b/>
          <w:color w:val="auto"/>
          <w:sz w:val="32"/>
          <w:szCs w:val="32"/>
          <w:highlight w:val="none"/>
        </w:rPr>
      </w:pPr>
      <w:r>
        <w:rPr>
          <w:rFonts w:hint="eastAsia" w:ascii="仿宋" w:hAnsi="仿宋" w:eastAsia="仿宋"/>
          <w:b/>
          <w:color w:val="auto"/>
          <w:sz w:val="32"/>
          <w:szCs w:val="32"/>
          <w:highlight w:val="none"/>
        </w:rPr>
        <w:t>第二部分谈判须知</w:t>
      </w:r>
    </w:p>
    <w:p>
      <w:pPr>
        <w:spacing w:line="560" w:lineRule="exact"/>
        <w:rPr>
          <w:rFonts w:ascii="仿宋" w:hAnsi="仿宋" w:eastAsia="仿宋"/>
          <w:b/>
          <w:color w:val="auto"/>
          <w:sz w:val="32"/>
          <w:szCs w:val="32"/>
          <w:highlight w:val="none"/>
        </w:rPr>
      </w:pPr>
      <w:r>
        <w:rPr>
          <w:rFonts w:hint="eastAsia" w:ascii="仿宋" w:hAnsi="仿宋" w:eastAsia="仿宋"/>
          <w:b/>
          <w:color w:val="auto"/>
          <w:sz w:val="32"/>
          <w:szCs w:val="32"/>
          <w:highlight w:val="none"/>
        </w:rPr>
        <w:t>第三部分项目要求</w:t>
      </w:r>
    </w:p>
    <w:p>
      <w:pPr>
        <w:spacing w:line="560" w:lineRule="exact"/>
        <w:rPr>
          <w:rFonts w:ascii="仿宋" w:hAnsi="仿宋" w:eastAsia="仿宋"/>
          <w:b/>
          <w:color w:val="auto"/>
          <w:sz w:val="32"/>
          <w:szCs w:val="32"/>
          <w:highlight w:val="none"/>
        </w:rPr>
      </w:pPr>
      <w:r>
        <w:rPr>
          <w:rFonts w:hint="eastAsia" w:ascii="仿宋" w:hAnsi="仿宋" w:eastAsia="仿宋"/>
          <w:b/>
          <w:color w:val="auto"/>
          <w:sz w:val="32"/>
          <w:szCs w:val="32"/>
          <w:highlight w:val="none"/>
        </w:rPr>
        <w:t>第四部分合同主要条款（样本）</w:t>
      </w:r>
    </w:p>
    <w:p>
      <w:pPr>
        <w:spacing w:line="560" w:lineRule="exact"/>
        <w:rPr>
          <w:rFonts w:ascii="仿宋" w:hAnsi="仿宋" w:eastAsia="仿宋"/>
          <w:b/>
          <w:color w:val="auto"/>
          <w:sz w:val="32"/>
          <w:szCs w:val="32"/>
          <w:highlight w:val="none"/>
        </w:rPr>
      </w:pPr>
      <w:r>
        <w:rPr>
          <w:rFonts w:hint="eastAsia" w:ascii="仿宋" w:hAnsi="仿宋" w:eastAsia="仿宋"/>
          <w:b/>
          <w:color w:val="auto"/>
          <w:sz w:val="32"/>
          <w:szCs w:val="32"/>
          <w:highlight w:val="none"/>
        </w:rPr>
        <w:t>第五部分竞争性谈判响应文件格式</w:t>
      </w:r>
    </w:p>
    <w:p>
      <w:pPr>
        <w:pStyle w:val="2"/>
        <w:rPr>
          <w:color w:val="auto"/>
          <w:highlight w:val="none"/>
        </w:rPr>
      </w:pPr>
    </w:p>
    <w:p>
      <w:pPr>
        <w:spacing w:line="560" w:lineRule="exact"/>
        <w:rPr>
          <w:rFonts w:ascii="仿宋" w:hAnsi="仿宋" w:eastAsia="仿宋"/>
          <w:b/>
          <w:color w:val="auto"/>
          <w:sz w:val="32"/>
          <w:szCs w:val="32"/>
          <w:highlight w:val="none"/>
        </w:rPr>
      </w:pPr>
    </w:p>
    <w:p>
      <w:pPr>
        <w:spacing w:line="560" w:lineRule="exact"/>
        <w:jc w:val="center"/>
        <w:rPr>
          <w:rFonts w:ascii="仿宋" w:hAnsi="仿宋" w:eastAsia="仿宋"/>
          <w:b/>
          <w:color w:val="auto"/>
          <w:sz w:val="32"/>
          <w:szCs w:val="32"/>
          <w:highlight w:val="none"/>
        </w:rPr>
      </w:pPr>
    </w:p>
    <w:p>
      <w:pPr>
        <w:spacing w:line="560" w:lineRule="exact"/>
        <w:jc w:val="center"/>
        <w:rPr>
          <w:rFonts w:ascii="仿宋_GB2312" w:eastAsia="仿宋_GB2312"/>
          <w:b/>
          <w:color w:val="auto"/>
          <w:sz w:val="36"/>
          <w:szCs w:val="36"/>
          <w:highlight w:val="none"/>
        </w:rPr>
      </w:pPr>
    </w:p>
    <w:p>
      <w:pPr>
        <w:spacing w:line="560" w:lineRule="exact"/>
        <w:jc w:val="center"/>
        <w:rPr>
          <w:rFonts w:ascii="仿宋_GB2312" w:eastAsia="仿宋_GB2312"/>
          <w:b/>
          <w:color w:val="auto"/>
          <w:sz w:val="36"/>
          <w:szCs w:val="36"/>
          <w:highlight w:val="none"/>
        </w:rPr>
      </w:pPr>
    </w:p>
    <w:p>
      <w:pPr>
        <w:spacing w:line="560" w:lineRule="exact"/>
        <w:jc w:val="center"/>
        <w:rPr>
          <w:rFonts w:ascii="仿宋_GB2312" w:eastAsia="仿宋_GB2312"/>
          <w:b/>
          <w:color w:val="auto"/>
          <w:sz w:val="36"/>
          <w:szCs w:val="36"/>
          <w:highlight w:val="none"/>
        </w:rPr>
      </w:pPr>
    </w:p>
    <w:p>
      <w:pPr>
        <w:spacing w:line="560" w:lineRule="exact"/>
        <w:jc w:val="center"/>
        <w:rPr>
          <w:rFonts w:ascii="仿宋_GB2312" w:eastAsia="仿宋_GB2312"/>
          <w:b/>
          <w:color w:val="auto"/>
          <w:sz w:val="36"/>
          <w:szCs w:val="36"/>
          <w:highlight w:val="none"/>
        </w:rPr>
      </w:pPr>
    </w:p>
    <w:p>
      <w:pPr>
        <w:pStyle w:val="2"/>
        <w:ind w:firstLine="723"/>
        <w:rPr>
          <w:rFonts w:ascii="仿宋_GB2312" w:eastAsia="仿宋_GB2312"/>
          <w:b/>
          <w:color w:val="auto"/>
          <w:sz w:val="36"/>
          <w:szCs w:val="36"/>
          <w:highlight w:val="none"/>
        </w:rPr>
      </w:pPr>
    </w:p>
    <w:p>
      <w:pPr>
        <w:pStyle w:val="2"/>
        <w:ind w:firstLine="723"/>
        <w:rPr>
          <w:rFonts w:ascii="仿宋_GB2312" w:eastAsia="仿宋_GB2312"/>
          <w:b/>
          <w:color w:val="auto"/>
          <w:sz w:val="36"/>
          <w:szCs w:val="36"/>
          <w:highlight w:val="none"/>
        </w:rPr>
      </w:pPr>
    </w:p>
    <w:p>
      <w:pPr>
        <w:pStyle w:val="2"/>
        <w:ind w:firstLine="723"/>
        <w:rPr>
          <w:rFonts w:ascii="仿宋_GB2312" w:eastAsia="仿宋_GB2312"/>
          <w:b/>
          <w:color w:val="auto"/>
          <w:sz w:val="36"/>
          <w:szCs w:val="36"/>
          <w:highlight w:val="none"/>
        </w:rPr>
      </w:pPr>
    </w:p>
    <w:p>
      <w:pPr>
        <w:pStyle w:val="2"/>
        <w:ind w:firstLine="723"/>
        <w:rPr>
          <w:rFonts w:ascii="仿宋_GB2312" w:eastAsia="仿宋_GB2312"/>
          <w:b/>
          <w:color w:val="auto"/>
          <w:sz w:val="36"/>
          <w:szCs w:val="36"/>
          <w:highlight w:val="none"/>
        </w:rPr>
      </w:pPr>
    </w:p>
    <w:p>
      <w:pPr>
        <w:pStyle w:val="2"/>
        <w:ind w:firstLine="723"/>
        <w:rPr>
          <w:rFonts w:ascii="仿宋_GB2312" w:eastAsia="仿宋_GB2312"/>
          <w:b/>
          <w:color w:val="auto"/>
          <w:sz w:val="36"/>
          <w:szCs w:val="36"/>
          <w:highlight w:val="none"/>
        </w:rPr>
      </w:pPr>
    </w:p>
    <w:p>
      <w:pPr>
        <w:pStyle w:val="2"/>
        <w:ind w:firstLine="723"/>
        <w:rPr>
          <w:rFonts w:ascii="仿宋_GB2312" w:eastAsia="仿宋_GB2312"/>
          <w:b/>
          <w:color w:val="auto"/>
          <w:sz w:val="36"/>
          <w:szCs w:val="36"/>
          <w:highlight w:val="none"/>
        </w:rPr>
      </w:pPr>
    </w:p>
    <w:p>
      <w:pPr>
        <w:pStyle w:val="2"/>
        <w:ind w:firstLine="723"/>
        <w:rPr>
          <w:rFonts w:ascii="仿宋_GB2312" w:eastAsia="仿宋_GB2312"/>
          <w:b/>
          <w:color w:val="auto"/>
          <w:sz w:val="36"/>
          <w:szCs w:val="36"/>
          <w:highlight w:val="none"/>
        </w:rPr>
      </w:pPr>
    </w:p>
    <w:p>
      <w:pPr>
        <w:pStyle w:val="2"/>
        <w:ind w:firstLine="723"/>
        <w:rPr>
          <w:rFonts w:ascii="仿宋_GB2312" w:eastAsia="仿宋_GB2312"/>
          <w:b/>
          <w:color w:val="auto"/>
          <w:sz w:val="36"/>
          <w:szCs w:val="36"/>
          <w:highlight w:val="none"/>
        </w:rPr>
      </w:pPr>
    </w:p>
    <w:p>
      <w:pPr>
        <w:pStyle w:val="2"/>
        <w:ind w:firstLine="723"/>
        <w:rPr>
          <w:rFonts w:ascii="仿宋_GB2312" w:eastAsia="仿宋_GB2312"/>
          <w:b/>
          <w:color w:val="auto"/>
          <w:sz w:val="36"/>
          <w:szCs w:val="36"/>
          <w:highlight w:val="none"/>
        </w:rPr>
      </w:pPr>
    </w:p>
    <w:p>
      <w:pPr>
        <w:pStyle w:val="2"/>
        <w:ind w:firstLine="723"/>
        <w:rPr>
          <w:rFonts w:ascii="仿宋_GB2312" w:eastAsia="仿宋_GB2312"/>
          <w:b/>
          <w:color w:val="auto"/>
          <w:sz w:val="36"/>
          <w:szCs w:val="36"/>
          <w:highlight w:val="none"/>
        </w:rPr>
      </w:pPr>
    </w:p>
    <w:p>
      <w:pPr>
        <w:numPr>
          <w:ilvl w:val="0"/>
          <w:numId w:val="1"/>
        </w:numPr>
        <w:spacing w:line="560" w:lineRule="exact"/>
        <w:jc w:val="center"/>
        <w:rPr>
          <w:rFonts w:ascii="仿宋" w:hAnsi="仿宋" w:eastAsia="仿宋"/>
          <w:b/>
          <w:color w:val="auto"/>
          <w:sz w:val="44"/>
          <w:szCs w:val="44"/>
          <w:highlight w:val="none"/>
        </w:rPr>
      </w:pPr>
      <w:r>
        <w:rPr>
          <w:rFonts w:hint="eastAsia" w:ascii="仿宋" w:hAnsi="仿宋" w:eastAsia="仿宋"/>
          <w:b/>
          <w:color w:val="auto"/>
          <w:sz w:val="44"/>
          <w:szCs w:val="44"/>
          <w:highlight w:val="none"/>
        </w:rPr>
        <w:t>项目概要</w:t>
      </w:r>
    </w:p>
    <w:tbl>
      <w:tblPr>
        <w:tblStyle w:val="40"/>
        <w:tblW w:w="10133" w:type="dxa"/>
        <w:jc w:val="center"/>
        <w:tblInd w:w="0" w:type="dxa"/>
        <w:tblLayout w:type="fixed"/>
        <w:tblCellMar>
          <w:top w:w="0" w:type="dxa"/>
          <w:left w:w="108" w:type="dxa"/>
          <w:bottom w:w="0" w:type="dxa"/>
          <w:right w:w="108" w:type="dxa"/>
        </w:tblCellMar>
      </w:tblPr>
      <w:tblGrid>
        <w:gridCol w:w="1116"/>
        <w:gridCol w:w="2389"/>
        <w:gridCol w:w="6628"/>
      </w:tblGrid>
      <w:tr>
        <w:tblPrEx>
          <w:tblLayout w:type="fixed"/>
          <w:tblCellMar>
            <w:top w:w="0" w:type="dxa"/>
            <w:left w:w="108" w:type="dxa"/>
            <w:bottom w:w="0" w:type="dxa"/>
            <w:right w:w="108" w:type="dxa"/>
          </w:tblCellMar>
        </w:tblPrEx>
        <w:trPr>
          <w:trHeight w:val="42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条款号</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条款名称</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编列内容</w:t>
            </w:r>
          </w:p>
        </w:tc>
      </w:tr>
      <w:tr>
        <w:tblPrEx>
          <w:tblLayout w:type="fixed"/>
          <w:tblCellMar>
            <w:top w:w="0" w:type="dxa"/>
            <w:left w:w="108" w:type="dxa"/>
            <w:bottom w:w="0" w:type="dxa"/>
            <w:right w:w="108" w:type="dxa"/>
          </w:tblCellMar>
        </w:tblPrEx>
        <w:trPr>
          <w:trHeight w:val="9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采购人</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b/>
                <w:color w:val="auto"/>
                <w:sz w:val="28"/>
                <w:szCs w:val="28"/>
                <w:highlight w:val="none"/>
              </w:rPr>
            </w:pPr>
            <w:r>
              <w:rPr>
                <w:rFonts w:hint="eastAsia" w:ascii="仿宋" w:hAnsi="仿宋" w:eastAsia="仿宋" w:cs="仿宋"/>
                <w:b/>
                <w:bCs/>
                <w:color w:val="auto"/>
                <w:sz w:val="28"/>
                <w:szCs w:val="28"/>
                <w:highlight w:val="none"/>
              </w:rPr>
              <w:t>名称：</w:t>
            </w:r>
            <w:r>
              <w:rPr>
                <w:rFonts w:hint="eastAsia" w:ascii="仿宋" w:hAnsi="仿宋" w:eastAsia="仿宋"/>
                <w:b/>
                <w:color w:val="auto"/>
                <w:sz w:val="28"/>
                <w:szCs w:val="28"/>
                <w:highlight w:val="none"/>
              </w:rPr>
              <w:t>昌吉市第十四小学分校（昌吉市第十一小学）</w:t>
            </w:r>
          </w:p>
          <w:p>
            <w:pPr>
              <w:snapToGrid w:val="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联系人：胡文忠</w:t>
            </w:r>
          </w:p>
          <w:p>
            <w:pPr>
              <w:snapToGrid w:val="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电话：13309947563</w:t>
            </w:r>
          </w:p>
        </w:tc>
      </w:tr>
      <w:tr>
        <w:tblPrEx>
          <w:tblLayout w:type="fixed"/>
          <w:tblCellMar>
            <w:top w:w="0" w:type="dxa"/>
            <w:left w:w="108" w:type="dxa"/>
            <w:bottom w:w="0" w:type="dxa"/>
            <w:right w:w="108" w:type="dxa"/>
          </w:tblCellMar>
        </w:tblPrEx>
        <w:trPr>
          <w:trHeight w:val="150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采购代理机构</w:t>
            </w:r>
          </w:p>
        </w:tc>
        <w:tc>
          <w:tcPr>
            <w:tcW w:w="6628" w:type="dxa"/>
            <w:tcBorders>
              <w:top w:val="single" w:color="auto" w:sz="4" w:space="0"/>
              <w:left w:val="single" w:color="auto" w:sz="4" w:space="0"/>
              <w:bottom w:val="single" w:color="auto" w:sz="4" w:space="0"/>
              <w:right w:val="single" w:color="auto" w:sz="4" w:space="0"/>
            </w:tcBorders>
            <w:vAlign w:val="center"/>
          </w:tcPr>
          <w:p>
            <w:pPr>
              <w:pStyle w:val="55"/>
              <w:snapToGrid w:val="0"/>
              <w:jc w:val="both"/>
              <w:rPr>
                <w:rFonts w:ascii="仿宋" w:hAnsi="仿宋" w:eastAsia="仿宋" w:cs="仿宋"/>
                <w:b/>
                <w:color w:val="auto"/>
                <w:sz w:val="28"/>
                <w:szCs w:val="28"/>
                <w:highlight w:val="none"/>
              </w:rPr>
            </w:pPr>
            <w:r>
              <w:rPr>
                <w:rFonts w:hint="eastAsia" w:ascii="仿宋" w:hAnsi="仿宋" w:eastAsia="仿宋" w:cs="仿宋"/>
                <w:b/>
                <w:bCs/>
                <w:color w:val="auto"/>
                <w:sz w:val="28"/>
                <w:szCs w:val="28"/>
                <w:highlight w:val="none"/>
              </w:rPr>
              <w:t>名称：</w:t>
            </w:r>
            <w:r>
              <w:rPr>
                <w:rFonts w:hint="eastAsia" w:ascii="仿宋" w:hAnsi="仿宋" w:eastAsia="仿宋" w:cs="仿宋"/>
                <w:b/>
                <w:color w:val="auto"/>
                <w:sz w:val="28"/>
                <w:szCs w:val="28"/>
                <w:highlight w:val="none"/>
              </w:rPr>
              <w:t>昌吉市政府采购中心</w:t>
            </w:r>
          </w:p>
          <w:p>
            <w:pPr>
              <w:snapToGrid w:val="0"/>
              <w:ind w:left="1124" w:hanging="1124" w:hangingChars="4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地址：昌吉市财政局一楼102室。</w:t>
            </w:r>
          </w:p>
          <w:p>
            <w:pPr>
              <w:snapToGrid w:val="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联系人：胡察  陈宁</w:t>
            </w:r>
          </w:p>
          <w:p>
            <w:pPr>
              <w:snapToGrid w:val="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电话：0994-2528512   0994-2528713</w:t>
            </w:r>
          </w:p>
        </w:tc>
      </w:tr>
      <w:tr>
        <w:tblPrEx>
          <w:tblLayout w:type="fixed"/>
          <w:tblCellMar>
            <w:top w:w="0" w:type="dxa"/>
            <w:left w:w="108" w:type="dxa"/>
            <w:bottom w:w="0" w:type="dxa"/>
            <w:right w:w="108" w:type="dxa"/>
          </w:tblCellMar>
        </w:tblPrEx>
        <w:trPr>
          <w:trHeight w:val="489"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项目名称</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b/>
                <w:color w:val="auto"/>
                <w:sz w:val="28"/>
                <w:szCs w:val="28"/>
                <w:highlight w:val="none"/>
              </w:rPr>
            </w:pPr>
            <w:r>
              <w:rPr>
                <w:rFonts w:hint="eastAsia" w:ascii="仿宋" w:hAnsi="仿宋" w:eastAsia="仿宋"/>
                <w:b/>
                <w:color w:val="auto"/>
                <w:sz w:val="28"/>
                <w:szCs w:val="28"/>
                <w:highlight w:val="none"/>
              </w:rPr>
              <w:t>昌吉市第十四小学分校（昌吉市第十一小学）教师电脑及学生机房项目</w:t>
            </w:r>
          </w:p>
        </w:tc>
      </w:tr>
      <w:tr>
        <w:tblPrEx>
          <w:tblLayout w:type="fixed"/>
          <w:tblCellMar>
            <w:top w:w="0" w:type="dxa"/>
            <w:left w:w="108" w:type="dxa"/>
            <w:bottom w:w="0" w:type="dxa"/>
            <w:right w:w="108" w:type="dxa"/>
          </w:tblCellMar>
        </w:tblPrEx>
        <w:trPr>
          <w:trHeight w:val="363"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4</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实施地点</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
                <w:bCs/>
                <w:color w:val="auto"/>
                <w:sz w:val="28"/>
                <w:szCs w:val="28"/>
                <w:highlight w:val="none"/>
              </w:rPr>
            </w:pPr>
            <w:r>
              <w:rPr>
                <w:rFonts w:hint="eastAsia" w:ascii="仿宋" w:hAnsi="仿宋" w:eastAsia="仿宋"/>
                <w:b/>
                <w:color w:val="auto"/>
                <w:sz w:val="28"/>
                <w:szCs w:val="28"/>
                <w:highlight w:val="none"/>
              </w:rPr>
              <w:t>昌吉市第十四小学</w:t>
            </w:r>
            <w:r>
              <w:rPr>
                <w:rFonts w:hint="eastAsia" w:ascii="仿宋" w:hAnsi="仿宋" w:eastAsia="仿宋"/>
                <w:b/>
                <w:color w:val="auto"/>
                <w:sz w:val="30"/>
                <w:szCs w:val="30"/>
                <w:highlight w:val="none"/>
              </w:rPr>
              <w:t>指定地点</w:t>
            </w:r>
          </w:p>
        </w:tc>
      </w:tr>
      <w:tr>
        <w:tblPrEx>
          <w:tblLayout w:type="fixed"/>
          <w:tblCellMar>
            <w:top w:w="0" w:type="dxa"/>
            <w:left w:w="108" w:type="dxa"/>
            <w:bottom w:w="0" w:type="dxa"/>
            <w:right w:w="108" w:type="dxa"/>
          </w:tblCellMar>
        </w:tblPrEx>
        <w:trPr>
          <w:trHeight w:val="41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5</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资金来源</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国家薄改专项资金</w:t>
            </w:r>
          </w:p>
        </w:tc>
      </w:tr>
      <w:tr>
        <w:tblPrEx>
          <w:tblLayout w:type="fixed"/>
          <w:tblCellMar>
            <w:top w:w="0" w:type="dxa"/>
            <w:left w:w="108" w:type="dxa"/>
            <w:bottom w:w="0" w:type="dxa"/>
            <w:right w:w="108" w:type="dxa"/>
          </w:tblCellMar>
        </w:tblPrEx>
        <w:trPr>
          <w:trHeight w:val="476"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6</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出资比例</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100%</w:t>
            </w:r>
          </w:p>
        </w:tc>
      </w:tr>
      <w:tr>
        <w:tblPrEx>
          <w:tblLayout w:type="fixed"/>
          <w:tblCellMar>
            <w:top w:w="0" w:type="dxa"/>
            <w:left w:w="108" w:type="dxa"/>
            <w:bottom w:w="0" w:type="dxa"/>
            <w:right w:w="108" w:type="dxa"/>
          </w:tblCellMar>
        </w:tblPrEx>
        <w:trPr>
          <w:trHeight w:val="56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7</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资金落实情况</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已落实</w:t>
            </w:r>
          </w:p>
        </w:tc>
      </w:tr>
      <w:tr>
        <w:tblPrEx>
          <w:tblLayout w:type="fixed"/>
          <w:tblCellMar>
            <w:top w:w="0" w:type="dxa"/>
            <w:left w:w="108" w:type="dxa"/>
            <w:bottom w:w="0" w:type="dxa"/>
            <w:right w:w="108" w:type="dxa"/>
          </w:tblCellMar>
        </w:tblPrEx>
        <w:trPr>
          <w:trHeight w:val="324"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8</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采购范围</w:t>
            </w:r>
          </w:p>
        </w:tc>
        <w:tc>
          <w:tcPr>
            <w:tcW w:w="6628" w:type="dxa"/>
            <w:tcBorders>
              <w:top w:val="single" w:color="auto" w:sz="4" w:space="0"/>
              <w:left w:val="single" w:color="auto" w:sz="4" w:space="0"/>
              <w:bottom w:val="single" w:color="auto" w:sz="4" w:space="0"/>
              <w:right w:val="single" w:color="auto" w:sz="4" w:space="0"/>
            </w:tcBorders>
            <w:vAlign w:val="center"/>
          </w:tcPr>
          <w:p>
            <w:pPr>
              <w:pStyle w:val="31"/>
              <w:snapToGrid w:val="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详见谈判文件要求</w:t>
            </w:r>
          </w:p>
        </w:tc>
      </w:tr>
      <w:tr>
        <w:tblPrEx>
          <w:tblLayout w:type="fixed"/>
          <w:tblCellMar>
            <w:top w:w="0" w:type="dxa"/>
            <w:left w:w="108" w:type="dxa"/>
            <w:bottom w:w="0" w:type="dxa"/>
            <w:right w:w="108" w:type="dxa"/>
          </w:tblCellMar>
        </w:tblPrEx>
        <w:trPr>
          <w:trHeight w:val="363"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9</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供货</w:t>
            </w:r>
            <w:r>
              <w:rPr>
                <w:rFonts w:hint="eastAsia" w:ascii="仿宋" w:hAnsi="仿宋" w:eastAsia="仿宋" w:cs="仿宋"/>
                <w:b/>
                <w:bCs/>
                <w:color w:val="auto"/>
                <w:sz w:val="28"/>
                <w:szCs w:val="28"/>
                <w:highlight w:val="none"/>
              </w:rPr>
              <w:t>期</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签订合同后20个日历日内完成</w:t>
            </w:r>
          </w:p>
        </w:tc>
      </w:tr>
      <w:tr>
        <w:tblPrEx>
          <w:tblLayout w:type="fixed"/>
          <w:tblCellMar>
            <w:top w:w="0" w:type="dxa"/>
            <w:left w:w="108" w:type="dxa"/>
            <w:bottom w:w="0" w:type="dxa"/>
            <w:right w:w="108" w:type="dxa"/>
          </w:tblCellMar>
        </w:tblPrEx>
        <w:trPr>
          <w:trHeight w:val="656"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10</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质量要求</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按照</w:t>
            </w:r>
            <w:r>
              <w:rPr>
                <w:rFonts w:hint="eastAsia" w:ascii="仿宋" w:hAnsi="仿宋" w:eastAsia="仿宋" w:cs="仿宋"/>
                <w:b/>
                <w:bCs/>
                <w:color w:val="auto"/>
                <w:sz w:val="28"/>
                <w:szCs w:val="28"/>
                <w:highlight w:val="none"/>
              </w:rPr>
              <w:t>谈判文件</w:t>
            </w:r>
            <w:r>
              <w:rPr>
                <w:rFonts w:hint="eastAsia" w:ascii="仿宋" w:hAnsi="仿宋" w:eastAsia="仿宋" w:cs="仿宋"/>
                <w:b/>
                <w:bCs/>
                <w:color w:val="auto"/>
                <w:sz w:val="28"/>
                <w:szCs w:val="28"/>
                <w:highlight w:val="none"/>
              </w:rPr>
              <w:t>要求及合同约定达到国家要求验收质量标准</w:t>
            </w:r>
          </w:p>
        </w:tc>
      </w:tr>
      <w:tr>
        <w:tblPrEx>
          <w:tblLayout w:type="fixed"/>
          <w:tblCellMar>
            <w:top w:w="0" w:type="dxa"/>
            <w:left w:w="108" w:type="dxa"/>
            <w:bottom w:w="0" w:type="dxa"/>
            <w:right w:w="108" w:type="dxa"/>
          </w:tblCellMar>
        </w:tblPrEx>
        <w:trPr>
          <w:trHeight w:val="699"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11</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付款方式</w:t>
            </w:r>
          </w:p>
        </w:tc>
        <w:tc>
          <w:tcPr>
            <w:tcW w:w="6628"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待</w:t>
            </w:r>
            <w:r>
              <w:rPr>
                <w:rFonts w:hint="eastAsia" w:ascii="仿宋" w:hAnsi="仿宋" w:eastAsia="仿宋" w:cs="仿宋"/>
                <w:b/>
                <w:bCs/>
                <w:color w:val="auto"/>
                <w:sz w:val="28"/>
                <w:szCs w:val="28"/>
                <w:highlight w:val="none"/>
                <w:lang w:val="en-US" w:eastAsia="zh-CN"/>
              </w:rPr>
              <w:t>项目</w:t>
            </w:r>
            <w:r>
              <w:rPr>
                <w:rFonts w:hint="eastAsia" w:ascii="仿宋" w:hAnsi="仿宋" w:eastAsia="仿宋" w:cs="仿宋"/>
                <w:b/>
                <w:bCs/>
                <w:color w:val="auto"/>
                <w:sz w:val="28"/>
                <w:szCs w:val="28"/>
                <w:highlight w:val="none"/>
              </w:rPr>
              <w:t>验收合格，</w:t>
            </w:r>
            <w:r>
              <w:rPr>
                <w:rFonts w:hint="eastAsia" w:ascii="仿宋" w:hAnsi="仿宋" w:eastAsia="仿宋" w:cs="仿宋"/>
                <w:b/>
                <w:bCs/>
                <w:color w:val="auto"/>
                <w:sz w:val="28"/>
                <w:szCs w:val="28"/>
                <w:highlight w:val="none"/>
                <w:lang w:val="en-US" w:eastAsia="zh-CN"/>
              </w:rPr>
              <w:t>成交单位</w:t>
            </w:r>
            <w:r>
              <w:rPr>
                <w:rFonts w:hint="eastAsia" w:ascii="仿宋" w:hAnsi="仿宋" w:eastAsia="仿宋" w:cs="仿宋"/>
                <w:b/>
                <w:bCs/>
                <w:color w:val="auto"/>
                <w:sz w:val="28"/>
                <w:szCs w:val="28"/>
                <w:highlight w:val="none"/>
              </w:rPr>
              <w:t>递交齐全的结算资料，且经审核结算完成后支付合同价款的100%。</w:t>
            </w:r>
          </w:p>
        </w:tc>
      </w:tr>
      <w:tr>
        <w:tblPrEx>
          <w:tblLayout w:type="fixed"/>
          <w:tblCellMar>
            <w:top w:w="0" w:type="dxa"/>
            <w:left w:w="108" w:type="dxa"/>
            <w:bottom w:w="0" w:type="dxa"/>
            <w:right w:w="108" w:type="dxa"/>
          </w:tblCellMar>
        </w:tblPrEx>
        <w:trPr>
          <w:trHeight w:val="41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w:t>
            </w:r>
            <w:r>
              <w:rPr>
                <w:rFonts w:ascii="仿宋" w:hAnsi="仿宋" w:eastAsia="仿宋" w:cs="仿宋"/>
                <w:b/>
                <w:bCs/>
                <w:color w:val="auto"/>
                <w:sz w:val="28"/>
                <w:szCs w:val="28"/>
                <w:highlight w:val="none"/>
              </w:rPr>
              <w:t>2</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现场踏勘</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不组织</w:t>
            </w:r>
          </w:p>
        </w:tc>
      </w:tr>
      <w:tr>
        <w:tblPrEx>
          <w:tblLayout w:type="fixed"/>
          <w:tblCellMar>
            <w:top w:w="0" w:type="dxa"/>
            <w:left w:w="108" w:type="dxa"/>
            <w:bottom w:w="0" w:type="dxa"/>
            <w:right w:w="108" w:type="dxa"/>
          </w:tblCellMar>
        </w:tblPrEx>
        <w:trPr>
          <w:trHeight w:val="479"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tabs>
                <w:tab w:val="left" w:pos="215"/>
              </w:tabs>
              <w:adjustRightInd w:val="0"/>
              <w:snapToGrid w:val="0"/>
              <w:ind w:firstLine="281" w:firstLineChars="100"/>
              <w:jc w:val="lef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w:t>
            </w:r>
            <w:r>
              <w:rPr>
                <w:rFonts w:ascii="仿宋" w:hAnsi="仿宋" w:eastAsia="仿宋" w:cs="仿宋"/>
                <w:b/>
                <w:bCs/>
                <w:color w:val="auto"/>
                <w:sz w:val="28"/>
                <w:szCs w:val="28"/>
                <w:highlight w:val="none"/>
              </w:rPr>
              <w:t>3</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是否接受联合体投标</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不接受</w:t>
            </w:r>
          </w:p>
        </w:tc>
      </w:tr>
      <w:tr>
        <w:tblPrEx>
          <w:tblLayout w:type="fixed"/>
          <w:tblCellMar>
            <w:top w:w="0" w:type="dxa"/>
            <w:left w:w="108" w:type="dxa"/>
            <w:bottom w:w="0" w:type="dxa"/>
            <w:right w:w="108" w:type="dxa"/>
          </w:tblCellMar>
        </w:tblPrEx>
        <w:trPr>
          <w:trHeight w:val="479"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w:t>
            </w:r>
            <w:r>
              <w:rPr>
                <w:rFonts w:ascii="仿宋" w:hAnsi="仿宋" w:eastAsia="仿宋" w:cs="仿宋"/>
                <w:b/>
                <w:bCs/>
                <w:color w:val="auto"/>
                <w:sz w:val="28"/>
                <w:szCs w:val="28"/>
                <w:highlight w:val="none"/>
              </w:rPr>
              <w:t>4</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281" w:firstLineChars="1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合同履约期</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3年</w:t>
            </w:r>
          </w:p>
        </w:tc>
      </w:tr>
      <w:tr>
        <w:tblPrEx>
          <w:tblLayout w:type="fixed"/>
          <w:tblCellMar>
            <w:top w:w="0" w:type="dxa"/>
            <w:left w:w="108" w:type="dxa"/>
            <w:bottom w:w="0" w:type="dxa"/>
            <w:right w:w="108" w:type="dxa"/>
          </w:tblCellMar>
        </w:tblPrEx>
        <w:trPr>
          <w:trHeight w:val="45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w:t>
            </w:r>
            <w:r>
              <w:rPr>
                <w:rFonts w:ascii="仿宋" w:hAnsi="仿宋" w:eastAsia="仿宋" w:cs="仿宋"/>
                <w:b/>
                <w:bCs/>
                <w:color w:val="auto"/>
                <w:sz w:val="28"/>
                <w:szCs w:val="28"/>
                <w:highlight w:val="none"/>
              </w:rPr>
              <w:t>5</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highlight w:val="none"/>
              </w:rPr>
            </w:pPr>
            <w:r>
              <w:rPr>
                <w:rFonts w:hint="eastAsia" w:ascii="仿宋" w:hAnsi="仿宋" w:eastAsia="仿宋" w:cs="仿宋"/>
                <w:b/>
                <w:color w:val="auto"/>
                <w:sz w:val="28"/>
                <w:szCs w:val="28"/>
                <w:highlight w:val="none"/>
              </w:rPr>
              <w:t>递交截止时间</w:t>
            </w:r>
          </w:p>
        </w:tc>
        <w:tc>
          <w:tcPr>
            <w:tcW w:w="662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b/>
                <w:bCs/>
                <w:color w:val="auto"/>
                <w:sz w:val="28"/>
                <w:szCs w:val="28"/>
                <w:highlight w:val="none"/>
              </w:rPr>
            </w:pPr>
            <w:r>
              <w:rPr>
                <w:rFonts w:hint="eastAsia" w:ascii="仿宋" w:hAnsi="仿宋" w:eastAsia="仿宋" w:cs="仿宋"/>
                <w:b/>
                <w:color w:val="auto"/>
                <w:sz w:val="28"/>
                <w:szCs w:val="28"/>
                <w:highlight w:val="none"/>
                <w:u w:val="single"/>
              </w:rPr>
              <w:t xml:space="preserve">2021 </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u w:val="single"/>
                <w:lang w:val="en-US" w:eastAsia="zh-CN"/>
              </w:rPr>
              <w:t>11</w:t>
            </w:r>
            <w:r>
              <w:rPr>
                <w:rFonts w:hint="eastAsia" w:ascii="仿宋" w:hAnsi="仿宋" w:eastAsia="仿宋" w:cs="仿宋"/>
                <w:b/>
                <w:color w:val="auto"/>
                <w:sz w:val="28"/>
                <w:szCs w:val="28"/>
                <w:highlight w:val="none"/>
              </w:rPr>
              <w:t>月</w:t>
            </w:r>
            <w:r>
              <w:rPr>
                <w:rFonts w:hint="eastAsia" w:ascii="仿宋" w:hAnsi="仿宋" w:eastAsia="仿宋" w:cs="仿宋"/>
                <w:b/>
                <w:color w:val="auto"/>
                <w:sz w:val="28"/>
                <w:szCs w:val="28"/>
                <w:highlight w:val="none"/>
                <w:u w:val="single"/>
                <w:lang w:val="en-US" w:eastAsia="zh-CN"/>
              </w:rPr>
              <w:t>9</w:t>
            </w:r>
            <w:r>
              <w:rPr>
                <w:rFonts w:hint="eastAsia" w:ascii="仿宋" w:hAnsi="仿宋" w:eastAsia="仿宋" w:cs="仿宋"/>
                <w:b/>
                <w:color w:val="auto"/>
                <w:sz w:val="28"/>
                <w:szCs w:val="28"/>
                <w:highlight w:val="none"/>
              </w:rPr>
              <w:t>日下</w:t>
            </w:r>
            <w:r>
              <w:rPr>
                <w:rFonts w:hint="eastAsia" w:ascii="仿宋" w:hAnsi="仿宋" w:eastAsia="仿宋" w:cs="仿宋"/>
                <w:b/>
                <w:color w:val="auto"/>
                <w:sz w:val="28"/>
                <w:szCs w:val="28"/>
                <w:highlight w:val="none"/>
                <w:u w:val="single"/>
              </w:rPr>
              <w:t>午16:</w:t>
            </w:r>
            <w:r>
              <w:rPr>
                <w:rFonts w:hint="eastAsia" w:ascii="仿宋" w:hAnsi="仿宋" w:eastAsia="仿宋" w:cs="仿宋"/>
                <w:b/>
                <w:color w:val="auto"/>
                <w:sz w:val="28"/>
                <w:szCs w:val="28"/>
                <w:highlight w:val="none"/>
                <w:u w:val="single"/>
                <w:lang w:val="en-US" w:eastAsia="zh-CN"/>
              </w:rPr>
              <w:t>00：</w:t>
            </w:r>
            <w:r>
              <w:rPr>
                <w:rFonts w:hint="eastAsia" w:ascii="仿宋" w:hAnsi="仿宋" w:eastAsia="仿宋" w:cs="仿宋"/>
                <w:b/>
                <w:color w:val="auto"/>
                <w:sz w:val="28"/>
                <w:szCs w:val="28"/>
                <w:highlight w:val="none"/>
                <w:u w:val="single"/>
              </w:rPr>
              <w:t>00分</w:t>
            </w:r>
            <w:r>
              <w:rPr>
                <w:rFonts w:hint="eastAsia" w:ascii="仿宋" w:hAnsi="仿宋" w:eastAsia="仿宋" w:cs="仿宋"/>
                <w:b/>
                <w:color w:val="auto"/>
                <w:sz w:val="28"/>
                <w:szCs w:val="28"/>
                <w:highlight w:val="none"/>
              </w:rPr>
              <w:t>（北京时间）</w:t>
            </w:r>
          </w:p>
        </w:tc>
      </w:tr>
      <w:tr>
        <w:tblPrEx>
          <w:tblLayout w:type="fixed"/>
          <w:tblCellMar>
            <w:top w:w="0" w:type="dxa"/>
            <w:left w:w="108" w:type="dxa"/>
            <w:bottom w:w="0" w:type="dxa"/>
            <w:right w:w="108" w:type="dxa"/>
          </w:tblCellMar>
        </w:tblPrEx>
        <w:trPr>
          <w:trHeight w:val="774"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16</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投标保证金</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投标保证金金额：18000.00元（壹万捌仟元整）。</w:t>
            </w:r>
          </w:p>
          <w:p>
            <w:pPr>
              <w:snapToGrid w:val="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投标保证金的形式：由投标企业基本账户转账或电汇方式一次性汇入指定账户。</w:t>
            </w:r>
          </w:p>
          <w:p>
            <w:pPr>
              <w:snapToGrid w:val="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采购机构的开户银行及账号如下：</w:t>
            </w:r>
          </w:p>
          <w:p>
            <w:pPr>
              <w:pStyle w:val="25"/>
              <w:rPr>
                <w:rFonts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账户名称：昌吉市政府采购中心</w:t>
            </w:r>
          </w:p>
          <w:p>
            <w:pPr>
              <w:pStyle w:val="25"/>
              <w:rPr>
                <w:rFonts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账号：107006933941</w:t>
            </w:r>
            <w:r>
              <w:rPr>
                <w:rFonts w:hint="eastAsia" w:ascii="仿宋" w:hAnsi="仿宋" w:eastAsia="仿宋" w:cs="仿宋"/>
                <w:b/>
                <w:color w:val="auto"/>
                <w:sz w:val="28"/>
                <w:szCs w:val="28"/>
                <w:highlight w:val="none"/>
                <w:lang w:val="zh-CN"/>
              </w:rPr>
              <w:tab/>
            </w:r>
          </w:p>
          <w:p>
            <w:pPr>
              <w:pStyle w:val="25"/>
              <w:rPr>
                <w:rFonts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开户行号：104885001050</w:t>
            </w:r>
          </w:p>
          <w:p>
            <w:pPr>
              <w:pStyle w:val="25"/>
              <w:ind w:left="1405" w:hanging="1405" w:hangingChars="500"/>
              <w:rPr>
                <w:rFonts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开户行：中国银行昌吉市开发区支行（公对公转账）</w:t>
            </w:r>
          </w:p>
          <w:p>
            <w:pPr>
              <w:pStyle w:val="25"/>
              <w:rPr>
                <w:rFonts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投标保证金的递交截止时间为：</w:t>
            </w:r>
            <w:r>
              <w:rPr>
                <w:rFonts w:hint="eastAsia" w:ascii="仿宋" w:hAnsi="仿宋" w:eastAsia="仿宋" w:cs="仿宋"/>
                <w:b/>
                <w:color w:val="auto"/>
                <w:sz w:val="28"/>
                <w:szCs w:val="28"/>
                <w:highlight w:val="none"/>
                <w:u w:val="single"/>
              </w:rPr>
              <w:t xml:space="preserve"> 2021 </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u w:val="single"/>
                <w:lang w:val="en-US" w:eastAsia="zh-CN"/>
              </w:rPr>
              <w:t>11</w:t>
            </w:r>
            <w:r>
              <w:rPr>
                <w:rFonts w:hint="eastAsia" w:ascii="仿宋" w:hAnsi="仿宋" w:eastAsia="仿宋" w:cs="仿宋"/>
                <w:b/>
                <w:color w:val="auto"/>
                <w:sz w:val="28"/>
                <w:szCs w:val="28"/>
                <w:highlight w:val="none"/>
              </w:rPr>
              <w:t>月</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u w:val="single"/>
                <w:lang w:val="en-US" w:eastAsia="zh-CN"/>
              </w:rPr>
              <w:t>9</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日下</w:t>
            </w:r>
            <w:r>
              <w:rPr>
                <w:rFonts w:hint="eastAsia" w:ascii="仿宋" w:hAnsi="仿宋" w:eastAsia="仿宋" w:cs="仿宋"/>
                <w:b/>
                <w:color w:val="auto"/>
                <w:sz w:val="28"/>
                <w:szCs w:val="28"/>
                <w:highlight w:val="none"/>
                <w:u w:val="single"/>
              </w:rPr>
              <w:t xml:space="preserve">午16 </w:t>
            </w:r>
            <w:r>
              <w:rPr>
                <w:rFonts w:hint="eastAsia" w:ascii="仿宋" w:hAnsi="仿宋" w:eastAsia="仿宋" w:cs="仿宋"/>
                <w:b/>
                <w:color w:val="auto"/>
                <w:sz w:val="28"/>
                <w:szCs w:val="28"/>
                <w:highlight w:val="none"/>
              </w:rPr>
              <w:t>时</w:t>
            </w:r>
            <w:r>
              <w:rPr>
                <w:rFonts w:hint="eastAsia" w:ascii="仿宋" w:hAnsi="仿宋" w:eastAsia="仿宋" w:cs="仿宋"/>
                <w:b/>
                <w:color w:val="auto"/>
                <w:sz w:val="28"/>
                <w:szCs w:val="28"/>
                <w:highlight w:val="none"/>
                <w:u w:val="single"/>
                <w:lang w:val="en-US" w:eastAsia="zh-CN"/>
              </w:rPr>
              <w:t>0</w:t>
            </w:r>
            <w:r>
              <w:rPr>
                <w:rFonts w:hint="eastAsia" w:ascii="仿宋" w:hAnsi="仿宋" w:eastAsia="仿宋" w:cs="仿宋"/>
                <w:b/>
                <w:color w:val="auto"/>
                <w:sz w:val="28"/>
                <w:szCs w:val="28"/>
                <w:highlight w:val="none"/>
                <w:u w:val="single"/>
              </w:rPr>
              <w:t xml:space="preserve">0 </w:t>
            </w:r>
            <w:r>
              <w:rPr>
                <w:rFonts w:hint="eastAsia" w:ascii="仿宋" w:hAnsi="仿宋" w:eastAsia="仿宋" w:cs="仿宋"/>
                <w:b/>
                <w:color w:val="auto"/>
                <w:sz w:val="28"/>
                <w:szCs w:val="28"/>
                <w:highlight w:val="none"/>
              </w:rPr>
              <w:t>分之前（以银行记录确认到账为准）在提交保证金时必须标注明项目名称（XXXXX项目投标保证金。未按以上要求递交投标保证金及保证金回执单，其投标保证金视为无效，采购人将拒绝其投标。</w:t>
            </w:r>
          </w:p>
        </w:tc>
      </w:tr>
      <w:tr>
        <w:tblPrEx>
          <w:tblLayout w:type="fixed"/>
          <w:tblCellMar>
            <w:top w:w="0" w:type="dxa"/>
            <w:left w:w="108" w:type="dxa"/>
            <w:bottom w:w="0" w:type="dxa"/>
            <w:right w:w="108" w:type="dxa"/>
          </w:tblCellMar>
        </w:tblPrEx>
        <w:trPr>
          <w:trHeight w:val="1433"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highlight w:val="none"/>
              </w:rPr>
            </w:pPr>
            <w:r>
              <w:rPr>
                <w:rFonts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rPr>
              <w:t>7</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color w:val="auto"/>
                <w:sz w:val="28"/>
                <w:szCs w:val="28"/>
                <w:highlight w:val="none"/>
              </w:rPr>
            </w:pPr>
            <w:r>
              <w:rPr>
                <w:rFonts w:hint="eastAsia" w:ascii="仿宋" w:hAnsi="仿宋" w:eastAsia="仿宋" w:cs="仿宋"/>
                <w:b/>
                <w:bCs/>
                <w:color w:val="auto"/>
                <w:sz w:val="28"/>
                <w:szCs w:val="28"/>
                <w:highlight w:val="none"/>
              </w:rPr>
              <w:t>说明</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本竞争性谈判文件技术指标是作为功能性说明，在满足或优于本技术参数的基础上，供应商可以推荐自己的标准产品。采购人在技术性能描述上中列举了某些品牌或型号等，但此品牌或型号仅是为了说明设施设备的性能要求，仅供参考，并不强制要求，谈判时可理解为“或相当于”。不论任何情况，供应商在谈判时必须达到或优于竞争性谈判文件要求。</w:t>
            </w:r>
          </w:p>
        </w:tc>
      </w:tr>
      <w:tr>
        <w:tblPrEx>
          <w:tblLayout w:type="fixed"/>
          <w:tblCellMar>
            <w:top w:w="0" w:type="dxa"/>
            <w:left w:w="108" w:type="dxa"/>
            <w:bottom w:w="0" w:type="dxa"/>
            <w:right w:w="108" w:type="dxa"/>
          </w:tblCellMar>
        </w:tblPrEx>
        <w:trPr>
          <w:trHeight w:val="421"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highlight w:val="none"/>
              </w:rPr>
            </w:pPr>
            <w:r>
              <w:rPr>
                <w:rFonts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rPr>
              <w:t>8</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color w:val="auto"/>
                <w:sz w:val="28"/>
                <w:szCs w:val="28"/>
                <w:highlight w:val="none"/>
              </w:rPr>
            </w:pPr>
            <w:r>
              <w:rPr>
                <w:rFonts w:hint="eastAsia" w:ascii="仿宋" w:hAnsi="仿宋" w:eastAsia="仿宋" w:cs="仿宋"/>
                <w:b/>
                <w:bCs/>
                <w:color w:val="auto"/>
                <w:sz w:val="28"/>
                <w:szCs w:val="28"/>
                <w:highlight w:val="none"/>
              </w:rPr>
              <w:t>竞争性谈判文件领取</w:t>
            </w:r>
          </w:p>
        </w:tc>
        <w:tc>
          <w:tcPr>
            <w:tcW w:w="6628" w:type="dxa"/>
            <w:tcBorders>
              <w:top w:val="single" w:color="auto" w:sz="4" w:space="0"/>
              <w:left w:val="single" w:color="auto" w:sz="4" w:space="0"/>
              <w:bottom w:val="single" w:color="auto" w:sz="4" w:space="0"/>
              <w:right w:val="single" w:color="auto" w:sz="4" w:space="0"/>
            </w:tcBorders>
            <w:vAlign w:val="center"/>
          </w:tcPr>
          <w:p>
            <w:pPr>
              <w:pStyle w:val="31"/>
              <w:snapToGrid w:val="0"/>
              <w:rPr>
                <w:rFonts w:eastAsia="仿宋" w:cs="Calibri"/>
                <w:b/>
                <w:color w:val="auto"/>
                <w:sz w:val="28"/>
                <w:szCs w:val="28"/>
                <w:highlight w:val="none"/>
              </w:rPr>
            </w:pPr>
            <w:r>
              <w:rPr>
                <w:rFonts w:hint="eastAsia" w:ascii="仿宋" w:hAnsi="仿宋" w:eastAsia="仿宋" w:cs="仿宋"/>
                <w:b/>
                <w:color w:val="auto"/>
                <w:sz w:val="28"/>
                <w:szCs w:val="28"/>
                <w:highlight w:val="none"/>
              </w:rPr>
              <w:t>供应商登陆政采云平台</w:t>
            </w:r>
            <w:r>
              <w:rPr>
                <w:rFonts w:ascii="仿宋" w:hAnsi="仿宋" w:eastAsia="仿宋" w:cs="仿宋"/>
                <w:b/>
                <w:color w:val="auto"/>
                <w:sz w:val="28"/>
                <w:szCs w:val="28"/>
                <w:highlight w:val="none"/>
              </w:rPr>
              <w:t>http://www.zcygov.cn/</w:t>
            </w:r>
            <w:r>
              <w:rPr>
                <w:rFonts w:hint="eastAsia" w:ascii="仿宋" w:hAnsi="仿宋" w:eastAsia="仿宋" w:cs="仿宋"/>
                <w:b/>
                <w:color w:val="auto"/>
                <w:sz w:val="28"/>
                <w:szCs w:val="28"/>
                <w:highlight w:val="none"/>
              </w:rPr>
              <w:t>，在线申请获取采购文件（登录政府采购云平台→项目采购→获取采购文件→</w:t>
            </w:r>
            <w:r>
              <w:rPr>
                <w:rFonts w:eastAsia="仿宋" w:cs="Calibri"/>
                <w:b/>
                <w:color w:val="auto"/>
                <w:sz w:val="28"/>
                <w:szCs w:val="28"/>
                <w:highlight w:val="none"/>
              </w:rPr>
              <w:t> </w:t>
            </w:r>
            <w:r>
              <w:rPr>
                <w:rFonts w:hint="eastAsia" w:ascii="仿宋" w:hAnsi="仿宋" w:eastAsia="仿宋" w:cs="仿宋"/>
                <w:b/>
                <w:color w:val="auto"/>
                <w:sz w:val="28"/>
                <w:szCs w:val="28"/>
                <w:highlight w:val="none"/>
              </w:rPr>
              <w:t>申请，审核通过后可下载竞争性谈判文件，如</w:t>
            </w:r>
            <w:r>
              <w:rPr>
                <w:rFonts w:hint="eastAsia" w:ascii="仿宋" w:hAnsi="仿宋" w:eastAsia="仿宋" w:cs="仿宋"/>
                <w:b/>
                <w:color w:val="auto"/>
                <w:sz w:val="28"/>
                <w:szCs w:val="28"/>
                <w:highlight w:val="none"/>
              </w:rPr>
              <w:t>存在</w:t>
            </w:r>
            <w:r>
              <w:rPr>
                <w:rFonts w:hint="eastAsia" w:ascii="仿宋" w:hAnsi="仿宋" w:eastAsia="仿宋" w:cs="仿宋"/>
                <w:b/>
                <w:color w:val="auto"/>
                <w:sz w:val="28"/>
                <w:szCs w:val="28"/>
                <w:highlight w:val="none"/>
              </w:rPr>
              <w:t>操作性问题，可与政采云在线客服进行咨询，咨询电话：</w:t>
            </w:r>
            <w:r>
              <w:rPr>
                <w:rFonts w:ascii="仿宋" w:hAnsi="仿宋" w:eastAsia="仿宋" w:cs="仿宋"/>
                <w:b/>
                <w:color w:val="auto"/>
                <w:sz w:val="28"/>
                <w:szCs w:val="28"/>
                <w:highlight w:val="none"/>
              </w:rPr>
              <w:t>400-881-7190</w:t>
            </w:r>
            <w:r>
              <w:rPr>
                <w:rFonts w:hint="eastAsia" w:ascii="仿宋" w:hAnsi="仿宋" w:eastAsia="仿宋" w:cs="仿宋"/>
                <w:b/>
                <w:color w:val="auto"/>
                <w:sz w:val="28"/>
                <w:szCs w:val="28"/>
                <w:highlight w:val="none"/>
              </w:rPr>
              <w:t>）或加入“政采云新疆网超供应商服务群”钉钉号：</w:t>
            </w:r>
            <w:r>
              <w:rPr>
                <w:rFonts w:ascii="仿宋" w:hAnsi="仿宋" w:eastAsia="仿宋" w:cs="仿宋"/>
                <w:b/>
                <w:color w:val="auto"/>
                <w:sz w:val="28"/>
                <w:szCs w:val="28"/>
                <w:highlight w:val="none"/>
              </w:rPr>
              <w:t>32569183</w:t>
            </w:r>
            <w:r>
              <w:rPr>
                <w:rFonts w:hint="eastAsia" w:ascii="仿宋" w:hAnsi="仿宋" w:eastAsia="仿宋" w:cs="仿宋"/>
                <w:b/>
                <w:color w:val="auto"/>
                <w:sz w:val="28"/>
                <w:szCs w:val="28"/>
                <w:highlight w:val="none"/>
              </w:rPr>
              <w:t>咨询。</w:t>
            </w:r>
            <w:r>
              <w:rPr>
                <w:rFonts w:eastAsia="仿宋" w:cs="Calibri"/>
                <w:b/>
                <w:color w:val="auto"/>
                <w:sz w:val="28"/>
                <w:szCs w:val="28"/>
                <w:highlight w:val="none"/>
              </w:rPr>
              <w:t> </w:t>
            </w:r>
          </w:p>
          <w:p>
            <w:pPr>
              <w:pStyle w:val="31"/>
              <w:snapToGrid w:val="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获取方式：线上免费获取（登录政府采购云平台→项目采购→获取采购文件→申请，审核通过后可下载竞争性谈判文件）。本次</w:t>
            </w:r>
            <w:r>
              <w:rPr>
                <w:rFonts w:hint="eastAsia" w:ascii="仿宋" w:hAnsi="仿宋" w:eastAsia="仿宋" w:cs="仿宋"/>
                <w:b/>
                <w:color w:val="auto"/>
                <w:sz w:val="28"/>
                <w:szCs w:val="28"/>
                <w:highlight w:val="none"/>
              </w:rPr>
              <w:t>谈判</w:t>
            </w:r>
            <w:r>
              <w:rPr>
                <w:rFonts w:hint="eastAsia" w:ascii="仿宋" w:hAnsi="仿宋" w:eastAsia="仿宋" w:cs="仿宋"/>
                <w:b/>
                <w:color w:val="auto"/>
                <w:sz w:val="28"/>
                <w:szCs w:val="28"/>
                <w:highlight w:val="none"/>
              </w:rPr>
              <w:t>不提供纸质版竞争性谈判文件。</w:t>
            </w:r>
            <w:r>
              <w:rPr>
                <w:rFonts w:eastAsia="仿宋" w:cs="Calibri"/>
                <w:b/>
                <w:color w:val="auto"/>
                <w:sz w:val="28"/>
                <w:szCs w:val="28"/>
                <w:highlight w:val="none"/>
              </w:rPr>
              <w:t> </w:t>
            </w:r>
          </w:p>
        </w:tc>
      </w:tr>
      <w:tr>
        <w:tblPrEx>
          <w:tblLayout w:type="fixed"/>
          <w:tblCellMar>
            <w:top w:w="0" w:type="dxa"/>
            <w:left w:w="108" w:type="dxa"/>
            <w:bottom w:w="0" w:type="dxa"/>
            <w:right w:w="108" w:type="dxa"/>
          </w:tblCellMar>
        </w:tblPrEx>
        <w:trPr>
          <w:trHeight w:val="778"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19</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现场递交响应</w:t>
            </w:r>
          </w:p>
          <w:p>
            <w:pPr>
              <w:adjustRightInd w:val="0"/>
              <w:snapToGrid w:val="0"/>
              <w:jc w:val="center"/>
              <w:rPr>
                <w:rFonts w:ascii="黑体" w:hAnsi="黑体" w:eastAsia="黑体" w:cs="仿宋"/>
                <w:b/>
                <w:bCs/>
                <w:color w:val="auto"/>
                <w:sz w:val="28"/>
                <w:szCs w:val="28"/>
                <w:highlight w:val="none"/>
              </w:rPr>
            </w:pPr>
            <w:r>
              <w:rPr>
                <w:rFonts w:hint="eastAsia" w:ascii="仿宋" w:hAnsi="仿宋" w:eastAsia="仿宋" w:cs="仿宋"/>
                <w:b/>
                <w:bCs/>
                <w:color w:val="auto"/>
                <w:sz w:val="28"/>
                <w:szCs w:val="28"/>
                <w:highlight w:val="none"/>
              </w:rPr>
              <w:t>文件的份数</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黑体" w:hAnsi="黑体" w:eastAsia="黑体" w:cs="仿宋"/>
                <w:b/>
                <w:bCs/>
                <w:color w:val="auto"/>
                <w:sz w:val="28"/>
                <w:szCs w:val="28"/>
                <w:highlight w:val="none"/>
              </w:rPr>
            </w:pPr>
            <w:r>
              <w:rPr>
                <w:rFonts w:hint="eastAsia" w:ascii="仿宋" w:hAnsi="仿宋" w:eastAsia="仿宋" w:cs="仿宋"/>
                <w:b/>
                <w:color w:val="auto"/>
                <w:sz w:val="28"/>
                <w:szCs w:val="28"/>
                <w:highlight w:val="none"/>
              </w:rPr>
              <w:t>供应商提供纸质版文件一式二份、正本一份副本一份（邮寄或送至昌吉市财政局一楼102室（昌吉市政府采购中心办公室昌吉市长宁路17号）</w:t>
            </w:r>
          </w:p>
        </w:tc>
      </w:tr>
      <w:tr>
        <w:tblPrEx>
          <w:tblLayout w:type="fixed"/>
          <w:tblCellMar>
            <w:top w:w="0" w:type="dxa"/>
            <w:left w:w="108" w:type="dxa"/>
            <w:bottom w:w="0" w:type="dxa"/>
            <w:right w:w="108" w:type="dxa"/>
          </w:tblCellMar>
        </w:tblPrEx>
        <w:trPr>
          <w:trHeight w:val="108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20</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电子加密文件递交时间及地点</w:t>
            </w:r>
          </w:p>
        </w:tc>
        <w:tc>
          <w:tcPr>
            <w:tcW w:w="6628" w:type="dxa"/>
            <w:tcBorders>
              <w:top w:val="single" w:color="auto" w:sz="4" w:space="0"/>
              <w:left w:val="single" w:color="auto" w:sz="4" w:space="0"/>
              <w:bottom w:val="single" w:color="auto" w:sz="4" w:space="0"/>
              <w:right w:val="single" w:color="auto" w:sz="4" w:space="0"/>
            </w:tcBorders>
            <w:vAlign w:val="center"/>
          </w:tcPr>
          <w:p>
            <w:pPr>
              <w:pStyle w:val="31"/>
              <w:widowControl/>
              <w:snapToGrid w:val="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提交截止时间：</w:t>
            </w:r>
          </w:p>
          <w:p>
            <w:pPr>
              <w:pStyle w:val="31"/>
              <w:widowControl/>
              <w:snapToGrid w:val="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u w:val="single"/>
              </w:rPr>
              <w:t xml:space="preserve">2021 </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u w:val="single"/>
                <w:lang w:val="en-US" w:eastAsia="zh-CN"/>
              </w:rPr>
              <w:t>11</w:t>
            </w:r>
            <w:r>
              <w:rPr>
                <w:rFonts w:hint="eastAsia" w:ascii="仿宋" w:hAnsi="仿宋" w:eastAsia="仿宋" w:cs="仿宋"/>
                <w:b/>
                <w:color w:val="auto"/>
                <w:sz w:val="28"/>
                <w:szCs w:val="28"/>
                <w:highlight w:val="none"/>
              </w:rPr>
              <w:t>月</w:t>
            </w:r>
            <w:r>
              <w:rPr>
                <w:rFonts w:hint="eastAsia" w:ascii="仿宋" w:hAnsi="仿宋" w:eastAsia="仿宋" w:cs="仿宋"/>
                <w:b/>
                <w:color w:val="auto"/>
                <w:sz w:val="28"/>
                <w:szCs w:val="28"/>
                <w:highlight w:val="none"/>
                <w:u w:val="single"/>
                <w:lang w:val="en-US" w:eastAsia="zh-CN"/>
              </w:rPr>
              <w:t>9</w:t>
            </w:r>
            <w:r>
              <w:rPr>
                <w:rFonts w:hint="eastAsia" w:ascii="仿宋" w:hAnsi="仿宋" w:eastAsia="仿宋" w:cs="仿宋"/>
                <w:b/>
                <w:color w:val="auto"/>
                <w:sz w:val="28"/>
                <w:szCs w:val="28"/>
                <w:highlight w:val="none"/>
              </w:rPr>
              <w:t>日下</w:t>
            </w:r>
            <w:r>
              <w:rPr>
                <w:rFonts w:hint="eastAsia" w:ascii="仿宋" w:hAnsi="仿宋" w:eastAsia="仿宋" w:cs="仿宋"/>
                <w:b/>
                <w:color w:val="auto"/>
                <w:sz w:val="28"/>
                <w:szCs w:val="28"/>
                <w:highlight w:val="none"/>
                <w:u w:val="single"/>
              </w:rPr>
              <w:t>午16:</w:t>
            </w:r>
            <w:r>
              <w:rPr>
                <w:rFonts w:hint="eastAsia" w:ascii="仿宋" w:hAnsi="仿宋" w:eastAsia="仿宋" w:cs="仿宋"/>
                <w:b/>
                <w:color w:val="auto"/>
                <w:sz w:val="28"/>
                <w:szCs w:val="28"/>
                <w:highlight w:val="none"/>
                <w:u w:val="single"/>
                <w:lang w:val="en-US" w:eastAsia="zh-CN"/>
              </w:rPr>
              <w:t>00：</w:t>
            </w:r>
            <w:r>
              <w:rPr>
                <w:rFonts w:hint="eastAsia" w:ascii="仿宋" w:hAnsi="仿宋" w:eastAsia="仿宋" w:cs="仿宋"/>
                <w:b/>
                <w:color w:val="auto"/>
                <w:sz w:val="28"/>
                <w:szCs w:val="28"/>
                <w:highlight w:val="none"/>
                <w:u w:val="single"/>
              </w:rPr>
              <w:t>00分</w:t>
            </w: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rPr>
              <w:t>北京时间）</w:t>
            </w:r>
          </w:p>
          <w:p>
            <w:pPr>
              <w:pStyle w:val="31"/>
              <w:widowControl/>
              <w:snapToGrid w:val="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递交地点：</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Fonts w:ascii="仿宋" w:hAnsi="仿宋" w:eastAsia="仿宋" w:cs="仿宋"/>
                <w:b/>
                <w:color w:val="auto"/>
                <w:sz w:val="28"/>
                <w:szCs w:val="28"/>
                <w:highlight w:val="none"/>
              </w:rPr>
              <w:t>https://www.zcygov.cn</w:t>
            </w:r>
            <w:r>
              <w:rPr>
                <w:rFonts w:ascii="仿宋" w:hAnsi="仿宋" w:eastAsia="仿宋" w:cs="仿宋"/>
                <w:b/>
                <w:color w:val="auto"/>
                <w:sz w:val="28"/>
                <w:szCs w:val="28"/>
                <w:highlight w:val="none"/>
              </w:rPr>
              <w:fldChar w:fldCharType="end"/>
            </w:r>
            <w:r>
              <w:rPr>
                <w:rFonts w:hint="eastAsia" w:ascii="仿宋" w:hAnsi="仿宋" w:eastAsia="仿宋" w:cs="仿宋"/>
                <w:b/>
                <w:color w:val="auto"/>
                <w:sz w:val="28"/>
                <w:szCs w:val="28"/>
                <w:highlight w:val="none"/>
              </w:rPr>
              <w:t>在线上传</w:t>
            </w:r>
            <w:r>
              <w:rPr>
                <w:rFonts w:eastAsia="仿宋" w:cs="Calibri"/>
                <w:b/>
                <w:color w:val="auto"/>
                <w:sz w:val="28"/>
                <w:szCs w:val="28"/>
                <w:highlight w:val="none"/>
              </w:rPr>
              <w:t> </w:t>
            </w:r>
          </w:p>
          <w:p>
            <w:pPr>
              <w:pStyle w:val="31"/>
              <w:widowControl/>
              <w:snapToGrid w:val="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谈判时间：</w:t>
            </w:r>
            <w:r>
              <w:rPr>
                <w:rFonts w:hint="eastAsia" w:ascii="仿宋" w:hAnsi="仿宋" w:eastAsia="仿宋" w:cs="仿宋"/>
                <w:b/>
                <w:color w:val="auto"/>
                <w:sz w:val="28"/>
                <w:szCs w:val="28"/>
                <w:highlight w:val="none"/>
                <w:u w:val="single"/>
              </w:rPr>
              <w:t xml:space="preserve">2021 </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u w:val="single"/>
                <w:lang w:val="en-US" w:eastAsia="zh-CN"/>
              </w:rPr>
              <w:t>11</w:t>
            </w:r>
            <w:r>
              <w:rPr>
                <w:rFonts w:hint="eastAsia" w:ascii="仿宋" w:hAnsi="仿宋" w:eastAsia="仿宋" w:cs="仿宋"/>
                <w:b/>
                <w:color w:val="auto"/>
                <w:sz w:val="28"/>
                <w:szCs w:val="28"/>
                <w:highlight w:val="none"/>
              </w:rPr>
              <w:t>月</w:t>
            </w:r>
            <w:r>
              <w:rPr>
                <w:rFonts w:hint="eastAsia" w:ascii="仿宋" w:hAnsi="仿宋" w:eastAsia="仿宋" w:cs="仿宋"/>
                <w:b/>
                <w:color w:val="auto"/>
                <w:sz w:val="28"/>
                <w:szCs w:val="28"/>
                <w:highlight w:val="none"/>
                <w:u w:val="single"/>
                <w:lang w:val="en-US" w:eastAsia="zh-CN"/>
              </w:rPr>
              <w:t>9</w:t>
            </w:r>
            <w:r>
              <w:rPr>
                <w:rFonts w:hint="eastAsia" w:ascii="仿宋" w:hAnsi="仿宋" w:eastAsia="仿宋" w:cs="仿宋"/>
                <w:b/>
                <w:color w:val="auto"/>
                <w:sz w:val="28"/>
                <w:szCs w:val="28"/>
                <w:highlight w:val="none"/>
              </w:rPr>
              <w:t>日下</w:t>
            </w:r>
            <w:r>
              <w:rPr>
                <w:rFonts w:hint="eastAsia" w:ascii="仿宋" w:hAnsi="仿宋" w:eastAsia="仿宋" w:cs="仿宋"/>
                <w:b/>
                <w:color w:val="auto"/>
                <w:sz w:val="28"/>
                <w:szCs w:val="28"/>
                <w:highlight w:val="none"/>
                <w:u w:val="single"/>
              </w:rPr>
              <w:t>午16:</w:t>
            </w:r>
            <w:r>
              <w:rPr>
                <w:rFonts w:hint="eastAsia" w:ascii="仿宋" w:hAnsi="仿宋" w:eastAsia="仿宋" w:cs="仿宋"/>
                <w:b/>
                <w:color w:val="auto"/>
                <w:sz w:val="28"/>
                <w:szCs w:val="28"/>
                <w:highlight w:val="none"/>
                <w:u w:val="single"/>
                <w:lang w:val="en-US" w:eastAsia="zh-CN"/>
              </w:rPr>
              <w:t>00：</w:t>
            </w:r>
            <w:r>
              <w:rPr>
                <w:rFonts w:hint="eastAsia" w:ascii="仿宋" w:hAnsi="仿宋" w:eastAsia="仿宋" w:cs="仿宋"/>
                <w:b/>
                <w:color w:val="auto"/>
                <w:sz w:val="28"/>
                <w:szCs w:val="28"/>
                <w:highlight w:val="none"/>
                <w:u w:val="single"/>
              </w:rPr>
              <w:t>00分</w:t>
            </w:r>
            <w:r>
              <w:rPr>
                <w:rFonts w:hint="eastAsia" w:ascii="仿宋" w:hAnsi="仿宋" w:eastAsia="仿宋" w:cs="仿宋"/>
                <w:b/>
                <w:color w:val="auto"/>
                <w:sz w:val="28"/>
                <w:szCs w:val="28"/>
                <w:highlight w:val="none"/>
              </w:rPr>
              <w:t>（北京时间）</w:t>
            </w:r>
          </w:p>
          <w:p>
            <w:pPr>
              <w:pStyle w:val="31"/>
              <w:widowControl/>
              <w:snapToGrid w:val="0"/>
              <w:rPr>
                <w:rFonts w:ascii="仿宋" w:hAnsi="仿宋" w:eastAsia="仿宋"/>
                <w:b/>
                <w:color w:val="auto"/>
                <w:sz w:val="28"/>
                <w:szCs w:val="28"/>
                <w:highlight w:val="none"/>
              </w:rPr>
            </w:pPr>
            <w:r>
              <w:rPr>
                <w:rFonts w:hint="eastAsia" w:ascii="仿宋" w:hAnsi="仿宋" w:eastAsia="仿宋" w:cs="仿宋"/>
                <w:b/>
                <w:color w:val="auto"/>
                <w:sz w:val="28"/>
                <w:szCs w:val="28"/>
                <w:highlight w:val="none"/>
              </w:rPr>
              <w:t>谈判地点：</w:t>
            </w:r>
            <w:r>
              <w:rPr>
                <w:rFonts w:ascii="仿宋" w:hAnsi="仿宋" w:eastAsia="仿宋" w:cs="仿宋"/>
                <w:b/>
                <w:color w:val="auto"/>
                <w:sz w:val="28"/>
                <w:szCs w:val="28"/>
                <w:highlight w:val="none"/>
              </w:rPr>
              <w:t>https://www.zcygov.cn</w:t>
            </w:r>
            <w:r>
              <w:rPr>
                <w:rFonts w:eastAsia="仿宋" w:cs="Calibri"/>
                <w:b/>
                <w:color w:val="auto"/>
                <w:sz w:val="28"/>
                <w:szCs w:val="28"/>
                <w:highlight w:val="none"/>
              </w:rPr>
              <w:t>  </w:t>
            </w:r>
          </w:p>
        </w:tc>
      </w:tr>
      <w:tr>
        <w:tblPrEx>
          <w:tblLayout w:type="fixed"/>
          <w:tblCellMar>
            <w:top w:w="0" w:type="dxa"/>
            <w:left w:w="108" w:type="dxa"/>
            <w:bottom w:w="0" w:type="dxa"/>
            <w:right w:w="108" w:type="dxa"/>
          </w:tblCellMar>
        </w:tblPrEx>
        <w:trPr>
          <w:trHeight w:val="639"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21</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是否退还</w:t>
            </w:r>
          </w:p>
          <w:p>
            <w:pPr>
              <w:adjustRightInd w:val="0"/>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响应文件</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rPr>
                <w:b/>
                <w:color w:val="auto"/>
                <w:highlight w:val="none"/>
              </w:rPr>
            </w:pPr>
            <w:r>
              <w:rPr>
                <w:rFonts w:hint="eastAsia" w:ascii="仿宋" w:hAnsi="仿宋" w:eastAsia="仿宋" w:cs="仿宋"/>
                <w:b/>
                <w:bCs/>
                <w:color w:val="auto"/>
                <w:sz w:val="28"/>
                <w:szCs w:val="28"/>
                <w:highlight w:val="none"/>
              </w:rPr>
              <w:t>不退还</w:t>
            </w:r>
          </w:p>
        </w:tc>
      </w:tr>
      <w:tr>
        <w:tblPrEx>
          <w:tblLayout w:type="fixed"/>
          <w:tblCellMar>
            <w:top w:w="0" w:type="dxa"/>
            <w:left w:w="108" w:type="dxa"/>
            <w:bottom w:w="0" w:type="dxa"/>
            <w:right w:w="108" w:type="dxa"/>
          </w:tblCellMar>
        </w:tblPrEx>
        <w:trPr>
          <w:trHeight w:val="456"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highlight w:val="none"/>
              </w:rPr>
            </w:pPr>
            <w:r>
              <w:rPr>
                <w:rFonts w:ascii="仿宋" w:hAnsi="仿宋" w:eastAsia="仿宋" w:cs="仿宋"/>
                <w:b/>
                <w:bCs/>
                <w:color w:val="auto"/>
                <w:sz w:val="28"/>
                <w:szCs w:val="28"/>
                <w:highlight w:val="none"/>
              </w:rPr>
              <w:t>2</w:t>
            </w:r>
            <w:r>
              <w:rPr>
                <w:rFonts w:hint="eastAsia" w:ascii="仿宋" w:hAnsi="仿宋" w:eastAsia="仿宋" w:cs="仿宋"/>
                <w:b/>
                <w:bCs/>
                <w:color w:val="auto"/>
                <w:sz w:val="28"/>
                <w:szCs w:val="28"/>
                <w:highlight w:val="none"/>
              </w:rPr>
              <w:t>2</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highlight w:val="none"/>
              </w:rPr>
            </w:pPr>
            <w:r>
              <w:rPr>
                <w:rFonts w:hint="eastAsia" w:ascii="仿宋" w:hAnsi="仿宋" w:eastAsia="仿宋" w:cs="仿宋"/>
                <w:b/>
                <w:color w:val="auto"/>
                <w:sz w:val="28"/>
                <w:szCs w:val="28"/>
                <w:highlight w:val="none"/>
              </w:rPr>
              <w:t>控制价</w:t>
            </w:r>
          </w:p>
        </w:tc>
        <w:tc>
          <w:tcPr>
            <w:tcW w:w="6628" w:type="dxa"/>
            <w:tcBorders>
              <w:top w:val="single" w:color="auto" w:sz="4" w:space="0"/>
              <w:left w:val="single" w:color="auto" w:sz="4" w:space="0"/>
              <w:bottom w:val="single" w:color="auto" w:sz="4" w:space="0"/>
              <w:right w:val="single" w:color="auto" w:sz="4" w:space="0"/>
            </w:tcBorders>
            <w:vAlign w:val="center"/>
          </w:tcPr>
          <w:p>
            <w:pPr>
              <w:pStyle w:val="25"/>
              <w:rPr>
                <w:rFonts w:ascii="仿宋" w:hAnsi="仿宋" w:eastAsia="仿宋" w:cs="仿宋"/>
                <w:b/>
                <w:bCs/>
                <w:color w:val="auto"/>
                <w:sz w:val="28"/>
                <w:szCs w:val="28"/>
                <w:highlight w:val="none"/>
              </w:rPr>
            </w:pPr>
            <w:r>
              <w:rPr>
                <w:rFonts w:hint="eastAsia" w:ascii="仿宋" w:hAnsi="仿宋" w:eastAsia="仿宋"/>
                <w:b/>
                <w:color w:val="auto"/>
                <w:sz w:val="28"/>
                <w:highlight w:val="none"/>
              </w:rPr>
              <w:t>本次预算控制价：903000.00元</w:t>
            </w:r>
          </w:p>
        </w:tc>
      </w:tr>
      <w:tr>
        <w:tblPrEx>
          <w:tblLayout w:type="fixed"/>
          <w:tblCellMar>
            <w:top w:w="0" w:type="dxa"/>
            <w:left w:w="108" w:type="dxa"/>
            <w:bottom w:w="0" w:type="dxa"/>
            <w:right w:w="108" w:type="dxa"/>
          </w:tblCellMar>
        </w:tblPrEx>
        <w:trPr>
          <w:trHeight w:val="456"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
                <w:b/>
                <w:color w:val="auto"/>
                <w:highlight w:val="none"/>
              </w:rPr>
            </w:pPr>
            <w:r>
              <w:rPr>
                <w:rFonts w:ascii="仿宋" w:hAnsi="仿宋" w:eastAsia="仿宋" w:cs="仿宋"/>
                <w:b/>
                <w:bCs/>
                <w:color w:val="auto"/>
                <w:sz w:val="28"/>
                <w:szCs w:val="28"/>
                <w:highlight w:val="none"/>
              </w:rPr>
              <w:t>2</w:t>
            </w:r>
            <w:r>
              <w:rPr>
                <w:rFonts w:hint="eastAsia" w:ascii="仿宋" w:hAnsi="仿宋" w:eastAsia="仿宋" w:cs="仿宋"/>
                <w:b/>
                <w:bCs/>
                <w:color w:val="auto"/>
                <w:sz w:val="28"/>
                <w:szCs w:val="28"/>
                <w:highlight w:val="none"/>
              </w:rPr>
              <w:t>3</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评审原则</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满足谈判采购文件实质性响应要求且最后报价最低的原则确定成交供应商</w:t>
            </w:r>
          </w:p>
        </w:tc>
      </w:tr>
      <w:tr>
        <w:tblPrEx>
          <w:tblLayout w:type="fixed"/>
          <w:tblCellMar>
            <w:top w:w="0" w:type="dxa"/>
            <w:left w:w="108" w:type="dxa"/>
            <w:bottom w:w="0" w:type="dxa"/>
            <w:right w:w="108" w:type="dxa"/>
          </w:tblCellMar>
        </w:tblPrEx>
        <w:trPr>
          <w:trHeight w:val="675"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highlight w:val="none"/>
              </w:rPr>
            </w:pPr>
            <w:r>
              <w:rPr>
                <w:rFonts w:ascii="仿宋" w:hAnsi="仿宋" w:eastAsia="仿宋" w:cs="仿宋"/>
                <w:b/>
                <w:bCs/>
                <w:color w:val="auto"/>
                <w:sz w:val="28"/>
                <w:szCs w:val="28"/>
                <w:highlight w:val="none"/>
              </w:rPr>
              <w:t>2</w:t>
            </w:r>
            <w:r>
              <w:rPr>
                <w:rFonts w:hint="eastAsia" w:ascii="仿宋" w:hAnsi="仿宋" w:eastAsia="仿宋" w:cs="仿宋"/>
                <w:b/>
                <w:bCs/>
                <w:color w:val="auto"/>
                <w:sz w:val="28"/>
                <w:szCs w:val="28"/>
                <w:highlight w:val="none"/>
              </w:rPr>
              <w:t>4</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color w:val="auto"/>
                <w:sz w:val="28"/>
                <w:szCs w:val="28"/>
                <w:highlight w:val="none"/>
              </w:rPr>
            </w:pPr>
            <w:r>
              <w:rPr>
                <w:rFonts w:hint="eastAsia" w:ascii="仿宋" w:hAnsi="仿宋" w:eastAsia="仿宋" w:cs="仿宋"/>
                <w:b/>
                <w:bCs/>
                <w:color w:val="auto"/>
                <w:sz w:val="28"/>
                <w:szCs w:val="28"/>
                <w:highlight w:val="none"/>
              </w:rPr>
              <w:t>备注：</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1、竞争性谈判文件中所有偏离表，如无偏离应在相应表格中填写“响应”，如未填写视为不响应竞争性谈判文件；</w:t>
            </w:r>
          </w:p>
          <w:p>
            <w:pPr>
              <w:adjustRightInd w:val="0"/>
              <w:snapToGrid w:val="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2、各供应商谈判时以人民币报价;</w:t>
            </w:r>
          </w:p>
          <w:p>
            <w:pPr>
              <w:adjustRightInd w:val="0"/>
              <w:snapToGrid w:val="0"/>
              <w:rPr>
                <w:rFonts w:ascii="仿宋" w:hAnsi="仿宋" w:eastAsia="仿宋" w:cs="仿宋"/>
                <w:b/>
                <w:color w:val="auto"/>
                <w:sz w:val="28"/>
                <w:szCs w:val="28"/>
                <w:highlight w:val="none"/>
              </w:rPr>
            </w:pPr>
            <w:r>
              <w:rPr>
                <w:rFonts w:hint="eastAsia" w:ascii="仿宋" w:hAnsi="仿宋" w:eastAsia="仿宋" w:cs="仿宋"/>
                <w:b/>
                <w:bCs/>
                <w:color w:val="auto"/>
                <w:sz w:val="28"/>
                <w:szCs w:val="28"/>
                <w:highlight w:val="none"/>
              </w:rPr>
              <w:t>3、竞争性谈判文件中所涉及的日期均为日历日。</w:t>
            </w:r>
          </w:p>
        </w:tc>
      </w:tr>
      <w:tr>
        <w:tblPrEx>
          <w:tblLayout w:type="fixed"/>
          <w:tblCellMar>
            <w:top w:w="0" w:type="dxa"/>
            <w:left w:w="108" w:type="dxa"/>
            <w:bottom w:w="0" w:type="dxa"/>
            <w:right w:w="108" w:type="dxa"/>
          </w:tblCellMar>
        </w:tblPrEx>
        <w:trPr>
          <w:trHeight w:val="55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highlight w:val="none"/>
              </w:rPr>
            </w:pPr>
            <w:r>
              <w:rPr>
                <w:rFonts w:ascii="仿宋" w:hAnsi="仿宋" w:eastAsia="仿宋" w:cs="仿宋"/>
                <w:b/>
                <w:bCs/>
                <w:color w:val="auto"/>
                <w:sz w:val="28"/>
                <w:szCs w:val="28"/>
                <w:highlight w:val="none"/>
              </w:rPr>
              <w:t>2</w:t>
            </w:r>
            <w:r>
              <w:rPr>
                <w:rFonts w:hint="eastAsia" w:ascii="仿宋" w:hAnsi="仿宋" w:eastAsia="仿宋" w:cs="仿宋"/>
                <w:b/>
                <w:bCs/>
                <w:color w:val="auto"/>
                <w:sz w:val="28"/>
                <w:szCs w:val="28"/>
                <w:highlight w:val="none"/>
              </w:rPr>
              <w:t>5</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其他说明</w:t>
            </w:r>
          </w:p>
        </w:tc>
        <w:tc>
          <w:tcPr>
            <w:tcW w:w="6628" w:type="dxa"/>
            <w:tcBorders>
              <w:top w:val="single" w:color="auto" w:sz="4" w:space="0"/>
              <w:left w:val="single" w:color="auto" w:sz="4" w:space="0"/>
              <w:bottom w:val="single" w:color="auto" w:sz="4" w:space="0"/>
              <w:right w:val="single" w:color="auto" w:sz="4" w:space="0"/>
            </w:tcBorders>
            <w:vAlign w:val="center"/>
          </w:tcPr>
          <w:p>
            <w:pPr>
              <w:numPr>
                <w:ilvl w:val="0"/>
                <w:numId w:val="2"/>
              </w:numPr>
              <w:adjustRightInd w:val="0"/>
              <w:snapToGrid w:val="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请供应商提前自学线上开标流程；提交响应文件截止时间当天，线上开标环节，响应文件解密时长60分钟，请各供应商</w:t>
            </w:r>
            <w:r>
              <w:rPr>
                <w:rFonts w:hint="eastAsia" w:ascii="仿宋" w:hAnsi="仿宋" w:eastAsia="仿宋" w:cs="仿宋"/>
                <w:b/>
                <w:bCs/>
                <w:color w:val="auto"/>
                <w:sz w:val="28"/>
                <w:szCs w:val="28"/>
                <w:highlight w:val="none"/>
              </w:rPr>
              <w:t>自备</w:t>
            </w:r>
            <w:r>
              <w:rPr>
                <w:rFonts w:hint="eastAsia" w:ascii="仿宋" w:hAnsi="仿宋" w:eastAsia="仿宋" w:cs="仿宋"/>
                <w:b/>
                <w:bCs/>
                <w:color w:val="auto"/>
                <w:sz w:val="28"/>
                <w:szCs w:val="28"/>
                <w:highlight w:val="none"/>
              </w:rPr>
              <w:t>笔记本电脑及CA锁网上进行文件解密以及操作投标事项，请供应商提前调试好在线参标电脑各项配置。</w:t>
            </w:r>
          </w:p>
          <w:p>
            <w:pPr>
              <w:adjustRightInd w:val="0"/>
              <w:snapToGrid w:val="0"/>
              <w:spacing w:line="288" w:lineRule="auto"/>
              <w:rPr>
                <w:b/>
                <w:color w:val="auto"/>
                <w:highlight w:val="none"/>
              </w:rPr>
            </w:pPr>
            <w:r>
              <w:rPr>
                <w:rFonts w:hint="eastAsia" w:ascii="仿宋" w:hAnsi="仿宋" w:eastAsia="仿宋" w:cs="仿宋"/>
                <w:b/>
                <w:bCs/>
                <w:color w:val="auto"/>
                <w:sz w:val="28"/>
                <w:szCs w:val="28"/>
                <w:highlight w:val="none"/>
              </w:rPr>
              <w:t>（如供应商对电子投标不清楚，感觉单位无法完成可到招标现场，请自带笔记本电脑及CA锁网上进行签到、文件解密以及操作投标。）</w:t>
            </w:r>
          </w:p>
          <w:p>
            <w:pPr>
              <w:adjustRightInd w:val="0"/>
              <w:snapToGrid w:val="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2.竞争性谈判文件中采购清单、技术需求等如有偏差，如有疑义请在澄清中及时提出；否则视为充分理解竞争性谈判文件各项要求。</w:t>
            </w:r>
          </w:p>
          <w:p>
            <w:pPr>
              <w:adjustRightInd w:val="0"/>
              <w:snapToGrid w:val="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本次采用政府采购云平台线上谈判，请各潜在供应商及时办理CA锁和学习政府采购云平台线上谈判相关知识。请在政府采购云平台登录后，进行下载竞争性谈判文件。请各供应商获取竞争性谈判文件后及时关注云平台答疑文件获取栏目。具体相关事宜见政府采购云平台。本项目采用资格后审，请供应商仔细阅读并根据竞争性谈判文件和各项要求，制作响应文件，若因供应商资格条件不符、提供资料缺失等原因造成不利后果，则由供应商自行承担相应的法律责任。</w:t>
            </w:r>
          </w:p>
          <w:p>
            <w:pPr>
              <w:adjustRightInd w:val="0"/>
              <w:snapToGrid w:val="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供应商应在竞争性谈判文件规定的时间将纸质版和电子版响应文件递交或送达，如二者内容不一致，则以电子版响应文件为准。竞争性谈判文件中的内容如有冲突，以项目概要为准。</w:t>
            </w:r>
          </w:p>
          <w:p>
            <w:pPr>
              <w:adjustRightInd w:val="0"/>
              <w:snapToGrid w:val="0"/>
              <w:rPr>
                <w:rFonts w:ascii="仿宋" w:hAnsi="仿宋" w:eastAsia="仿宋" w:cs="仿宋"/>
                <w:b/>
                <w:bCs/>
                <w:color w:val="auto"/>
                <w:sz w:val="28"/>
                <w:szCs w:val="28"/>
                <w:highlight w:val="none"/>
              </w:rPr>
            </w:pPr>
          </w:p>
          <w:p>
            <w:pPr>
              <w:adjustRightInd w:val="0"/>
              <w:snapToGrid w:val="0"/>
              <w:rPr>
                <w:b/>
                <w:color w:val="auto"/>
                <w:highlight w:val="none"/>
              </w:rPr>
            </w:pPr>
          </w:p>
        </w:tc>
      </w:tr>
    </w:tbl>
    <w:p>
      <w:pPr>
        <w:pStyle w:val="2"/>
        <w:rPr>
          <w:color w:val="auto"/>
          <w:highlight w:val="none"/>
        </w:rPr>
      </w:pPr>
    </w:p>
    <w:p>
      <w:pPr>
        <w:pStyle w:val="2"/>
        <w:ind w:firstLine="883"/>
        <w:rPr>
          <w:rFonts w:ascii="仿宋" w:hAnsi="仿宋" w:eastAsia="仿宋"/>
          <w:b/>
          <w:color w:val="auto"/>
          <w:sz w:val="44"/>
          <w:szCs w:val="44"/>
          <w:highlight w:val="none"/>
        </w:rPr>
      </w:pPr>
    </w:p>
    <w:p>
      <w:pPr>
        <w:pStyle w:val="3"/>
        <w:spacing w:line="560" w:lineRule="exact"/>
        <w:rPr>
          <w:rFonts w:ascii="仿宋" w:hAnsi="仿宋" w:eastAsia="仿宋"/>
          <w:color w:val="auto"/>
          <w:highlight w:val="none"/>
        </w:rPr>
      </w:pPr>
      <w:r>
        <w:rPr>
          <w:rFonts w:hint="eastAsia" w:ascii="仿宋" w:hAnsi="仿宋" w:eastAsia="仿宋"/>
          <w:color w:val="auto"/>
          <w:highlight w:val="none"/>
        </w:rPr>
        <w:t>第二部分 谈判须知</w:t>
      </w:r>
    </w:p>
    <w:p>
      <w:pPr>
        <w:spacing w:line="560" w:lineRule="exact"/>
        <w:ind w:left="1" w:firstLine="476" w:firstLineChars="149"/>
        <w:jc w:val="left"/>
        <w:rPr>
          <w:rFonts w:ascii="仿宋" w:hAnsi="仿宋" w:eastAsia="仿宋"/>
          <w:color w:val="auto"/>
          <w:sz w:val="32"/>
          <w:szCs w:val="32"/>
          <w:highlight w:val="none"/>
        </w:rPr>
      </w:pPr>
      <w:bookmarkStart w:id="0" w:name="_Toc125283517"/>
      <w:bookmarkStart w:id="1" w:name="_Toc125317337"/>
      <w:r>
        <w:rPr>
          <w:rFonts w:hint="eastAsia" w:ascii="仿宋" w:hAnsi="仿宋" w:eastAsia="仿宋"/>
          <w:color w:val="auto"/>
          <w:sz w:val="32"/>
          <w:szCs w:val="32"/>
          <w:highlight w:val="none"/>
        </w:rPr>
        <w:t>本竞争性谈判采购文件仅适用于本次谈判采购中所叙述的</w:t>
      </w:r>
      <w:r>
        <w:rPr>
          <w:rFonts w:hint="eastAsia" w:ascii="仿宋" w:hAnsi="仿宋" w:eastAsia="仿宋"/>
          <w:color w:val="auto"/>
          <w:sz w:val="32"/>
          <w:szCs w:val="32"/>
          <w:highlight w:val="none"/>
        </w:rPr>
        <w:t>昌吉市第十四小学分校（昌吉市第十一小学）教师电脑及学生机房项目</w:t>
      </w:r>
      <w:r>
        <w:rPr>
          <w:rFonts w:hint="eastAsia" w:ascii="仿宋" w:hAnsi="仿宋" w:eastAsia="仿宋"/>
          <w:color w:val="auto"/>
          <w:sz w:val="32"/>
          <w:szCs w:val="32"/>
          <w:highlight w:val="none"/>
        </w:rPr>
        <w:t>。</w:t>
      </w:r>
    </w:p>
    <w:p>
      <w:pPr>
        <w:spacing w:line="560" w:lineRule="exact"/>
        <w:ind w:firstLine="640" w:firstLineChars="200"/>
        <w:rPr>
          <w:rFonts w:ascii="黑体" w:hAnsi="黑体" w:eastAsia="黑体"/>
          <w:b/>
          <w:bCs/>
          <w:color w:val="auto"/>
          <w:sz w:val="32"/>
          <w:szCs w:val="32"/>
          <w:highlight w:val="none"/>
        </w:rPr>
      </w:pPr>
      <w:r>
        <w:rPr>
          <w:rFonts w:hint="eastAsia" w:ascii="黑体" w:hAnsi="黑体" w:eastAsia="黑体"/>
          <w:color w:val="auto"/>
          <w:sz w:val="32"/>
          <w:szCs w:val="32"/>
          <w:highlight w:val="none"/>
        </w:rPr>
        <w:t>一、</w:t>
      </w:r>
      <w:r>
        <w:rPr>
          <w:rFonts w:hint="eastAsia" w:ascii="黑体" w:hAnsi="黑体" w:eastAsia="黑体"/>
          <w:b/>
          <w:bCs/>
          <w:color w:val="auto"/>
          <w:sz w:val="32"/>
          <w:szCs w:val="32"/>
          <w:highlight w:val="none"/>
        </w:rPr>
        <w:t>报名及领取谈判文件截止时间</w:t>
      </w:r>
    </w:p>
    <w:p>
      <w:pPr>
        <w:spacing w:line="560" w:lineRule="exact"/>
        <w:ind w:left="1" w:firstLine="476" w:firstLineChars="149"/>
        <w:jc w:val="left"/>
        <w:rPr>
          <w:rFonts w:ascii="仿宋" w:hAnsi="仿宋" w:eastAsia="仿宋"/>
          <w:color w:val="auto"/>
          <w:sz w:val="32"/>
          <w:szCs w:val="32"/>
          <w:highlight w:val="none"/>
        </w:rPr>
      </w:pPr>
      <w:r>
        <w:rPr>
          <w:rFonts w:hint="eastAsia" w:ascii="仿宋" w:hAnsi="仿宋" w:eastAsia="仿宋"/>
          <w:color w:val="auto"/>
          <w:sz w:val="32"/>
          <w:szCs w:val="32"/>
          <w:highlight w:val="none"/>
        </w:rPr>
        <w:t>时间：</w:t>
      </w:r>
      <w:r>
        <w:rPr>
          <w:rFonts w:hint="eastAsia" w:ascii="仿宋" w:hAnsi="仿宋" w:eastAsia="仿宋"/>
          <w:color w:val="auto"/>
          <w:sz w:val="32"/>
          <w:szCs w:val="32"/>
          <w:highlight w:val="none"/>
        </w:rPr>
        <w:t>2021年</w:t>
      </w:r>
      <w:r>
        <w:rPr>
          <w:rFonts w:hint="eastAsia" w:ascii="仿宋" w:hAnsi="仿宋" w:eastAsia="仿宋"/>
          <w:color w:val="auto"/>
          <w:sz w:val="32"/>
          <w:szCs w:val="32"/>
          <w:highlight w:val="none"/>
          <w:lang w:val="en-US" w:eastAsia="zh-CN"/>
        </w:rPr>
        <w:t>11</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02</w:t>
      </w:r>
      <w:r>
        <w:rPr>
          <w:rFonts w:hint="eastAsia" w:ascii="仿宋" w:hAnsi="仿宋" w:eastAsia="仿宋"/>
          <w:color w:val="auto"/>
          <w:sz w:val="32"/>
          <w:szCs w:val="32"/>
          <w:highlight w:val="none"/>
        </w:rPr>
        <w:t>日至2021年</w:t>
      </w:r>
      <w:r>
        <w:rPr>
          <w:rFonts w:hint="eastAsia" w:ascii="仿宋" w:hAnsi="仿宋" w:eastAsia="仿宋"/>
          <w:color w:val="auto"/>
          <w:sz w:val="32"/>
          <w:szCs w:val="32"/>
          <w:highlight w:val="none"/>
          <w:lang w:val="en-US" w:eastAsia="zh-CN"/>
        </w:rPr>
        <w:t>11</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05</w:t>
      </w:r>
      <w:r>
        <w:rPr>
          <w:rFonts w:hint="eastAsia" w:ascii="仿宋" w:hAnsi="仿宋" w:eastAsia="仿宋"/>
          <w:color w:val="auto"/>
          <w:sz w:val="32"/>
          <w:szCs w:val="32"/>
          <w:highlight w:val="none"/>
        </w:rPr>
        <w:t>日下午</w:t>
      </w:r>
      <w:r>
        <w:rPr>
          <w:rFonts w:hint="eastAsia" w:ascii="仿宋" w:hAnsi="仿宋" w:eastAsia="仿宋"/>
          <w:color w:val="auto"/>
          <w:sz w:val="32"/>
          <w:szCs w:val="32"/>
          <w:highlight w:val="none"/>
          <w:lang w:val="en-US" w:eastAsia="zh-CN"/>
        </w:rPr>
        <w:t>19</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0分</w:t>
      </w:r>
    </w:p>
    <w:p>
      <w:pPr>
        <w:numPr>
          <w:ilvl w:val="0"/>
          <w:numId w:val="3"/>
        </w:numPr>
        <w:spacing w:line="560" w:lineRule="exact"/>
        <w:jc w:val="left"/>
        <w:rPr>
          <w:rFonts w:ascii="黑体" w:hAnsi="黑体" w:eastAsia="黑体"/>
          <w:b/>
          <w:bCs/>
          <w:color w:val="auto"/>
          <w:sz w:val="32"/>
          <w:szCs w:val="32"/>
          <w:highlight w:val="none"/>
        </w:rPr>
      </w:pPr>
      <w:r>
        <w:rPr>
          <w:rFonts w:hint="eastAsia" w:ascii="黑体" w:hAnsi="黑体" w:eastAsia="黑体"/>
          <w:b/>
          <w:bCs/>
          <w:color w:val="auto"/>
          <w:sz w:val="32"/>
          <w:szCs w:val="32"/>
          <w:highlight w:val="none"/>
        </w:rPr>
        <w:t>谈判响应文件递交的截止时间和地点</w:t>
      </w:r>
    </w:p>
    <w:p>
      <w:pPr>
        <w:spacing w:line="560" w:lineRule="exact"/>
        <w:ind w:firstLine="640" w:firstLineChars="200"/>
        <w:jc w:val="left"/>
        <w:rPr>
          <w:rFonts w:ascii="仿宋" w:hAnsi="仿宋" w:eastAsia="仿宋"/>
          <w:color w:val="auto"/>
          <w:sz w:val="32"/>
          <w:szCs w:val="32"/>
          <w:highlight w:val="none"/>
        </w:rPr>
      </w:pPr>
      <w:r>
        <w:rPr>
          <w:rFonts w:hint="eastAsia" w:ascii="仿宋" w:hAnsi="仿宋" w:eastAsia="仿宋"/>
          <w:color w:val="auto"/>
          <w:sz w:val="32"/>
          <w:szCs w:val="32"/>
          <w:highlight w:val="none"/>
        </w:rPr>
        <w:t>纸质版文件递交截止时间：</w:t>
      </w:r>
      <w:r>
        <w:rPr>
          <w:rFonts w:hint="eastAsia" w:ascii="仿宋" w:hAnsi="仿宋" w:eastAsia="仿宋"/>
          <w:color w:val="auto"/>
          <w:sz w:val="32"/>
          <w:szCs w:val="32"/>
          <w:highlight w:val="none"/>
        </w:rPr>
        <w:t>2021年</w:t>
      </w:r>
      <w:r>
        <w:rPr>
          <w:rFonts w:hint="eastAsia" w:ascii="仿宋" w:hAnsi="仿宋" w:eastAsia="仿宋"/>
          <w:color w:val="auto"/>
          <w:sz w:val="32"/>
          <w:szCs w:val="32"/>
          <w:highlight w:val="none"/>
          <w:lang w:val="en-US" w:eastAsia="zh-CN"/>
        </w:rPr>
        <w:t>11</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09</w:t>
      </w:r>
      <w:r>
        <w:rPr>
          <w:rFonts w:hint="eastAsia" w:ascii="仿宋" w:hAnsi="仿宋" w:eastAsia="仿宋"/>
          <w:color w:val="auto"/>
          <w:sz w:val="32"/>
          <w:szCs w:val="32"/>
          <w:highlight w:val="none"/>
        </w:rPr>
        <w:t>日下午16:</w:t>
      </w:r>
      <w:r>
        <w:rPr>
          <w:rFonts w:hint="eastAsia" w:ascii="仿宋" w:hAnsi="仿宋" w:eastAsia="仿宋"/>
          <w:color w:val="auto"/>
          <w:sz w:val="32"/>
          <w:szCs w:val="32"/>
          <w:highlight w:val="none"/>
          <w:lang w:val="en-US" w:eastAsia="zh-CN"/>
        </w:rPr>
        <w:t>00</w:t>
      </w:r>
      <w:r>
        <w:rPr>
          <w:rFonts w:hint="eastAsia" w:ascii="仿宋" w:hAnsi="仿宋" w:eastAsia="仿宋"/>
          <w:color w:val="auto"/>
          <w:sz w:val="32"/>
          <w:szCs w:val="32"/>
          <w:highlight w:val="none"/>
        </w:rPr>
        <w:t>:00</w:t>
      </w:r>
      <w:r>
        <w:rPr>
          <w:rFonts w:hint="eastAsia" w:ascii="仿宋" w:hAnsi="仿宋" w:eastAsia="仿宋"/>
          <w:color w:val="auto"/>
          <w:sz w:val="32"/>
          <w:szCs w:val="32"/>
          <w:highlight w:val="none"/>
        </w:rPr>
        <w:t>（北京时间）（潜在供应商也可在本时间前邮寄或送至）</w:t>
      </w:r>
    </w:p>
    <w:p>
      <w:pPr>
        <w:spacing w:line="560" w:lineRule="exact"/>
        <w:ind w:firstLine="640"/>
        <w:jc w:val="left"/>
        <w:rPr>
          <w:rFonts w:ascii="黑体" w:hAnsi="黑体" w:eastAsia="黑体"/>
          <w:b/>
          <w:bCs/>
          <w:color w:val="auto"/>
          <w:sz w:val="32"/>
          <w:szCs w:val="32"/>
          <w:highlight w:val="none"/>
        </w:rPr>
      </w:pPr>
      <w:r>
        <w:rPr>
          <w:rFonts w:hint="eastAsia" w:ascii="黑体" w:hAnsi="黑体" w:eastAsia="黑体"/>
          <w:b/>
          <w:bCs/>
          <w:color w:val="auto"/>
          <w:sz w:val="32"/>
          <w:szCs w:val="32"/>
          <w:highlight w:val="none"/>
        </w:rPr>
        <w:t>递交地点：昌吉市财政局一楼招投标室（长宁路17号）</w:t>
      </w:r>
    </w:p>
    <w:p>
      <w:pPr>
        <w:spacing w:line="560" w:lineRule="exact"/>
        <w:ind w:firstLine="640"/>
        <w:jc w:val="left"/>
        <w:rPr>
          <w:rFonts w:ascii="仿宋" w:hAnsi="仿宋" w:eastAsia="仿宋"/>
          <w:color w:val="auto"/>
          <w:sz w:val="32"/>
          <w:szCs w:val="32"/>
          <w:highlight w:val="none"/>
        </w:rPr>
      </w:pPr>
      <w:r>
        <w:rPr>
          <w:rFonts w:hint="eastAsia" w:ascii="仿宋" w:hAnsi="仿宋" w:eastAsia="仿宋"/>
          <w:color w:val="auto"/>
          <w:sz w:val="32"/>
          <w:szCs w:val="32"/>
          <w:highlight w:val="none"/>
        </w:rPr>
        <w:t>电子版文件递交截止时间：</w:t>
      </w:r>
      <w:r>
        <w:rPr>
          <w:rFonts w:hint="eastAsia" w:ascii="仿宋" w:hAnsi="仿宋" w:eastAsia="仿宋"/>
          <w:color w:val="auto"/>
          <w:sz w:val="32"/>
          <w:szCs w:val="32"/>
          <w:highlight w:val="none"/>
        </w:rPr>
        <w:t>2021年</w:t>
      </w:r>
      <w:r>
        <w:rPr>
          <w:rFonts w:hint="eastAsia" w:ascii="仿宋" w:hAnsi="仿宋" w:eastAsia="仿宋"/>
          <w:color w:val="auto"/>
          <w:sz w:val="32"/>
          <w:szCs w:val="32"/>
          <w:highlight w:val="none"/>
          <w:lang w:val="en-US" w:eastAsia="zh-CN"/>
        </w:rPr>
        <w:t>11</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09</w:t>
      </w:r>
      <w:r>
        <w:rPr>
          <w:rFonts w:hint="eastAsia" w:ascii="仿宋" w:hAnsi="仿宋" w:eastAsia="仿宋"/>
          <w:color w:val="auto"/>
          <w:sz w:val="32"/>
          <w:szCs w:val="32"/>
          <w:highlight w:val="none"/>
        </w:rPr>
        <w:t>日下午16:</w:t>
      </w:r>
      <w:r>
        <w:rPr>
          <w:rFonts w:hint="eastAsia" w:ascii="仿宋" w:hAnsi="仿宋" w:eastAsia="仿宋"/>
          <w:color w:val="auto"/>
          <w:sz w:val="32"/>
          <w:szCs w:val="32"/>
          <w:highlight w:val="none"/>
          <w:lang w:val="en-US" w:eastAsia="zh-CN"/>
        </w:rPr>
        <w:t>00</w:t>
      </w:r>
      <w:r>
        <w:rPr>
          <w:rFonts w:hint="eastAsia" w:ascii="仿宋" w:hAnsi="仿宋" w:eastAsia="仿宋"/>
          <w:color w:val="auto"/>
          <w:sz w:val="32"/>
          <w:szCs w:val="32"/>
          <w:highlight w:val="none"/>
        </w:rPr>
        <w:t>:00</w:t>
      </w:r>
      <w:r>
        <w:rPr>
          <w:rFonts w:hint="eastAsia" w:ascii="仿宋" w:hAnsi="仿宋" w:eastAsia="仿宋"/>
          <w:color w:val="auto"/>
          <w:sz w:val="32"/>
          <w:szCs w:val="32"/>
          <w:highlight w:val="none"/>
        </w:rPr>
        <w:t>（北京时间）（潜在供应商也可在本时间前上传）</w:t>
      </w:r>
    </w:p>
    <w:p>
      <w:pPr>
        <w:spacing w:line="560" w:lineRule="exact"/>
        <w:ind w:firstLine="640"/>
        <w:jc w:val="left"/>
        <w:rPr>
          <w:rFonts w:ascii="仿宋" w:hAnsi="仿宋" w:eastAsia="仿宋"/>
          <w:color w:val="auto"/>
          <w:sz w:val="32"/>
          <w:szCs w:val="32"/>
          <w:highlight w:val="none"/>
        </w:rPr>
      </w:pPr>
      <w:r>
        <w:rPr>
          <w:rFonts w:hint="eastAsia" w:ascii="仿宋" w:hAnsi="仿宋" w:eastAsia="仿宋"/>
          <w:color w:val="auto"/>
          <w:sz w:val="32"/>
          <w:szCs w:val="32"/>
          <w:highlight w:val="none"/>
        </w:rPr>
        <w:t>递交地点：</w:t>
      </w:r>
      <w:r>
        <w:rPr>
          <w:color w:val="auto"/>
          <w:highlight w:val="none"/>
        </w:rPr>
        <w:fldChar w:fldCharType="begin"/>
      </w:r>
      <w:r>
        <w:rPr>
          <w:color w:val="auto"/>
          <w:highlight w:val="none"/>
        </w:rPr>
        <w:instrText xml:space="preserve"> HYPERLINK "https://www.zcygov.cn在线上传" </w:instrText>
      </w:r>
      <w:r>
        <w:rPr>
          <w:color w:val="auto"/>
          <w:highlight w:val="none"/>
        </w:rPr>
        <w:fldChar w:fldCharType="separate"/>
      </w:r>
      <w:r>
        <w:rPr>
          <w:rStyle w:val="37"/>
          <w:rFonts w:hint="eastAsia" w:ascii="仿宋" w:hAnsi="仿宋" w:eastAsia="仿宋"/>
          <w:color w:val="auto"/>
          <w:sz w:val="32"/>
          <w:szCs w:val="32"/>
          <w:highlight w:val="none"/>
        </w:rPr>
        <w:t>https://www.zcygov.cn在线上传</w:t>
      </w:r>
      <w:r>
        <w:rPr>
          <w:rStyle w:val="37"/>
          <w:rFonts w:hint="eastAsia" w:ascii="仿宋" w:hAnsi="仿宋" w:eastAsia="仿宋"/>
          <w:color w:val="auto"/>
          <w:sz w:val="32"/>
          <w:szCs w:val="32"/>
          <w:highlight w:val="none"/>
        </w:rPr>
        <w:fldChar w:fldCharType="end"/>
      </w:r>
    </w:p>
    <w:p>
      <w:pPr>
        <w:ind w:firstLine="643" w:firstLineChars="200"/>
        <w:rPr>
          <w:rFonts w:ascii="宋体" w:hAnsi="宋体"/>
          <w:b/>
          <w:bCs/>
          <w:color w:val="auto"/>
          <w:sz w:val="32"/>
          <w:szCs w:val="32"/>
          <w:highlight w:val="none"/>
        </w:rPr>
      </w:pPr>
      <w:r>
        <w:rPr>
          <w:rFonts w:hint="eastAsia" w:ascii="宋体" w:hAnsi="宋体"/>
          <w:b/>
          <w:bCs/>
          <w:color w:val="auto"/>
          <w:sz w:val="32"/>
          <w:szCs w:val="32"/>
          <w:highlight w:val="none"/>
        </w:rPr>
        <w:t>三、投</w:t>
      </w:r>
      <w:r>
        <w:rPr>
          <w:rFonts w:hint="eastAsia" w:ascii="宋体" w:hAnsi="宋体" w:cs="宋体"/>
          <w:b/>
          <w:bCs/>
          <w:color w:val="auto"/>
          <w:sz w:val="32"/>
          <w:szCs w:val="32"/>
          <w:highlight w:val="none"/>
        </w:rPr>
        <w:t>标人资</w:t>
      </w:r>
      <w:r>
        <w:rPr>
          <w:rFonts w:hint="eastAsia" w:ascii="宋体" w:hAnsi="宋体" w:cs="Dotum"/>
          <w:b/>
          <w:bCs/>
          <w:color w:val="auto"/>
          <w:sz w:val="32"/>
          <w:szCs w:val="32"/>
          <w:highlight w:val="none"/>
        </w:rPr>
        <w:t>格要求</w:t>
      </w:r>
    </w:p>
    <w:p>
      <w:pPr>
        <w:ind w:firstLine="320" w:firstLineChars="100"/>
        <w:rPr>
          <w:rFonts w:ascii="仿宋_GB2312" w:hAnsi="宋体" w:eastAsia="仿宋_GB2312"/>
          <w:b/>
          <w:color w:val="auto"/>
          <w:sz w:val="32"/>
          <w:szCs w:val="32"/>
          <w:highlight w:val="none"/>
        </w:rPr>
      </w:pPr>
      <w:r>
        <w:rPr>
          <w:rFonts w:hint="eastAsia" w:ascii="宋体" w:hAnsi="宋体"/>
          <w:color w:val="auto"/>
          <w:sz w:val="32"/>
          <w:szCs w:val="32"/>
          <w:highlight w:val="none"/>
        </w:rPr>
        <w:t>（一）符合《中华人民共和国政府采购法》第二十二条的规定。</w:t>
      </w:r>
    </w:p>
    <w:bookmarkEnd w:id="0"/>
    <w:bookmarkEnd w:id="1"/>
    <w:p>
      <w:pPr>
        <w:ind w:firstLine="320" w:firstLineChars="100"/>
        <w:rPr>
          <w:rFonts w:ascii="宋体" w:hAnsi="宋体"/>
          <w:bCs/>
          <w:color w:val="auto"/>
          <w:sz w:val="32"/>
          <w:szCs w:val="32"/>
          <w:highlight w:val="none"/>
        </w:rPr>
      </w:pPr>
      <w:r>
        <w:rPr>
          <w:rFonts w:hint="eastAsia" w:ascii="宋体" w:hAnsi="宋体"/>
          <w:color w:val="auto"/>
          <w:sz w:val="32"/>
          <w:szCs w:val="32"/>
          <w:highlight w:val="none"/>
        </w:rPr>
        <w:t>（二）本项目不接受联合体投标。</w:t>
      </w:r>
    </w:p>
    <w:p>
      <w:pPr>
        <w:ind w:firstLine="320" w:firstLineChars="100"/>
        <w:rPr>
          <w:rFonts w:ascii="宋体" w:hAnsi="宋体"/>
          <w:b/>
          <w:bCs/>
          <w:color w:val="auto"/>
          <w:sz w:val="32"/>
          <w:szCs w:val="32"/>
          <w:highlight w:val="none"/>
        </w:rPr>
      </w:pPr>
      <w:r>
        <w:rPr>
          <w:rFonts w:hint="eastAsia" w:ascii="宋体" w:hAnsi="宋体"/>
          <w:color w:val="auto"/>
          <w:sz w:val="32"/>
          <w:szCs w:val="32"/>
          <w:highlight w:val="none"/>
        </w:rPr>
        <w:t>（三）根据财</w:t>
      </w:r>
      <w:r>
        <w:rPr>
          <w:rFonts w:ascii="宋体" w:hAnsi="宋体"/>
          <w:color w:val="auto"/>
          <w:sz w:val="32"/>
          <w:szCs w:val="32"/>
          <w:highlight w:val="none"/>
        </w:rPr>
        <w:t>库（2016）125号</w:t>
      </w:r>
      <w:r>
        <w:rPr>
          <w:rFonts w:hint="eastAsia" w:ascii="宋体" w:hAnsi="宋体"/>
          <w:color w:val="auto"/>
          <w:sz w:val="32"/>
          <w:szCs w:val="32"/>
          <w:highlight w:val="none"/>
        </w:rPr>
        <w:t>《财政部关于在政府采购活动中查询及使用信用记录有关问题的通知》的规定，对列入失信被执行人、重大税收违法案件当事人名单、政府采购严重违法失信行为记录名单的投标单位，拒绝参与本项目政府采购活动。</w:t>
      </w:r>
      <w:r>
        <w:rPr>
          <w:rFonts w:hint="eastAsia" w:ascii="宋体" w:hAnsi="宋体"/>
          <w:b/>
          <w:bCs/>
          <w:color w:val="auto"/>
          <w:sz w:val="32"/>
          <w:szCs w:val="32"/>
          <w:highlight w:val="none"/>
        </w:rPr>
        <w:t>查询渠道：“信用中国”网址（www.creditchina.gov.cn）、“中国政府采购网”网址（www.ccgp.gov.cn），</w:t>
      </w:r>
      <w:r>
        <w:rPr>
          <w:rFonts w:hint="eastAsia" w:ascii="宋体" w:hAnsi="宋体"/>
          <w:b/>
          <w:bCs/>
          <w:color w:val="auto"/>
          <w:sz w:val="32"/>
          <w:szCs w:val="32"/>
          <w:highlight w:val="none"/>
        </w:rPr>
        <w:t>查询打印时间自开评标前20日内。</w:t>
      </w:r>
    </w:p>
    <w:p>
      <w:pPr>
        <w:spacing w:line="560" w:lineRule="exact"/>
        <w:ind w:firstLine="643" w:firstLineChars="200"/>
        <w:jc w:val="left"/>
        <w:rPr>
          <w:rFonts w:ascii="黑体" w:hAnsi="黑体" w:eastAsia="黑体"/>
          <w:b/>
          <w:bCs/>
          <w:color w:val="auto"/>
          <w:sz w:val="32"/>
          <w:szCs w:val="32"/>
          <w:highlight w:val="none"/>
        </w:rPr>
      </w:pPr>
      <w:r>
        <w:rPr>
          <w:rFonts w:hint="eastAsia" w:ascii="黑体" w:hAnsi="黑体" w:eastAsia="黑体"/>
          <w:b/>
          <w:bCs/>
          <w:color w:val="auto"/>
          <w:sz w:val="32"/>
          <w:szCs w:val="32"/>
          <w:highlight w:val="none"/>
        </w:rPr>
        <w:t>四、谈判响应文件的编制要求</w:t>
      </w:r>
    </w:p>
    <w:p>
      <w:pPr>
        <w:pStyle w:val="2"/>
        <w:ind w:firstLine="64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1．纸质版响应文件和电子版响应文件的所有内容应当完全一致，如内容不一致，则以电子版响应文件为准。</w:t>
      </w:r>
    </w:p>
    <w:p>
      <w:pPr>
        <w:spacing w:line="560" w:lineRule="exact"/>
        <w:ind w:left="642"/>
        <w:jc w:val="left"/>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2.谈判响应文件的编制语言：谈判响应文件及供应商与采购</w:t>
      </w:r>
    </w:p>
    <w:p>
      <w:pPr>
        <w:spacing w:line="560" w:lineRule="exact"/>
        <w:jc w:val="left"/>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人之间与采购有关的往来函件和文件均使用中文。</w:t>
      </w:r>
    </w:p>
    <w:p>
      <w:pPr>
        <w:spacing w:line="560" w:lineRule="exact"/>
        <w:ind w:firstLine="640" w:firstLineChars="200"/>
        <w:jc w:val="left"/>
        <w:rPr>
          <w:rFonts w:ascii="仿宋" w:hAnsi="仿宋" w:eastAsia="仿宋"/>
          <w:color w:val="auto"/>
          <w:sz w:val="32"/>
          <w:szCs w:val="32"/>
          <w:highlight w:val="none"/>
        </w:rPr>
      </w:pPr>
      <w:r>
        <w:rPr>
          <w:rFonts w:hint="eastAsia" w:ascii="仿宋" w:hAnsi="仿宋" w:eastAsia="仿宋"/>
          <w:color w:val="auto"/>
          <w:sz w:val="32"/>
          <w:szCs w:val="32"/>
          <w:highlight w:val="none"/>
        </w:rPr>
        <w:t>3.纸质版谈判响应文件应统一使用A4规格纸打印，编写目录页码，文字、图片等材料要清晰，并牢固装订成册。牢固装订成册是指用适当的办法，牢固紧密扎紧，以保证响应文件在翻阅过程中不至于散开，也不能用简单办法将任何一页在没有任何损坏的情况下取出或插入，各种用活页夹、文件夹、塑料方便式书脊（插入式或穿孔式）装订均不认为是牢固装订。</w:t>
      </w:r>
    </w:p>
    <w:p>
      <w:pPr>
        <w:spacing w:line="560" w:lineRule="exact"/>
        <w:ind w:firstLine="640" w:firstLineChars="200"/>
        <w:jc w:val="left"/>
        <w:rPr>
          <w:rFonts w:ascii="仿宋" w:hAnsi="仿宋" w:eastAsia="仿宋"/>
          <w:color w:val="auto"/>
          <w:sz w:val="32"/>
          <w:szCs w:val="32"/>
          <w:highlight w:val="none"/>
        </w:rPr>
      </w:pPr>
      <w:r>
        <w:rPr>
          <w:rFonts w:hint="eastAsia" w:ascii="仿宋" w:hAnsi="仿宋" w:eastAsia="仿宋"/>
          <w:color w:val="auto"/>
          <w:sz w:val="32"/>
          <w:szCs w:val="32"/>
          <w:highlight w:val="none"/>
        </w:rPr>
        <w:t>4.纸质版的谈判响应文件应装入封装袋密封，密封袋上注明项目名称、供应商单位名称及“不准提前启封”字样，并加盖供应商公章。</w:t>
      </w:r>
    </w:p>
    <w:p>
      <w:pPr>
        <w:spacing w:line="560" w:lineRule="exact"/>
        <w:ind w:firstLine="640" w:firstLineChars="200"/>
        <w:jc w:val="left"/>
        <w:rPr>
          <w:rFonts w:ascii="仿宋" w:hAnsi="仿宋" w:eastAsia="仿宋"/>
          <w:color w:val="auto"/>
          <w:sz w:val="32"/>
          <w:szCs w:val="32"/>
          <w:highlight w:val="none"/>
        </w:rPr>
      </w:pPr>
      <w:r>
        <w:rPr>
          <w:rFonts w:hint="eastAsia" w:ascii="仿宋" w:hAnsi="仿宋" w:eastAsia="仿宋"/>
          <w:color w:val="auto"/>
          <w:sz w:val="32"/>
          <w:szCs w:val="32"/>
          <w:highlight w:val="none"/>
        </w:rPr>
        <w:t>5.谈</w:t>
      </w:r>
      <w:r>
        <w:rPr>
          <w:rFonts w:hint="eastAsia" w:ascii="仿宋" w:hAnsi="仿宋" w:eastAsia="仿宋"/>
          <w:color w:val="auto"/>
          <w:sz w:val="32"/>
          <w:szCs w:val="32"/>
          <w:highlight w:val="none"/>
        </w:rPr>
        <w:t>判响应文件（封面及规定签章处）应由供应商单位法定代表人签署或签章并加盖供应商公章。</w:t>
      </w:r>
    </w:p>
    <w:p>
      <w:pPr>
        <w:spacing w:line="560" w:lineRule="exact"/>
        <w:ind w:firstLine="640"/>
        <w:jc w:val="left"/>
        <w:rPr>
          <w:rFonts w:ascii="仿宋" w:hAnsi="仿宋" w:eastAsia="仿宋"/>
          <w:b/>
          <w:color w:val="auto"/>
          <w:sz w:val="32"/>
          <w:szCs w:val="32"/>
          <w:highlight w:val="none"/>
        </w:rPr>
      </w:pPr>
      <w:r>
        <w:rPr>
          <w:rFonts w:hint="eastAsia" w:ascii="仿宋" w:hAnsi="仿宋" w:eastAsia="仿宋"/>
          <w:color w:val="auto"/>
          <w:sz w:val="32"/>
          <w:szCs w:val="32"/>
          <w:highlight w:val="none"/>
        </w:rPr>
        <w:t>6.供应商应按以上谈判采购文件的要求编制谈判响应文件，并保证所提供全部材料的真实性，</w:t>
      </w:r>
      <w:r>
        <w:rPr>
          <w:rFonts w:hint="eastAsia" w:ascii="仿宋" w:hAnsi="仿宋" w:eastAsia="仿宋" w:cs="仿宋_GB2312"/>
          <w:color w:val="auto"/>
          <w:sz w:val="32"/>
          <w:szCs w:val="32"/>
          <w:highlight w:val="none"/>
        </w:rPr>
        <w:t>对谈判采购文件提出的要求和条件作出实质性响应，</w:t>
      </w:r>
      <w:r>
        <w:rPr>
          <w:rFonts w:hint="eastAsia" w:ascii="仿宋" w:hAnsi="仿宋" w:eastAsia="仿宋"/>
          <w:color w:val="auto"/>
          <w:sz w:val="32"/>
          <w:szCs w:val="32"/>
          <w:highlight w:val="none"/>
        </w:rPr>
        <w:t>否则将认定为无效谈判响应文件。</w:t>
      </w:r>
    </w:p>
    <w:p>
      <w:pPr>
        <w:spacing w:line="560" w:lineRule="exact"/>
        <w:ind w:firstLine="640"/>
        <w:jc w:val="left"/>
        <w:rPr>
          <w:rFonts w:ascii="黑体" w:hAnsi="黑体" w:eastAsia="黑体"/>
          <w:b/>
          <w:bCs/>
          <w:color w:val="auto"/>
          <w:sz w:val="32"/>
          <w:szCs w:val="32"/>
          <w:highlight w:val="none"/>
        </w:rPr>
      </w:pPr>
      <w:r>
        <w:rPr>
          <w:rFonts w:hint="eastAsia" w:ascii="黑体" w:hAnsi="黑体" w:eastAsia="黑体"/>
          <w:b/>
          <w:bCs/>
          <w:color w:val="auto"/>
          <w:sz w:val="32"/>
          <w:szCs w:val="32"/>
          <w:highlight w:val="none"/>
        </w:rPr>
        <w:t>五、谈判响应文件的组成（按顺序排列）</w:t>
      </w:r>
    </w:p>
    <w:p>
      <w:pPr>
        <w:pStyle w:val="55"/>
        <w:spacing w:line="360" w:lineRule="auto"/>
        <w:ind w:firstLine="640" w:firstLineChars="200"/>
        <w:jc w:val="both"/>
        <w:rPr>
          <w:rFonts w:ascii="仿宋" w:hAnsi="仿宋" w:eastAsia="仿宋"/>
          <w:color w:val="auto"/>
          <w:kern w:val="2"/>
          <w:sz w:val="32"/>
          <w:szCs w:val="32"/>
          <w:highlight w:val="none"/>
        </w:rPr>
      </w:pPr>
      <w:r>
        <w:rPr>
          <w:rFonts w:hint="eastAsia" w:ascii="仿宋" w:hAnsi="仿宋" w:eastAsia="仿宋"/>
          <w:color w:val="auto"/>
          <w:kern w:val="2"/>
          <w:sz w:val="32"/>
          <w:szCs w:val="32"/>
          <w:highlight w:val="none"/>
        </w:rPr>
        <w:t>（一）、</w:t>
      </w:r>
      <w:r>
        <w:rPr>
          <w:rFonts w:hint="eastAsia" w:ascii="仿宋" w:hAnsi="仿宋" w:eastAsia="仿宋"/>
          <w:color w:val="auto"/>
          <w:sz w:val="32"/>
          <w:szCs w:val="32"/>
          <w:highlight w:val="none"/>
        </w:rPr>
        <w:t>响应文件的</w:t>
      </w:r>
      <w:r>
        <w:rPr>
          <w:rFonts w:hint="eastAsia" w:ascii="仿宋" w:hAnsi="仿宋" w:eastAsia="仿宋"/>
          <w:color w:val="auto"/>
          <w:kern w:val="2"/>
          <w:sz w:val="32"/>
          <w:szCs w:val="32"/>
          <w:highlight w:val="none"/>
        </w:rPr>
        <w:t>资格要求(以下文件必须在有效期内)</w:t>
      </w:r>
    </w:p>
    <w:p>
      <w:pPr>
        <w:pStyle w:val="55"/>
        <w:spacing w:line="360" w:lineRule="auto"/>
        <w:ind w:firstLine="640" w:firstLineChars="200"/>
        <w:jc w:val="both"/>
        <w:rPr>
          <w:rFonts w:ascii="仿宋" w:hAnsi="仿宋" w:eastAsia="仿宋"/>
          <w:color w:val="auto"/>
          <w:kern w:val="2"/>
          <w:sz w:val="32"/>
          <w:szCs w:val="32"/>
          <w:highlight w:val="none"/>
        </w:rPr>
      </w:pPr>
      <w:r>
        <w:rPr>
          <w:rFonts w:hint="eastAsia" w:ascii="仿宋" w:hAnsi="仿宋" w:eastAsia="仿宋"/>
          <w:color w:val="auto"/>
          <w:kern w:val="2"/>
          <w:sz w:val="32"/>
          <w:szCs w:val="32"/>
          <w:highlight w:val="none"/>
        </w:rPr>
        <w:t>1.营业执照、</w:t>
      </w:r>
      <w:r>
        <w:rPr>
          <w:rFonts w:hint="eastAsia" w:ascii="仿宋" w:hAnsi="仿宋" w:eastAsia="仿宋"/>
          <w:color w:val="auto"/>
          <w:kern w:val="2"/>
          <w:sz w:val="32"/>
          <w:szCs w:val="32"/>
          <w:highlight w:val="none"/>
        </w:rPr>
        <w:t>开户行许可证。</w:t>
      </w:r>
    </w:p>
    <w:p>
      <w:pPr>
        <w:pStyle w:val="55"/>
        <w:spacing w:line="360" w:lineRule="auto"/>
        <w:ind w:firstLine="640" w:firstLineChars="200"/>
        <w:jc w:val="both"/>
        <w:rPr>
          <w:rFonts w:ascii="仿宋" w:hAnsi="仿宋" w:eastAsia="仿宋"/>
          <w:color w:val="auto"/>
          <w:kern w:val="2"/>
          <w:sz w:val="32"/>
          <w:szCs w:val="32"/>
          <w:highlight w:val="none"/>
        </w:rPr>
      </w:pPr>
      <w:r>
        <w:rPr>
          <w:rFonts w:hint="eastAsia" w:ascii="仿宋" w:hAnsi="仿宋" w:eastAsia="仿宋"/>
          <w:color w:val="auto"/>
          <w:kern w:val="2"/>
          <w:sz w:val="32"/>
          <w:szCs w:val="32"/>
          <w:highlight w:val="none"/>
        </w:rPr>
        <w:t>2.</w:t>
      </w:r>
      <w:r>
        <w:rPr>
          <w:rFonts w:hint="eastAsia" w:ascii="仿宋" w:hAnsi="仿宋" w:eastAsia="仿宋"/>
          <w:color w:val="auto"/>
          <w:kern w:val="2"/>
          <w:sz w:val="32"/>
          <w:szCs w:val="32"/>
          <w:highlight w:val="none"/>
        </w:rPr>
        <w:t>投标保证金汇款回执截图。</w:t>
      </w:r>
    </w:p>
    <w:p>
      <w:pPr>
        <w:pStyle w:val="55"/>
        <w:spacing w:line="360" w:lineRule="auto"/>
        <w:ind w:firstLine="640" w:firstLineChars="200"/>
        <w:jc w:val="both"/>
        <w:rPr>
          <w:rFonts w:ascii="仿宋" w:hAnsi="仿宋" w:eastAsia="仿宋"/>
          <w:color w:val="auto"/>
          <w:kern w:val="2"/>
          <w:sz w:val="32"/>
          <w:szCs w:val="32"/>
          <w:highlight w:val="none"/>
        </w:rPr>
      </w:pPr>
      <w:r>
        <w:rPr>
          <w:rFonts w:hint="eastAsia" w:ascii="仿宋" w:hAnsi="仿宋" w:eastAsia="仿宋"/>
          <w:color w:val="auto"/>
          <w:kern w:val="2"/>
          <w:sz w:val="32"/>
          <w:szCs w:val="32"/>
          <w:highlight w:val="none"/>
        </w:rPr>
        <w:t>3</w:t>
      </w:r>
      <w:r>
        <w:rPr>
          <w:rFonts w:hint="eastAsia" w:ascii="仿宋" w:hAnsi="仿宋" w:eastAsia="仿宋"/>
          <w:color w:val="auto"/>
          <w:kern w:val="2"/>
          <w:sz w:val="32"/>
          <w:szCs w:val="32"/>
          <w:highlight w:val="none"/>
        </w:rPr>
        <w:t>.“信用中国”和“中国政府采购网”查询投标人无违法违规行为的截图。</w:t>
      </w:r>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（二）、响应文件的报价要求：</w:t>
      </w:r>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1.开标一览表（见表一）</w:t>
      </w:r>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2.报价明细表（见表二）</w:t>
      </w:r>
    </w:p>
    <w:p>
      <w:pPr>
        <w:pStyle w:val="55"/>
        <w:spacing w:line="360" w:lineRule="auto"/>
        <w:ind w:firstLine="640" w:firstLineChars="200"/>
        <w:jc w:val="both"/>
        <w:rPr>
          <w:rFonts w:ascii="仿宋" w:hAnsi="仿宋" w:eastAsia="仿宋"/>
          <w:color w:val="auto"/>
          <w:kern w:val="2"/>
          <w:sz w:val="32"/>
          <w:szCs w:val="32"/>
          <w:highlight w:val="none"/>
        </w:rPr>
      </w:pPr>
      <w:r>
        <w:rPr>
          <w:rFonts w:hint="eastAsia" w:ascii="仿宋" w:hAnsi="仿宋" w:eastAsia="仿宋"/>
          <w:color w:val="auto"/>
          <w:kern w:val="2"/>
          <w:sz w:val="32"/>
          <w:szCs w:val="32"/>
          <w:highlight w:val="none"/>
        </w:rPr>
        <w:t>（三）、</w:t>
      </w:r>
      <w:r>
        <w:rPr>
          <w:rFonts w:hint="eastAsia" w:ascii="仿宋" w:hAnsi="仿宋" w:eastAsia="仿宋"/>
          <w:color w:val="auto"/>
          <w:sz w:val="32"/>
          <w:szCs w:val="32"/>
          <w:highlight w:val="none"/>
        </w:rPr>
        <w:t>响应文件的商务部分：</w:t>
      </w:r>
    </w:p>
    <w:p>
      <w:pPr>
        <w:spacing w:line="560" w:lineRule="exact"/>
        <w:ind w:firstLine="640" w:firstLineChars="200"/>
        <w:textAlignment w:val="baseline"/>
        <w:rPr>
          <w:rFonts w:ascii="仿宋" w:hAnsi="仿宋" w:eastAsia="仿宋"/>
          <w:color w:val="auto"/>
          <w:sz w:val="32"/>
          <w:szCs w:val="32"/>
          <w:highlight w:val="none"/>
        </w:rPr>
      </w:pPr>
      <w:r>
        <w:rPr>
          <w:rFonts w:hint="eastAsia" w:ascii="仿宋" w:hAnsi="仿宋" w:eastAsia="仿宋"/>
          <w:color w:val="auto"/>
          <w:sz w:val="32"/>
          <w:szCs w:val="32"/>
          <w:highlight w:val="none"/>
        </w:rPr>
        <w:t>1.法定代表人资格证明及授权委托书（见表三）</w:t>
      </w:r>
    </w:p>
    <w:p>
      <w:pPr>
        <w:spacing w:line="560" w:lineRule="exact"/>
        <w:ind w:firstLine="640" w:firstLineChars="200"/>
        <w:textAlignment w:val="baseline"/>
        <w:rPr>
          <w:rFonts w:ascii="仿宋" w:hAnsi="仿宋" w:eastAsia="仿宋"/>
          <w:color w:val="auto"/>
          <w:sz w:val="32"/>
          <w:szCs w:val="32"/>
          <w:highlight w:val="none"/>
        </w:rPr>
      </w:pPr>
      <w:r>
        <w:rPr>
          <w:rFonts w:hint="eastAsia" w:ascii="仿宋" w:hAnsi="仿宋" w:eastAsia="仿宋"/>
          <w:color w:val="auto"/>
          <w:sz w:val="32"/>
          <w:szCs w:val="32"/>
          <w:highlight w:val="none"/>
        </w:rPr>
        <w:t>2.反商业贿赂承诺书（见表四）</w:t>
      </w:r>
    </w:p>
    <w:p>
      <w:pPr>
        <w:spacing w:line="560" w:lineRule="exact"/>
        <w:ind w:firstLine="640" w:firstLineChars="200"/>
        <w:textAlignment w:val="baseline"/>
        <w:rPr>
          <w:rFonts w:ascii="仿宋" w:hAnsi="仿宋" w:eastAsia="仿宋"/>
          <w:color w:val="auto"/>
          <w:sz w:val="32"/>
          <w:szCs w:val="32"/>
          <w:highlight w:val="none"/>
        </w:rPr>
      </w:pPr>
      <w:r>
        <w:rPr>
          <w:rFonts w:hint="eastAsia" w:ascii="仿宋" w:hAnsi="仿宋" w:eastAsia="仿宋"/>
          <w:color w:val="auto"/>
          <w:sz w:val="32"/>
          <w:szCs w:val="32"/>
          <w:highlight w:val="none"/>
        </w:rPr>
        <w:t>3.商务规格偏离表（见表五）</w:t>
      </w:r>
    </w:p>
    <w:p>
      <w:pPr>
        <w:pStyle w:val="2"/>
        <w:ind w:firstLine="640"/>
        <w:textAlignment w:val="baseline"/>
        <w:rPr>
          <w:rFonts w:ascii="仿宋" w:hAnsi="仿宋" w:eastAsia="仿宋"/>
          <w:color w:val="auto"/>
          <w:sz w:val="32"/>
          <w:szCs w:val="32"/>
          <w:highlight w:val="none"/>
        </w:rPr>
      </w:pPr>
      <w:r>
        <w:rPr>
          <w:rFonts w:hint="eastAsia" w:ascii="仿宋" w:hAnsi="仿宋" w:eastAsia="仿宋"/>
          <w:color w:val="auto"/>
          <w:sz w:val="32"/>
          <w:szCs w:val="32"/>
          <w:highlight w:val="none"/>
        </w:rPr>
        <w:t>4.无重大违法记录、书面声明（见附件一、二）</w:t>
      </w:r>
    </w:p>
    <w:p>
      <w:pPr>
        <w:pStyle w:val="2"/>
        <w:ind w:firstLine="640"/>
        <w:textAlignment w:val="baseline"/>
        <w:rPr>
          <w:color w:val="auto"/>
          <w:highlight w:val="none"/>
        </w:rPr>
      </w:pPr>
      <w:r>
        <w:rPr>
          <w:rFonts w:hint="eastAsia" w:ascii="仿宋" w:hAnsi="仿宋" w:eastAsia="仿宋"/>
          <w:color w:val="auto"/>
          <w:sz w:val="32"/>
          <w:szCs w:val="32"/>
          <w:highlight w:val="none"/>
        </w:rPr>
        <w:t>5.供应商认为需要提供的其他商务材料（相关证明文件）</w:t>
      </w:r>
    </w:p>
    <w:p>
      <w:pPr>
        <w:pStyle w:val="55"/>
        <w:spacing w:line="360" w:lineRule="auto"/>
        <w:ind w:firstLine="640" w:firstLineChars="200"/>
        <w:jc w:val="both"/>
        <w:rPr>
          <w:rFonts w:ascii="仿宋" w:hAnsi="仿宋" w:eastAsia="仿宋"/>
          <w:color w:val="auto"/>
          <w:kern w:val="2"/>
          <w:sz w:val="32"/>
          <w:szCs w:val="32"/>
          <w:highlight w:val="none"/>
        </w:rPr>
      </w:pPr>
      <w:r>
        <w:rPr>
          <w:rFonts w:hint="eastAsia" w:ascii="仿宋" w:hAnsi="仿宋" w:eastAsia="仿宋"/>
          <w:color w:val="auto"/>
          <w:kern w:val="2"/>
          <w:sz w:val="32"/>
          <w:szCs w:val="32"/>
          <w:highlight w:val="none"/>
        </w:rPr>
        <w:t>（四）、</w:t>
      </w:r>
      <w:r>
        <w:rPr>
          <w:rFonts w:hint="eastAsia" w:ascii="仿宋" w:hAnsi="仿宋" w:eastAsia="仿宋"/>
          <w:color w:val="auto"/>
          <w:sz w:val="32"/>
          <w:szCs w:val="32"/>
          <w:highlight w:val="none"/>
        </w:rPr>
        <w:t>响应文件的技术部分：</w:t>
      </w:r>
    </w:p>
    <w:p>
      <w:pPr>
        <w:pStyle w:val="11"/>
        <w:ind w:firstLine="640"/>
        <w:textAlignment w:val="baseline"/>
        <w:rPr>
          <w:rFonts w:ascii="仿宋" w:hAnsi="仿宋" w:eastAsia="仿宋"/>
          <w:color w:val="auto"/>
          <w:sz w:val="32"/>
          <w:szCs w:val="32"/>
          <w:highlight w:val="none"/>
        </w:rPr>
      </w:pPr>
      <w:r>
        <w:rPr>
          <w:rFonts w:hint="eastAsia" w:ascii="仿宋" w:hAnsi="仿宋" w:eastAsia="仿宋"/>
          <w:color w:val="auto"/>
          <w:sz w:val="32"/>
          <w:szCs w:val="32"/>
          <w:highlight w:val="none"/>
        </w:rPr>
        <w:t>1.技术规格偏离表（见表六）</w:t>
      </w:r>
    </w:p>
    <w:p>
      <w:pPr>
        <w:pStyle w:val="11"/>
        <w:ind w:firstLine="640" w:firstLineChars="200"/>
        <w:textAlignment w:val="baseline"/>
        <w:rPr>
          <w:rFonts w:ascii="仿宋" w:hAnsi="仿宋" w:eastAsia="仿宋"/>
          <w:color w:val="auto"/>
          <w:sz w:val="32"/>
          <w:szCs w:val="32"/>
          <w:highlight w:val="none"/>
        </w:rPr>
      </w:pPr>
      <w:r>
        <w:rPr>
          <w:rFonts w:hint="eastAsia" w:ascii="仿宋" w:hAnsi="仿宋" w:eastAsia="仿宋"/>
          <w:color w:val="auto"/>
          <w:sz w:val="32"/>
          <w:szCs w:val="32"/>
          <w:highlight w:val="none"/>
        </w:rPr>
        <w:t>2.</w:t>
      </w:r>
      <w:r>
        <w:rPr>
          <w:rFonts w:ascii="仿宋" w:hAnsi="仿宋" w:eastAsia="仿宋"/>
          <w:color w:val="auto"/>
          <w:sz w:val="32"/>
          <w:szCs w:val="32"/>
          <w:highlight w:val="none"/>
        </w:rPr>
        <w:t>技术方案（</w:t>
      </w:r>
      <w:r>
        <w:rPr>
          <w:rFonts w:hint="eastAsia" w:ascii="仿宋" w:hAnsi="仿宋" w:eastAsia="仿宋"/>
          <w:color w:val="auto"/>
          <w:sz w:val="32"/>
          <w:szCs w:val="32"/>
          <w:highlight w:val="none"/>
        </w:rPr>
        <w:t>或售后服务</w:t>
      </w:r>
      <w:r>
        <w:rPr>
          <w:rFonts w:ascii="仿宋" w:hAnsi="仿宋" w:eastAsia="仿宋"/>
          <w:color w:val="auto"/>
          <w:sz w:val="32"/>
          <w:szCs w:val="32"/>
          <w:highlight w:val="none"/>
        </w:rPr>
        <w:t>方案）</w:t>
      </w:r>
    </w:p>
    <w:p>
      <w:pPr>
        <w:pStyle w:val="11"/>
        <w:ind w:firstLine="640"/>
        <w:textAlignment w:val="baseline"/>
        <w:rPr>
          <w:rFonts w:ascii="仿宋" w:hAnsi="仿宋" w:eastAsia="仿宋"/>
          <w:color w:val="auto"/>
          <w:sz w:val="32"/>
          <w:szCs w:val="32"/>
          <w:highlight w:val="none"/>
        </w:rPr>
      </w:pPr>
      <w:r>
        <w:rPr>
          <w:rFonts w:hint="eastAsia" w:ascii="仿宋" w:hAnsi="仿宋" w:eastAsia="仿宋"/>
          <w:color w:val="auto"/>
          <w:sz w:val="32"/>
          <w:szCs w:val="32"/>
          <w:highlight w:val="none"/>
        </w:rPr>
        <w:t>3.供应商认为需要提供的其他技术材料（相关证明文件）</w:t>
      </w:r>
    </w:p>
    <w:p>
      <w:pPr>
        <w:pStyle w:val="11"/>
        <w:ind w:firstLine="640"/>
        <w:textAlignment w:val="baseline"/>
        <w:rPr>
          <w:rFonts w:ascii="仿宋" w:hAnsi="仿宋" w:eastAsia="仿宋"/>
          <w:color w:val="auto"/>
          <w:sz w:val="32"/>
          <w:szCs w:val="32"/>
          <w:highlight w:val="none"/>
        </w:rPr>
      </w:pPr>
      <w:r>
        <w:rPr>
          <w:rFonts w:hint="eastAsia" w:ascii="仿宋" w:hAnsi="仿宋" w:eastAsia="仿宋"/>
          <w:color w:val="auto"/>
          <w:sz w:val="32"/>
          <w:szCs w:val="32"/>
          <w:highlight w:val="none"/>
        </w:rPr>
        <w:t>另，电子版投标文件应按照“政府采购云平台”的规定和要求上传相关资料，否则按无效投标处理。</w:t>
      </w:r>
    </w:p>
    <w:p>
      <w:pPr>
        <w:pStyle w:val="11"/>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另，电子版投标文件应按照“政府采购云平台”的规定和要求上传相关资料</w:t>
      </w:r>
      <w:r>
        <w:rPr>
          <w:rFonts w:hint="eastAsia" w:ascii="仿宋" w:hAnsi="仿宋" w:eastAsia="仿宋"/>
          <w:color w:val="auto"/>
          <w:sz w:val="32"/>
          <w:szCs w:val="32"/>
          <w:highlight w:val="none"/>
        </w:rPr>
        <w:t>，如果漏传或错传，则按无效文件处理，由供应商自行承担相应的责任。</w:t>
      </w:r>
    </w:p>
    <w:p>
      <w:pPr>
        <w:spacing w:line="560" w:lineRule="exact"/>
        <w:ind w:firstLine="643" w:firstLineChars="200"/>
        <w:rPr>
          <w:rFonts w:ascii="黑体" w:hAnsi="黑体" w:eastAsia="黑体"/>
          <w:color w:val="auto"/>
          <w:sz w:val="32"/>
          <w:szCs w:val="32"/>
          <w:highlight w:val="none"/>
        </w:rPr>
      </w:pPr>
      <w:r>
        <w:rPr>
          <w:rFonts w:hint="eastAsia" w:ascii="黑体" w:hAnsi="黑体" w:eastAsia="黑体"/>
          <w:b/>
          <w:bCs/>
          <w:color w:val="auto"/>
          <w:sz w:val="32"/>
          <w:szCs w:val="32"/>
          <w:highlight w:val="none"/>
        </w:rPr>
        <w:t>六、</w:t>
      </w:r>
      <w:r>
        <w:rPr>
          <w:rFonts w:hint="eastAsia" w:ascii="黑体" w:hAnsi="黑体" w:eastAsia="黑体"/>
          <w:color w:val="auto"/>
          <w:sz w:val="32"/>
          <w:szCs w:val="32"/>
          <w:highlight w:val="none"/>
        </w:rPr>
        <w:t>谈判须知：</w:t>
      </w:r>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1、如谈判小组认为供应商有必要进行答疑，则供应商</w:t>
      </w:r>
      <w:r>
        <w:rPr>
          <w:rFonts w:hint="eastAsia" w:ascii="仿宋" w:hAnsi="仿宋" w:eastAsia="仿宋"/>
          <w:color w:val="auto"/>
          <w:sz w:val="32"/>
          <w:szCs w:val="32"/>
          <w:highlight w:val="none"/>
        </w:rPr>
        <w:t>应指派相关人员对谈判小组成员的提问进行回答和说明</w:t>
      </w:r>
      <w:r>
        <w:rPr>
          <w:rFonts w:hint="eastAsia" w:ascii="仿宋" w:hAnsi="仿宋" w:eastAsia="仿宋"/>
          <w:color w:val="auto"/>
          <w:sz w:val="32"/>
          <w:szCs w:val="32"/>
          <w:highlight w:val="none"/>
        </w:rPr>
        <w:t>（如需答疑，则供应商在政采云平台线上按要求进行回答和说明）</w:t>
      </w:r>
      <w:r>
        <w:rPr>
          <w:rFonts w:hint="eastAsia" w:ascii="仿宋" w:hAnsi="仿宋" w:eastAsia="仿宋"/>
          <w:color w:val="auto"/>
          <w:sz w:val="32"/>
          <w:szCs w:val="32"/>
          <w:highlight w:val="none"/>
        </w:rPr>
        <w:t>。</w:t>
      </w:r>
    </w:p>
    <w:p>
      <w:pPr>
        <w:spacing w:line="560" w:lineRule="exact"/>
        <w:ind w:firstLine="640" w:firstLineChars="200"/>
        <w:rPr>
          <w:rFonts w:ascii="仿宋_GB2312" w:eastAsia="仿宋_GB2312"/>
          <w:b/>
          <w:color w:val="auto"/>
          <w:sz w:val="32"/>
          <w:szCs w:val="32"/>
          <w:highlight w:val="none"/>
        </w:rPr>
      </w:pPr>
      <w:r>
        <w:rPr>
          <w:rFonts w:hint="eastAsia" w:ascii="仿宋" w:hAnsi="仿宋" w:eastAsia="仿宋"/>
          <w:color w:val="auto"/>
          <w:sz w:val="32"/>
          <w:szCs w:val="32"/>
          <w:highlight w:val="none"/>
        </w:rPr>
        <w:t>2、供应商谈判响应文件中的报价默认为第一次报价，</w:t>
      </w:r>
      <w:r>
        <w:rPr>
          <w:rFonts w:hint="eastAsia" w:ascii="仿宋" w:hAnsi="仿宋" w:eastAsia="仿宋"/>
          <w:b/>
          <w:color w:val="auto"/>
          <w:sz w:val="32"/>
          <w:szCs w:val="32"/>
          <w:highlight w:val="none"/>
        </w:rPr>
        <w:t>确认一次报价后可进行最后报价，</w:t>
      </w:r>
      <w:r>
        <w:rPr>
          <w:rFonts w:hint="eastAsia" w:ascii="仿宋_GB2312" w:eastAsia="仿宋_GB2312"/>
          <w:b/>
          <w:color w:val="auto"/>
          <w:sz w:val="32"/>
          <w:szCs w:val="32"/>
          <w:highlight w:val="none"/>
        </w:rPr>
        <w:t>最后报价是供应商响应文件的有效组成部分，如供应商未在规定的时间内提交最后报价，则视为该供应商放弃最后报价的机会，其所投响应文件亦被认定为无效文件。</w:t>
      </w:r>
    </w:p>
    <w:p>
      <w:pPr>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rPr>
        <w:t>3、在二次报价过程中，如出现网络异常或其他原因导致供应商无法正常进行最后报价，供应商可以申请昌吉市政府采购中心“异常处理”并提供相对应的异常情况证明，即供应商在《最后报价单》（推荐格式附后）上填写最终报价，并转换</w:t>
      </w:r>
      <w:r>
        <w:rPr>
          <w:rFonts w:ascii="Times New Roman" w:hAnsi="Times New Roman" w:eastAsia="仿宋_GB2312"/>
          <w:b/>
          <w:color w:val="auto"/>
          <w:sz w:val="32"/>
          <w:szCs w:val="32"/>
          <w:highlight w:val="none"/>
        </w:rPr>
        <w:t>为PDF</w:t>
      </w:r>
      <w:r>
        <w:rPr>
          <w:rFonts w:hint="eastAsia" w:ascii="仿宋_GB2312" w:eastAsia="仿宋_GB2312"/>
          <w:b/>
          <w:color w:val="auto"/>
          <w:sz w:val="32"/>
          <w:szCs w:val="32"/>
          <w:highlight w:val="none"/>
        </w:rPr>
        <w:t>格式后发送至</w:t>
      </w:r>
      <w:r>
        <w:rPr>
          <w:rFonts w:hint="eastAsia" w:ascii="仿宋_GB2312" w:eastAsia="仿宋_GB2312"/>
          <w:b/>
          <w:color w:val="auto"/>
          <w:sz w:val="32"/>
          <w:szCs w:val="32"/>
          <w:highlight w:val="none"/>
          <w:u w:val="single"/>
        </w:rPr>
        <w:t xml:space="preserve">       </w:t>
      </w:r>
      <w:r>
        <w:rPr>
          <w:rFonts w:hint="eastAsia" w:ascii="仿宋_GB2312" w:eastAsia="仿宋_GB2312"/>
          <w:b/>
          <w:color w:val="auto"/>
          <w:sz w:val="32"/>
          <w:szCs w:val="32"/>
          <w:highlight w:val="none"/>
        </w:rPr>
        <w:t>邮箱，工作人员接收报价单后，在现场人员的共同监督下，将在操作平台上手工录入该报价，该报价视为供应商的最终报价。</w:t>
      </w:r>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4、开标时，投标文件中开标一览表</w:t>
      </w:r>
      <w:r>
        <w:rPr>
          <w:rFonts w:ascii="仿宋" w:hAnsi="仿宋" w:eastAsia="仿宋"/>
          <w:color w:val="auto"/>
          <w:sz w:val="32"/>
          <w:szCs w:val="32"/>
          <w:highlight w:val="none"/>
        </w:rPr>
        <w:t>(</w:t>
      </w:r>
      <w:r>
        <w:rPr>
          <w:rFonts w:hint="eastAsia" w:ascii="仿宋" w:hAnsi="仿宋" w:eastAsia="仿宋"/>
          <w:color w:val="auto"/>
          <w:sz w:val="32"/>
          <w:szCs w:val="32"/>
          <w:highlight w:val="none"/>
        </w:rPr>
        <w:t>报价表</w:t>
      </w:r>
      <w:r>
        <w:rPr>
          <w:rFonts w:ascii="仿宋" w:hAnsi="仿宋" w:eastAsia="仿宋"/>
          <w:color w:val="auto"/>
          <w:sz w:val="32"/>
          <w:szCs w:val="32"/>
          <w:highlight w:val="none"/>
        </w:rPr>
        <w:t>)</w:t>
      </w:r>
      <w:r>
        <w:rPr>
          <w:rFonts w:hint="eastAsia" w:ascii="仿宋" w:hAnsi="仿宋" w:eastAsia="仿宋"/>
          <w:color w:val="auto"/>
          <w:sz w:val="32"/>
          <w:szCs w:val="32"/>
          <w:highlight w:val="none"/>
        </w:rPr>
        <w:t>内容与投标文件中明细表内容不一致的，以开标一览表</w:t>
      </w:r>
      <w:r>
        <w:rPr>
          <w:rFonts w:ascii="仿宋" w:hAnsi="仿宋" w:eastAsia="仿宋"/>
          <w:color w:val="auto"/>
          <w:sz w:val="32"/>
          <w:szCs w:val="32"/>
          <w:highlight w:val="none"/>
        </w:rPr>
        <w:t>(</w:t>
      </w:r>
      <w:r>
        <w:rPr>
          <w:rFonts w:hint="eastAsia" w:ascii="仿宋" w:hAnsi="仿宋" w:eastAsia="仿宋"/>
          <w:color w:val="auto"/>
          <w:sz w:val="32"/>
          <w:szCs w:val="32"/>
          <w:highlight w:val="none"/>
        </w:rPr>
        <w:t>报价表</w:t>
      </w:r>
      <w:r>
        <w:rPr>
          <w:rFonts w:ascii="仿宋" w:hAnsi="仿宋" w:eastAsia="仿宋"/>
          <w:color w:val="auto"/>
          <w:sz w:val="32"/>
          <w:szCs w:val="32"/>
          <w:highlight w:val="none"/>
        </w:rPr>
        <w:t>)</w:t>
      </w:r>
      <w:r>
        <w:rPr>
          <w:rFonts w:hint="eastAsia" w:ascii="仿宋" w:hAnsi="仿宋" w:eastAsia="仿宋"/>
          <w:color w:val="auto"/>
          <w:sz w:val="32"/>
          <w:szCs w:val="32"/>
          <w:highlight w:val="none"/>
        </w:rPr>
        <w:t>为准。</w:t>
      </w:r>
    </w:p>
    <w:p>
      <w:pPr>
        <w:snapToGrid w:val="0"/>
        <w:spacing w:line="360" w:lineRule="auto"/>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5、响应文件的大写金额和小写金额不一致的，以大写金额为准；总价金额与按单价汇总金额不一致的，以单价金额计算结果为准；单价金额小数点有明显错位的，应以总价为准，并修改单价；对不同文字响应文件的解释产生异议的，以中文文本为准。</w:t>
      </w:r>
    </w:p>
    <w:p>
      <w:pPr>
        <w:snapToGrid w:val="0"/>
        <w:spacing w:line="360" w:lineRule="auto"/>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按上述修正错误的方法调整后的最后报价，对供应商具有约束力。如果供应商不接受修正后的价格，则其响应文件按无效文件处理。</w:t>
      </w:r>
    </w:p>
    <w:p>
      <w:p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七、谈判小组的组成、职责及评标标准</w:t>
      </w:r>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一）采取最低价法，由依法组建的熟悉相关业务的代表及有关技术、经济等方面的专家组成谈判小组进行评审，根据质量和服务均能满足采购文件实质性响应要求且最后报价最低的原则确定成交供应商，有关监督部门现场监督。</w:t>
      </w:r>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（二）依据《中华人民共和国政府采购法》、《政府采购非招标采购方式管理办法》等相关法律法规及本谈判采购文件，谈判小组负责与供应商谈判、进行评审，并做出评审结论。</w:t>
      </w:r>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（三）谈判响应文件的响应性不能出现重大偏离，如果谈判响应文件没有实质响应谈判采购文件的要求，谈判小组有权直接认定其为无效文件。</w:t>
      </w:r>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下列情况属于重大偏离：</w:t>
      </w:r>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1、谈判响应文件载明的谈判项目完成期限超过谈判采购文件规定的期限；</w:t>
      </w:r>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2、明显不符合技术规格、技术标准的要求；</w:t>
      </w:r>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3、谈判响应文件附有采购人不能接受的条件；</w:t>
      </w:r>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4、不符合谈判采购文件中规定的其他实质性要求。</w:t>
      </w:r>
    </w:p>
    <w:p>
      <w:pPr>
        <w:tabs>
          <w:tab w:val="left" w:pos="6300"/>
        </w:tabs>
        <w:snapToGrid w:val="0"/>
        <w:spacing w:line="560" w:lineRule="exact"/>
        <w:ind w:firstLine="320" w:firstLineChars="100"/>
        <w:outlineLvl w:val="0"/>
        <w:rPr>
          <w:rFonts w:ascii="仿宋" w:hAnsi="仿宋" w:eastAsia="仿宋"/>
          <w:color w:val="auto"/>
          <w:sz w:val="32"/>
          <w:szCs w:val="32"/>
          <w:highlight w:val="none"/>
        </w:rPr>
      </w:pPr>
      <w:r>
        <w:rPr>
          <w:rFonts w:hint="eastAsia" w:ascii="仿宋" w:hAnsi="仿宋" w:eastAsia="仿宋" w:cs="仿宋_GB2312"/>
          <w:color w:val="auto"/>
          <w:sz w:val="32"/>
          <w:szCs w:val="32"/>
          <w:highlight w:val="none"/>
        </w:rPr>
        <w:t>（四）</w:t>
      </w:r>
      <w:r>
        <w:rPr>
          <w:rFonts w:hint="eastAsia" w:ascii="仿宋" w:hAnsi="仿宋" w:eastAsia="仿宋"/>
          <w:color w:val="auto"/>
          <w:sz w:val="32"/>
          <w:szCs w:val="32"/>
          <w:highlight w:val="none"/>
        </w:rPr>
        <w:t>在监督部门监督下，谈判小组可以个别地要求供应商澄清其谈判响应文件中含义不明确、对同类问题表述不一致或者明显文字和计算错误的内容作必要的澄清、说明或者补正。有关澄清、说明、补正均应以书面形式进行，澄清、说明和补正不得更改谈判报价或者谈判响应文件的实质性内容。</w:t>
      </w:r>
    </w:p>
    <w:p>
      <w:pPr>
        <w:tabs>
          <w:tab w:val="left" w:pos="6300"/>
        </w:tabs>
        <w:snapToGrid w:val="0"/>
        <w:spacing w:line="560" w:lineRule="exact"/>
        <w:ind w:firstLine="640" w:firstLineChars="200"/>
        <w:outlineLvl w:val="0"/>
        <w:rPr>
          <w:rFonts w:ascii="黑体" w:hAnsi="黑体" w:eastAsia="黑体"/>
          <w:color w:val="auto"/>
          <w:sz w:val="32"/>
          <w:szCs w:val="32"/>
          <w:highlight w:val="none"/>
        </w:rPr>
      </w:pPr>
      <w:r>
        <w:rPr>
          <w:rFonts w:hint="eastAsia" w:ascii="黑体" w:hAnsi="黑体" w:eastAsia="黑体"/>
          <w:color w:val="auto"/>
          <w:sz w:val="32"/>
          <w:szCs w:val="32"/>
          <w:highlight w:val="none"/>
        </w:rPr>
        <w:t>八、无效谈判响应文件</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供应商或其谈判响应文件出现下列情形之一者，谈判小组评审时有权直接认定其为无效谈判文件：</w:t>
      </w:r>
    </w:p>
    <w:p>
      <w:pPr>
        <w:tabs>
          <w:tab w:val="left" w:pos="6300"/>
        </w:tabs>
        <w:snapToGrid w:val="0"/>
        <w:spacing w:line="560" w:lineRule="exact"/>
        <w:ind w:firstLine="640" w:firstLineChars="200"/>
        <w:outlineLvl w:val="0"/>
        <w:rPr>
          <w:rFonts w:ascii="仿宋" w:hAnsi="仿宋" w:eastAsia="仿宋"/>
          <w:b/>
          <w:bCs/>
          <w:color w:val="auto"/>
          <w:sz w:val="32"/>
          <w:szCs w:val="32"/>
          <w:highlight w:val="none"/>
        </w:rPr>
      </w:pPr>
      <w:r>
        <w:rPr>
          <w:rFonts w:ascii="仿宋" w:hAnsi="仿宋" w:eastAsia="仿宋"/>
          <w:color w:val="auto"/>
          <w:sz w:val="32"/>
          <w:szCs w:val="32"/>
          <w:highlight w:val="none"/>
        </w:rPr>
        <w:t>1</w:t>
      </w:r>
      <w:r>
        <w:rPr>
          <w:rFonts w:hint="eastAsia" w:ascii="仿宋" w:hAnsi="仿宋" w:eastAsia="仿宋"/>
          <w:color w:val="auto"/>
          <w:sz w:val="32"/>
          <w:szCs w:val="32"/>
          <w:highlight w:val="none"/>
        </w:rPr>
        <w:t>、逾期递交纸质版和电子版谈判响应文件或未将纸质版和电子版谈判响应文件送达或上传至指定地点；</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ascii="仿宋" w:hAnsi="仿宋" w:eastAsia="仿宋"/>
          <w:color w:val="auto"/>
          <w:sz w:val="32"/>
          <w:szCs w:val="32"/>
          <w:highlight w:val="none"/>
        </w:rPr>
        <w:t>2</w:t>
      </w:r>
      <w:r>
        <w:rPr>
          <w:rFonts w:hint="eastAsia" w:ascii="仿宋" w:hAnsi="仿宋" w:eastAsia="仿宋"/>
          <w:color w:val="auto"/>
          <w:sz w:val="32"/>
          <w:szCs w:val="32"/>
          <w:highlight w:val="none"/>
        </w:rPr>
        <w:t>、谈判响应文件未按要求密封，未签署、加盖单位公章；</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ascii="仿宋" w:hAnsi="仿宋" w:eastAsia="仿宋"/>
          <w:color w:val="auto"/>
          <w:sz w:val="32"/>
          <w:szCs w:val="32"/>
          <w:highlight w:val="none"/>
        </w:rPr>
        <w:t>3</w:t>
      </w:r>
      <w:r>
        <w:rPr>
          <w:rFonts w:hint="eastAsia" w:ascii="仿宋" w:hAnsi="仿宋" w:eastAsia="仿宋"/>
          <w:color w:val="auto"/>
          <w:sz w:val="32"/>
          <w:szCs w:val="32"/>
          <w:highlight w:val="none"/>
        </w:rPr>
        <w:t>、供应商为联合体的，未附联合体各方共同参与竞争性谈判协议的（不接受联合体参与谈判的除外）；</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ascii="仿宋" w:hAnsi="仿宋" w:eastAsia="仿宋"/>
          <w:color w:val="auto"/>
          <w:sz w:val="32"/>
          <w:szCs w:val="32"/>
          <w:highlight w:val="none"/>
        </w:rPr>
        <w:t>4</w:t>
      </w:r>
      <w:r>
        <w:rPr>
          <w:rFonts w:hint="eastAsia" w:ascii="仿宋" w:hAnsi="仿宋" w:eastAsia="仿宋"/>
          <w:color w:val="auto"/>
          <w:sz w:val="32"/>
          <w:szCs w:val="32"/>
          <w:highlight w:val="none"/>
        </w:rPr>
        <w:t>、供应商谈判资格证明文件不全或者不符合谈判采购文件标明的资格要求的；</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ascii="仿宋" w:hAnsi="仿宋" w:eastAsia="仿宋"/>
          <w:color w:val="auto"/>
          <w:sz w:val="32"/>
          <w:szCs w:val="32"/>
          <w:highlight w:val="none"/>
        </w:rPr>
        <w:t>5</w:t>
      </w:r>
      <w:r>
        <w:rPr>
          <w:rFonts w:hint="eastAsia" w:ascii="仿宋" w:hAnsi="仿宋" w:eastAsia="仿宋"/>
          <w:color w:val="auto"/>
          <w:sz w:val="32"/>
          <w:szCs w:val="32"/>
          <w:highlight w:val="none"/>
        </w:rPr>
        <w:t>、谈判响应文件报价超过最高限价或出现多个方案、报价，导致谈判小组难以评审的；</w:t>
      </w:r>
    </w:p>
    <w:p>
      <w:pPr>
        <w:tabs>
          <w:tab w:val="left" w:pos="6300"/>
        </w:tabs>
        <w:snapToGrid w:val="0"/>
        <w:spacing w:line="560" w:lineRule="exact"/>
        <w:ind w:firstLine="643" w:firstLineChars="200"/>
        <w:outlineLvl w:val="0"/>
        <w:rPr>
          <w:rFonts w:ascii="仿宋" w:hAnsi="仿宋" w:eastAsia="仿宋"/>
          <w:b/>
          <w:color w:val="auto"/>
          <w:sz w:val="32"/>
          <w:szCs w:val="32"/>
          <w:highlight w:val="none"/>
        </w:rPr>
      </w:pPr>
      <w:r>
        <w:rPr>
          <w:rFonts w:ascii="仿宋" w:hAnsi="仿宋" w:eastAsia="仿宋"/>
          <w:b/>
          <w:color w:val="auto"/>
          <w:sz w:val="32"/>
          <w:szCs w:val="32"/>
          <w:highlight w:val="none"/>
        </w:rPr>
        <w:t>6</w:t>
      </w:r>
      <w:r>
        <w:rPr>
          <w:rFonts w:hint="eastAsia" w:ascii="仿宋" w:hAnsi="仿宋" w:eastAsia="仿宋"/>
          <w:b/>
          <w:color w:val="auto"/>
          <w:sz w:val="32"/>
          <w:szCs w:val="32"/>
          <w:highlight w:val="none"/>
        </w:rPr>
        <w:t>、谈判响应文件未按规定的格式、内容和要求填写、制作和上传的；</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ascii="仿宋" w:hAnsi="仿宋" w:eastAsia="仿宋"/>
          <w:color w:val="auto"/>
          <w:sz w:val="32"/>
          <w:szCs w:val="32"/>
          <w:highlight w:val="none"/>
        </w:rPr>
        <w:t>7</w:t>
      </w:r>
      <w:r>
        <w:rPr>
          <w:rFonts w:hint="eastAsia" w:ascii="仿宋" w:hAnsi="仿宋" w:eastAsia="仿宋"/>
          <w:color w:val="auto"/>
          <w:sz w:val="32"/>
          <w:szCs w:val="32"/>
          <w:highlight w:val="none"/>
        </w:rPr>
        <w:t>、所投产品不符合必须强制执行的国家标准，含有违反国家法律、法规的内容，或附有采购单位不能接受的条件的；</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ascii="仿宋" w:hAnsi="仿宋" w:eastAsia="仿宋"/>
          <w:color w:val="auto"/>
          <w:sz w:val="32"/>
          <w:szCs w:val="32"/>
          <w:highlight w:val="none"/>
        </w:rPr>
        <w:t>8</w:t>
      </w:r>
      <w:r>
        <w:rPr>
          <w:rFonts w:hint="eastAsia" w:ascii="仿宋" w:hAnsi="仿宋" w:eastAsia="仿宋"/>
          <w:color w:val="auto"/>
          <w:sz w:val="32"/>
          <w:szCs w:val="32"/>
          <w:highlight w:val="none"/>
        </w:rPr>
        <w:t>、供应商未按谈判采购文件规定提交足额谈判保证金的；</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ascii="仿宋" w:hAnsi="仿宋" w:eastAsia="仿宋"/>
          <w:color w:val="auto"/>
          <w:sz w:val="32"/>
          <w:szCs w:val="32"/>
          <w:highlight w:val="none"/>
        </w:rPr>
        <w:t>9</w:t>
      </w:r>
      <w:r>
        <w:rPr>
          <w:rFonts w:hint="eastAsia" w:ascii="仿宋" w:hAnsi="仿宋" w:eastAsia="仿宋"/>
          <w:color w:val="auto"/>
          <w:sz w:val="32"/>
          <w:szCs w:val="32"/>
          <w:highlight w:val="none"/>
        </w:rPr>
        <w:t>、谈判小组认为供应商所递交的谈判响应文件所附相关资料内容不真实，且供应商不能当场提交证明其真实性的材料的；</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ascii="仿宋" w:hAnsi="仿宋" w:eastAsia="仿宋"/>
          <w:color w:val="auto"/>
          <w:sz w:val="32"/>
          <w:szCs w:val="32"/>
          <w:highlight w:val="none"/>
        </w:rPr>
        <w:t>10</w:t>
      </w:r>
      <w:r>
        <w:rPr>
          <w:rFonts w:hint="eastAsia" w:ascii="仿宋" w:hAnsi="仿宋" w:eastAsia="仿宋"/>
          <w:color w:val="auto"/>
          <w:sz w:val="32"/>
          <w:szCs w:val="32"/>
          <w:highlight w:val="none"/>
        </w:rPr>
        <w:t>、供应商所递交的谈判响应文件雷同，或存在其他情形导致谈判小组认为供应商之间存在串通嫌疑的；</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ascii="仿宋" w:hAnsi="仿宋" w:eastAsia="仿宋"/>
          <w:color w:val="auto"/>
          <w:sz w:val="32"/>
          <w:szCs w:val="32"/>
          <w:highlight w:val="none"/>
        </w:rPr>
        <w:t>11</w:t>
      </w:r>
      <w:r>
        <w:rPr>
          <w:rFonts w:hint="eastAsia" w:ascii="仿宋" w:hAnsi="仿宋" w:eastAsia="仿宋"/>
          <w:color w:val="auto"/>
          <w:sz w:val="32"/>
          <w:szCs w:val="32"/>
          <w:highlight w:val="none"/>
        </w:rPr>
        <w:t>、响应文件上（包括外包装及内装文件）标注的单位名称与所盖公章不相符、不一致的；</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ascii="仿宋" w:hAnsi="仿宋" w:eastAsia="仿宋"/>
          <w:color w:val="auto"/>
          <w:sz w:val="32"/>
          <w:szCs w:val="32"/>
          <w:highlight w:val="none"/>
        </w:rPr>
        <w:t>12</w:t>
      </w:r>
      <w:r>
        <w:rPr>
          <w:rFonts w:hint="eastAsia" w:ascii="仿宋" w:hAnsi="仿宋" w:eastAsia="仿宋"/>
          <w:color w:val="auto"/>
          <w:sz w:val="32"/>
          <w:szCs w:val="32"/>
          <w:highlight w:val="none"/>
        </w:rPr>
        <w:t>、如报价明显低于其他供应商报价，经专家质询后不能在规定时间内说明理由，或说明理由谈判小组认为理由不能成立的。</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ascii="仿宋" w:hAnsi="仿宋" w:eastAsia="仿宋"/>
          <w:color w:val="auto"/>
          <w:sz w:val="32"/>
          <w:szCs w:val="32"/>
          <w:highlight w:val="none"/>
        </w:rPr>
        <w:t>13</w:t>
      </w:r>
      <w:r>
        <w:rPr>
          <w:rFonts w:hint="eastAsia" w:ascii="仿宋" w:hAnsi="仿宋" w:eastAsia="仿宋"/>
          <w:color w:val="auto"/>
          <w:sz w:val="32"/>
          <w:szCs w:val="32"/>
          <w:highlight w:val="none"/>
        </w:rPr>
        <w:t>、法律、行政法规规定的其他情况。</w:t>
      </w:r>
    </w:p>
    <w:p>
      <w:pPr>
        <w:spacing w:line="560" w:lineRule="exact"/>
        <w:rPr>
          <w:rFonts w:ascii="黑体" w:hAnsi="黑体" w:eastAsia="黑体"/>
          <w:color w:val="auto"/>
          <w:sz w:val="32"/>
          <w:szCs w:val="32"/>
          <w:highlight w:val="none"/>
        </w:rPr>
      </w:pPr>
      <w:r>
        <w:rPr>
          <w:rFonts w:hint="eastAsia" w:ascii="黑体" w:hAnsi="黑体" w:eastAsia="黑体"/>
          <w:color w:val="auto"/>
          <w:sz w:val="32"/>
          <w:szCs w:val="32"/>
          <w:highlight w:val="none"/>
        </w:rPr>
        <w:t>九、关于谈判保证金</w:t>
      </w:r>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若发生下列情形之一，谈判保证金将不予退还并取消谈判资格。情节严重的，将列入不良记录名单，在三年内禁止参加任何政府采购活动。</w:t>
      </w:r>
    </w:p>
    <w:p>
      <w:pPr>
        <w:spacing w:line="56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1、谈判开始后，未经同意中途退场、无故撤回报价的；</w:t>
      </w:r>
    </w:p>
    <w:p>
      <w:pPr>
        <w:spacing w:line="560" w:lineRule="exact"/>
        <w:ind w:firstLine="630"/>
        <w:rPr>
          <w:rFonts w:ascii="仿宋" w:hAnsi="仿宋" w:eastAsia="仿宋"/>
          <w:color w:val="auto"/>
          <w:sz w:val="32"/>
          <w:szCs w:val="32"/>
          <w:highlight w:val="none"/>
        </w:rPr>
      </w:pPr>
      <w:r>
        <w:rPr>
          <w:rFonts w:hint="eastAsia" w:ascii="仿宋" w:hAnsi="仿宋" w:eastAsia="仿宋"/>
          <w:color w:val="auto"/>
          <w:sz w:val="32"/>
          <w:szCs w:val="32"/>
          <w:highlight w:val="none"/>
        </w:rPr>
        <w:t>2、交纳保证金后无故不参加谈判的；</w:t>
      </w:r>
    </w:p>
    <w:p>
      <w:pPr>
        <w:spacing w:line="560" w:lineRule="exact"/>
        <w:ind w:firstLine="630"/>
        <w:rPr>
          <w:rFonts w:ascii="仿宋" w:hAnsi="仿宋" w:eastAsia="仿宋"/>
          <w:color w:val="auto"/>
          <w:sz w:val="32"/>
          <w:szCs w:val="32"/>
          <w:highlight w:val="none"/>
        </w:rPr>
      </w:pPr>
      <w:r>
        <w:rPr>
          <w:rFonts w:hint="eastAsia" w:ascii="仿宋" w:hAnsi="仿宋" w:eastAsia="仿宋"/>
          <w:color w:val="auto"/>
          <w:sz w:val="32"/>
          <w:szCs w:val="32"/>
          <w:highlight w:val="none"/>
        </w:rPr>
        <w:t>3、供应商在被通知成交后未按规定时间与采购单位签订合同或拒绝按成交状态签订合同的；</w:t>
      </w:r>
    </w:p>
    <w:p>
      <w:pPr>
        <w:spacing w:line="56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4、签约后无法按时间、质量要求完成合同内容，履行合同义务的；</w:t>
      </w:r>
    </w:p>
    <w:p>
      <w:pPr>
        <w:spacing w:line="56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5、供应商在响应文件中提供虚假材料谋取中标的；</w:t>
      </w:r>
    </w:p>
    <w:p>
      <w:pPr>
        <w:spacing w:line="560" w:lineRule="exact"/>
        <w:ind w:firstLine="630"/>
        <w:rPr>
          <w:rFonts w:ascii="仿宋" w:hAnsi="仿宋" w:eastAsia="仿宋"/>
          <w:color w:val="auto"/>
          <w:sz w:val="32"/>
          <w:szCs w:val="32"/>
          <w:highlight w:val="none"/>
        </w:rPr>
      </w:pPr>
      <w:r>
        <w:rPr>
          <w:rFonts w:hint="eastAsia" w:ascii="仿宋" w:hAnsi="仿宋" w:eastAsia="仿宋"/>
          <w:color w:val="auto"/>
          <w:sz w:val="32"/>
          <w:szCs w:val="32"/>
          <w:highlight w:val="none"/>
        </w:rPr>
        <w:t>6、谈判过程中，发现有意扰乱采购活动或围标、串标等情形的；</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7、违反谈判采购文件有关规定的其他情形的；</w:t>
      </w:r>
    </w:p>
    <w:p>
      <w:p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十、</w:t>
      </w:r>
      <w:r>
        <w:rPr>
          <w:rFonts w:hint="eastAsia" w:ascii="黑体" w:hAnsi="黑体" w:eastAsia="黑体"/>
          <w:b/>
          <w:color w:val="auto"/>
          <w:sz w:val="32"/>
          <w:szCs w:val="32"/>
          <w:highlight w:val="none"/>
        </w:rPr>
        <w:t>终止。</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在竞争性谈判过程中，出现下列情形之一的，应予终止：</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1、符合条件的供应商或者对谈判采购文件作实质响应的供应商不足3家的；</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2、供应商未按谈判采购文件要求提交的谈判响应文件，谈判响应文件中的内容未按中文书写；</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3、出现影响采购公正的违法、违规行为的；</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4、因重大变故，采购任务取消的。</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终止后可按照相关法律要求重新谈判</w:t>
      </w:r>
    </w:p>
    <w:p>
      <w:p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十一、成交原则</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1、成交原则采取最低价成交，但最低价需满足谈判采购文件中所有要求，并且不得低于市场成本价。</w:t>
      </w:r>
    </w:p>
    <w:p>
      <w:pPr>
        <w:pStyle w:val="11"/>
        <w:ind w:firstLine="640" w:firstLineChars="200"/>
        <w:rPr>
          <w:rFonts w:ascii="仿宋" w:hAnsi="仿宋" w:eastAsia="仿宋"/>
          <w:color w:val="auto"/>
          <w:sz w:val="32"/>
          <w:szCs w:val="32"/>
          <w:highlight w:val="none"/>
          <w:lang w:val="zh-CN"/>
        </w:rPr>
      </w:pPr>
      <w:r>
        <w:rPr>
          <w:rFonts w:hint="eastAsia" w:ascii="仿宋" w:hAnsi="仿宋" w:eastAsia="仿宋"/>
          <w:color w:val="auto"/>
          <w:sz w:val="32"/>
          <w:szCs w:val="32"/>
          <w:highlight w:val="none"/>
          <w:lang w:val="zh-CN"/>
        </w:rPr>
        <w:t>谈判小组成员以查阅响应文件和要求供应商答辩的方式，根据质量和服务均能满足采购文件实质性响应要求且最后报价最低的原则确定成交供应商，报价相同的，由采购单位代表决定最终成交方式，即直接确定成交单位或由谈判小组现场商议做出决策。</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如报价最低的成交单位因不可抗力或者自身原因不能履行合同的，根据相关办法规定，采购单位可以确定报价次低的供应商为</w:t>
      </w:r>
      <w:r>
        <w:rPr>
          <w:rFonts w:hint="eastAsia" w:ascii="仿宋" w:hAnsi="仿宋" w:eastAsia="仿宋"/>
          <w:color w:val="auto"/>
          <w:sz w:val="32"/>
          <w:szCs w:val="32"/>
          <w:highlight w:val="none"/>
          <w:lang w:val="zh-CN"/>
        </w:rPr>
        <w:t>成交供应商</w:t>
      </w:r>
      <w:r>
        <w:rPr>
          <w:rFonts w:hint="eastAsia" w:ascii="仿宋" w:hAnsi="仿宋" w:eastAsia="仿宋"/>
          <w:color w:val="auto"/>
          <w:sz w:val="32"/>
          <w:szCs w:val="32"/>
          <w:highlight w:val="none"/>
        </w:rPr>
        <w:t>，或认定成交无效，并终止此项目重新组织谈判。</w:t>
      </w:r>
    </w:p>
    <w:p>
      <w:pPr>
        <w:tabs>
          <w:tab w:val="left" w:pos="6300"/>
        </w:tabs>
        <w:snapToGrid w:val="0"/>
        <w:spacing w:line="560" w:lineRule="exact"/>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2、采购人及采购代理机构将有权对成交供应商的财务、技术、管理能力及信誉进行审查，确定其是否能圆满地履行合同。</w:t>
      </w:r>
    </w:p>
    <w:p>
      <w:pPr>
        <w:tabs>
          <w:tab w:val="left" w:pos="6300"/>
        </w:tabs>
        <w:snapToGrid w:val="0"/>
        <w:spacing w:line="560" w:lineRule="exact"/>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3、成交（中标）结果将在新疆政府采购网</w:t>
      </w:r>
      <w:r>
        <w:rPr>
          <w:rFonts w:hint="eastAsia" w:ascii="仿宋" w:hAnsi="仿宋" w:eastAsia="仿宋"/>
          <w:color w:val="auto"/>
          <w:sz w:val="18"/>
          <w:szCs w:val="18"/>
          <w:highlight w:val="none"/>
        </w:rPr>
        <w:t>（http://www.ccgp-xinjiang.gov.cn/）</w:t>
      </w:r>
      <w:r>
        <w:rPr>
          <w:rFonts w:hint="eastAsia" w:ascii="仿宋" w:hAnsi="仿宋" w:eastAsia="仿宋"/>
          <w:color w:val="auto"/>
          <w:sz w:val="32"/>
          <w:szCs w:val="32"/>
          <w:highlight w:val="none"/>
        </w:rPr>
        <w:t>公示。</w:t>
      </w:r>
    </w:p>
    <w:p>
      <w:pPr>
        <w:tabs>
          <w:tab w:val="left" w:pos="6300"/>
        </w:tabs>
        <w:snapToGrid w:val="0"/>
        <w:spacing w:line="560" w:lineRule="exact"/>
        <w:ind w:firstLine="320" w:firstLineChars="100"/>
        <w:outlineLvl w:val="0"/>
        <w:rPr>
          <w:rFonts w:ascii="黑体" w:hAnsi="黑体" w:eastAsia="黑体"/>
          <w:b/>
          <w:color w:val="auto"/>
          <w:sz w:val="32"/>
          <w:szCs w:val="32"/>
          <w:highlight w:val="none"/>
        </w:rPr>
      </w:pPr>
      <w:r>
        <w:rPr>
          <w:rFonts w:hint="eastAsia" w:ascii="黑体" w:hAnsi="黑体" w:eastAsia="黑体"/>
          <w:color w:val="auto"/>
          <w:sz w:val="32"/>
          <w:szCs w:val="32"/>
          <w:highlight w:val="none"/>
        </w:rPr>
        <w:t>十二、</w:t>
      </w:r>
      <w:r>
        <w:rPr>
          <w:rFonts w:hint="eastAsia" w:ascii="黑体" w:hAnsi="黑体" w:eastAsia="黑体"/>
          <w:b/>
          <w:color w:val="auto"/>
          <w:sz w:val="32"/>
          <w:szCs w:val="32"/>
          <w:highlight w:val="none"/>
        </w:rPr>
        <w:t>履约条款</w:t>
      </w:r>
    </w:p>
    <w:p>
      <w:pPr>
        <w:widowControl/>
        <w:spacing w:line="56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1、</w:t>
      </w:r>
      <w:r>
        <w:rPr>
          <w:rFonts w:hint="eastAsia" w:ascii="仿宋" w:hAnsi="仿宋" w:eastAsia="仿宋"/>
          <w:b/>
          <w:color w:val="auto"/>
          <w:sz w:val="32"/>
          <w:szCs w:val="32"/>
          <w:highlight w:val="none"/>
          <w:u w:val="single"/>
        </w:rPr>
        <w:t>成交（中标）单位需在成交（中标）公告结束后五个工作日内将与采购人签订的合同交至昌吉市政府采购中心</w:t>
      </w:r>
      <w:r>
        <w:rPr>
          <w:rFonts w:hint="eastAsia" w:ascii="仿宋" w:hAnsi="仿宋" w:eastAsia="仿宋"/>
          <w:color w:val="auto"/>
          <w:sz w:val="32"/>
          <w:szCs w:val="32"/>
          <w:highlight w:val="none"/>
        </w:rPr>
        <w:t>。《成交（中标）通知书》是合同的组成部分，是签订合同的依据。</w:t>
      </w:r>
    </w:p>
    <w:p>
      <w:pPr>
        <w:tabs>
          <w:tab w:val="left" w:pos="6300"/>
        </w:tabs>
        <w:snapToGrid w:val="0"/>
        <w:spacing w:line="560" w:lineRule="exact"/>
        <w:ind w:firstLine="66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2、履约保证金由采购单位收取，收取比例不得高于国家标准。</w:t>
      </w:r>
    </w:p>
    <w:p>
      <w:pPr>
        <w:tabs>
          <w:tab w:val="left" w:pos="6300"/>
        </w:tabs>
        <w:snapToGrid w:val="0"/>
        <w:spacing w:line="560" w:lineRule="exact"/>
        <w:ind w:firstLine="321" w:firstLineChars="100"/>
        <w:outlineLvl w:val="0"/>
        <w:rPr>
          <w:rFonts w:ascii="黑体" w:hAnsi="黑体" w:eastAsia="黑体"/>
          <w:b/>
          <w:color w:val="auto"/>
          <w:sz w:val="32"/>
          <w:szCs w:val="32"/>
          <w:highlight w:val="none"/>
        </w:rPr>
      </w:pPr>
      <w:r>
        <w:rPr>
          <w:rFonts w:hint="eastAsia" w:ascii="黑体" w:hAnsi="黑体" w:eastAsia="黑体"/>
          <w:b/>
          <w:color w:val="auto"/>
          <w:sz w:val="32"/>
          <w:szCs w:val="32"/>
          <w:highlight w:val="none"/>
        </w:rPr>
        <w:t>十三、退付投标保证金</w:t>
      </w:r>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未中标供应商在中标通知书发出之日起就可到政府采购中心办理退付投标保证金手续；中标供应商自政府采购合同签订后即可到政府采购中心办理退付投标保证金手续。如一个月内仍未办理，则政府采购中心将该款项上缴国库。</w:t>
      </w:r>
    </w:p>
    <w:p>
      <w:pPr>
        <w:tabs>
          <w:tab w:val="left" w:pos="6300"/>
        </w:tabs>
        <w:snapToGrid w:val="0"/>
        <w:spacing w:line="560" w:lineRule="exact"/>
        <w:ind w:firstLine="630" w:firstLineChars="196"/>
        <w:outlineLvl w:val="0"/>
        <w:rPr>
          <w:rFonts w:ascii="黑体" w:hAnsi="黑体" w:eastAsia="黑体"/>
          <w:b/>
          <w:color w:val="auto"/>
          <w:sz w:val="32"/>
          <w:szCs w:val="32"/>
          <w:highlight w:val="none"/>
        </w:rPr>
      </w:pPr>
      <w:r>
        <w:rPr>
          <w:rFonts w:hint="eastAsia" w:ascii="黑体" w:hAnsi="黑体" w:eastAsia="黑体"/>
          <w:b/>
          <w:color w:val="auto"/>
          <w:sz w:val="32"/>
          <w:szCs w:val="32"/>
          <w:highlight w:val="none"/>
        </w:rPr>
        <w:t>十四、其他事项</w:t>
      </w:r>
    </w:p>
    <w:p>
      <w:pPr>
        <w:spacing w:line="56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1、昌吉市政府采购中心所作的一切有效的书面通知、修改及补充，都是竞争性谈判采购文件不可分割的部分。</w:t>
      </w:r>
    </w:p>
    <w:p>
      <w:pPr>
        <w:tabs>
          <w:tab w:val="left" w:pos="6300"/>
        </w:tabs>
        <w:snapToGrid w:val="0"/>
        <w:spacing w:line="560" w:lineRule="exact"/>
        <w:ind w:firstLine="66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2、在谈判开始前，供应商若对谈判采购文件中规格及要求有异议或对要求有不合理之处，可及时提出相关意见。如供应商未提出疑问，视为完全理解并同意本竞争性谈判采购文件。一经进入谈判程序，即视为各供应商已详细阅读全部文件资料，完全理解竞争性谈判采购文件所有条款内容并同意放弃对这方面有不明白及误解的权利。</w:t>
      </w:r>
    </w:p>
    <w:p>
      <w:pPr>
        <w:spacing w:line="56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3、在谈判过程中，无论任何单位和个人都必须遵纪守法，保证公正廉洁、公平竞争，不准从中舞弊，有违反者按有关规定严肃处理。</w:t>
      </w:r>
    </w:p>
    <w:p>
      <w:pPr>
        <w:tabs>
          <w:tab w:val="left" w:pos="6300"/>
        </w:tabs>
        <w:snapToGrid w:val="0"/>
        <w:spacing w:line="560" w:lineRule="exact"/>
        <w:ind w:firstLine="66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4、成交供应商必须严格按照谈判采购文件约定的技术要求进行相应服务，凡是达不到采购单位要求，采购单位有权拒收。</w:t>
      </w:r>
    </w:p>
    <w:p>
      <w:pPr>
        <w:tabs>
          <w:tab w:val="left" w:pos="6300"/>
        </w:tabs>
        <w:snapToGrid w:val="0"/>
        <w:spacing w:line="560" w:lineRule="exact"/>
        <w:ind w:firstLine="66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5、在谈判活动全程中，如发生对谈判文件理解不一致或出现任何其他争议事项，均可提交谈判小组按少数服从多数的原则进行表决，该表决在作出时直接发生效力。</w:t>
      </w:r>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6、本文件由昌吉市政府采购中心负责解释。</w:t>
      </w: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spacing w:line="560" w:lineRule="exact"/>
        <w:ind w:left="1" w:firstLine="312" w:firstLineChars="149"/>
        <w:jc w:val="left"/>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pPr>
    </w:p>
    <w:p>
      <w:pPr>
        <w:tabs>
          <w:tab w:val="left" w:pos="6300"/>
        </w:tabs>
        <w:snapToGrid w:val="0"/>
        <w:spacing w:line="560" w:lineRule="exact"/>
        <w:ind w:firstLine="2209" w:firstLineChars="500"/>
        <w:outlineLvl w:val="0"/>
        <w:rPr>
          <w:rFonts w:ascii="仿宋" w:hAnsi="仿宋" w:eastAsia="仿宋"/>
          <w:b/>
          <w:sz w:val="44"/>
          <w:szCs w:val="44"/>
        </w:rPr>
      </w:pPr>
      <w:r>
        <w:rPr>
          <w:rFonts w:hint="eastAsia" w:ascii="仿宋" w:hAnsi="仿宋" w:eastAsia="仿宋"/>
          <w:b/>
          <w:sz w:val="44"/>
          <w:szCs w:val="44"/>
        </w:rPr>
        <w:t>第三部分  项目要求</w:t>
      </w:r>
    </w:p>
    <w:p>
      <w:pPr>
        <w:pStyle w:val="11"/>
        <w:rPr>
          <w:color w:val="7030A0"/>
        </w:rPr>
      </w:pPr>
    </w:p>
    <w:p>
      <w:pPr>
        <w:spacing w:line="460" w:lineRule="exact"/>
        <w:ind w:firstLine="640"/>
        <w:rPr>
          <w:rFonts w:ascii="仿宋" w:hAnsi="仿宋" w:eastAsia="仿宋"/>
          <w:color w:val="FF0000"/>
          <w:sz w:val="32"/>
          <w:szCs w:val="32"/>
        </w:rPr>
      </w:pPr>
      <w:r>
        <w:rPr>
          <w:rFonts w:hint="eastAsia" w:ascii="仿宋" w:hAnsi="仿宋" w:eastAsia="仿宋"/>
          <w:b/>
          <w:bCs/>
          <w:sz w:val="32"/>
          <w:szCs w:val="32"/>
        </w:rPr>
        <w:t>一、项目名称：</w:t>
      </w:r>
      <w:r>
        <w:rPr>
          <w:rFonts w:hint="eastAsia" w:ascii="仿宋" w:hAnsi="仿宋" w:eastAsia="仿宋" w:cs="仿宋"/>
          <w:bCs/>
          <w:sz w:val="32"/>
          <w:szCs w:val="32"/>
        </w:rPr>
        <w:t>昌吉市第十四小学分校（昌吉市第十一小学）教师电脑及学生机房项目</w:t>
      </w:r>
    </w:p>
    <w:p>
      <w:pPr>
        <w:spacing w:line="460" w:lineRule="exact"/>
        <w:ind w:firstLine="640"/>
        <w:rPr>
          <w:rFonts w:ascii="仿宋" w:hAnsi="仿宋" w:eastAsia="仿宋" w:cs="仿宋"/>
          <w:bCs/>
          <w:sz w:val="32"/>
          <w:szCs w:val="32"/>
        </w:rPr>
      </w:pPr>
      <w:r>
        <w:rPr>
          <w:rFonts w:hint="eastAsia" w:ascii="仿宋" w:hAnsi="仿宋" w:eastAsia="仿宋"/>
          <w:b/>
          <w:bCs/>
          <w:sz w:val="32"/>
          <w:szCs w:val="32"/>
        </w:rPr>
        <w:t>二、项目具体参数要求：</w:t>
      </w:r>
    </w:p>
    <w:tbl>
      <w:tblPr>
        <w:tblStyle w:val="40"/>
        <w:tblW w:w="9370" w:type="dxa"/>
        <w:tblInd w:w="0" w:type="dxa"/>
        <w:tblLayout w:type="fixed"/>
        <w:tblCellMar>
          <w:top w:w="0" w:type="dxa"/>
          <w:left w:w="0" w:type="dxa"/>
          <w:bottom w:w="0" w:type="dxa"/>
          <w:right w:w="0" w:type="dxa"/>
        </w:tblCellMar>
      </w:tblPr>
      <w:tblGrid>
        <w:gridCol w:w="582"/>
        <w:gridCol w:w="1618"/>
        <w:gridCol w:w="6330"/>
        <w:gridCol w:w="840"/>
      </w:tblGrid>
      <w:tr>
        <w:tblPrEx>
          <w:tblLayout w:type="fixed"/>
          <w:tblCellMar>
            <w:top w:w="0" w:type="dxa"/>
            <w:left w:w="0" w:type="dxa"/>
            <w:bottom w:w="0" w:type="dxa"/>
            <w:right w:w="0" w:type="dxa"/>
          </w:tblCellMar>
        </w:tblPrEx>
        <w:trPr>
          <w:trHeight w:val="420" w:hRule="atLeast"/>
        </w:trPr>
        <w:tc>
          <w:tcPr>
            <w:tcW w:w="582" w:type="dxa"/>
            <w:tcBorders>
              <w:top w:val="nil"/>
              <w:left w:val="nil"/>
              <w:bottom w:val="nil"/>
              <w:right w:val="nil"/>
            </w:tcBorders>
            <w:noWrap/>
            <w:tcMar>
              <w:top w:w="15" w:type="dxa"/>
              <w:left w:w="15" w:type="dxa"/>
              <w:right w:w="15" w:type="dxa"/>
            </w:tcMar>
            <w:vAlign w:val="center"/>
          </w:tcPr>
          <w:p>
            <w:pPr>
              <w:jc w:val="center"/>
              <w:rPr>
                <w:rFonts w:ascii="宋体" w:hAnsi="宋体" w:cs="宋体"/>
                <w:b/>
                <w:color w:val="000000"/>
                <w:sz w:val="20"/>
                <w:szCs w:val="20"/>
              </w:rPr>
            </w:pPr>
          </w:p>
        </w:tc>
        <w:tc>
          <w:tcPr>
            <w:tcW w:w="8788" w:type="dxa"/>
            <w:gridSpan w:val="3"/>
            <w:tcBorders>
              <w:top w:val="nil"/>
              <w:left w:val="nil"/>
              <w:bottom w:val="single" w:color="000000" w:sz="4" w:space="0"/>
              <w:right w:val="nil"/>
            </w:tcBorders>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昌吉市第十四小学分校（昌吉市第十一学）教师电脑、学生机房参数</w:t>
            </w:r>
          </w:p>
        </w:tc>
      </w:tr>
      <w:tr>
        <w:tblPrEx>
          <w:tblLayout w:type="fixed"/>
          <w:tblCellMar>
            <w:top w:w="0" w:type="dxa"/>
            <w:left w:w="0" w:type="dxa"/>
            <w:bottom w:w="0" w:type="dxa"/>
            <w:right w:w="0" w:type="dxa"/>
          </w:tblCellMar>
        </w:tblPrEx>
        <w:trPr>
          <w:trHeight w:val="498" w:hRule="atLeast"/>
        </w:trPr>
        <w:tc>
          <w:tcPr>
            <w:tcW w:w="5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序号</w:t>
            </w:r>
          </w:p>
        </w:tc>
        <w:tc>
          <w:tcPr>
            <w:tcW w:w="1618"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产品名称</w:t>
            </w:r>
          </w:p>
        </w:tc>
        <w:tc>
          <w:tcPr>
            <w:tcW w:w="63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昌吉市第十四小学分校（昌吉市第十一学）电脑微机室参数要求</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数量</w:t>
            </w:r>
          </w:p>
        </w:tc>
      </w:tr>
      <w:tr>
        <w:tblPrEx>
          <w:tblLayout w:type="fixed"/>
          <w:tblCellMar>
            <w:top w:w="0" w:type="dxa"/>
            <w:left w:w="0" w:type="dxa"/>
            <w:bottom w:w="0" w:type="dxa"/>
            <w:right w:w="0" w:type="dxa"/>
          </w:tblCellMar>
        </w:tblPrEx>
        <w:trPr>
          <w:trHeight w:val="2700" w:hRule="atLeast"/>
        </w:trPr>
        <w:tc>
          <w:tcPr>
            <w:tcW w:w="5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618"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教师机</w:t>
            </w:r>
          </w:p>
        </w:tc>
        <w:tc>
          <w:tcPr>
            <w:tcW w:w="63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4"/>
              </w:numPr>
              <w:jc w:val="left"/>
              <w:textAlignment w:val="center"/>
              <w:rPr>
                <w:rFonts w:ascii="宋体" w:hAnsi="宋体" w:cs="宋体"/>
                <w:kern w:val="0"/>
                <w:sz w:val="20"/>
                <w:szCs w:val="20"/>
              </w:rPr>
            </w:pPr>
            <w:r>
              <w:rPr>
                <w:rFonts w:hint="eastAsia" w:ascii="宋体" w:hAnsi="宋体" w:cs="宋体"/>
                <w:color w:val="000000"/>
                <w:kern w:val="0"/>
                <w:sz w:val="20"/>
                <w:szCs w:val="20"/>
              </w:rPr>
              <w:t>处理器：≥ 6核12线程，主频3.6；</w:t>
            </w:r>
          </w:p>
          <w:p>
            <w:pPr>
              <w:widowControl/>
              <w:numPr>
                <w:ilvl w:val="0"/>
                <w:numId w:val="4"/>
              </w:numPr>
              <w:jc w:val="left"/>
              <w:textAlignment w:val="center"/>
              <w:rPr>
                <w:rFonts w:ascii="宋体" w:hAnsi="宋体" w:cs="宋体"/>
                <w:kern w:val="0"/>
                <w:sz w:val="20"/>
                <w:szCs w:val="20"/>
              </w:rPr>
            </w:pPr>
            <w:r>
              <w:rPr>
                <w:rFonts w:hint="eastAsia" w:ascii="宋体" w:hAnsi="宋体" w:cs="宋体"/>
                <w:color w:val="000000"/>
                <w:kern w:val="0"/>
                <w:sz w:val="20"/>
                <w:szCs w:val="20"/>
              </w:rPr>
              <w:t>内存：≥8GB DDR4 2666MHz；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3.硬盘：≥M.2 256GB PCIe NVMe 固态硬盘+1TB 机械硬盘；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4.集成声卡、集成千兆网卡、集成显卡；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w:t>
            </w:r>
            <w:r>
              <w:rPr>
                <w:rFonts w:hint="eastAsia" w:ascii="宋体" w:hAnsi="宋体" w:cs="宋体"/>
                <w:color w:val="00B0F0"/>
                <w:kern w:val="0"/>
                <w:sz w:val="20"/>
                <w:szCs w:val="20"/>
              </w:rPr>
              <w:t>.</w:t>
            </w:r>
            <w:r>
              <w:rPr>
                <w:rFonts w:hint="eastAsia" w:ascii="宋体" w:hAnsi="宋体" w:cs="宋体"/>
                <w:kern w:val="0"/>
                <w:sz w:val="20"/>
                <w:szCs w:val="20"/>
              </w:rPr>
              <w:t>主机端口：≥8个原生USB端口（其中后置≥4个USB 端口，前置≥4个USB端口），1×HDMI端口，1×VGA端口+串口，2个PS2；</w:t>
            </w:r>
          </w:p>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6.抗菌键鼠套装；</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7.显示器23.8寸；</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8.机箱：≥5L；</w:t>
            </w:r>
          </w:p>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9.与主机、显示器同品牌网络同传及硬盘还原功能，预装智能云教室软件；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10.系统：正版Windows 10操作系统 中文版；</w:t>
            </w:r>
          </w:p>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11.</w:t>
            </w:r>
            <w:r>
              <w:rPr>
                <w:rFonts w:hint="eastAsia" w:ascii="宋体" w:hAnsi="宋体" w:cs="宋体"/>
                <w:kern w:val="0"/>
                <w:sz w:val="20"/>
                <w:szCs w:val="20"/>
              </w:rPr>
              <w:t>服务：三年原厂整机免费保修服务，次日上门服务；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12.以上配置必须为商用机、原厂标配。</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102台</w:t>
            </w:r>
          </w:p>
        </w:tc>
      </w:tr>
      <w:tr>
        <w:tblPrEx>
          <w:tblLayout w:type="fixed"/>
          <w:tblCellMar>
            <w:top w:w="0" w:type="dxa"/>
            <w:left w:w="0" w:type="dxa"/>
            <w:bottom w:w="0" w:type="dxa"/>
            <w:right w:w="0" w:type="dxa"/>
          </w:tblCellMar>
        </w:tblPrEx>
        <w:trPr>
          <w:trHeight w:val="2117" w:hRule="atLeast"/>
        </w:trPr>
        <w:tc>
          <w:tcPr>
            <w:tcW w:w="5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618"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学生机</w:t>
            </w:r>
          </w:p>
        </w:tc>
        <w:tc>
          <w:tcPr>
            <w:tcW w:w="63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5"/>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处理器：≥4核4线程，主频3.5；</w:t>
            </w:r>
          </w:p>
          <w:p>
            <w:pPr>
              <w:widowControl/>
              <w:numPr>
                <w:ilvl w:val="0"/>
                <w:numId w:val="5"/>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内存：≥4GB DDR4 2666MHz；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3.硬盘：≥M.2 256GB PCIe NVMe Class 35固态硬盘；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4.集成声卡、集成千兆网卡、集成显卡；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5.外置头戴式耳麦；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6.主机端口：≥8个原生USB端口（其中后置≥4个 USB 3.0端口，前置≥4个USB3.0端口），1×HDMI端口，</w:t>
            </w:r>
            <w:r>
              <w:rPr>
                <w:rFonts w:hint="eastAsia" w:ascii="宋体" w:hAnsi="宋体" w:cs="宋体"/>
                <w:kern w:val="0"/>
                <w:sz w:val="20"/>
                <w:szCs w:val="20"/>
              </w:rPr>
              <w:t>1×VGA端口；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w:t>
            </w:r>
            <w:r>
              <w:rPr>
                <w:rFonts w:hint="eastAsia" w:ascii="宋体" w:hAnsi="宋体" w:cs="宋体"/>
                <w:kern w:val="0"/>
                <w:sz w:val="20"/>
                <w:szCs w:val="20"/>
              </w:rPr>
              <w:t>.机箱：≥5L；</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8.显示器：21.5寸；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9.键鼠：抗菌键鼠套装；</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10.系统：正版Windows 10操作系统 中文版；</w:t>
            </w:r>
          </w:p>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11.同品牌网络同传及硬盘还原功能，预装智能云教室软件；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12.</w:t>
            </w:r>
            <w:r>
              <w:rPr>
                <w:rFonts w:hint="eastAsia" w:ascii="宋体" w:hAnsi="宋体" w:cs="宋体"/>
                <w:kern w:val="0"/>
                <w:sz w:val="20"/>
                <w:szCs w:val="20"/>
              </w:rPr>
              <w:t>服务：三年原厂整机免费保修服务，次日上门服务；</w:t>
            </w:r>
          </w:p>
          <w:p>
            <w:pPr>
              <w:widowControl/>
              <w:jc w:val="left"/>
              <w:textAlignment w:val="center"/>
              <w:rPr>
                <w:rFonts w:ascii="宋体" w:hAnsi="宋体" w:cs="宋体"/>
                <w:color w:val="000000"/>
                <w:sz w:val="20"/>
                <w:szCs w:val="20"/>
              </w:rPr>
            </w:pPr>
            <w:r>
              <w:rPr>
                <w:rFonts w:hint="eastAsia" w:ascii="宋体" w:hAnsi="宋体" w:cs="宋体"/>
                <w:kern w:val="0"/>
                <w:sz w:val="20"/>
                <w:szCs w:val="20"/>
              </w:rPr>
              <w:t>13.以上配置必须为商用机、原厂标配。</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100台</w:t>
            </w:r>
          </w:p>
        </w:tc>
      </w:tr>
      <w:tr>
        <w:tblPrEx>
          <w:tblLayout w:type="fixed"/>
          <w:tblCellMar>
            <w:top w:w="0" w:type="dxa"/>
            <w:left w:w="0" w:type="dxa"/>
            <w:bottom w:w="0" w:type="dxa"/>
            <w:right w:w="0" w:type="dxa"/>
          </w:tblCellMar>
        </w:tblPrEx>
        <w:trPr>
          <w:trHeight w:val="639" w:hRule="atLeast"/>
        </w:trPr>
        <w:tc>
          <w:tcPr>
            <w:tcW w:w="5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618"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网络设备</w:t>
            </w:r>
          </w:p>
        </w:tc>
        <w:tc>
          <w:tcPr>
            <w:tcW w:w="63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w:t>
            </w:r>
            <w:r>
              <w:rPr>
                <w:rFonts w:hint="eastAsia" w:ascii="宋体" w:hAnsi="宋体" w:cs="宋体"/>
                <w:kern w:val="0"/>
                <w:sz w:val="20"/>
                <w:szCs w:val="20"/>
              </w:rPr>
              <w:t>台华为24口全千兆交换机、1台华为16口全千</w:t>
            </w:r>
            <w:r>
              <w:rPr>
                <w:rFonts w:hint="eastAsia" w:ascii="宋体" w:hAnsi="宋体" w:cs="宋体"/>
                <w:color w:val="000000"/>
                <w:kern w:val="0"/>
                <w:sz w:val="20"/>
                <w:szCs w:val="20"/>
              </w:rPr>
              <w:t>兆交换机、1台华为8口核心交换机、1个12U壁挂机柜。</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2套</w:t>
            </w:r>
          </w:p>
        </w:tc>
      </w:tr>
      <w:tr>
        <w:tblPrEx>
          <w:tblLayout w:type="fixed"/>
          <w:tblCellMar>
            <w:top w:w="0" w:type="dxa"/>
            <w:left w:w="0" w:type="dxa"/>
            <w:bottom w:w="0" w:type="dxa"/>
            <w:right w:w="0" w:type="dxa"/>
          </w:tblCellMar>
        </w:tblPrEx>
        <w:trPr>
          <w:trHeight w:val="720" w:hRule="atLeast"/>
        </w:trPr>
        <w:tc>
          <w:tcPr>
            <w:tcW w:w="5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618"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布线材料</w:t>
            </w:r>
          </w:p>
        </w:tc>
        <w:tc>
          <w:tcPr>
            <w:tcW w:w="63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特变6平方三芯电源线、空开配电箱（含空气开关、漏电保护、继电器、指示灯、端按钮等）、子弹头插线板、六类网线、PVC线槽、金属软管、地面金属线槽、水晶头、其它材料。</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2套</w:t>
            </w:r>
          </w:p>
        </w:tc>
      </w:tr>
      <w:tr>
        <w:tblPrEx>
          <w:tblLayout w:type="fixed"/>
          <w:tblCellMar>
            <w:top w:w="0" w:type="dxa"/>
            <w:left w:w="0" w:type="dxa"/>
            <w:bottom w:w="0" w:type="dxa"/>
            <w:right w:w="0" w:type="dxa"/>
          </w:tblCellMar>
        </w:tblPrEx>
        <w:trPr>
          <w:trHeight w:val="519" w:hRule="atLeast"/>
        </w:trPr>
        <w:tc>
          <w:tcPr>
            <w:tcW w:w="5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618"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教师桌椅</w:t>
            </w:r>
          </w:p>
        </w:tc>
        <w:tc>
          <w:tcPr>
            <w:tcW w:w="63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1.2米桌定制电脑桌、旋转座椅。</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2套</w:t>
            </w:r>
          </w:p>
        </w:tc>
      </w:tr>
      <w:tr>
        <w:tblPrEx>
          <w:tblLayout w:type="fixed"/>
          <w:tblCellMar>
            <w:top w:w="0" w:type="dxa"/>
            <w:left w:w="0" w:type="dxa"/>
            <w:bottom w:w="0" w:type="dxa"/>
            <w:right w:w="0" w:type="dxa"/>
          </w:tblCellMar>
        </w:tblPrEx>
        <w:trPr>
          <w:trHeight w:val="699" w:hRule="atLeast"/>
        </w:trPr>
        <w:tc>
          <w:tcPr>
            <w:tcW w:w="5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161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学生电脑桌</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、方凳</w:t>
            </w:r>
          </w:p>
        </w:tc>
        <w:tc>
          <w:tcPr>
            <w:tcW w:w="63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1.2米桌定制电脑桌（双机位、电脑桌桌面下线束走线方式）、方凳。</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50套</w:t>
            </w:r>
          </w:p>
        </w:tc>
      </w:tr>
      <w:tr>
        <w:tblPrEx>
          <w:tblLayout w:type="fixed"/>
          <w:tblCellMar>
            <w:top w:w="0" w:type="dxa"/>
            <w:left w:w="0" w:type="dxa"/>
            <w:bottom w:w="0" w:type="dxa"/>
            <w:right w:w="0" w:type="dxa"/>
          </w:tblCellMar>
        </w:tblPrEx>
        <w:trPr>
          <w:trHeight w:val="1931" w:hRule="atLeast"/>
        </w:trPr>
        <w:tc>
          <w:tcPr>
            <w:tcW w:w="582" w:type="dxa"/>
            <w:vMerge w:val="restart"/>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618"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机房教学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控制软件--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极域课堂管理系统软件 V6.0</w:t>
            </w:r>
          </w:p>
        </w:tc>
        <w:tc>
          <w:tcPr>
            <w:tcW w:w="63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全面支持Windows系列操作系统，包括Windows 10（32位、64位）操作系统、支持MAC系统及众多Linux发行版本，兼容虚拟机。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教育豪华版支持多达24种语言界面版本，满足不同外语教师灵活使用软件。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软件的加密方式支持：加密狗加密、服务器端授权、在线序列号加密、离线文件加密、自定义短码激活、mac地址预置激活等多种方式的激活方式。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屏幕广播：将教师机屏幕和教师讲话实时广播给单一、部分或全体学生，可选择全屏或窗口方式。窗口模式下或教师机与学生机分辨率不同情况下，学生机可以以“缩放模式”、“平移”或者“智能滚动”的窗口方式接收广播，广播窗口所在的屏幕位置有“居中”、“偏右”、“偏左”三种方式选择，此时学生可跟着教师操作，边看边练，以增加教学的直观性；支持教师根据需要选择屏幕的某个部分广播给学生，给教师留有一定的私人空间；屏幕广播的同时，支持教师指定学生演示教师机屏幕；广播多媒体课件，可使用屏幕笔添加批注，广播同时可进行屏幕录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网络影院：实现教师机播放的视频同步广播到学生机，支持几乎所有常见的媒体音视频格式， Windows Media文件，VCD文件，DVD文件，Real文件，AVI文件，MP3等主流文件格式，支持720p、1080p的高清视频。</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视频直播：通过USB摄像头将教师的画面实时广播到学生机，达到更形象的教学效果，具有引导客户选择视频设备的提示画面，以便客户快速完成摄像头设备的设置。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学生演示：教师选定一台学生机作为示范，由此学生代替教师进行示范教学。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分组教学：通过分组教学，将学生分成几个组进行合作学习。小组长可使用多种功能来辅导同伴，例如：广播教学、监视、文件分发和网络影院。</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讨论：教师可能组织学生使用文字、图片、手写板等多种方式开展讨论，可进行分组讨论或主题讨论，分组讨论允许教师将学生分成若干组，同组的组员之间可以相互讨论，教师可以参加任意组的讨论；主题讨论是由教师建立若干个主题，学生选择自己感兴趣的主题开展讨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文件管理：有文件分发、收集、提交功能，可拖拽添加文件，可限制学生提交文件的数目和大小。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屏幕监视：教师机可以监视单一、部分、全体学生机的屏幕，教师机每屏可监视多个学生屏幕。可以控制教师机监控的同屏幕各窗口间、屏幕与屏幕间的切换速度。可手动或自动循环监视。</w:t>
            </w:r>
          </w:p>
        </w:tc>
        <w:tc>
          <w:tcPr>
            <w:tcW w:w="84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2套</w:t>
            </w:r>
          </w:p>
        </w:tc>
      </w:tr>
      <w:tr>
        <w:tblPrEx>
          <w:tblLayout w:type="fixed"/>
          <w:tblCellMar>
            <w:top w:w="0" w:type="dxa"/>
            <w:left w:w="0" w:type="dxa"/>
            <w:bottom w:w="0" w:type="dxa"/>
            <w:right w:w="0" w:type="dxa"/>
          </w:tblCellMar>
        </w:tblPrEx>
        <w:trPr>
          <w:trHeight w:val="4860" w:hRule="atLeast"/>
        </w:trPr>
        <w:tc>
          <w:tcPr>
            <w:tcW w:w="582" w:type="dxa"/>
            <w:vMerge w:val="continue"/>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jc w:val="center"/>
              <w:rPr>
                <w:rFonts w:ascii="宋体" w:hAnsi="宋体" w:cs="宋体"/>
                <w:color w:val="000000"/>
                <w:sz w:val="20"/>
                <w:szCs w:val="20"/>
              </w:rPr>
            </w:pPr>
          </w:p>
        </w:tc>
        <w:tc>
          <w:tcPr>
            <w:tcW w:w="1618"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63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课堂策略控制：在课堂上，教师可以设置上网策略、应用程序策略、USB、CD使用、打印限制策略，对不同学生设置不同策略，查看当前的学生策略，上网限制支持多浏览器，IE、Chrome、QQ、Firefox、360等都可以限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网络白板：教师通过导入图片、文档或截图创建白板，将白板内容共享给学生，学生和教师可以共享在白板上通过绘图工具和文本书写完成学习任务或绘画作品，提高学生团队合作的兴趣。教师也可以允许学生自己独立完成学习任务，教师可以在教师机上监看所有学生的完成情况。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抢答和竞赛：教师可以出任意题目请学生作答，学生抢答时只需按下按钮即可，即可作答，作答正确给予“星星”奖励，并可升级为月亮，吸引学生注意力，主动参与活动。答题方式有：口头回答、文字输入作答、学生桌面演示作答。</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随堂小考：教师启动快速的单题考试（可在试题中添加图片）或随堂调查，限定考试时间，学生答题后立即给出结果，结果显示学生答案柱状图分析和答题时间，可作为抢答依据。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标准化考试：教师将试卷分发给学生即可开始考试，教师导入word、ppt、excel、pdf等文档类型的考试内容共享给学生，直接生成答题卡用于学生作答，包含多种不同的题型：多选题，判断题，填空题和论述题等。考试过程中，可以看到学生答题的进度，答题情况。考试过程中可以教师如有问题补充，可暂停考试，在特殊情况下，可以暂挂考试，下次启动系统后可继续考试；考试过程中如有断电、关机等意外情况学生机可断线重连，考试结束后学生可提交或时间到自动提交。自动评分，柱状图分析统计结果，将评分结果发送给学生，考试结果统一导出 为.html/xml 形式，方便数据后期的整合利用。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学生端属性查看：教师可以获取学生端计算机的名称、登录名和其它常用信息，并可以列出学生端的应用程序、进程和进程 ID，教师还可以远程终止学生端的进程。</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班级模型：有单独的管理界面，实现对班级模型的统一管理，并能够导入、导出，调用不同网络教室中的班级模型，班级模型视图中可实时显示学生机电脑桌面（缩图）。</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签到：提供学生名单管理工具，为软件和考试模块提供实名验证。提供点名功能，支持保留学生多次登录记录、考勤统计、签到信息的导出与对比。</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具备语音广播、语音对讲、电子点名、远程开关机、远程命令、远程设置、远程登录、支持远程为学生端安装/卸载应用程序、登录windows前接受广播、请求帮助、举手、发言、自动锁屏、防杀进程、黑屏肃静等功能。</w:t>
            </w:r>
          </w:p>
        </w:tc>
        <w:tc>
          <w:tcPr>
            <w:tcW w:w="84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p>
        </w:tc>
      </w:tr>
    </w:tbl>
    <w:p>
      <w:pPr>
        <w:pStyle w:val="2"/>
      </w:pPr>
    </w:p>
    <w:p>
      <w:pPr>
        <w:tabs>
          <w:tab w:val="left" w:pos="6300"/>
        </w:tabs>
        <w:snapToGrid w:val="0"/>
        <w:spacing w:line="460" w:lineRule="exact"/>
        <w:ind w:firstLine="643" w:firstLineChars="200"/>
        <w:jc w:val="left"/>
        <w:outlineLvl w:val="0"/>
        <w:rPr>
          <w:rFonts w:ascii="仿宋_GB2312" w:hAnsi="仿宋_GB2312" w:eastAsia="仿宋_GB2312" w:cs="仿宋_GB2312"/>
          <w:b/>
          <w:sz w:val="32"/>
          <w:szCs w:val="32"/>
        </w:rPr>
      </w:pPr>
    </w:p>
    <w:p>
      <w:pPr>
        <w:tabs>
          <w:tab w:val="left" w:pos="6300"/>
        </w:tabs>
        <w:snapToGrid w:val="0"/>
        <w:spacing w:line="460" w:lineRule="exact"/>
        <w:ind w:firstLine="643" w:firstLineChars="200"/>
        <w:jc w:val="left"/>
        <w:outlineLvl w:val="0"/>
        <w:rPr>
          <w:rFonts w:ascii="仿宋_GB2312" w:hAnsi="仿宋_GB2312" w:eastAsia="仿宋_GB2312" w:cs="仿宋_GB2312"/>
          <w:b/>
          <w:sz w:val="32"/>
          <w:szCs w:val="32"/>
        </w:rPr>
      </w:pPr>
    </w:p>
    <w:p>
      <w:pPr>
        <w:tabs>
          <w:tab w:val="left" w:pos="6300"/>
        </w:tabs>
        <w:snapToGrid w:val="0"/>
        <w:spacing w:line="460" w:lineRule="exact"/>
        <w:ind w:firstLine="643" w:firstLineChars="200"/>
        <w:jc w:val="left"/>
        <w:outlineLvl w:val="0"/>
        <w:rPr>
          <w:rFonts w:ascii="仿宋_GB2312" w:hAnsi="仿宋_GB2312" w:eastAsia="仿宋_GB2312" w:cs="仿宋_GB2312"/>
          <w:b/>
          <w:sz w:val="32"/>
          <w:szCs w:val="32"/>
        </w:rPr>
      </w:pPr>
    </w:p>
    <w:p>
      <w:pPr>
        <w:tabs>
          <w:tab w:val="left" w:pos="6300"/>
        </w:tabs>
        <w:snapToGrid w:val="0"/>
        <w:spacing w:line="460" w:lineRule="exact"/>
        <w:ind w:firstLine="643" w:firstLineChars="200"/>
        <w:jc w:val="left"/>
        <w:outlineLvl w:val="0"/>
        <w:rPr>
          <w:rFonts w:ascii="仿宋_GB2312" w:hAnsi="仿宋_GB2312" w:eastAsia="仿宋_GB2312" w:cs="仿宋_GB2312"/>
          <w:b/>
          <w:sz w:val="32"/>
          <w:szCs w:val="32"/>
        </w:rPr>
      </w:pPr>
    </w:p>
    <w:p>
      <w:pPr>
        <w:tabs>
          <w:tab w:val="left" w:pos="6300"/>
        </w:tabs>
        <w:snapToGrid w:val="0"/>
        <w:spacing w:line="460" w:lineRule="exact"/>
        <w:ind w:firstLine="643" w:firstLineChars="200"/>
        <w:jc w:val="left"/>
        <w:outlineLvl w:val="0"/>
        <w:rPr>
          <w:rFonts w:ascii="仿宋_GB2312" w:hAnsi="仿宋_GB2312" w:eastAsia="仿宋_GB2312" w:cs="仿宋_GB2312"/>
          <w:b/>
          <w:sz w:val="32"/>
          <w:szCs w:val="32"/>
        </w:rPr>
      </w:pPr>
    </w:p>
    <w:p>
      <w:pPr>
        <w:tabs>
          <w:tab w:val="left" w:pos="6300"/>
        </w:tabs>
        <w:snapToGrid w:val="0"/>
        <w:spacing w:line="460" w:lineRule="exact"/>
        <w:ind w:firstLine="643" w:firstLineChars="200"/>
        <w:jc w:val="left"/>
        <w:outlineLvl w:val="0"/>
        <w:rPr>
          <w:rFonts w:ascii="仿宋_GB2312" w:hAnsi="仿宋_GB2312" w:eastAsia="仿宋_GB2312" w:cs="仿宋_GB2312"/>
          <w:b/>
          <w:sz w:val="32"/>
          <w:szCs w:val="32"/>
        </w:rPr>
      </w:pPr>
      <w:r>
        <w:rPr>
          <w:rFonts w:hint="eastAsia" w:ascii="仿宋_GB2312" w:hAnsi="仿宋_GB2312" w:eastAsia="仿宋_GB2312" w:cs="仿宋_GB2312"/>
          <w:b/>
          <w:sz w:val="32"/>
          <w:szCs w:val="32"/>
        </w:rPr>
        <w:t>三、供货时间、供货地点及质保期：</w:t>
      </w:r>
    </w:p>
    <w:p>
      <w:pPr>
        <w:tabs>
          <w:tab w:val="left" w:pos="6300"/>
        </w:tabs>
        <w:snapToGrid w:val="0"/>
        <w:spacing w:line="460" w:lineRule="exact"/>
        <w:ind w:firstLine="640" w:firstLineChars="200"/>
        <w:outlineLvl w:val="0"/>
        <w:rPr>
          <w:rFonts w:ascii="仿宋" w:hAnsi="仿宋" w:eastAsia="仿宋"/>
          <w:sz w:val="32"/>
          <w:szCs w:val="32"/>
        </w:rPr>
      </w:pPr>
      <w:r>
        <w:rPr>
          <w:rFonts w:hint="eastAsia" w:ascii="仿宋_GB2312" w:hAnsi="仿宋_GB2312" w:eastAsia="仿宋_GB2312" w:cs="仿宋_GB2312"/>
          <w:sz w:val="32"/>
          <w:szCs w:val="32"/>
        </w:rPr>
        <w:t>（一）供货时间：签订合同后20个日历日内完成。</w:t>
      </w:r>
    </w:p>
    <w:p>
      <w:pPr>
        <w:tabs>
          <w:tab w:val="left" w:pos="6300"/>
        </w:tabs>
        <w:snapToGrid w:val="0"/>
        <w:spacing w:line="460" w:lineRule="exact"/>
        <w:ind w:firstLine="640" w:firstLineChars="200"/>
        <w:outlineLvl w:val="0"/>
        <w:rPr>
          <w:rFonts w:ascii="仿宋" w:hAnsi="仿宋" w:eastAsia="仿宋"/>
          <w:b/>
          <w:sz w:val="32"/>
          <w:szCs w:val="32"/>
        </w:rPr>
      </w:pPr>
      <w:r>
        <w:rPr>
          <w:rFonts w:hint="eastAsia" w:ascii="仿宋_GB2312" w:hAnsi="仿宋_GB2312" w:eastAsia="仿宋_GB2312" w:cs="仿宋_GB2312"/>
          <w:sz w:val="32"/>
          <w:szCs w:val="32"/>
        </w:rPr>
        <w:t>（二）供货地点：</w:t>
      </w:r>
      <w:r>
        <w:rPr>
          <w:rFonts w:hint="eastAsia" w:ascii="仿宋" w:hAnsi="仿宋" w:eastAsia="仿宋" w:cs="仿宋"/>
          <w:bCs/>
          <w:sz w:val="32"/>
          <w:szCs w:val="32"/>
        </w:rPr>
        <w:t>昌吉市第十四小学</w:t>
      </w:r>
      <w:r>
        <w:rPr>
          <w:rFonts w:hint="eastAsia" w:ascii="仿宋_GB2312" w:hAnsi="仿宋_GB2312" w:eastAsia="仿宋_GB2312" w:cs="仿宋_GB2312"/>
          <w:sz w:val="32"/>
          <w:szCs w:val="32"/>
        </w:rPr>
        <w:t>指定地点。</w:t>
      </w:r>
    </w:p>
    <w:p>
      <w:pPr>
        <w:tabs>
          <w:tab w:val="left" w:pos="6300"/>
        </w:tabs>
        <w:snapToGrid w:val="0"/>
        <w:spacing w:line="460" w:lineRule="exact"/>
        <w:ind w:firstLine="640" w:firstLineChars="200"/>
        <w:outlineLvl w:val="0"/>
        <w:rPr>
          <w:rFonts w:eastAsia="仿宋_GB231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highlight w:val="none"/>
        </w:rPr>
        <w:t>质保期：交付完工，验收签字之日起质保3年</w:t>
      </w:r>
    </w:p>
    <w:p>
      <w:pPr>
        <w:tabs>
          <w:tab w:val="left" w:pos="6300"/>
        </w:tabs>
        <w:snapToGrid w:val="0"/>
        <w:spacing w:line="460" w:lineRule="exact"/>
        <w:ind w:firstLine="643" w:firstLineChars="200"/>
        <w:outlineLvl w:val="0"/>
        <w:rPr>
          <w:rFonts w:ascii="仿宋_GB2312" w:hAnsi="仿宋_GB2312" w:eastAsia="仿宋_GB2312" w:cs="仿宋_GB2312"/>
          <w:b/>
          <w:sz w:val="32"/>
          <w:szCs w:val="32"/>
        </w:rPr>
      </w:pPr>
      <w:r>
        <w:rPr>
          <w:rFonts w:hint="eastAsia" w:ascii="仿宋_GB2312" w:hAnsi="仿宋_GB2312" w:eastAsia="仿宋_GB2312" w:cs="仿宋_GB2312"/>
          <w:b/>
          <w:sz w:val="32"/>
          <w:szCs w:val="32"/>
        </w:rPr>
        <w:t>四、付款方式</w:t>
      </w:r>
    </w:p>
    <w:p>
      <w:pPr>
        <w:tabs>
          <w:tab w:val="left" w:pos="6300"/>
        </w:tabs>
        <w:snapToGrid w:val="0"/>
        <w:spacing w:line="4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待项目验收合格，成交单位递交齐全的结算资料，且经审核结算完成后支付合同价款的100%。</w:t>
      </w:r>
    </w:p>
    <w:p>
      <w:pPr>
        <w:tabs>
          <w:tab w:val="left" w:pos="6300"/>
        </w:tabs>
        <w:snapToGrid w:val="0"/>
        <w:spacing w:line="4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五、售后服务及验收</w:t>
      </w:r>
    </w:p>
    <w:p>
      <w:pPr>
        <w:tabs>
          <w:tab w:val="left" w:pos="6300"/>
        </w:tabs>
        <w:snapToGrid w:val="0"/>
        <w:spacing w:line="560" w:lineRule="exact"/>
        <w:ind w:firstLine="600" w:firstLineChars="200"/>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（一）售后服务：</w:t>
      </w:r>
    </w:p>
    <w:p>
      <w:pPr>
        <w:tabs>
          <w:tab w:val="left" w:pos="6300"/>
        </w:tabs>
        <w:snapToGrid w:val="0"/>
        <w:spacing w:line="4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项目成交后，在本项目出现任何问题承诺2小时之内响应，如有必要时，应保证24小时到达现场提供服务。在保修期内，出现质量问题，乙方应予以调换同款合格新产品。</w:t>
      </w:r>
    </w:p>
    <w:p>
      <w:pPr>
        <w:tabs>
          <w:tab w:val="left" w:pos="6300"/>
        </w:tabs>
        <w:snapToGrid w:val="0"/>
        <w:spacing w:line="560" w:lineRule="exact"/>
        <w:ind w:firstLine="600" w:firstLineChars="200"/>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（二）验收方式：</w:t>
      </w:r>
    </w:p>
    <w:p>
      <w:pPr>
        <w:tabs>
          <w:tab w:val="left" w:pos="6300"/>
        </w:tabs>
        <w:snapToGrid w:val="0"/>
        <w:spacing w:line="560" w:lineRule="exact"/>
        <w:ind w:firstLine="600" w:firstLineChars="200"/>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在货物到达甲方单位指定地点后，成交单位应及时派人员到达现场，在甲方单位人员在场的情况下清点货物，并承担因此发生的一切费用。</w:t>
      </w:r>
    </w:p>
    <w:p>
      <w:pPr>
        <w:pStyle w:val="2"/>
      </w:pPr>
    </w:p>
    <w:p>
      <w:pPr>
        <w:tabs>
          <w:tab w:val="left" w:pos="6300"/>
        </w:tabs>
        <w:snapToGrid w:val="0"/>
        <w:spacing w:line="4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六、其他要求：</w:t>
      </w:r>
    </w:p>
    <w:p>
      <w:pPr>
        <w:tabs>
          <w:tab w:val="left" w:pos="6300"/>
        </w:tabs>
        <w:snapToGrid w:val="0"/>
        <w:spacing w:line="4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1、严格按规定标准、及清单参数及材质要求，材质环保、符合国标规范要求。</w:t>
      </w:r>
    </w:p>
    <w:p>
      <w:pPr>
        <w:tabs>
          <w:tab w:val="left" w:pos="6300"/>
        </w:tabs>
        <w:snapToGrid w:val="0"/>
        <w:spacing w:line="360" w:lineRule="auto"/>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2、投标单位认为需要提供的其他材料证明。</w:t>
      </w:r>
    </w:p>
    <w:p>
      <w:pPr>
        <w:tabs>
          <w:tab w:val="left" w:pos="6300"/>
        </w:tabs>
        <w:snapToGrid w:val="0"/>
        <w:spacing w:line="360" w:lineRule="auto"/>
        <w:ind w:firstLine="640" w:firstLineChars="200"/>
        <w:outlineLvl w:val="0"/>
        <w:rPr>
          <w:rFonts w:ascii="仿宋_GB2312" w:hAnsi="仿宋_GB2312" w:eastAsia="仿宋_GB2312" w:cs="仿宋_GB2312"/>
          <w:sz w:val="32"/>
          <w:szCs w:val="32"/>
        </w:rPr>
      </w:pPr>
    </w:p>
    <w:p>
      <w:pPr>
        <w:tabs>
          <w:tab w:val="left" w:pos="6300"/>
        </w:tabs>
        <w:snapToGrid w:val="0"/>
        <w:spacing w:line="360" w:lineRule="auto"/>
        <w:ind w:firstLine="640" w:firstLineChars="200"/>
        <w:outlineLvl w:val="0"/>
        <w:rPr>
          <w:rFonts w:ascii="仿宋_GB2312" w:hAnsi="仿宋_GB2312" w:eastAsia="仿宋_GB2312" w:cs="仿宋_GB2312"/>
          <w:sz w:val="32"/>
          <w:szCs w:val="32"/>
        </w:rPr>
      </w:pPr>
    </w:p>
    <w:p>
      <w:pPr>
        <w:tabs>
          <w:tab w:val="left" w:pos="6300"/>
        </w:tabs>
        <w:snapToGrid w:val="0"/>
        <w:spacing w:line="360" w:lineRule="auto"/>
        <w:ind w:firstLine="640" w:firstLineChars="200"/>
        <w:outlineLvl w:val="0"/>
        <w:rPr>
          <w:rFonts w:ascii="仿宋_GB2312" w:hAnsi="仿宋_GB2312" w:eastAsia="仿宋_GB2312" w:cs="仿宋_GB2312"/>
          <w:sz w:val="32"/>
          <w:szCs w:val="32"/>
        </w:rPr>
      </w:pPr>
    </w:p>
    <w:p>
      <w:pPr>
        <w:tabs>
          <w:tab w:val="left" w:pos="6300"/>
        </w:tabs>
        <w:snapToGrid w:val="0"/>
        <w:spacing w:line="360" w:lineRule="auto"/>
        <w:ind w:firstLine="640" w:firstLineChars="200"/>
        <w:outlineLvl w:val="0"/>
        <w:rPr>
          <w:rFonts w:ascii="仿宋_GB2312" w:hAnsi="仿宋_GB2312" w:eastAsia="仿宋_GB2312" w:cs="仿宋_GB2312"/>
          <w:sz w:val="32"/>
          <w:szCs w:val="32"/>
        </w:rPr>
      </w:pPr>
    </w:p>
    <w:p>
      <w:pPr>
        <w:pStyle w:val="2"/>
      </w:pPr>
    </w:p>
    <w:p>
      <w:pPr>
        <w:tabs>
          <w:tab w:val="left" w:pos="6300"/>
        </w:tabs>
        <w:snapToGrid w:val="0"/>
        <w:spacing w:line="360" w:lineRule="auto"/>
        <w:ind w:firstLine="640" w:firstLineChars="200"/>
        <w:outlineLvl w:val="0"/>
        <w:rPr>
          <w:rFonts w:ascii="仿宋_GB2312" w:hAnsi="仿宋_GB2312" w:eastAsia="仿宋_GB2312" w:cs="仿宋_GB2312"/>
          <w:sz w:val="32"/>
          <w:szCs w:val="32"/>
        </w:rPr>
      </w:pPr>
    </w:p>
    <w:p>
      <w:pPr>
        <w:tabs>
          <w:tab w:val="left" w:pos="6300"/>
        </w:tabs>
        <w:snapToGrid w:val="0"/>
        <w:spacing w:line="360" w:lineRule="auto"/>
        <w:ind w:firstLine="723" w:firstLineChars="200"/>
        <w:outlineLvl w:val="0"/>
        <w:rPr>
          <w:rFonts w:ascii="仿宋_GB2312" w:hAnsi="仿宋_GB2312" w:eastAsia="仿宋_GB2312" w:cs="仿宋_GB2312"/>
          <w:b/>
          <w:sz w:val="36"/>
          <w:szCs w:val="36"/>
        </w:rPr>
      </w:pPr>
      <w:r>
        <w:rPr>
          <w:rFonts w:hint="eastAsia" w:ascii="仿宋" w:hAnsi="仿宋" w:eastAsia="仿宋"/>
          <w:b/>
          <w:bCs/>
          <w:sz w:val="36"/>
          <w:szCs w:val="36"/>
        </w:rPr>
        <w:t>第四部分</w:t>
      </w:r>
      <w:r>
        <w:rPr>
          <w:rFonts w:hint="eastAsia" w:ascii="仿宋" w:hAnsi="仿宋" w:eastAsia="仿宋"/>
          <w:b/>
          <w:sz w:val="36"/>
          <w:szCs w:val="36"/>
        </w:rPr>
        <w:t xml:space="preserve">  </w:t>
      </w:r>
      <w:r>
        <w:rPr>
          <w:rFonts w:hint="eastAsia" w:ascii="仿宋" w:hAnsi="仿宋" w:eastAsia="仿宋"/>
          <w:b/>
          <w:bCs/>
          <w:sz w:val="36"/>
          <w:szCs w:val="36"/>
        </w:rPr>
        <w:t>合同主要条款和格式合同（样板）</w:t>
      </w:r>
    </w:p>
    <w:p>
      <w:pPr>
        <w:ind w:firstLine="3393" w:firstLineChars="650"/>
        <w:rPr>
          <w:rFonts w:ascii="宋体" w:hAnsi="宋体"/>
          <w:b/>
          <w:color w:val="000000"/>
          <w:sz w:val="52"/>
          <w:szCs w:val="52"/>
        </w:rPr>
      </w:pPr>
    </w:p>
    <w:p>
      <w:pPr>
        <w:ind w:firstLine="3393" w:firstLineChars="650"/>
        <w:rPr>
          <w:rFonts w:ascii="宋体" w:hAnsi="宋体"/>
          <w:b/>
          <w:color w:val="000000"/>
          <w:sz w:val="52"/>
          <w:szCs w:val="52"/>
        </w:rPr>
      </w:pPr>
    </w:p>
    <w:p>
      <w:pPr>
        <w:ind w:firstLine="3393" w:firstLineChars="650"/>
        <w:rPr>
          <w:rFonts w:ascii="宋体" w:hAnsi="宋体"/>
          <w:b/>
          <w:color w:val="000000"/>
          <w:sz w:val="52"/>
          <w:szCs w:val="52"/>
        </w:rPr>
      </w:pPr>
    </w:p>
    <w:p>
      <w:pPr>
        <w:ind w:firstLine="3393" w:firstLineChars="650"/>
        <w:rPr>
          <w:rFonts w:ascii="宋体" w:hAnsi="宋体"/>
          <w:b/>
          <w:color w:val="000000"/>
          <w:sz w:val="52"/>
          <w:szCs w:val="52"/>
        </w:rPr>
      </w:pPr>
      <w:r>
        <w:rPr>
          <w:rFonts w:hint="eastAsia" w:ascii="宋体" w:hAnsi="宋体"/>
          <w:b/>
          <w:color w:val="000000"/>
          <w:sz w:val="52"/>
          <w:szCs w:val="52"/>
        </w:rPr>
        <w:t>合  同  书</w:t>
      </w:r>
    </w:p>
    <w:p>
      <w:pPr>
        <w:jc w:val="center"/>
        <w:rPr>
          <w:rFonts w:ascii="宋体" w:hAnsi="宋体"/>
          <w:color w:val="000000"/>
          <w:sz w:val="28"/>
        </w:rPr>
      </w:pPr>
    </w:p>
    <w:p>
      <w:pPr>
        <w:jc w:val="center"/>
        <w:rPr>
          <w:rFonts w:ascii="宋体" w:hAnsi="宋体"/>
          <w:color w:val="000000"/>
          <w:sz w:val="28"/>
        </w:rPr>
      </w:pPr>
    </w:p>
    <w:p>
      <w:pPr>
        <w:jc w:val="center"/>
        <w:rPr>
          <w:rFonts w:ascii="宋体" w:hAnsi="宋体"/>
          <w:color w:val="000000"/>
          <w:sz w:val="28"/>
        </w:rPr>
      </w:pPr>
    </w:p>
    <w:p>
      <w:pPr>
        <w:jc w:val="center"/>
        <w:rPr>
          <w:rFonts w:ascii="宋体" w:hAnsi="宋体"/>
          <w:b/>
          <w:color w:val="000000"/>
          <w:sz w:val="36"/>
          <w:szCs w:val="36"/>
        </w:rPr>
      </w:pPr>
    </w:p>
    <w:p>
      <w:pPr>
        <w:ind w:left="970" w:leftChars="462"/>
        <w:rPr>
          <w:rFonts w:ascii="宋体" w:hAnsi="宋体"/>
          <w:b/>
          <w:color w:val="000000"/>
          <w:sz w:val="30"/>
          <w:szCs w:val="30"/>
          <w:u w:val="thick"/>
        </w:rPr>
      </w:pPr>
      <w:r>
        <w:rPr>
          <w:rFonts w:hint="eastAsia" w:ascii="宋体" w:hAnsi="宋体"/>
          <w:b/>
          <w:color w:val="000000"/>
          <w:sz w:val="30"/>
          <w:szCs w:val="30"/>
        </w:rPr>
        <w:t>项目名称：</w:t>
      </w:r>
      <w:r>
        <w:rPr>
          <w:rFonts w:hint="eastAsia" w:ascii="宋体" w:hAnsi="宋体"/>
          <w:b/>
          <w:color w:val="000000"/>
          <w:sz w:val="30"/>
          <w:szCs w:val="30"/>
          <w:u w:val="thick"/>
        </w:rPr>
        <w:t xml:space="preserve"> 昌吉市第十四小学分校（昌吉市第十一小学）教师电脑及学生机房项目                            </w:t>
      </w:r>
    </w:p>
    <w:p>
      <w:pPr>
        <w:ind w:firstLine="904" w:firstLineChars="300"/>
        <w:rPr>
          <w:rFonts w:ascii="宋体" w:hAnsi="宋体"/>
          <w:b/>
          <w:color w:val="000000"/>
          <w:sz w:val="30"/>
          <w:szCs w:val="30"/>
          <w:u w:val="thick"/>
        </w:rPr>
      </w:pPr>
      <w:r>
        <w:rPr>
          <w:rFonts w:hint="eastAsia" w:ascii="宋体" w:hAnsi="宋体"/>
          <w:b/>
          <w:color w:val="000000"/>
          <w:sz w:val="30"/>
          <w:szCs w:val="30"/>
        </w:rPr>
        <w:t>甲    方：</w:t>
      </w:r>
      <w:r>
        <w:rPr>
          <w:rFonts w:hint="eastAsia" w:ascii="宋体" w:hAnsi="宋体"/>
          <w:b/>
          <w:color w:val="000000"/>
          <w:sz w:val="30"/>
          <w:szCs w:val="30"/>
          <w:u w:val="thick"/>
        </w:rPr>
        <w:t xml:space="preserve">                                      </w:t>
      </w:r>
    </w:p>
    <w:p>
      <w:pPr>
        <w:ind w:firstLine="904" w:firstLineChars="300"/>
        <w:rPr>
          <w:rFonts w:ascii="宋体" w:hAnsi="宋体"/>
          <w:b/>
          <w:color w:val="000000"/>
          <w:sz w:val="32"/>
          <w:szCs w:val="32"/>
        </w:rPr>
      </w:pPr>
      <w:r>
        <w:rPr>
          <w:rFonts w:hint="eastAsia" w:ascii="宋体" w:hAnsi="宋体"/>
          <w:b/>
          <w:color w:val="000000"/>
          <w:sz w:val="30"/>
          <w:szCs w:val="30"/>
        </w:rPr>
        <w:t>乙    方：</w:t>
      </w:r>
      <w:r>
        <w:rPr>
          <w:rFonts w:hint="eastAsia" w:ascii="宋体" w:hAnsi="宋体"/>
          <w:b/>
          <w:color w:val="000000"/>
          <w:sz w:val="30"/>
          <w:szCs w:val="30"/>
          <w:u w:val="thick"/>
        </w:rPr>
        <w:t xml:space="preserve">                                      </w:t>
      </w:r>
    </w:p>
    <w:p>
      <w:pPr>
        <w:jc w:val="center"/>
        <w:rPr>
          <w:rFonts w:ascii="宋体" w:hAnsi="宋体"/>
          <w:color w:val="000000"/>
          <w:sz w:val="32"/>
          <w:szCs w:val="32"/>
        </w:rPr>
      </w:pPr>
    </w:p>
    <w:p>
      <w:pPr>
        <w:ind w:firstLine="1084" w:firstLineChars="300"/>
        <w:rPr>
          <w:rFonts w:ascii="宋体" w:hAnsi="宋体"/>
          <w:b/>
          <w:color w:val="000000"/>
          <w:sz w:val="36"/>
        </w:rPr>
      </w:pPr>
    </w:p>
    <w:p>
      <w:pPr>
        <w:pStyle w:val="8"/>
      </w:pPr>
    </w:p>
    <w:p>
      <w:pPr>
        <w:ind w:firstLine="1084" w:firstLineChars="300"/>
        <w:rPr>
          <w:rFonts w:ascii="宋体" w:hAnsi="宋体"/>
          <w:b/>
          <w:color w:val="000000"/>
          <w:sz w:val="36"/>
        </w:rPr>
      </w:pPr>
    </w:p>
    <w:p>
      <w:pPr>
        <w:ind w:firstLine="1084" w:firstLineChars="300"/>
        <w:rPr>
          <w:rFonts w:ascii="宋体" w:hAnsi="宋体"/>
          <w:b/>
          <w:color w:val="000000"/>
          <w:sz w:val="36"/>
        </w:rPr>
      </w:pPr>
    </w:p>
    <w:p>
      <w:pPr>
        <w:ind w:firstLine="2711" w:firstLineChars="750"/>
        <w:rPr>
          <w:rFonts w:ascii="宋体" w:hAnsi="宋体"/>
          <w:b/>
          <w:color w:val="000000"/>
          <w:sz w:val="36"/>
        </w:rPr>
      </w:pPr>
      <w:r>
        <w:rPr>
          <w:rFonts w:hint="eastAsia" w:ascii="宋体" w:hAnsi="宋体"/>
          <w:b/>
          <w:color w:val="000000"/>
          <w:sz w:val="36"/>
        </w:rPr>
        <w:t>签定日期：     年   月   日</w:t>
      </w:r>
    </w:p>
    <w:p>
      <w:r>
        <w:rPr>
          <w:rFonts w:hint="eastAsia"/>
        </w:rPr>
        <w:t xml:space="preserve">           </w:t>
      </w:r>
    </w:p>
    <w:p>
      <w:pPr>
        <w:autoSpaceDE w:val="0"/>
        <w:autoSpaceDN w:val="0"/>
        <w:adjustRightInd w:val="0"/>
        <w:spacing w:line="360" w:lineRule="auto"/>
        <w:rPr>
          <w:sz w:val="24"/>
        </w:rPr>
      </w:pP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sz w:val="24"/>
        </w:rPr>
        <w:t xml:space="preserve">    </w:t>
      </w:r>
      <w:r>
        <w:rPr>
          <w:rFonts w:hint="eastAsia" w:ascii="仿宋" w:hAnsi="仿宋" w:eastAsia="仿宋"/>
          <w:sz w:val="32"/>
          <w:szCs w:val="32"/>
        </w:rPr>
        <w:t xml:space="preserve"> 本合同甲方委托乙方就（昌吉市第十四小学分校（昌吉市第十一小学）教师电脑及学生机房项目）进行技术咨询，并付咨询报酬。双方经过平等协商，在真实、充分地表达各自意愿的基础上，根据《中华人民共和国合同法》的规定，达成如下协议，并由双方共同恪守。</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b/>
          <w:bCs/>
          <w:sz w:val="32"/>
          <w:szCs w:val="32"/>
        </w:rPr>
        <w:t xml:space="preserve">第一条 </w:t>
      </w:r>
      <w:r>
        <w:rPr>
          <w:rFonts w:hint="eastAsia" w:ascii="仿宋" w:hAnsi="仿宋" w:eastAsia="仿宋"/>
          <w:sz w:val="32"/>
          <w:szCs w:val="32"/>
        </w:rPr>
        <w:t xml:space="preserve"> 乙方进行方案编制的内容、要求和方式：</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highlight w:val="yellow"/>
        </w:rPr>
      </w:pPr>
      <w:r>
        <w:rPr>
          <w:rFonts w:hint="eastAsia" w:ascii="仿宋" w:hAnsi="仿宋" w:eastAsia="仿宋"/>
          <w:sz w:val="32"/>
          <w:szCs w:val="32"/>
        </w:rPr>
        <w:t xml:space="preserve">   1．编制内容： 昌吉市第十四小学分校（昌吉市第十一小学）教室电脑及学生机房项目</w:t>
      </w:r>
      <w:r>
        <w:rPr>
          <w:rFonts w:hint="eastAsia" w:ascii="仿宋" w:hAnsi="仿宋" w:eastAsia="仿宋"/>
          <w:sz w:val="32"/>
          <w:szCs w:val="32"/>
          <w:u w:val="single"/>
        </w:rPr>
        <w:t xml:space="preserve">（包括竞争性磋商文件、竞争性磋商文件补充的所有工作内容）  </w:t>
      </w:r>
    </w:p>
    <w:p>
      <w:pPr>
        <w:keepLines w:val="0"/>
        <w:pageBreakBefore w:val="0"/>
        <w:widowControl w:val="0"/>
        <w:kinsoku/>
        <w:wordWrap/>
        <w:overflowPunct/>
        <w:topLinePunct w:val="0"/>
        <w:autoSpaceDE w:val="0"/>
        <w:autoSpaceDN w:val="0"/>
        <w:bidi w:val="0"/>
        <w:adjustRightInd w:val="0"/>
        <w:spacing w:line="500" w:lineRule="exact"/>
        <w:ind w:firstLine="320" w:firstLineChars="100"/>
        <w:textAlignment w:val="auto"/>
        <w:rPr>
          <w:rFonts w:ascii="仿宋" w:hAnsi="仿宋" w:eastAsia="仿宋"/>
          <w:sz w:val="32"/>
          <w:szCs w:val="32"/>
        </w:rPr>
      </w:pPr>
      <w:r>
        <w:rPr>
          <w:rFonts w:hint="eastAsia" w:ascii="仿宋" w:hAnsi="仿宋" w:eastAsia="仿宋"/>
          <w:sz w:val="32"/>
          <w:szCs w:val="32"/>
        </w:rPr>
        <w:t xml:space="preserve"> 2．编制要求： </w:t>
      </w:r>
      <w:r>
        <w:rPr>
          <w:rFonts w:hint="eastAsia" w:ascii="仿宋" w:hAnsi="仿宋" w:eastAsia="仿宋"/>
          <w:sz w:val="32"/>
          <w:szCs w:val="32"/>
          <w:u w:val="single"/>
        </w:rPr>
        <w:t xml:space="preserve">                                                        </w:t>
      </w:r>
      <w:r>
        <w:rPr>
          <w:rFonts w:hint="eastAsia" w:ascii="仿宋" w:hAnsi="仿宋" w:eastAsia="仿宋"/>
          <w:sz w:val="32"/>
          <w:szCs w:val="32"/>
        </w:rPr>
        <w:t xml:space="preserve"> </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u w:val="single"/>
        </w:rPr>
      </w:pPr>
      <w:r>
        <w:rPr>
          <w:rFonts w:hint="eastAsia" w:ascii="仿宋" w:hAnsi="仿宋" w:eastAsia="仿宋"/>
          <w:sz w:val="32"/>
          <w:szCs w:val="32"/>
        </w:rPr>
        <w:t xml:space="preserve">   3．编制方式： </w:t>
      </w:r>
      <w:r>
        <w:rPr>
          <w:rFonts w:hint="eastAsia" w:ascii="仿宋" w:hAnsi="仿宋" w:eastAsia="仿宋"/>
          <w:sz w:val="32"/>
          <w:szCs w:val="32"/>
          <w:u w:val="single"/>
        </w:rPr>
        <w:t xml:space="preserve">                                                           </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b/>
          <w:bCs/>
          <w:sz w:val="32"/>
          <w:szCs w:val="32"/>
        </w:rPr>
        <w:t xml:space="preserve">第二条 </w:t>
      </w:r>
      <w:r>
        <w:rPr>
          <w:rFonts w:hint="eastAsia" w:ascii="仿宋" w:hAnsi="仿宋" w:eastAsia="仿宋"/>
          <w:sz w:val="32"/>
          <w:szCs w:val="32"/>
        </w:rPr>
        <w:t xml:space="preserve"> 乙方应当按照下列进度要求进行本合同项目的技术咨询工作：</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b/>
          <w:bCs/>
          <w:sz w:val="32"/>
          <w:szCs w:val="32"/>
        </w:rPr>
        <w:t>第三条</w:t>
      </w:r>
      <w:r>
        <w:rPr>
          <w:rFonts w:hint="eastAsia" w:ascii="仿宋" w:hAnsi="仿宋" w:eastAsia="仿宋"/>
          <w:sz w:val="32"/>
          <w:szCs w:val="32"/>
        </w:rPr>
        <w:t xml:space="preserve">  为保证乙方有效进行技术咨询工作，甲方应当向乙方提供下列协作事项：</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sz w:val="32"/>
          <w:szCs w:val="32"/>
        </w:rPr>
        <w:t xml:space="preserve">    1．提供技术资料：</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u w:val="single"/>
        </w:rPr>
      </w:pPr>
      <w:r>
        <w:rPr>
          <w:rFonts w:hint="eastAsia" w:ascii="仿宋" w:hAnsi="仿宋" w:eastAsia="仿宋"/>
          <w:sz w:val="32"/>
          <w:szCs w:val="32"/>
        </w:rPr>
        <w:t xml:space="preserve">    （1）</w:t>
      </w:r>
      <w:r>
        <w:rPr>
          <w:rFonts w:hint="eastAsia" w:ascii="仿宋" w:hAnsi="仿宋" w:eastAsia="仿宋"/>
          <w:sz w:val="32"/>
          <w:szCs w:val="32"/>
          <w:u w:val="single"/>
        </w:rPr>
        <w:t xml:space="preserve">              </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sz w:val="32"/>
          <w:szCs w:val="32"/>
        </w:rPr>
        <w:t xml:space="preserve">    （2）</w:t>
      </w:r>
      <w:r>
        <w:rPr>
          <w:rFonts w:hint="eastAsia" w:ascii="仿宋" w:hAnsi="仿宋" w:eastAsia="仿宋"/>
          <w:sz w:val="32"/>
          <w:szCs w:val="32"/>
          <w:u w:val="single"/>
        </w:rPr>
        <w:t xml:space="preserve">                      </w:t>
      </w:r>
      <w:r>
        <w:rPr>
          <w:rFonts w:hint="eastAsia" w:ascii="仿宋" w:hAnsi="仿宋" w:eastAsia="仿宋"/>
          <w:sz w:val="32"/>
          <w:szCs w:val="32"/>
        </w:rPr>
        <w:t xml:space="preserve">               </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u w:val="single"/>
        </w:rPr>
      </w:pPr>
      <w:r>
        <w:rPr>
          <w:rFonts w:hint="eastAsia" w:ascii="仿宋" w:hAnsi="仿宋" w:eastAsia="仿宋"/>
          <w:sz w:val="32"/>
          <w:szCs w:val="32"/>
        </w:rPr>
        <w:t xml:space="preserve">    （3）</w:t>
      </w:r>
      <w:r>
        <w:rPr>
          <w:rFonts w:hint="eastAsia" w:ascii="仿宋" w:hAnsi="仿宋" w:eastAsia="仿宋"/>
          <w:sz w:val="32"/>
          <w:szCs w:val="32"/>
          <w:u w:val="single"/>
        </w:rPr>
        <w:t xml:space="preserve">                        </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sz w:val="32"/>
          <w:szCs w:val="32"/>
        </w:rPr>
        <w:t xml:space="preserve">    2．提供工作条件：</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u w:val="single"/>
        </w:rPr>
      </w:pPr>
      <w:r>
        <w:rPr>
          <w:rFonts w:hint="eastAsia" w:ascii="仿宋" w:hAnsi="仿宋" w:eastAsia="仿宋"/>
          <w:sz w:val="32"/>
          <w:szCs w:val="32"/>
        </w:rPr>
        <w:t xml:space="preserve">    （1）</w:t>
      </w:r>
      <w:r>
        <w:rPr>
          <w:rFonts w:hint="eastAsia" w:ascii="仿宋" w:hAnsi="仿宋" w:eastAsia="仿宋"/>
          <w:sz w:val="32"/>
          <w:szCs w:val="32"/>
          <w:u w:val="single"/>
        </w:rPr>
        <w:t>及时提供必要的资料</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sz w:val="32"/>
          <w:szCs w:val="32"/>
        </w:rPr>
        <w:t xml:space="preserve">    （2）</w:t>
      </w:r>
      <w:r>
        <w:rPr>
          <w:rFonts w:hint="eastAsia" w:ascii="仿宋" w:hAnsi="仿宋" w:eastAsia="仿宋"/>
          <w:sz w:val="32"/>
          <w:szCs w:val="32"/>
          <w:u w:val="single"/>
        </w:rPr>
        <w:t>派相关工作人员协助现场工作</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sz w:val="32"/>
          <w:szCs w:val="32"/>
        </w:rPr>
        <w:t xml:space="preserve">    （3）</w:t>
      </w:r>
      <w:r>
        <w:rPr>
          <w:rFonts w:hint="eastAsia" w:ascii="仿宋" w:hAnsi="仿宋" w:eastAsia="仿宋"/>
          <w:sz w:val="32"/>
          <w:szCs w:val="32"/>
          <w:u w:val="single"/>
        </w:rPr>
        <w:t xml:space="preserve">                           </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sz w:val="32"/>
          <w:szCs w:val="32"/>
        </w:rPr>
        <w:t xml:space="preserve">    （4）    </w:t>
      </w:r>
      <w:r>
        <w:rPr>
          <w:rFonts w:hint="eastAsia" w:ascii="仿宋" w:hAnsi="仿宋" w:eastAsia="仿宋"/>
          <w:sz w:val="32"/>
          <w:szCs w:val="32"/>
          <w:u w:val="single"/>
        </w:rPr>
        <w:t xml:space="preserve">                   /            </w:t>
      </w:r>
      <w:r>
        <w:rPr>
          <w:rFonts w:hint="eastAsia" w:ascii="仿宋" w:hAnsi="仿宋" w:eastAsia="仿宋"/>
          <w:sz w:val="32"/>
          <w:szCs w:val="32"/>
        </w:rPr>
        <w:t xml:space="preserve">                            </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sz w:val="32"/>
          <w:szCs w:val="32"/>
        </w:rPr>
        <w:t xml:space="preserve">3．其他：    </w:t>
      </w:r>
      <w:r>
        <w:rPr>
          <w:rFonts w:hint="eastAsia" w:ascii="仿宋" w:hAnsi="仿宋" w:eastAsia="仿宋"/>
          <w:sz w:val="32"/>
          <w:szCs w:val="32"/>
          <w:u w:val="single"/>
        </w:rPr>
        <w:t xml:space="preserve">               /                </w:t>
      </w:r>
      <w:r>
        <w:rPr>
          <w:rFonts w:hint="eastAsia" w:ascii="仿宋" w:hAnsi="仿宋" w:eastAsia="仿宋"/>
          <w:sz w:val="32"/>
          <w:szCs w:val="32"/>
        </w:rPr>
        <w:t xml:space="preserve">                       </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sz w:val="32"/>
          <w:szCs w:val="32"/>
        </w:rPr>
        <w:t>甲方提供上述协作事项的时间及方式：</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b/>
          <w:bCs/>
          <w:sz w:val="32"/>
          <w:szCs w:val="32"/>
        </w:rPr>
        <w:t>第四条</w:t>
      </w:r>
      <w:r>
        <w:rPr>
          <w:rFonts w:hint="eastAsia" w:ascii="仿宋" w:hAnsi="仿宋" w:eastAsia="仿宋"/>
          <w:sz w:val="32"/>
          <w:szCs w:val="32"/>
        </w:rPr>
        <w:t xml:space="preserve">  甲方向乙方支付技术咨询报酬及支付方式为：</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u w:val="single"/>
        </w:rPr>
      </w:pPr>
      <w:r>
        <w:rPr>
          <w:rFonts w:hint="eastAsia" w:ascii="仿宋" w:hAnsi="仿宋" w:eastAsia="仿宋"/>
          <w:sz w:val="32"/>
          <w:szCs w:val="32"/>
        </w:rPr>
        <w:t xml:space="preserve">     </w:t>
      </w:r>
      <w:r>
        <w:rPr>
          <w:rFonts w:hint="eastAsia" w:ascii="仿宋" w:hAnsi="仿宋" w:eastAsia="仿宋"/>
          <w:sz w:val="32"/>
          <w:szCs w:val="32"/>
          <w:u w:val="single"/>
        </w:rPr>
        <w:t xml:space="preserve"> 见须知前附表</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b/>
          <w:bCs/>
          <w:sz w:val="32"/>
          <w:szCs w:val="32"/>
        </w:rPr>
        <w:t>第五条</w:t>
      </w:r>
      <w:r>
        <w:rPr>
          <w:rFonts w:hint="eastAsia" w:ascii="仿宋" w:hAnsi="仿宋" w:eastAsia="仿宋"/>
          <w:sz w:val="32"/>
          <w:szCs w:val="32"/>
        </w:rPr>
        <w:t xml:space="preserve">  双方确定因履行本合同应遵守的保密义务如下：</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sz w:val="32"/>
          <w:szCs w:val="32"/>
        </w:rPr>
        <w:t>甲方：</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sz w:val="32"/>
          <w:szCs w:val="32"/>
        </w:rPr>
        <w:t>1．保密内容（包括技术信息和经营信息）：本合同并及乙方提交资料时已声明属商业秘密的信息。</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sz w:val="32"/>
          <w:szCs w:val="32"/>
        </w:rPr>
        <w:t>2．涉密人员范围：为签署或履行本合同而涉及的甲方工作人员</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sz w:val="32"/>
          <w:szCs w:val="32"/>
        </w:rPr>
        <w:t>3．保密期限：本合同有效期内及商业秘密声明的保护期；</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sz w:val="32"/>
          <w:szCs w:val="32"/>
        </w:rPr>
        <w:t xml:space="preserve"> 乙方：  </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sz w:val="32"/>
          <w:szCs w:val="32"/>
        </w:rPr>
        <w:t xml:space="preserve">1．保密内容（包括技术信息和经营信息）： 乙方应对甲方提供的技术资料负责保密，未经甲方许可不得对外提供资料。 </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sz w:val="32"/>
          <w:szCs w:val="32"/>
        </w:rPr>
        <w:t>2．涉密人员范围：为签署或履行本合同而涉及的乙方工作人员</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sz w:val="32"/>
          <w:szCs w:val="32"/>
        </w:rPr>
        <w:t>3．保密期限：本合同有效期内及商业秘密声明的保护期</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sz w:val="32"/>
          <w:szCs w:val="32"/>
        </w:rPr>
        <w:t>4．泄密责任： 如因乙方保密措施不力，造成技术资料泄密，乙方应承担受损方的经济损失。</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b/>
          <w:bCs/>
          <w:sz w:val="32"/>
          <w:szCs w:val="32"/>
        </w:rPr>
        <w:t xml:space="preserve">第六条 </w:t>
      </w:r>
      <w:r>
        <w:rPr>
          <w:rFonts w:hint="eastAsia" w:ascii="仿宋" w:hAnsi="仿宋" w:eastAsia="仿宋"/>
          <w:sz w:val="32"/>
          <w:szCs w:val="32"/>
        </w:rPr>
        <w:t xml:space="preserve"> 本合同的变更必须由双方协商一致，并以书面形式确定。但有下列情形之一的，一方可以向另一方提出变更合同权利与义务的请求，另一方应当在三日内予以答复；逾期未予答复的，视为同意：</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sz w:val="32"/>
          <w:szCs w:val="32"/>
        </w:rPr>
        <w:t xml:space="preserve">    1．</w:t>
      </w:r>
      <w:r>
        <w:rPr>
          <w:rFonts w:hint="eastAsia" w:ascii="仿宋" w:hAnsi="仿宋" w:eastAsia="仿宋"/>
          <w:sz w:val="32"/>
          <w:szCs w:val="32"/>
          <w:u w:val="single"/>
        </w:rPr>
        <w:t xml:space="preserve">   本项目经费变化；   </w:t>
      </w:r>
      <w:r>
        <w:rPr>
          <w:rFonts w:hint="eastAsia" w:ascii="仿宋" w:hAnsi="仿宋" w:eastAsia="仿宋"/>
          <w:sz w:val="32"/>
          <w:szCs w:val="32"/>
        </w:rPr>
        <w:t xml:space="preserve">                              </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sz w:val="32"/>
          <w:szCs w:val="32"/>
        </w:rPr>
        <w:t xml:space="preserve">    2． </w:t>
      </w:r>
      <w:r>
        <w:rPr>
          <w:rFonts w:hint="eastAsia" w:ascii="仿宋" w:hAnsi="仿宋" w:eastAsia="仿宋"/>
          <w:sz w:val="32"/>
          <w:szCs w:val="32"/>
          <w:u w:val="single"/>
        </w:rPr>
        <w:t xml:space="preserve">  提供资料的时间变化；</w:t>
      </w:r>
      <w:r>
        <w:rPr>
          <w:rFonts w:hint="eastAsia" w:ascii="仿宋" w:hAnsi="仿宋" w:eastAsia="仿宋"/>
          <w:sz w:val="32"/>
          <w:szCs w:val="32"/>
        </w:rPr>
        <w:t xml:space="preserve">                              </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sz w:val="32"/>
          <w:szCs w:val="32"/>
        </w:rPr>
        <w:t xml:space="preserve">    3． </w:t>
      </w:r>
      <w:r>
        <w:rPr>
          <w:rFonts w:hint="eastAsia" w:ascii="仿宋" w:hAnsi="仿宋" w:eastAsia="仿宋"/>
          <w:sz w:val="32"/>
          <w:szCs w:val="32"/>
          <w:u w:val="single"/>
        </w:rPr>
        <w:t xml:space="preserve">  完成工作时间变化。</w:t>
      </w:r>
      <w:r>
        <w:rPr>
          <w:rFonts w:hint="eastAsia" w:ascii="仿宋" w:hAnsi="仿宋" w:eastAsia="仿宋"/>
          <w:sz w:val="32"/>
          <w:szCs w:val="32"/>
        </w:rPr>
        <w:t xml:space="preserve">                                </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b/>
          <w:bCs/>
          <w:sz w:val="32"/>
          <w:szCs w:val="32"/>
        </w:rPr>
        <w:t xml:space="preserve">第七条 </w:t>
      </w:r>
      <w:r>
        <w:rPr>
          <w:rFonts w:hint="eastAsia" w:ascii="仿宋" w:hAnsi="仿宋" w:eastAsia="仿宋"/>
          <w:sz w:val="32"/>
          <w:szCs w:val="32"/>
        </w:rPr>
        <w:t xml:space="preserve"> 双方确定，按以下标准和方式对乙方提交的技术咨询工作成果进行验收：</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sz w:val="32"/>
          <w:szCs w:val="32"/>
        </w:rPr>
        <w:t>1.乙方提交技术咨询工作成果的形式：</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sz w:val="32"/>
          <w:szCs w:val="32"/>
        </w:rPr>
        <w:t>2.技术咨询工作成果的验收标准：</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highlight w:val="none"/>
          <w:u w:val="single"/>
        </w:rPr>
      </w:pPr>
      <w:r>
        <w:rPr>
          <w:rFonts w:hint="eastAsia" w:ascii="仿宋" w:hAnsi="仿宋" w:eastAsia="仿宋"/>
          <w:sz w:val="32"/>
          <w:szCs w:val="32"/>
          <w:highlight w:val="none"/>
        </w:rPr>
        <w:t>（昌吉市第十四小学分校（昌吉市第十一小学）教师电脑及学生机房项目）</w:t>
      </w:r>
      <w:r>
        <w:rPr>
          <w:rFonts w:hint="eastAsia" w:ascii="仿宋" w:hAnsi="仿宋" w:eastAsia="仿宋"/>
          <w:sz w:val="32"/>
          <w:szCs w:val="32"/>
          <w:highlight w:val="none"/>
          <w:u w:val="single"/>
        </w:rPr>
        <w:t>在合同签订后 10个工作日内</w:t>
      </w:r>
      <w:r>
        <w:rPr>
          <w:rFonts w:hint="eastAsia" w:ascii="仿宋" w:hAnsi="仿宋" w:eastAsia="仿宋"/>
          <w:sz w:val="32"/>
          <w:szCs w:val="32"/>
          <w:highlight w:val="none"/>
        </w:rPr>
        <w:t>提</w:t>
      </w:r>
      <w:r>
        <w:rPr>
          <w:rFonts w:hint="eastAsia" w:ascii="仿宋" w:hAnsi="仿宋" w:eastAsia="仿宋"/>
          <w:sz w:val="32"/>
          <w:szCs w:val="32"/>
          <w:highlight w:val="none"/>
          <w:u w:val="single"/>
        </w:rPr>
        <w:t>交完成报告评审并提交成果报告最终稿</w:t>
      </w:r>
      <w:r>
        <w:rPr>
          <w:rFonts w:hint="eastAsia" w:ascii="仿宋" w:hAnsi="仿宋" w:eastAsia="仿宋"/>
          <w:sz w:val="32"/>
          <w:szCs w:val="32"/>
          <w:highlight w:val="none"/>
        </w:rPr>
        <w:t>。</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highlight w:val="none"/>
        </w:rPr>
      </w:pPr>
      <w:r>
        <w:rPr>
          <w:rFonts w:hint="eastAsia" w:ascii="仿宋" w:hAnsi="仿宋" w:eastAsia="仿宋"/>
          <w:sz w:val="32"/>
          <w:szCs w:val="32"/>
          <w:highlight w:val="none"/>
        </w:rPr>
        <w:t>3.技术咨询工作成果的验收方法：</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 xml:space="preserve">           </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highlight w:val="none"/>
          <w:u w:val="single"/>
        </w:rPr>
      </w:pPr>
      <w:r>
        <w:rPr>
          <w:rFonts w:hint="eastAsia" w:ascii="仿宋" w:hAnsi="仿宋" w:eastAsia="仿宋"/>
          <w:sz w:val="32"/>
          <w:szCs w:val="32"/>
          <w:highlight w:val="none"/>
        </w:rPr>
        <w:t>4.验收的时间和地点:</w:t>
      </w:r>
      <w:r>
        <w:rPr>
          <w:rFonts w:hint="eastAsia" w:ascii="仿宋" w:hAnsi="仿宋" w:eastAsia="仿宋"/>
          <w:sz w:val="32"/>
          <w:szCs w:val="32"/>
          <w:highlight w:val="none"/>
          <w:u w:val="single"/>
        </w:rPr>
        <w:t xml:space="preserve">    甲方指定时间、地点     </w:t>
      </w:r>
    </w:p>
    <w:p>
      <w:pPr>
        <w:pStyle w:val="4"/>
        <w:keepLines w:val="0"/>
        <w:pageBreakBefore w:val="0"/>
        <w:widowControl w:val="0"/>
        <w:kinsoku/>
        <w:wordWrap/>
        <w:overflowPunct/>
        <w:topLinePunct w:val="0"/>
        <w:bidi w:val="0"/>
        <w:spacing w:line="500" w:lineRule="exact"/>
        <w:textAlignment w:val="auto"/>
        <w:rPr>
          <w:rFonts w:ascii="仿宋" w:hAnsi="仿宋" w:eastAsia="仿宋"/>
          <w:sz w:val="32"/>
          <w:szCs w:val="32"/>
          <w:highlight w:val="none"/>
        </w:rPr>
      </w:pPr>
      <w:r>
        <w:rPr>
          <w:rFonts w:hint="eastAsia" w:ascii="仿宋" w:hAnsi="仿宋" w:eastAsia="仿宋"/>
          <w:sz w:val="32"/>
          <w:szCs w:val="32"/>
          <w:highlight w:val="none"/>
        </w:rPr>
        <w:t>第八条  双方确定，按以下约定进行保证与索赔：</w:t>
      </w:r>
    </w:p>
    <w:p>
      <w:pPr>
        <w:pStyle w:val="15"/>
        <w:keepLines w:val="0"/>
        <w:pageBreakBefore w:val="0"/>
        <w:widowControl w:val="0"/>
        <w:kinsoku/>
        <w:wordWrap/>
        <w:overflowPunct/>
        <w:topLinePunct w:val="0"/>
        <w:bidi w:val="0"/>
        <w:adjustRightInd w:val="0"/>
        <w:snapToGrid w:val="0"/>
        <w:spacing w:line="500" w:lineRule="exact"/>
        <w:ind w:firstLine="640" w:firstLineChars="200"/>
        <w:textAlignment w:val="auto"/>
        <w:rPr>
          <w:rFonts w:ascii="仿宋" w:hAnsi="仿宋" w:eastAsia="仿宋"/>
          <w:sz w:val="32"/>
          <w:szCs w:val="32"/>
          <w:highlight w:val="none"/>
          <w:u w:val="single"/>
        </w:rPr>
      </w:pPr>
      <w:r>
        <w:rPr>
          <w:rFonts w:hint="eastAsia" w:ascii="仿宋" w:hAnsi="仿宋" w:eastAsia="仿宋"/>
          <w:sz w:val="32"/>
          <w:szCs w:val="32"/>
          <w:highlight w:val="none"/>
        </w:rPr>
        <w:t xml:space="preserve">1 </w:t>
      </w:r>
      <w:r>
        <w:rPr>
          <w:rFonts w:hint="eastAsia" w:ascii="仿宋" w:hAnsi="仿宋" w:eastAsia="仿宋"/>
          <w:sz w:val="32"/>
          <w:szCs w:val="32"/>
          <w:highlight w:val="none"/>
          <w:u w:val="single"/>
        </w:rPr>
        <w:t>质保期是指货物及工程</w:t>
      </w:r>
      <w:r>
        <w:rPr>
          <w:rFonts w:hint="eastAsia" w:ascii="仿宋_GB2312" w:hAnsi="仿宋_GB2312" w:eastAsia="仿宋_GB2312" w:cs="仿宋_GB2312"/>
          <w:sz w:val="32"/>
          <w:szCs w:val="32"/>
          <w:highlight w:val="none"/>
          <w:u w:val="single"/>
        </w:rPr>
        <w:t>交付完工，验收签字之日起质保</w:t>
      </w:r>
      <w:r>
        <w:rPr>
          <w:rFonts w:hint="eastAsia" w:ascii="仿宋" w:hAnsi="仿宋" w:eastAsia="仿宋"/>
          <w:sz w:val="32"/>
          <w:szCs w:val="32"/>
          <w:highlight w:val="none"/>
          <w:u w:val="single"/>
        </w:rPr>
        <w:t>三年。</w:t>
      </w:r>
    </w:p>
    <w:p>
      <w:pPr>
        <w:pStyle w:val="15"/>
        <w:keepLines w:val="0"/>
        <w:pageBreakBefore w:val="0"/>
        <w:widowControl w:val="0"/>
        <w:kinsoku/>
        <w:wordWrap/>
        <w:overflowPunct/>
        <w:topLinePunct w:val="0"/>
        <w:bidi w:val="0"/>
        <w:adjustRightInd w:val="0"/>
        <w:snapToGrid w:val="0"/>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highlight w:val="none"/>
        </w:rPr>
        <w:t>在此质保期内，卖方应对由于设</w:t>
      </w:r>
      <w:r>
        <w:rPr>
          <w:rFonts w:hint="eastAsia" w:ascii="仿宋" w:hAnsi="仿宋" w:eastAsia="仿宋"/>
          <w:sz w:val="32"/>
          <w:szCs w:val="32"/>
        </w:rPr>
        <w:t>计、工艺或材料的缺陷而发生的任何不足或故障负责，费用由卖方负担。</w:t>
      </w:r>
    </w:p>
    <w:p>
      <w:pPr>
        <w:pStyle w:val="15"/>
        <w:keepLines w:val="0"/>
        <w:pageBreakBefore w:val="0"/>
        <w:widowControl w:val="0"/>
        <w:kinsoku/>
        <w:wordWrap/>
        <w:overflowPunct/>
        <w:topLinePunct w:val="0"/>
        <w:bidi w:val="0"/>
        <w:adjustRightInd w:val="0"/>
        <w:snapToGrid w:val="0"/>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2 卖方保证其供应的本合同货物是全新的，技术水平是先进的、成熟的、质量优良的、货物的选型均符合安全可靠、经济运行和易于维护的要求。</w:t>
      </w:r>
    </w:p>
    <w:p>
      <w:pPr>
        <w:pStyle w:val="15"/>
        <w:keepLines w:val="0"/>
        <w:pageBreakBefore w:val="0"/>
        <w:widowControl w:val="0"/>
        <w:kinsoku/>
        <w:wordWrap/>
        <w:overflowPunct/>
        <w:topLinePunct w:val="0"/>
        <w:bidi w:val="0"/>
        <w:adjustRightInd w:val="0"/>
        <w:snapToGrid w:val="0"/>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3 在质保期内，如发现卖方提供的货物有缺陷，不符合本合同规定时，买方认为如属卖方责任，则买方有权向卖方提出索赔。卖方在接到买方索赔文件后，应立即无偿修理、换货、赔款或委托买方安排大型修理。由此产生的到安装现场的换货费用、运费及保险费由卖方负担。</w:t>
      </w:r>
    </w:p>
    <w:p>
      <w:pPr>
        <w:pStyle w:val="15"/>
        <w:keepLines w:val="0"/>
        <w:pageBreakBefore w:val="0"/>
        <w:widowControl w:val="0"/>
        <w:kinsoku/>
        <w:wordWrap/>
        <w:overflowPunct/>
        <w:topLinePunct w:val="0"/>
        <w:bidi w:val="0"/>
        <w:adjustRightInd w:val="0"/>
        <w:snapToGrid w:val="0"/>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4 如由于卖方责任需要更换。修理有缺陷的货物，而使合同货物停运或推迟安装时，则质保期按实际修理或换货所延误的时间做相应的延长，且新更换或修理的货物，其质保期应重新计算。</w:t>
      </w:r>
    </w:p>
    <w:p>
      <w:pPr>
        <w:pStyle w:val="15"/>
        <w:keepLines w:val="0"/>
        <w:pageBreakBefore w:val="0"/>
        <w:widowControl w:val="0"/>
        <w:kinsoku/>
        <w:wordWrap/>
        <w:overflowPunct/>
        <w:topLinePunct w:val="0"/>
        <w:bidi w:val="0"/>
        <w:adjustRightInd w:val="0"/>
        <w:snapToGrid w:val="0"/>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5 由于卖方原因未能按本合同规定的交货期交货时（不可抗力除外），买方有权按下列比例向卖方收取违约金：</w:t>
      </w:r>
    </w:p>
    <w:p>
      <w:pPr>
        <w:pStyle w:val="15"/>
        <w:keepLines w:val="0"/>
        <w:pageBreakBefore w:val="0"/>
        <w:widowControl w:val="0"/>
        <w:kinsoku/>
        <w:wordWrap/>
        <w:overflowPunct/>
        <w:topLinePunct w:val="0"/>
        <w:bidi w:val="0"/>
        <w:adjustRightInd w:val="0"/>
        <w:snapToGrid w:val="0"/>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迟交1～2周，每周支付迟交货物合同总金额的1%；</w:t>
      </w:r>
    </w:p>
    <w:p>
      <w:pPr>
        <w:pStyle w:val="15"/>
        <w:keepLines w:val="0"/>
        <w:pageBreakBefore w:val="0"/>
        <w:widowControl w:val="0"/>
        <w:kinsoku/>
        <w:wordWrap/>
        <w:overflowPunct/>
        <w:topLinePunct w:val="0"/>
        <w:bidi w:val="0"/>
        <w:adjustRightInd w:val="0"/>
        <w:snapToGrid w:val="0"/>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迟交3～6周，每周支付迟交货物合同总金额的1.5％；</w:t>
      </w:r>
    </w:p>
    <w:p>
      <w:pPr>
        <w:pStyle w:val="15"/>
        <w:keepLines w:val="0"/>
        <w:pageBreakBefore w:val="0"/>
        <w:widowControl w:val="0"/>
        <w:kinsoku/>
        <w:wordWrap/>
        <w:overflowPunct/>
        <w:topLinePunct w:val="0"/>
        <w:bidi w:val="0"/>
        <w:adjustRightInd w:val="0"/>
        <w:snapToGrid w:val="0"/>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迟交6周以上，每周支付迟交货物合同总金额的2%；</w:t>
      </w:r>
    </w:p>
    <w:p>
      <w:pPr>
        <w:pStyle w:val="15"/>
        <w:keepLines w:val="0"/>
        <w:pageBreakBefore w:val="0"/>
        <w:widowControl w:val="0"/>
        <w:kinsoku/>
        <w:wordWrap/>
        <w:overflowPunct/>
        <w:topLinePunct w:val="0"/>
        <w:bidi w:val="0"/>
        <w:adjustRightInd w:val="0"/>
        <w:snapToGrid w:val="0"/>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不满一周按一周计算。</w:t>
      </w:r>
    </w:p>
    <w:p>
      <w:pPr>
        <w:pStyle w:val="15"/>
        <w:keepLines w:val="0"/>
        <w:pageBreakBefore w:val="0"/>
        <w:widowControl w:val="0"/>
        <w:kinsoku/>
        <w:wordWrap/>
        <w:overflowPunct/>
        <w:topLinePunct w:val="0"/>
        <w:bidi w:val="0"/>
        <w:adjustRightInd w:val="0"/>
        <w:snapToGrid w:val="0"/>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卖方支付迟交违约金，并不解除卖方按照合同继续交货的义务。</w:t>
      </w:r>
    </w:p>
    <w:p>
      <w:pPr>
        <w:keepLines w:val="0"/>
        <w:pageBreakBefore w:val="0"/>
        <w:widowControl w:val="0"/>
        <w:kinsoku/>
        <w:wordWrap/>
        <w:overflowPunct/>
        <w:topLinePunct w:val="0"/>
        <w:autoSpaceDE w:val="0"/>
        <w:autoSpaceDN w:val="0"/>
        <w:bidi w:val="0"/>
        <w:adjustRightInd w:val="0"/>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6卖方履行义务不符合合同的规定，均应承担的违约责任。</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sz w:val="32"/>
          <w:szCs w:val="32"/>
        </w:rPr>
        <w:t>第九条  双方确定，甲方按照乙方符合本合同约定标准和方式完成的技术咨询工作成果作出决策并予以实施所造成的损失，按以下第</w:t>
      </w:r>
      <w:r>
        <w:rPr>
          <w:rFonts w:hint="eastAsia" w:ascii="仿宋" w:hAnsi="仿宋" w:eastAsia="仿宋"/>
          <w:sz w:val="32"/>
          <w:szCs w:val="32"/>
          <w:u w:val="single"/>
        </w:rPr>
        <w:t xml:space="preserve"> 3  </w:t>
      </w:r>
      <w:r>
        <w:rPr>
          <w:rFonts w:hint="eastAsia" w:ascii="仿宋" w:hAnsi="仿宋" w:eastAsia="仿宋"/>
          <w:sz w:val="32"/>
          <w:szCs w:val="32"/>
        </w:rPr>
        <w:t>种方式处理：</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sz w:val="32"/>
          <w:szCs w:val="32"/>
        </w:rPr>
        <w:t xml:space="preserve">    1．乙方不承担责任。</w:t>
      </w:r>
    </w:p>
    <w:p>
      <w:pPr>
        <w:keepLines w:val="0"/>
        <w:pageBreakBefore w:val="0"/>
        <w:widowControl w:val="0"/>
        <w:kinsoku/>
        <w:wordWrap/>
        <w:overflowPunct/>
        <w:topLinePunct w:val="0"/>
        <w:autoSpaceDE w:val="0"/>
        <w:autoSpaceDN w:val="0"/>
        <w:bidi w:val="0"/>
        <w:adjustRightInd w:val="0"/>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2．乙方承担部分责任。具体承担方式为</w:t>
      </w:r>
      <w:r>
        <w:rPr>
          <w:rFonts w:hint="eastAsia" w:ascii="仿宋" w:hAnsi="仿宋" w:eastAsia="仿宋"/>
          <w:sz w:val="32"/>
          <w:szCs w:val="32"/>
          <w:u w:val="single"/>
        </w:rPr>
        <w:t>：/。</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sz w:val="32"/>
          <w:szCs w:val="32"/>
        </w:rPr>
        <w:t xml:space="preserve">    3．乙方承担全部责任。</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sz w:val="32"/>
          <w:szCs w:val="32"/>
        </w:rPr>
        <w:t>第十条  双方确定：</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sz w:val="32"/>
          <w:szCs w:val="32"/>
        </w:rPr>
        <w:t xml:space="preserve">    1．在本合同有效期内，甲方利用乙方提交的技术咨询工作成果所完成的新的技术成果，归（甲、双）方所有。</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sz w:val="32"/>
          <w:szCs w:val="32"/>
        </w:rPr>
        <w:t xml:space="preserve">    2．在本合同有效期内，乙方利用甲方提供的技术资料和工作条件所完成的新的技术成果，归（乙、双）方所有。</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sz w:val="32"/>
          <w:szCs w:val="32"/>
        </w:rPr>
        <w:t xml:space="preserve">    第十一条  双方确定，在本合同有效期内，甲方指定为甲方项目联系人，乙方指定为乙方项目联系人。项目联系人承担以下责任：</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sz w:val="32"/>
          <w:szCs w:val="32"/>
        </w:rPr>
        <w:t xml:space="preserve">    1</w:t>
      </w:r>
      <w:r>
        <w:rPr>
          <w:rFonts w:hint="eastAsia" w:ascii="仿宋" w:hAnsi="仿宋" w:eastAsia="仿宋"/>
          <w:sz w:val="32"/>
          <w:szCs w:val="32"/>
          <w:u w:val="single"/>
        </w:rPr>
        <w:t xml:space="preserve">．                                                               </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u w:val="single"/>
        </w:rPr>
      </w:pPr>
      <w:r>
        <w:rPr>
          <w:rFonts w:hint="eastAsia" w:ascii="仿宋" w:hAnsi="仿宋" w:eastAsia="仿宋"/>
          <w:sz w:val="32"/>
          <w:szCs w:val="32"/>
        </w:rPr>
        <w:t xml:space="preserve">    2</w:t>
      </w:r>
      <w:r>
        <w:rPr>
          <w:rFonts w:hint="eastAsia" w:ascii="仿宋" w:hAnsi="仿宋" w:eastAsia="仿宋"/>
          <w:sz w:val="32"/>
          <w:szCs w:val="32"/>
          <w:u w:val="single"/>
        </w:rPr>
        <w:t xml:space="preserve">．                                                               </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u w:val="single"/>
        </w:rPr>
      </w:pPr>
      <w:r>
        <w:rPr>
          <w:rFonts w:hint="eastAsia" w:ascii="仿宋" w:hAnsi="仿宋" w:eastAsia="仿宋"/>
          <w:sz w:val="32"/>
          <w:szCs w:val="32"/>
        </w:rPr>
        <w:t xml:space="preserve">    3</w:t>
      </w:r>
      <w:r>
        <w:rPr>
          <w:rFonts w:hint="eastAsia" w:ascii="仿宋" w:hAnsi="仿宋" w:eastAsia="仿宋"/>
          <w:sz w:val="32"/>
          <w:szCs w:val="32"/>
          <w:u w:val="single"/>
        </w:rPr>
        <w:t xml:space="preserve">．                                                               </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sz w:val="32"/>
          <w:szCs w:val="32"/>
        </w:rPr>
        <w:t xml:space="preserve">    一方变更项目联系人的，应当及时以书面形式通知另一方。未及时通知并影响本合同履行或造成损失的，应承担相应的责任。</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sz w:val="32"/>
          <w:szCs w:val="32"/>
        </w:rPr>
        <w:t xml:space="preserve">    第十二条  双方确定，出现下列情形，致使本合同的履行成为不必要或不能的，可以解除本合同：</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sz w:val="32"/>
          <w:szCs w:val="32"/>
        </w:rPr>
        <w:t xml:space="preserve">    1．</w:t>
      </w:r>
      <w:r>
        <w:rPr>
          <w:rFonts w:hint="eastAsia" w:ascii="仿宋" w:hAnsi="仿宋" w:eastAsia="仿宋"/>
          <w:sz w:val="32"/>
          <w:szCs w:val="32"/>
          <w:u w:val="single"/>
        </w:rPr>
        <w:t>发生不可抗力因素；</w:t>
      </w:r>
      <w:r>
        <w:rPr>
          <w:rFonts w:hint="eastAsia" w:ascii="仿宋" w:hAnsi="仿宋" w:eastAsia="仿宋"/>
          <w:sz w:val="32"/>
          <w:szCs w:val="32"/>
        </w:rPr>
        <w:t xml:space="preserve"> </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sz w:val="32"/>
          <w:szCs w:val="32"/>
        </w:rPr>
        <w:t xml:space="preserve">    2．</w:t>
      </w:r>
      <w:r>
        <w:rPr>
          <w:rFonts w:hint="eastAsia" w:ascii="仿宋" w:hAnsi="仿宋" w:eastAsia="仿宋"/>
          <w:sz w:val="32"/>
          <w:szCs w:val="32"/>
          <w:u w:val="single"/>
        </w:rPr>
        <w:t xml:space="preserve">          </w:t>
      </w:r>
      <w:r>
        <w:rPr>
          <w:rFonts w:hint="eastAsia" w:ascii="仿宋" w:hAnsi="仿宋" w:eastAsia="仿宋"/>
          <w:sz w:val="32"/>
          <w:szCs w:val="32"/>
        </w:rPr>
        <w:t xml:space="preserve"> </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sz w:val="32"/>
          <w:szCs w:val="32"/>
        </w:rPr>
        <w:t xml:space="preserve">    3．</w:t>
      </w:r>
      <w:r>
        <w:rPr>
          <w:rFonts w:hint="eastAsia" w:ascii="仿宋" w:hAnsi="仿宋" w:eastAsia="仿宋"/>
          <w:sz w:val="32"/>
          <w:szCs w:val="32"/>
          <w:u w:val="single"/>
        </w:rPr>
        <w:t xml:space="preserve">           </w:t>
      </w:r>
      <w:r>
        <w:rPr>
          <w:rFonts w:hint="eastAsia" w:ascii="仿宋" w:hAnsi="仿宋" w:eastAsia="仿宋"/>
          <w:sz w:val="32"/>
          <w:szCs w:val="32"/>
        </w:rPr>
        <w:t xml:space="preserve">  </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sz w:val="32"/>
          <w:szCs w:val="32"/>
        </w:rPr>
        <w:t xml:space="preserve">    第十三条  双方因履行本合同而发生争议，应协商、调解解决。协商、调解不成的，确定按以下第种方式处理：</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sz w:val="32"/>
          <w:szCs w:val="32"/>
        </w:rPr>
        <w:t xml:space="preserve">    1．提交仲裁委员会仲裁；</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sz w:val="32"/>
          <w:szCs w:val="32"/>
        </w:rPr>
        <w:t xml:space="preserve">    2．依法向人民法院起诉。</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sz w:val="32"/>
          <w:szCs w:val="32"/>
        </w:rPr>
        <w:t xml:space="preserve">    第十四条  双方确定：本合同及相关附件中所涉及的有关名词和技术术语，其定义和解释如下：</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u w:val="single"/>
        </w:rPr>
      </w:pPr>
      <w:r>
        <w:rPr>
          <w:rFonts w:hint="eastAsia" w:ascii="仿宋" w:hAnsi="仿宋" w:eastAsia="仿宋"/>
          <w:sz w:val="32"/>
          <w:szCs w:val="32"/>
        </w:rPr>
        <w:t xml:space="preserve">    1．</w:t>
      </w:r>
      <w:r>
        <w:rPr>
          <w:rFonts w:hint="eastAsia" w:ascii="仿宋" w:hAnsi="仿宋" w:eastAsia="仿宋"/>
          <w:sz w:val="32"/>
          <w:szCs w:val="32"/>
          <w:u w:val="single"/>
        </w:rPr>
        <w:t xml:space="preserve">                   </w:t>
      </w:r>
    </w:p>
    <w:p>
      <w:pPr>
        <w:keepLines w:val="0"/>
        <w:pageBreakBefore w:val="0"/>
        <w:widowControl w:val="0"/>
        <w:kinsoku/>
        <w:wordWrap/>
        <w:overflowPunct/>
        <w:topLinePunct w:val="0"/>
        <w:autoSpaceDE w:val="0"/>
        <w:autoSpaceDN w:val="0"/>
        <w:bidi w:val="0"/>
        <w:adjustRightInd w:val="0"/>
        <w:spacing w:line="500" w:lineRule="exact"/>
        <w:ind w:firstLine="480"/>
        <w:textAlignment w:val="auto"/>
        <w:rPr>
          <w:rFonts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u w:val="single"/>
        </w:rPr>
        <w:t xml:space="preserve">                   </w:t>
      </w:r>
      <w:r>
        <w:rPr>
          <w:rFonts w:hint="eastAsia" w:ascii="仿宋" w:hAnsi="仿宋" w:eastAsia="仿宋"/>
          <w:sz w:val="32"/>
          <w:szCs w:val="32"/>
        </w:rPr>
        <w:t xml:space="preserve">   </w:t>
      </w:r>
    </w:p>
    <w:p>
      <w:pPr>
        <w:keepLines w:val="0"/>
        <w:pageBreakBefore w:val="0"/>
        <w:widowControl w:val="0"/>
        <w:kinsoku/>
        <w:wordWrap/>
        <w:overflowPunct/>
        <w:topLinePunct w:val="0"/>
        <w:autoSpaceDE w:val="0"/>
        <w:autoSpaceDN w:val="0"/>
        <w:bidi w:val="0"/>
        <w:adjustRightInd w:val="0"/>
        <w:spacing w:line="500" w:lineRule="exact"/>
        <w:ind w:firstLine="480"/>
        <w:textAlignment w:val="auto"/>
        <w:rPr>
          <w:rFonts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u w:val="single"/>
        </w:rPr>
        <w:t xml:space="preserve">                  </w:t>
      </w:r>
    </w:p>
    <w:p>
      <w:pPr>
        <w:keepLines w:val="0"/>
        <w:pageBreakBefore w:val="0"/>
        <w:widowControl w:val="0"/>
        <w:kinsoku/>
        <w:wordWrap/>
        <w:overflowPunct/>
        <w:topLinePunct w:val="0"/>
        <w:autoSpaceDE w:val="0"/>
        <w:autoSpaceDN w:val="0"/>
        <w:bidi w:val="0"/>
        <w:adjustRightInd w:val="0"/>
        <w:spacing w:line="500" w:lineRule="exact"/>
        <w:ind w:firstLine="480"/>
        <w:textAlignment w:val="auto"/>
        <w:rPr>
          <w:rFonts w:ascii="仿宋" w:hAnsi="仿宋" w:eastAsia="仿宋"/>
          <w:sz w:val="32"/>
          <w:szCs w:val="32"/>
          <w:u w:val="single"/>
        </w:rPr>
      </w:pPr>
      <w:r>
        <w:rPr>
          <w:rFonts w:hint="eastAsia" w:ascii="仿宋" w:hAnsi="仿宋" w:eastAsia="仿宋"/>
          <w:sz w:val="32"/>
          <w:szCs w:val="32"/>
        </w:rPr>
        <w:t>4．</w:t>
      </w:r>
      <w:r>
        <w:rPr>
          <w:rFonts w:hint="eastAsia" w:ascii="仿宋" w:hAnsi="仿宋" w:eastAsia="仿宋"/>
          <w:sz w:val="32"/>
          <w:szCs w:val="32"/>
          <w:u w:val="single"/>
        </w:rPr>
        <w:t xml:space="preserve">                   </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sz w:val="32"/>
          <w:szCs w:val="32"/>
        </w:rPr>
        <w:t xml:space="preserve">    第十五条  与履行本合同有关的下列技术文件，经双方以</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sz w:val="32"/>
          <w:szCs w:val="32"/>
        </w:rPr>
        <w:t>方式确认后，为本合同的组成部分：</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u w:val="single"/>
        </w:rPr>
      </w:pPr>
      <w:r>
        <w:rPr>
          <w:rFonts w:hint="eastAsia" w:ascii="仿宋" w:hAnsi="仿宋" w:eastAsia="仿宋"/>
          <w:sz w:val="32"/>
          <w:szCs w:val="32"/>
        </w:rPr>
        <w:t xml:space="preserve">     1．</w:t>
      </w:r>
      <w:r>
        <w:rPr>
          <w:rFonts w:hint="eastAsia" w:ascii="仿宋" w:hAnsi="仿宋" w:eastAsia="仿宋"/>
          <w:sz w:val="32"/>
          <w:szCs w:val="32"/>
          <w:u w:val="single"/>
        </w:rPr>
        <w:t xml:space="preserve">                   </w:t>
      </w:r>
    </w:p>
    <w:p>
      <w:pPr>
        <w:keepLines w:val="0"/>
        <w:pageBreakBefore w:val="0"/>
        <w:widowControl w:val="0"/>
        <w:kinsoku/>
        <w:wordWrap/>
        <w:overflowPunct/>
        <w:topLinePunct w:val="0"/>
        <w:autoSpaceDE w:val="0"/>
        <w:autoSpaceDN w:val="0"/>
        <w:bidi w:val="0"/>
        <w:adjustRightInd w:val="0"/>
        <w:spacing w:line="500" w:lineRule="exact"/>
        <w:ind w:firstLine="480"/>
        <w:textAlignment w:val="auto"/>
        <w:rPr>
          <w:rFonts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u w:val="single"/>
        </w:rPr>
        <w:t xml:space="preserve">                   </w:t>
      </w:r>
      <w:r>
        <w:rPr>
          <w:rFonts w:hint="eastAsia" w:ascii="仿宋" w:hAnsi="仿宋" w:eastAsia="仿宋"/>
          <w:sz w:val="32"/>
          <w:szCs w:val="32"/>
        </w:rPr>
        <w:t xml:space="preserve">   </w:t>
      </w:r>
    </w:p>
    <w:p>
      <w:pPr>
        <w:keepLines w:val="0"/>
        <w:pageBreakBefore w:val="0"/>
        <w:widowControl w:val="0"/>
        <w:kinsoku/>
        <w:wordWrap/>
        <w:overflowPunct/>
        <w:topLinePunct w:val="0"/>
        <w:autoSpaceDE w:val="0"/>
        <w:autoSpaceDN w:val="0"/>
        <w:bidi w:val="0"/>
        <w:adjustRightInd w:val="0"/>
        <w:spacing w:line="500" w:lineRule="exact"/>
        <w:ind w:firstLine="480"/>
        <w:textAlignment w:val="auto"/>
        <w:rPr>
          <w:rFonts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u w:val="single"/>
        </w:rPr>
        <w:t xml:space="preserve">                  </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sz w:val="32"/>
          <w:szCs w:val="32"/>
        </w:rPr>
        <w:t xml:space="preserve">    第十六条  双方约定本合同其他相关事项为：</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sz w:val="32"/>
          <w:szCs w:val="32"/>
        </w:rPr>
        <w:t xml:space="preserve">    第十七条  本合同一式陆份，具有同等法律效力。</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sz w:val="32"/>
          <w:szCs w:val="32"/>
        </w:rPr>
        <w:t>第十八条  本合同经双方签字盖章后生效。</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sz w:val="32"/>
          <w:szCs w:val="32"/>
        </w:rPr>
        <w:t xml:space="preserve">     （以下无正文，为签署页）</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sz w:val="32"/>
          <w:szCs w:val="32"/>
        </w:rPr>
        <w:t>甲方：（盖章）</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sz w:val="32"/>
          <w:szCs w:val="32"/>
        </w:rPr>
        <w:t>法定代表人/委托代理人：（签名或盖章）</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sz w:val="32"/>
          <w:szCs w:val="32"/>
        </w:rPr>
        <w:t xml:space="preserve"> 年       月       日</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sz w:val="32"/>
          <w:szCs w:val="32"/>
        </w:rPr>
        <w:t>乙方：（盖章）</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sz w:val="32"/>
          <w:szCs w:val="32"/>
        </w:rPr>
        <w:t>法定代表人/委托代理人：（签名或盖章）</w:t>
      </w:r>
    </w:p>
    <w:p>
      <w:pPr>
        <w:keepLines w:val="0"/>
        <w:pageBreakBefore w:val="0"/>
        <w:widowControl w:val="0"/>
        <w:kinsoku/>
        <w:wordWrap/>
        <w:overflowPunct/>
        <w:topLinePunct w:val="0"/>
        <w:autoSpaceDE w:val="0"/>
        <w:autoSpaceDN w:val="0"/>
        <w:bidi w:val="0"/>
        <w:adjustRightInd w:val="0"/>
        <w:spacing w:line="500" w:lineRule="exact"/>
        <w:textAlignment w:val="auto"/>
        <w:rPr>
          <w:rFonts w:ascii="仿宋" w:hAnsi="仿宋" w:eastAsia="仿宋"/>
          <w:sz w:val="32"/>
          <w:szCs w:val="32"/>
        </w:rPr>
      </w:pPr>
      <w:r>
        <w:rPr>
          <w:rFonts w:hint="eastAsia" w:ascii="仿宋" w:hAnsi="仿宋" w:eastAsia="仿宋"/>
          <w:sz w:val="32"/>
          <w:szCs w:val="32"/>
        </w:rPr>
        <w:t xml:space="preserve"> 年       月       日</w:t>
      </w:r>
    </w:p>
    <w:p>
      <w:pPr>
        <w:pStyle w:val="11"/>
        <w:rPr>
          <w:rFonts w:ascii="仿宋" w:hAnsi="仿宋" w:eastAsia="仿宋"/>
          <w:b/>
          <w:sz w:val="32"/>
          <w:szCs w:val="32"/>
        </w:rPr>
      </w:pPr>
    </w:p>
    <w:p>
      <w:pPr>
        <w:pStyle w:val="11"/>
        <w:rPr>
          <w:rFonts w:ascii="仿宋" w:hAnsi="仿宋" w:eastAsia="仿宋"/>
          <w:b/>
          <w:sz w:val="32"/>
          <w:szCs w:val="32"/>
        </w:rPr>
      </w:pPr>
    </w:p>
    <w:p>
      <w:pPr>
        <w:widowControl/>
        <w:spacing w:line="600" w:lineRule="exact"/>
        <w:jc w:val="center"/>
        <w:rPr>
          <w:rFonts w:ascii="仿宋" w:hAnsi="仿宋" w:eastAsia="仿宋"/>
          <w:b/>
          <w:color w:val="000000"/>
          <w:sz w:val="44"/>
          <w:szCs w:val="44"/>
        </w:rPr>
      </w:pPr>
      <w:r>
        <w:rPr>
          <w:rFonts w:hint="eastAsia" w:ascii="仿宋" w:hAnsi="仿宋" w:eastAsia="仿宋"/>
          <w:b/>
          <w:color w:val="000000"/>
          <w:sz w:val="44"/>
          <w:szCs w:val="44"/>
        </w:rPr>
        <w:t>第五部分  竞争性谈判采购文件格式</w:t>
      </w:r>
    </w:p>
    <w:p>
      <w:pPr>
        <w:tabs>
          <w:tab w:val="left" w:pos="6300"/>
        </w:tabs>
        <w:snapToGrid w:val="0"/>
        <w:spacing w:line="560" w:lineRule="exact"/>
        <w:outlineLvl w:val="0"/>
        <w:rPr>
          <w:rFonts w:ascii="仿宋" w:hAnsi="仿宋" w:eastAsia="仿宋"/>
          <w:b/>
          <w:color w:val="000000"/>
          <w:sz w:val="32"/>
          <w:szCs w:val="32"/>
        </w:rPr>
      </w:pPr>
      <w:r>
        <w:rPr>
          <w:rFonts w:hint="eastAsia" w:ascii="仿宋" w:hAnsi="仿宋" w:eastAsia="仿宋"/>
          <w:b/>
          <w:color w:val="000000"/>
          <w:sz w:val="32"/>
          <w:szCs w:val="32"/>
        </w:rPr>
        <w:t>表一：</w:t>
      </w:r>
    </w:p>
    <w:p>
      <w:pPr>
        <w:pStyle w:val="62"/>
        <w:snapToGrid w:val="0"/>
        <w:spacing w:line="560" w:lineRule="exact"/>
        <w:jc w:val="center"/>
        <w:rPr>
          <w:rFonts w:ascii="仿宋" w:hAnsi="仿宋" w:eastAsia="仿宋"/>
          <w:b/>
          <w:bCs/>
          <w:sz w:val="32"/>
          <w:szCs w:val="32"/>
        </w:rPr>
      </w:pPr>
      <w:r>
        <w:rPr>
          <w:rFonts w:hint="eastAsia" w:ascii="仿宋" w:hAnsi="仿宋" w:eastAsia="仿宋"/>
          <w:b/>
          <w:bCs/>
          <w:sz w:val="32"/>
          <w:szCs w:val="32"/>
        </w:rPr>
        <w:t>报价一览表</w:t>
      </w:r>
    </w:p>
    <w:tbl>
      <w:tblPr>
        <w:tblStyle w:val="40"/>
        <w:tblpPr w:leftFromText="180" w:rightFromText="180" w:vertAnchor="text" w:horzAnchor="page" w:tblpX="1503" w:tblpY="174"/>
        <w:tblOverlap w:val="never"/>
        <w:tblW w:w="88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0"/>
        <w:gridCol w:w="5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3740" w:type="dxa"/>
          </w:tcPr>
          <w:p>
            <w:pPr>
              <w:pStyle w:val="62"/>
              <w:snapToGrid w:val="0"/>
              <w:spacing w:line="560" w:lineRule="exact"/>
              <w:jc w:val="center"/>
              <w:rPr>
                <w:rFonts w:ascii="仿宋" w:hAnsi="仿宋" w:eastAsia="仿宋"/>
                <w:sz w:val="32"/>
                <w:szCs w:val="32"/>
              </w:rPr>
            </w:pPr>
            <w:r>
              <w:rPr>
                <w:rFonts w:hint="eastAsia" w:ascii="仿宋" w:hAnsi="仿宋" w:eastAsia="仿宋"/>
                <w:sz w:val="32"/>
                <w:szCs w:val="32"/>
              </w:rPr>
              <w:t>供应商</w:t>
            </w:r>
          </w:p>
        </w:tc>
        <w:tc>
          <w:tcPr>
            <w:tcW w:w="5151" w:type="dxa"/>
          </w:tcPr>
          <w:p>
            <w:pPr>
              <w:pStyle w:val="62"/>
              <w:snapToGrid w:val="0"/>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3740" w:type="dxa"/>
          </w:tcPr>
          <w:p>
            <w:pPr>
              <w:pStyle w:val="62"/>
              <w:snapToGrid w:val="0"/>
              <w:spacing w:line="560" w:lineRule="exact"/>
              <w:jc w:val="center"/>
              <w:rPr>
                <w:rFonts w:ascii="仿宋" w:hAnsi="仿宋" w:eastAsia="仿宋"/>
                <w:sz w:val="32"/>
                <w:szCs w:val="32"/>
              </w:rPr>
            </w:pPr>
            <w:r>
              <w:rPr>
                <w:rFonts w:hint="eastAsia" w:ascii="仿宋" w:hAnsi="仿宋" w:eastAsia="仿宋"/>
                <w:sz w:val="32"/>
                <w:szCs w:val="32"/>
              </w:rPr>
              <w:t>总报价（大写元）</w:t>
            </w:r>
          </w:p>
        </w:tc>
        <w:tc>
          <w:tcPr>
            <w:tcW w:w="5151" w:type="dxa"/>
          </w:tcPr>
          <w:p>
            <w:pPr>
              <w:pStyle w:val="62"/>
              <w:snapToGrid w:val="0"/>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3740" w:type="dxa"/>
          </w:tcPr>
          <w:p>
            <w:pPr>
              <w:pStyle w:val="62"/>
              <w:snapToGrid w:val="0"/>
              <w:spacing w:line="560" w:lineRule="exact"/>
              <w:jc w:val="center"/>
              <w:rPr>
                <w:rFonts w:ascii="仿宋" w:hAnsi="仿宋" w:eastAsia="仿宋"/>
                <w:sz w:val="32"/>
                <w:szCs w:val="32"/>
              </w:rPr>
            </w:pPr>
            <w:r>
              <w:rPr>
                <w:rFonts w:hint="eastAsia" w:ascii="仿宋" w:hAnsi="仿宋" w:eastAsia="仿宋"/>
                <w:sz w:val="32"/>
                <w:szCs w:val="32"/>
              </w:rPr>
              <w:t>总报价（小写元）</w:t>
            </w:r>
          </w:p>
        </w:tc>
        <w:tc>
          <w:tcPr>
            <w:tcW w:w="5151" w:type="dxa"/>
          </w:tcPr>
          <w:p>
            <w:pPr>
              <w:pStyle w:val="62"/>
              <w:snapToGrid w:val="0"/>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3740" w:type="dxa"/>
          </w:tcPr>
          <w:p>
            <w:pPr>
              <w:pStyle w:val="62"/>
              <w:snapToGrid w:val="0"/>
              <w:spacing w:line="560" w:lineRule="exact"/>
              <w:jc w:val="center"/>
              <w:rPr>
                <w:rFonts w:ascii="仿宋" w:hAnsi="仿宋" w:eastAsia="仿宋"/>
                <w:sz w:val="32"/>
                <w:szCs w:val="32"/>
              </w:rPr>
            </w:pPr>
            <w:r>
              <w:rPr>
                <w:rFonts w:hint="eastAsia" w:ascii="仿宋" w:hAnsi="仿宋" w:eastAsia="仿宋"/>
                <w:sz w:val="32"/>
                <w:szCs w:val="32"/>
              </w:rPr>
              <w:t>备注</w:t>
            </w:r>
          </w:p>
        </w:tc>
        <w:tc>
          <w:tcPr>
            <w:tcW w:w="5151" w:type="dxa"/>
          </w:tcPr>
          <w:p>
            <w:pPr>
              <w:pStyle w:val="62"/>
              <w:snapToGrid w:val="0"/>
              <w:spacing w:line="560" w:lineRule="exact"/>
              <w:jc w:val="center"/>
              <w:rPr>
                <w:rFonts w:ascii="仿宋" w:hAnsi="仿宋" w:eastAsia="仿宋"/>
                <w:sz w:val="32"/>
                <w:szCs w:val="32"/>
              </w:rPr>
            </w:pPr>
          </w:p>
        </w:tc>
      </w:tr>
    </w:tbl>
    <w:p>
      <w:pPr>
        <w:tabs>
          <w:tab w:val="left" w:pos="6300"/>
        </w:tabs>
        <w:snapToGrid w:val="0"/>
        <w:spacing w:line="400" w:lineRule="exact"/>
        <w:outlineLvl w:val="0"/>
        <w:rPr>
          <w:rFonts w:ascii="仿宋" w:hAnsi="仿宋" w:eastAsia="仿宋"/>
          <w:color w:val="000000"/>
          <w:sz w:val="32"/>
          <w:szCs w:val="32"/>
        </w:rPr>
      </w:pPr>
      <w:r>
        <w:rPr>
          <w:rFonts w:hint="eastAsia" w:ascii="仿宋" w:hAnsi="仿宋" w:eastAsia="仿宋"/>
          <w:color w:val="000000"/>
          <w:sz w:val="32"/>
          <w:szCs w:val="32"/>
        </w:rPr>
        <w:t>我方将严格按《政府采购法》及谈判采购文件的要求参加本次竞争性谈判，并理解你方以最低价法确定成交结果，且对成交结果也没有解释义务。如我方为成交供应商，在接到你方发出的成交通知书五个工作日内，按成交通知书、谈判采购文件和本谈判响应文件的约定与采购单位签订合同，并履行规定的一切责任和义务。</w:t>
      </w:r>
    </w:p>
    <w:p>
      <w:pPr>
        <w:tabs>
          <w:tab w:val="left" w:pos="6300"/>
        </w:tabs>
        <w:snapToGrid w:val="0"/>
        <w:spacing w:line="400" w:lineRule="exact"/>
        <w:outlineLvl w:val="0"/>
        <w:rPr>
          <w:rFonts w:ascii="仿宋" w:hAnsi="仿宋" w:eastAsia="仿宋"/>
          <w:color w:val="000000"/>
          <w:sz w:val="32"/>
          <w:szCs w:val="32"/>
        </w:rPr>
      </w:pPr>
      <w:r>
        <w:rPr>
          <w:rFonts w:hint="eastAsia" w:ascii="仿宋" w:hAnsi="仿宋" w:eastAsia="仿宋"/>
          <w:color w:val="000000"/>
          <w:sz w:val="32"/>
          <w:szCs w:val="32"/>
        </w:rPr>
        <w:t>我方如出现以下行为之一者，你方有权不予退还我方针对此项目交纳的投标保证金。</w:t>
      </w:r>
    </w:p>
    <w:p>
      <w:pPr>
        <w:tabs>
          <w:tab w:val="left" w:pos="6300"/>
        </w:tabs>
        <w:snapToGrid w:val="0"/>
        <w:spacing w:line="400" w:lineRule="exact"/>
        <w:ind w:firstLine="640" w:firstLineChars="200"/>
        <w:outlineLvl w:val="0"/>
        <w:rPr>
          <w:rFonts w:ascii="仿宋" w:hAnsi="仿宋" w:eastAsia="仿宋" w:cs="仿宋_GB2312"/>
          <w:color w:val="000000"/>
          <w:sz w:val="32"/>
          <w:szCs w:val="32"/>
        </w:rPr>
      </w:pPr>
      <w:r>
        <w:rPr>
          <w:rFonts w:hint="eastAsia" w:ascii="仿宋" w:hAnsi="仿宋" w:eastAsia="仿宋" w:cs="仿宋_GB2312"/>
          <w:color w:val="000000"/>
          <w:sz w:val="32"/>
          <w:szCs w:val="32"/>
        </w:rPr>
        <w:t>1、交纳保证金后无故不参加谈判。</w:t>
      </w:r>
    </w:p>
    <w:p>
      <w:pPr>
        <w:tabs>
          <w:tab w:val="left" w:pos="6300"/>
        </w:tabs>
        <w:snapToGrid w:val="0"/>
        <w:spacing w:line="400" w:lineRule="exact"/>
        <w:outlineLvl w:val="0"/>
        <w:rPr>
          <w:rFonts w:ascii="仿宋" w:hAnsi="仿宋" w:eastAsia="仿宋" w:cs="仿宋_GB2312"/>
          <w:color w:val="000000"/>
          <w:sz w:val="32"/>
          <w:szCs w:val="32"/>
        </w:rPr>
      </w:pPr>
      <w:r>
        <w:rPr>
          <w:rFonts w:hint="eastAsia" w:ascii="仿宋" w:hAnsi="仿宋" w:eastAsia="仿宋" w:cs="仿宋_GB2312"/>
          <w:color w:val="000000"/>
          <w:sz w:val="32"/>
          <w:szCs w:val="32"/>
        </w:rPr>
        <w:t xml:space="preserve">    2、在谈判过程中，未经采购人同意的情况下，我方代表人中途退场。</w:t>
      </w:r>
    </w:p>
    <w:p>
      <w:pPr>
        <w:tabs>
          <w:tab w:val="left" w:pos="6300"/>
        </w:tabs>
        <w:snapToGrid w:val="0"/>
        <w:spacing w:line="400" w:lineRule="exact"/>
        <w:jc w:val="left"/>
        <w:outlineLvl w:val="0"/>
        <w:rPr>
          <w:rFonts w:ascii="仿宋" w:hAnsi="仿宋" w:eastAsia="仿宋" w:cs="仿宋_GB2312"/>
          <w:color w:val="000000"/>
          <w:sz w:val="32"/>
          <w:szCs w:val="32"/>
        </w:rPr>
      </w:pPr>
      <w:r>
        <w:rPr>
          <w:rFonts w:hint="eastAsia" w:ascii="仿宋" w:hAnsi="仿宋" w:eastAsia="仿宋" w:cs="仿宋_GB2312"/>
          <w:color w:val="000000"/>
          <w:sz w:val="32"/>
          <w:szCs w:val="32"/>
        </w:rPr>
        <w:t xml:space="preserve">    3、被通知成交后，我方不按规定的时间或拒绝按成交状态签订合同，即未按成交时采购人的要求及我方的承诺签订合同。</w:t>
      </w:r>
    </w:p>
    <w:p>
      <w:pPr>
        <w:tabs>
          <w:tab w:val="center" w:pos="4422"/>
        </w:tabs>
        <w:snapToGrid w:val="0"/>
        <w:spacing w:line="400" w:lineRule="exact"/>
        <w:ind w:firstLine="640" w:firstLineChars="200"/>
        <w:outlineLvl w:val="0"/>
        <w:rPr>
          <w:rFonts w:ascii="仿宋" w:hAnsi="仿宋" w:eastAsia="仿宋" w:cs="仿宋_GB2312"/>
          <w:color w:val="000000"/>
          <w:sz w:val="32"/>
          <w:szCs w:val="32"/>
        </w:rPr>
      </w:pPr>
      <w:r>
        <w:rPr>
          <w:rFonts w:hint="eastAsia" w:ascii="仿宋" w:hAnsi="仿宋" w:eastAsia="仿宋" w:cs="仿宋_GB2312"/>
          <w:color w:val="000000"/>
          <w:sz w:val="32"/>
          <w:szCs w:val="32"/>
        </w:rPr>
        <w:t>4、与其他供应商串通或发生其他影响谈判公平竞争的行为。</w:t>
      </w:r>
    </w:p>
    <w:p>
      <w:pPr>
        <w:tabs>
          <w:tab w:val="left" w:pos="6300"/>
        </w:tabs>
        <w:snapToGrid w:val="0"/>
        <w:spacing w:line="400" w:lineRule="exact"/>
        <w:outlineLvl w:val="0"/>
        <w:rPr>
          <w:rFonts w:ascii="仿宋" w:hAnsi="仿宋" w:eastAsia="仿宋"/>
          <w:color w:val="000000"/>
          <w:sz w:val="32"/>
          <w:szCs w:val="32"/>
        </w:rPr>
      </w:pPr>
      <w:r>
        <w:rPr>
          <w:rFonts w:hint="eastAsia" w:ascii="仿宋" w:hAnsi="仿宋" w:eastAsia="仿宋"/>
          <w:color w:val="000000"/>
          <w:sz w:val="32"/>
          <w:szCs w:val="32"/>
        </w:rPr>
        <w:t>供应商（盖公章）：</w:t>
      </w:r>
      <w:r>
        <w:rPr>
          <w:rFonts w:ascii="仿宋" w:hAnsi="仿宋" w:eastAsia="仿宋"/>
          <w:color w:val="000000"/>
          <w:sz w:val="32"/>
          <w:szCs w:val="32"/>
        </w:rPr>
        <w:t xml:space="preserve">     </w:t>
      </w:r>
      <w:r>
        <w:rPr>
          <w:rFonts w:hint="eastAsia" w:ascii="仿宋" w:hAnsi="仿宋" w:eastAsia="仿宋"/>
          <w:color w:val="000000"/>
          <w:sz w:val="32"/>
          <w:szCs w:val="32"/>
        </w:rPr>
        <w:t>法定代表人（签字或加盖印鉴）：</w:t>
      </w:r>
    </w:p>
    <w:p>
      <w:pPr>
        <w:tabs>
          <w:tab w:val="left" w:pos="6300"/>
        </w:tabs>
        <w:snapToGrid w:val="0"/>
        <w:spacing w:line="400" w:lineRule="exact"/>
        <w:jc w:val="center"/>
        <w:outlineLvl w:val="0"/>
        <w:rPr>
          <w:rFonts w:ascii="仿宋" w:hAnsi="仿宋" w:eastAsia="仿宋"/>
          <w:color w:val="000000"/>
          <w:sz w:val="32"/>
          <w:szCs w:val="32"/>
        </w:rPr>
      </w:pPr>
    </w:p>
    <w:p>
      <w:pPr>
        <w:tabs>
          <w:tab w:val="left" w:pos="6300"/>
        </w:tabs>
        <w:snapToGrid w:val="0"/>
        <w:spacing w:line="400" w:lineRule="exact"/>
        <w:jc w:val="left"/>
        <w:outlineLvl w:val="0"/>
        <w:rPr>
          <w:rFonts w:ascii="仿宋" w:hAnsi="仿宋" w:eastAsia="仿宋"/>
          <w:color w:val="000000"/>
          <w:sz w:val="32"/>
          <w:szCs w:val="32"/>
        </w:rPr>
      </w:pPr>
      <w:r>
        <w:rPr>
          <w:rFonts w:hint="eastAsia" w:ascii="仿宋" w:hAnsi="仿宋" w:eastAsia="仿宋"/>
          <w:color w:val="000000"/>
          <w:sz w:val="32"/>
          <w:szCs w:val="32"/>
        </w:rPr>
        <w:t>联系人：</w:t>
      </w:r>
      <w:r>
        <w:rPr>
          <w:rFonts w:ascii="仿宋" w:hAnsi="仿宋" w:eastAsia="仿宋"/>
          <w:color w:val="000000"/>
          <w:sz w:val="32"/>
          <w:szCs w:val="32"/>
        </w:rPr>
        <w:t xml:space="preserve">                   </w:t>
      </w:r>
      <w:r>
        <w:rPr>
          <w:rFonts w:hint="eastAsia" w:ascii="仿宋" w:hAnsi="仿宋" w:eastAsia="仿宋"/>
          <w:color w:val="000000"/>
          <w:sz w:val="32"/>
          <w:szCs w:val="32"/>
        </w:rPr>
        <w:t>联系地址：</w:t>
      </w:r>
    </w:p>
    <w:p>
      <w:pPr>
        <w:tabs>
          <w:tab w:val="left" w:pos="6300"/>
        </w:tabs>
        <w:snapToGrid w:val="0"/>
        <w:spacing w:line="400" w:lineRule="exact"/>
        <w:jc w:val="center"/>
        <w:outlineLvl w:val="0"/>
        <w:rPr>
          <w:rFonts w:ascii="仿宋" w:hAnsi="仿宋" w:eastAsia="仿宋"/>
          <w:color w:val="000000"/>
          <w:sz w:val="32"/>
          <w:szCs w:val="32"/>
        </w:rPr>
      </w:pPr>
    </w:p>
    <w:p>
      <w:pPr>
        <w:tabs>
          <w:tab w:val="left" w:pos="6300"/>
        </w:tabs>
        <w:snapToGrid w:val="0"/>
        <w:spacing w:line="400" w:lineRule="exact"/>
        <w:outlineLvl w:val="0"/>
        <w:rPr>
          <w:rFonts w:ascii="仿宋" w:hAnsi="仿宋" w:eastAsia="仿宋"/>
          <w:color w:val="000000"/>
          <w:sz w:val="32"/>
          <w:szCs w:val="32"/>
        </w:rPr>
      </w:pPr>
      <w:r>
        <w:rPr>
          <w:rFonts w:hint="eastAsia" w:ascii="仿宋" w:hAnsi="仿宋" w:eastAsia="仿宋"/>
          <w:color w:val="000000"/>
          <w:sz w:val="32"/>
          <w:szCs w:val="32"/>
        </w:rPr>
        <w:t>电话：</w:t>
      </w:r>
      <w:r>
        <w:rPr>
          <w:rFonts w:ascii="仿宋" w:hAnsi="仿宋" w:eastAsia="仿宋"/>
          <w:color w:val="000000"/>
          <w:sz w:val="32"/>
          <w:szCs w:val="32"/>
        </w:rPr>
        <w:t xml:space="preserve">                       </w:t>
      </w:r>
      <w:r>
        <w:rPr>
          <w:rFonts w:hint="eastAsia" w:ascii="仿宋" w:hAnsi="仿宋" w:eastAsia="仿宋"/>
          <w:color w:val="000000"/>
          <w:sz w:val="32"/>
          <w:szCs w:val="32"/>
        </w:rPr>
        <w:t>邮编：</w:t>
      </w:r>
    </w:p>
    <w:p>
      <w:pPr>
        <w:tabs>
          <w:tab w:val="left" w:pos="6300"/>
        </w:tabs>
        <w:snapToGrid w:val="0"/>
        <w:spacing w:line="400" w:lineRule="exact"/>
        <w:outlineLvl w:val="0"/>
        <w:rPr>
          <w:rFonts w:ascii="仿宋" w:hAnsi="仿宋" w:eastAsia="仿宋"/>
          <w:color w:val="000000"/>
          <w:sz w:val="32"/>
          <w:szCs w:val="32"/>
        </w:rPr>
      </w:pPr>
    </w:p>
    <w:p>
      <w:pPr>
        <w:tabs>
          <w:tab w:val="left" w:pos="6300"/>
        </w:tabs>
        <w:snapToGrid w:val="0"/>
        <w:spacing w:line="400" w:lineRule="exact"/>
        <w:outlineLvl w:val="0"/>
        <w:rPr>
          <w:rFonts w:ascii="仿宋" w:hAnsi="仿宋" w:eastAsia="仿宋"/>
          <w:color w:val="000000"/>
          <w:sz w:val="32"/>
          <w:szCs w:val="32"/>
        </w:rPr>
      </w:pPr>
    </w:p>
    <w:p>
      <w:pPr>
        <w:tabs>
          <w:tab w:val="left" w:pos="6300"/>
        </w:tabs>
        <w:snapToGrid w:val="0"/>
        <w:spacing w:line="400" w:lineRule="exact"/>
        <w:jc w:val="center"/>
        <w:outlineLvl w:val="0"/>
        <w:rPr>
          <w:rFonts w:ascii="仿宋" w:hAnsi="仿宋" w:eastAsia="仿宋"/>
          <w:color w:val="000000"/>
          <w:sz w:val="32"/>
          <w:szCs w:val="32"/>
        </w:rPr>
      </w:pPr>
      <w:r>
        <w:rPr>
          <w:rFonts w:ascii="仿宋" w:hAnsi="仿宋" w:eastAsia="仿宋"/>
          <w:color w:val="000000"/>
          <w:sz w:val="32"/>
          <w:szCs w:val="32"/>
        </w:rPr>
        <w:t xml:space="preserve">             </w:t>
      </w:r>
      <w:r>
        <w:rPr>
          <w:rFonts w:hint="eastAsia" w:ascii="仿宋" w:hAnsi="仿宋" w:eastAsia="仿宋"/>
          <w:color w:val="000000"/>
          <w:sz w:val="32"/>
          <w:szCs w:val="32"/>
        </w:rPr>
        <w:t>年</w:t>
      </w:r>
      <w:r>
        <w:rPr>
          <w:rFonts w:ascii="仿宋" w:hAnsi="仿宋" w:eastAsia="仿宋"/>
          <w:color w:val="000000"/>
          <w:sz w:val="32"/>
          <w:szCs w:val="32"/>
        </w:rPr>
        <w:t xml:space="preserve">   </w:t>
      </w:r>
      <w:r>
        <w:rPr>
          <w:rFonts w:hint="eastAsia" w:ascii="仿宋" w:hAnsi="仿宋" w:eastAsia="仿宋"/>
          <w:color w:val="000000"/>
          <w:sz w:val="32"/>
          <w:szCs w:val="32"/>
        </w:rPr>
        <w:t>月</w:t>
      </w:r>
      <w:r>
        <w:rPr>
          <w:rFonts w:ascii="仿宋" w:hAnsi="仿宋" w:eastAsia="仿宋"/>
          <w:color w:val="000000"/>
          <w:sz w:val="32"/>
          <w:szCs w:val="32"/>
        </w:rPr>
        <w:t xml:space="preserve">   </w:t>
      </w:r>
      <w:r>
        <w:rPr>
          <w:rFonts w:hint="eastAsia" w:ascii="仿宋" w:hAnsi="仿宋" w:eastAsia="仿宋"/>
          <w:color w:val="000000"/>
          <w:sz w:val="32"/>
          <w:szCs w:val="32"/>
        </w:rPr>
        <w:t>日</w:t>
      </w:r>
    </w:p>
    <w:p>
      <w:pPr>
        <w:tabs>
          <w:tab w:val="left" w:pos="6300"/>
        </w:tabs>
        <w:snapToGrid w:val="0"/>
        <w:spacing w:line="560" w:lineRule="exact"/>
        <w:outlineLvl w:val="0"/>
        <w:rPr>
          <w:rFonts w:ascii="仿宋" w:hAnsi="仿宋" w:eastAsia="仿宋"/>
          <w:b/>
          <w:color w:val="000000"/>
          <w:sz w:val="32"/>
          <w:szCs w:val="32"/>
        </w:rPr>
      </w:pPr>
    </w:p>
    <w:p>
      <w:pPr>
        <w:tabs>
          <w:tab w:val="left" w:pos="6300"/>
        </w:tabs>
        <w:snapToGrid w:val="0"/>
        <w:spacing w:line="560" w:lineRule="exact"/>
        <w:jc w:val="left"/>
        <w:outlineLvl w:val="0"/>
        <w:rPr>
          <w:rFonts w:ascii="仿宋" w:hAnsi="仿宋" w:eastAsia="仿宋"/>
          <w:b/>
          <w:color w:val="000000"/>
          <w:sz w:val="32"/>
          <w:szCs w:val="32"/>
        </w:rPr>
      </w:pPr>
      <w:r>
        <w:rPr>
          <w:rFonts w:hint="eastAsia" w:ascii="仿宋" w:hAnsi="仿宋" w:eastAsia="仿宋"/>
          <w:b/>
          <w:sz w:val="32"/>
          <w:szCs w:val="32"/>
        </w:rPr>
        <w:t>表二</w:t>
      </w:r>
    </w:p>
    <w:p>
      <w:pPr>
        <w:tabs>
          <w:tab w:val="left" w:pos="6300"/>
        </w:tabs>
        <w:snapToGrid w:val="0"/>
        <w:spacing w:line="560" w:lineRule="exact"/>
        <w:jc w:val="center"/>
        <w:outlineLvl w:val="0"/>
        <w:rPr>
          <w:rFonts w:ascii="仿宋" w:hAnsi="仿宋" w:eastAsia="仿宋"/>
          <w:b/>
          <w:color w:val="000000"/>
          <w:sz w:val="44"/>
          <w:szCs w:val="44"/>
        </w:rPr>
      </w:pPr>
      <w:r>
        <w:rPr>
          <w:rFonts w:hint="eastAsia" w:ascii="仿宋" w:hAnsi="仿宋" w:eastAsia="仿宋"/>
          <w:b/>
          <w:color w:val="000000"/>
          <w:sz w:val="44"/>
          <w:szCs w:val="44"/>
        </w:rPr>
        <w:t>报价明细表</w:t>
      </w:r>
    </w:p>
    <w:tbl>
      <w:tblPr>
        <w:tblStyle w:val="40"/>
        <w:tblW w:w="87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7"/>
        <w:gridCol w:w="1081"/>
        <w:gridCol w:w="1134"/>
        <w:gridCol w:w="1134"/>
        <w:gridCol w:w="992"/>
        <w:gridCol w:w="113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jc w:val="center"/>
        </w:trPr>
        <w:tc>
          <w:tcPr>
            <w:tcW w:w="851" w:type="dxa"/>
          </w:tcPr>
          <w:p>
            <w:pPr>
              <w:tabs>
                <w:tab w:val="left" w:pos="6300"/>
              </w:tabs>
              <w:snapToGrid w:val="0"/>
              <w:jc w:val="center"/>
              <w:outlineLvl w:val="0"/>
              <w:rPr>
                <w:b/>
                <w:color w:val="000000"/>
              </w:rPr>
            </w:pPr>
            <w:r>
              <w:rPr>
                <w:rFonts w:hint="eastAsia"/>
                <w:b/>
                <w:color w:val="000000"/>
              </w:rPr>
              <w:t>序号</w:t>
            </w:r>
          </w:p>
        </w:tc>
        <w:tc>
          <w:tcPr>
            <w:tcW w:w="1417" w:type="dxa"/>
          </w:tcPr>
          <w:p>
            <w:pPr>
              <w:tabs>
                <w:tab w:val="left" w:pos="6300"/>
              </w:tabs>
              <w:snapToGrid w:val="0"/>
              <w:jc w:val="center"/>
              <w:outlineLvl w:val="0"/>
              <w:rPr>
                <w:b/>
                <w:color w:val="000000"/>
              </w:rPr>
            </w:pPr>
            <w:r>
              <w:rPr>
                <w:rFonts w:hint="eastAsia"/>
                <w:b/>
                <w:color w:val="000000"/>
              </w:rPr>
              <w:t>产品描述</w:t>
            </w:r>
          </w:p>
        </w:tc>
        <w:tc>
          <w:tcPr>
            <w:tcW w:w="1081" w:type="dxa"/>
          </w:tcPr>
          <w:p>
            <w:pPr>
              <w:tabs>
                <w:tab w:val="left" w:pos="6300"/>
              </w:tabs>
              <w:snapToGrid w:val="0"/>
              <w:outlineLvl w:val="0"/>
              <w:rPr>
                <w:b/>
                <w:color w:val="000000"/>
              </w:rPr>
            </w:pPr>
            <w:r>
              <w:rPr>
                <w:rFonts w:hint="eastAsia"/>
                <w:b/>
              </w:rPr>
              <w:t>品牌型号</w:t>
            </w:r>
          </w:p>
        </w:tc>
        <w:tc>
          <w:tcPr>
            <w:tcW w:w="1134" w:type="dxa"/>
          </w:tcPr>
          <w:p>
            <w:pPr>
              <w:tabs>
                <w:tab w:val="left" w:pos="6300"/>
              </w:tabs>
              <w:snapToGrid w:val="0"/>
              <w:jc w:val="center"/>
              <w:outlineLvl w:val="0"/>
              <w:rPr>
                <w:b/>
              </w:rPr>
            </w:pPr>
            <w:r>
              <w:rPr>
                <w:rFonts w:hint="eastAsia"/>
                <w:b/>
              </w:rPr>
              <w:t>单位</w:t>
            </w:r>
          </w:p>
        </w:tc>
        <w:tc>
          <w:tcPr>
            <w:tcW w:w="1134" w:type="dxa"/>
          </w:tcPr>
          <w:p>
            <w:pPr>
              <w:tabs>
                <w:tab w:val="left" w:pos="6300"/>
              </w:tabs>
              <w:snapToGrid w:val="0"/>
              <w:jc w:val="center"/>
              <w:outlineLvl w:val="0"/>
              <w:rPr>
                <w:b/>
              </w:rPr>
            </w:pPr>
            <w:r>
              <w:rPr>
                <w:rFonts w:hint="eastAsia"/>
                <w:b/>
              </w:rPr>
              <w:t>数量</w:t>
            </w:r>
          </w:p>
        </w:tc>
        <w:tc>
          <w:tcPr>
            <w:tcW w:w="992" w:type="dxa"/>
          </w:tcPr>
          <w:p>
            <w:pPr>
              <w:tabs>
                <w:tab w:val="left" w:pos="6300"/>
              </w:tabs>
              <w:snapToGrid w:val="0"/>
              <w:jc w:val="center"/>
              <w:outlineLvl w:val="0"/>
              <w:rPr>
                <w:b/>
              </w:rPr>
            </w:pPr>
            <w:r>
              <w:rPr>
                <w:rFonts w:hint="eastAsia"/>
                <w:b/>
              </w:rPr>
              <w:t>单价</w:t>
            </w:r>
          </w:p>
        </w:tc>
        <w:tc>
          <w:tcPr>
            <w:tcW w:w="1134" w:type="dxa"/>
          </w:tcPr>
          <w:p>
            <w:pPr>
              <w:tabs>
                <w:tab w:val="left" w:pos="6300"/>
              </w:tabs>
              <w:snapToGrid w:val="0"/>
              <w:jc w:val="center"/>
              <w:outlineLvl w:val="0"/>
              <w:rPr>
                <w:b/>
              </w:rPr>
            </w:pPr>
            <w:r>
              <w:rPr>
                <w:rFonts w:hint="eastAsia"/>
                <w:b/>
              </w:rPr>
              <w:t>总价</w:t>
            </w:r>
          </w:p>
        </w:tc>
        <w:tc>
          <w:tcPr>
            <w:tcW w:w="992" w:type="dxa"/>
          </w:tcPr>
          <w:p>
            <w:pPr>
              <w:tabs>
                <w:tab w:val="left" w:pos="6300"/>
              </w:tabs>
              <w:snapToGrid w:val="0"/>
              <w:jc w:val="center"/>
              <w:outlineLvl w:val="0"/>
              <w:rPr>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851" w:type="dxa"/>
          </w:tcPr>
          <w:p>
            <w:pPr>
              <w:tabs>
                <w:tab w:val="left" w:pos="6300"/>
              </w:tabs>
              <w:snapToGrid w:val="0"/>
              <w:ind w:firstLine="480"/>
              <w:jc w:val="center"/>
              <w:outlineLvl w:val="0"/>
              <w:rPr>
                <w:color w:val="000000"/>
              </w:rPr>
            </w:pPr>
          </w:p>
        </w:tc>
        <w:tc>
          <w:tcPr>
            <w:tcW w:w="1417" w:type="dxa"/>
          </w:tcPr>
          <w:p>
            <w:pPr>
              <w:tabs>
                <w:tab w:val="left" w:pos="6300"/>
              </w:tabs>
              <w:snapToGrid w:val="0"/>
              <w:ind w:firstLine="482"/>
              <w:jc w:val="center"/>
              <w:outlineLvl w:val="0"/>
              <w:rPr>
                <w:b/>
                <w:color w:val="000000"/>
              </w:rPr>
            </w:pPr>
          </w:p>
        </w:tc>
        <w:tc>
          <w:tcPr>
            <w:tcW w:w="1081" w:type="dxa"/>
          </w:tcPr>
          <w:p>
            <w:pPr>
              <w:tabs>
                <w:tab w:val="left" w:pos="6300"/>
              </w:tabs>
              <w:snapToGrid w:val="0"/>
              <w:ind w:firstLine="482"/>
              <w:jc w:val="center"/>
              <w:outlineLvl w:val="0"/>
              <w:rPr>
                <w:b/>
                <w:color w:val="000000"/>
              </w:rPr>
            </w:pPr>
          </w:p>
        </w:tc>
        <w:tc>
          <w:tcPr>
            <w:tcW w:w="1134" w:type="dxa"/>
          </w:tcPr>
          <w:p>
            <w:pPr>
              <w:tabs>
                <w:tab w:val="left" w:pos="6300"/>
              </w:tabs>
              <w:snapToGrid w:val="0"/>
              <w:ind w:firstLine="482"/>
              <w:jc w:val="center"/>
              <w:outlineLvl w:val="0"/>
              <w:rPr>
                <w:b/>
                <w:color w:val="000000"/>
              </w:rPr>
            </w:pPr>
          </w:p>
        </w:tc>
        <w:tc>
          <w:tcPr>
            <w:tcW w:w="1134" w:type="dxa"/>
          </w:tcPr>
          <w:p>
            <w:pPr>
              <w:tabs>
                <w:tab w:val="left" w:pos="6300"/>
              </w:tabs>
              <w:snapToGrid w:val="0"/>
              <w:ind w:firstLine="482"/>
              <w:jc w:val="center"/>
              <w:outlineLvl w:val="0"/>
              <w:rPr>
                <w:b/>
                <w:color w:val="000000"/>
              </w:rPr>
            </w:pPr>
          </w:p>
        </w:tc>
        <w:tc>
          <w:tcPr>
            <w:tcW w:w="992" w:type="dxa"/>
          </w:tcPr>
          <w:p>
            <w:pPr>
              <w:tabs>
                <w:tab w:val="left" w:pos="6300"/>
              </w:tabs>
              <w:snapToGrid w:val="0"/>
              <w:ind w:firstLine="482"/>
              <w:jc w:val="center"/>
              <w:outlineLvl w:val="0"/>
              <w:rPr>
                <w:b/>
                <w:color w:val="000000"/>
              </w:rPr>
            </w:pPr>
          </w:p>
        </w:tc>
        <w:tc>
          <w:tcPr>
            <w:tcW w:w="1134" w:type="dxa"/>
          </w:tcPr>
          <w:p>
            <w:pPr>
              <w:tabs>
                <w:tab w:val="left" w:pos="6300"/>
              </w:tabs>
              <w:snapToGrid w:val="0"/>
              <w:ind w:firstLine="482"/>
              <w:jc w:val="center"/>
              <w:outlineLvl w:val="0"/>
              <w:rPr>
                <w:b/>
                <w:color w:val="000000"/>
              </w:rPr>
            </w:pPr>
          </w:p>
        </w:tc>
        <w:tc>
          <w:tcPr>
            <w:tcW w:w="992" w:type="dxa"/>
          </w:tcPr>
          <w:p>
            <w:pPr>
              <w:tabs>
                <w:tab w:val="left" w:pos="6300"/>
              </w:tabs>
              <w:snapToGrid w:val="0"/>
              <w:ind w:firstLine="482"/>
              <w:jc w:val="center"/>
              <w:outlineLvl w:val="0"/>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3" w:hRule="atLeast"/>
          <w:jc w:val="center"/>
        </w:trPr>
        <w:tc>
          <w:tcPr>
            <w:tcW w:w="851" w:type="dxa"/>
          </w:tcPr>
          <w:p>
            <w:pPr>
              <w:tabs>
                <w:tab w:val="left" w:pos="6300"/>
              </w:tabs>
              <w:snapToGrid w:val="0"/>
              <w:outlineLvl w:val="0"/>
              <w:rPr>
                <w:color w:val="000000"/>
              </w:rPr>
            </w:pPr>
          </w:p>
        </w:tc>
        <w:tc>
          <w:tcPr>
            <w:tcW w:w="1417" w:type="dxa"/>
          </w:tcPr>
          <w:p>
            <w:pPr>
              <w:tabs>
                <w:tab w:val="left" w:pos="6300"/>
              </w:tabs>
              <w:snapToGrid w:val="0"/>
              <w:ind w:firstLine="480"/>
              <w:jc w:val="center"/>
              <w:outlineLvl w:val="0"/>
              <w:rPr>
                <w:color w:val="000000"/>
              </w:rPr>
            </w:pPr>
          </w:p>
        </w:tc>
        <w:tc>
          <w:tcPr>
            <w:tcW w:w="1081" w:type="dxa"/>
          </w:tcPr>
          <w:p>
            <w:pPr>
              <w:tabs>
                <w:tab w:val="left" w:pos="6300"/>
              </w:tabs>
              <w:snapToGrid w:val="0"/>
              <w:ind w:firstLine="480"/>
              <w:jc w:val="center"/>
              <w:outlineLvl w:val="0"/>
              <w:rPr>
                <w:color w:val="000000"/>
              </w:rPr>
            </w:pPr>
          </w:p>
        </w:tc>
        <w:tc>
          <w:tcPr>
            <w:tcW w:w="1134" w:type="dxa"/>
          </w:tcPr>
          <w:p>
            <w:pPr>
              <w:tabs>
                <w:tab w:val="left" w:pos="6300"/>
              </w:tabs>
              <w:snapToGrid w:val="0"/>
              <w:ind w:firstLine="480"/>
              <w:jc w:val="center"/>
              <w:outlineLvl w:val="0"/>
              <w:rPr>
                <w:color w:val="000000"/>
              </w:rPr>
            </w:pPr>
          </w:p>
        </w:tc>
        <w:tc>
          <w:tcPr>
            <w:tcW w:w="1134" w:type="dxa"/>
          </w:tcPr>
          <w:p>
            <w:pPr>
              <w:tabs>
                <w:tab w:val="left" w:pos="6300"/>
              </w:tabs>
              <w:snapToGrid w:val="0"/>
              <w:ind w:firstLine="480"/>
              <w:jc w:val="center"/>
              <w:outlineLvl w:val="0"/>
              <w:rPr>
                <w:color w:val="000000"/>
              </w:rPr>
            </w:pPr>
          </w:p>
        </w:tc>
        <w:tc>
          <w:tcPr>
            <w:tcW w:w="992" w:type="dxa"/>
          </w:tcPr>
          <w:p>
            <w:pPr>
              <w:tabs>
                <w:tab w:val="left" w:pos="6300"/>
              </w:tabs>
              <w:snapToGrid w:val="0"/>
              <w:ind w:firstLine="480"/>
              <w:jc w:val="center"/>
              <w:outlineLvl w:val="0"/>
              <w:rPr>
                <w:color w:val="000000"/>
              </w:rPr>
            </w:pPr>
          </w:p>
        </w:tc>
        <w:tc>
          <w:tcPr>
            <w:tcW w:w="1134" w:type="dxa"/>
          </w:tcPr>
          <w:p>
            <w:pPr>
              <w:tabs>
                <w:tab w:val="left" w:pos="6300"/>
              </w:tabs>
              <w:snapToGrid w:val="0"/>
              <w:ind w:firstLine="480"/>
              <w:jc w:val="center"/>
              <w:outlineLvl w:val="0"/>
              <w:rPr>
                <w:color w:val="000000"/>
              </w:rPr>
            </w:pPr>
          </w:p>
        </w:tc>
        <w:tc>
          <w:tcPr>
            <w:tcW w:w="992" w:type="dxa"/>
          </w:tcPr>
          <w:p>
            <w:pPr>
              <w:tabs>
                <w:tab w:val="left" w:pos="6300"/>
              </w:tabs>
              <w:snapToGrid w:val="0"/>
              <w:ind w:firstLine="480"/>
              <w:jc w:val="center"/>
              <w:outlineLvl w:val="0"/>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7" w:hRule="atLeast"/>
          <w:jc w:val="center"/>
        </w:trPr>
        <w:tc>
          <w:tcPr>
            <w:tcW w:w="851" w:type="dxa"/>
          </w:tcPr>
          <w:p>
            <w:pPr>
              <w:tabs>
                <w:tab w:val="left" w:pos="6300"/>
              </w:tabs>
              <w:snapToGrid w:val="0"/>
              <w:outlineLvl w:val="0"/>
              <w:rPr>
                <w:color w:val="000000"/>
              </w:rPr>
            </w:pPr>
          </w:p>
        </w:tc>
        <w:tc>
          <w:tcPr>
            <w:tcW w:w="1417" w:type="dxa"/>
          </w:tcPr>
          <w:p>
            <w:pPr>
              <w:tabs>
                <w:tab w:val="left" w:pos="6300"/>
              </w:tabs>
              <w:snapToGrid w:val="0"/>
              <w:ind w:firstLine="480"/>
              <w:jc w:val="center"/>
              <w:outlineLvl w:val="0"/>
              <w:rPr>
                <w:color w:val="000000"/>
              </w:rPr>
            </w:pPr>
          </w:p>
        </w:tc>
        <w:tc>
          <w:tcPr>
            <w:tcW w:w="1081" w:type="dxa"/>
          </w:tcPr>
          <w:p>
            <w:pPr>
              <w:tabs>
                <w:tab w:val="left" w:pos="6300"/>
              </w:tabs>
              <w:snapToGrid w:val="0"/>
              <w:ind w:firstLine="480"/>
              <w:jc w:val="center"/>
              <w:outlineLvl w:val="0"/>
              <w:rPr>
                <w:color w:val="000000"/>
              </w:rPr>
            </w:pPr>
          </w:p>
        </w:tc>
        <w:tc>
          <w:tcPr>
            <w:tcW w:w="1134" w:type="dxa"/>
          </w:tcPr>
          <w:p>
            <w:pPr>
              <w:tabs>
                <w:tab w:val="left" w:pos="6300"/>
              </w:tabs>
              <w:snapToGrid w:val="0"/>
              <w:ind w:firstLine="480"/>
              <w:jc w:val="center"/>
              <w:outlineLvl w:val="0"/>
              <w:rPr>
                <w:color w:val="000000"/>
              </w:rPr>
            </w:pPr>
          </w:p>
        </w:tc>
        <w:tc>
          <w:tcPr>
            <w:tcW w:w="1134" w:type="dxa"/>
          </w:tcPr>
          <w:p>
            <w:pPr>
              <w:tabs>
                <w:tab w:val="left" w:pos="6300"/>
              </w:tabs>
              <w:snapToGrid w:val="0"/>
              <w:ind w:firstLine="480"/>
              <w:jc w:val="center"/>
              <w:outlineLvl w:val="0"/>
              <w:rPr>
                <w:color w:val="000000"/>
              </w:rPr>
            </w:pPr>
          </w:p>
        </w:tc>
        <w:tc>
          <w:tcPr>
            <w:tcW w:w="992" w:type="dxa"/>
          </w:tcPr>
          <w:p>
            <w:pPr>
              <w:tabs>
                <w:tab w:val="left" w:pos="6300"/>
              </w:tabs>
              <w:snapToGrid w:val="0"/>
              <w:ind w:firstLine="480"/>
              <w:jc w:val="center"/>
              <w:outlineLvl w:val="0"/>
              <w:rPr>
                <w:color w:val="000000"/>
              </w:rPr>
            </w:pPr>
          </w:p>
        </w:tc>
        <w:tc>
          <w:tcPr>
            <w:tcW w:w="1134" w:type="dxa"/>
          </w:tcPr>
          <w:p>
            <w:pPr>
              <w:tabs>
                <w:tab w:val="left" w:pos="6300"/>
              </w:tabs>
              <w:snapToGrid w:val="0"/>
              <w:ind w:firstLine="480"/>
              <w:jc w:val="center"/>
              <w:outlineLvl w:val="0"/>
              <w:rPr>
                <w:color w:val="000000"/>
              </w:rPr>
            </w:pPr>
          </w:p>
        </w:tc>
        <w:tc>
          <w:tcPr>
            <w:tcW w:w="992" w:type="dxa"/>
          </w:tcPr>
          <w:p>
            <w:pPr>
              <w:tabs>
                <w:tab w:val="left" w:pos="6300"/>
              </w:tabs>
              <w:snapToGrid w:val="0"/>
              <w:ind w:firstLine="480"/>
              <w:jc w:val="center"/>
              <w:outlineLvl w:val="0"/>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3" w:hRule="atLeast"/>
          <w:jc w:val="center"/>
        </w:trPr>
        <w:tc>
          <w:tcPr>
            <w:tcW w:w="851" w:type="dxa"/>
          </w:tcPr>
          <w:p>
            <w:pPr>
              <w:tabs>
                <w:tab w:val="left" w:pos="6300"/>
              </w:tabs>
              <w:snapToGrid w:val="0"/>
              <w:outlineLvl w:val="0"/>
              <w:rPr>
                <w:color w:val="000000"/>
              </w:rPr>
            </w:pPr>
          </w:p>
        </w:tc>
        <w:tc>
          <w:tcPr>
            <w:tcW w:w="1417" w:type="dxa"/>
          </w:tcPr>
          <w:p>
            <w:pPr>
              <w:tabs>
                <w:tab w:val="left" w:pos="6300"/>
              </w:tabs>
              <w:snapToGrid w:val="0"/>
              <w:ind w:firstLine="480"/>
              <w:jc w:val="center"/>
              <w:outlineLvl w:val="0"/>
              <w:rPr>
                <w:color w:val="000000"/>
              </w:rPr>
            </w:pPr>
          </w:p>
        </w:tc>
        <w:tc>
          <w:tcPr>
            <w:tcW w:w="1081" w:type="dxa"/>
          </w:tcPr>
          <w:p>
            <w:pPr>
              <w:tabs>
                <w:tab w:val="left" w:pos="6300"/>
              </w:tabs>
              <w:snapToGrid w:val="0"/>
              <w:ind w:firstLine="480"/>
              <w:jc w:val="center"/>
              <w:outlineLvl w:val="0"/>
              <w:rPr>
                <w:color w:val="000000"/>
              </w:rPr>
            </w:pPr>
          </w:p>
        </w:tc>
        <w:tc>
          <w:tcPr>
            <w:tcW w:w="1134" w:type="dxa"/>
          </w:tcPr>
          <w:p>
            <w:pPr>
              <w:tabs>
                <w:tab w:val="left" w:pos="6300"/>
              </w:tabs>
              <w:snapToGrid w:val="0"/>
              <w:ind w:firstLine="480"/>
              <w:jc w:val="center"/>
              <w:outlineLvl w:val="0"/>
              <w:rPr>
                <w:color w:val="000000"/>
              </w:rPr>
            </w:pPr>
          </w:p>
        </w:tc>
        <w:tc>
          <w:tcPr>
            <w:tcW w:w="1134" w:type="dxa"/>
          </w:tcPr>
          <w:p>
            <w:pPr>
              <w:tabs>
                <w:tab w:val="left" w:pos="6300"/>
              </w:tabs>
              <w:snapToGrid w:val="0"/>
              <w:ind w:firstLine="480"/>
              <w:jc w:val="center"/>
              <w:outlineLvl w:val="0"/>
              <w:rPr>
                <w:color w:val="000000"/>
              </w:rPr>
            </w:pPr>
          </w:p>
        </w:tc>
        <w:tc>
          <w:tcPr>
            <w:tcW w:w="992" w:type="dxa"/>
          </w:tcPr>
          <w:p>
            <w:pPr>
              <w:tabs>
                <w:tab w:val="left" w:pos="6300"/>
              </w:tabs>
              <w:snapToGrid w:val="0"/>
              <w:ind w:firstLine="480"/>
              <w:jc w:val="center"/>
              <w:outlineLvl w:val="0"/>
              <w:rPr>
                <w:color w:val="000000"/>
              </w:rPr>
            </w:pPr>
          </w:p>
        </w:tc>
        <w:tc>
          <w:tcPr>
            <w:tcW w:w="1134" w:type="dxa"/>
          </w:tcPr>
          <w:p>
            <w:pPr>
              <w:tabs>
                <w:tab w:val="left" w:pos="6300"/>
              </w:tabs>
              <w:snapToGrid w:val="0"/>
              <w:ind w:firstLine="480"/>
              <w:jc w:val="center"/>
              <w:outlineLvl w:val="0"/>
              <w:rPr>
                <w:color w:val="000000"/>
              </w:rPr>
            </w:pPr>
          </w:p>
        </w:tc>
        <w:tc>
          <w:tcPr>
            <w:tcW w:w="992" w:type="dxa"/>
          </w:tcPr>
          <w:p>
            <w:pPr>
              <w:tabs>
                <w:tab w:val="left" w:pos="6300"/>
              </w:tabs>
              <w:snapToGrid w:val="0"/>
              <w:ind w:firstLine="480"/>
              <w:jc w:val="center"/>
              <w:outlineLvl w:val="0"/>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3" w:hRule="atLeast"/>
          <w:jc w:val="center"/>
        </w:trPr>
        <w:tc>
          <w:tcPr>
            <w:tcW w:w="851" w:type="dxa"/>
          </w:tcPr>
          <w:p>
            <w:pPr>
              <w:tabs>
                <w:tab w:val="left" w:pos="6300"/>
              </w:tabs>
              <w:snapToGrid w:val="0"/>
              <w:outlineLvl w:val="0"/>
              <w:rPr>
                <w:color w:val="000000"/>
              </w:rPr>
            </w:pPr>
          </w:p>
        </w:tc>
        <w:tc>
          <w:tcPr>
            <w:tcW w:w="1417" w:type="dxa"/>
          </w:tcPr>
          <w:p>
            <w:pPr>
              <w:tabs>
                <w:tab w:val="left" w:pos="6300"/>
              </w:tabs>
              <w:snapToGrid w:val="0"/>
              <w:ind w:firstLine="480"/>
              <w:jc w:val="center"/>
              <w:outlineLvl w:val="0"/>
              <w:rPr>
                <w:color w:val="000000"/>
              </w:rPr>
            </w:pPr>
          </w:p>
        </w:tc>
        <w:tc>
          <w:tcPr>
            <w:tcW w:w="1081" w:type="dxa"/>
          </w:tcPr>
          <w:p>
            <w:pPr>
              <w:tabs>
                <w:tab w:val="left" w:pos="6300"/>
              </w:tabs>
              <w:snapToGrid w:val="0"/>
              <w:ind w:firstLine="480"/>
              <w:jc w:val="center"/>
              <w:outlineLvl w:val="0"/>
              <w:rPr>
                <w:color w:val="000000"/>
              </w:rPr>
            </w:pPr>
          </w:p>
        </w:tc>
        <w:tc>
          <w:tcPr>
            <w:tcW w:w="1134" w:type="dxa"/>
          </w:tcPr>
          <w:p>
            <w:pPr>
              <w:tabs>
                <w:tab w:val="left" w:pos="6300"/>
              </w:tabs>
              <w:snapToGrid w:val="0"/>
              <w:ind w:firstLine="480"/>
              <w:jc w:val="center"/>
              <w:outlineLvl w:val="0"/>
              <w:rPr>
                <w:color w:val="000000"/>
              </w:rPr>
            </w:pPr>
          </w:p>
        </w:tc>
        <w:tc>
          <w:tcPr>
            <w:tcW w:w="1134" w:type="dxa"/>
          </w:tcPr>
          <w:p>
            <w:pPr>
              <w:tabs>
                <w:tab w:val="left" w:pos="6300"/>
              </w:tabs>
              <w:snapToGrid w:val="0"/>
              <w:ind w:firstLine="480"/>
              <w:jc w:val="center"/>
              <w:outlineLvl w:val="0"/>
              <w:rPr>
                <w:color w:val="000000"/>
              </w:rPr>
            </w:pPr>
          </w:p>
        </w:tc>
        <w:tc>
          <w:tcPr>
            <w:tcW w:w="992" w:type="dxa"/>
          </w:tcPr>
          <w:p>
            <w:pPr>
              <w:tabs>
                <w:tab w:val="left" w:pos="6300"/>
              </w:tabs>
              <w:snapToGrid w:val="0"/>
              <w:ind w:firstLine="480"/>
              <w:jc w:val="center"/>
              <w:outlineLvl w:val="0"/>
              <w:rPr>
                <w:color w:val="000000"/>
              </w:rPr>
            </w:pPr>
          </w:p>
        </w:tc>
        <w:tc>
          <w:tcPr>
            <w:tcW w:w="1134" w:type="dxa"/>
          </w:tcPr>
          <w:p>
            <w:pPr>
              <w:tabs>
                <w:tab w:val="left" w:pos="6300"/>
              </w:tabs>
              <w:snapToGrid w:val="0"/>
              <w:ind w:firstLine="480"/>
              <w:jc w:val="center"/>
              <w:outlineLvl w:val="0"/>
              <w:rPr>
                <w:color w:val="000000"/>
              </w:rPr>
            </w:pPr>
          </w:p>
        </w:tc>
        <w:tc>
          <w:tcPr>
            <w:tcW w:w="992" w:type="dxa"/>
          </w:tcPr>
          <w:p>
            <w:pPr>
              <w:tabs>
                <w:tab w:val="left" w:pos="6300"/>
              </w:tabs>
              <w:snapToGrid w:val="0"/>
              <w:ind w:firstLine="480"/>
              <w:jc w:val="center"/>
              <w:outlineLvl w:val="0"/>
              <w:rPr>
                <w:color w:val="000000"/>
              </w:rPr>
            </w:pPr>
          </w:p>
        </w:tc>
      </w:tr>
    </w:tbl>
    <w:p>
      <w:pPr>
        <w:pStyle w:val="11"/>
        <w:rPr>
          <w:rFonts w:ascii="仿宋" w:hAnsi="仿宋" w:eastAsia="仿宋"/>
          <w:bCs/>
          <w:sz w:val="32"/>
          <w:szCs w:val="32"/>
        </w:rPr>
      </w:pPr>
    </w:p>
    <w:p>
      <w:pPr>
        <w:pStyle w:val="11"/>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投标人（盖章）：               法定代表人（签字或加盖印鉴）：</w:t>
      </w: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 xml:space="preserve">                                      年    月    日</w:t>
      </w:r>
    </w:p>
    <w:p>
      <w:pPr>
        <w:pStyle w:val="11"/>
        <w:rPr>
          <w:rFonts w:ascii="仿宋" w:hAnsi="仿宋" w:eastAsia="仿宋"/>
          <w:bCs/>
          <w:sz w:val="32"/>
          <w:szCs w:val="32"/>
        </w:rPr>
      </w:pPr>
    </w:p>
    <w:p>
      <w:pPr>
        <w:pStyle w:val="11"/>
        <w:rPr>
          <w:rFonts w:ascii="仿宋" w:hAnsi="仿宋" w:eastAsia="仿宋"/>
          <w:bCs/>
          <w:sz w:val="32"/>
          <w:szCs w:val="32"/>
        </w:rPr>
      </w:pPr>
    </w:p>
    <w:p>
      <w:pPr>
        <w:pStyle w:val="11"/>
        <w:rPr>
          <w:rFonts w:ascii="仿宋" w:hAnsi="仿宋" w:eastAsia="仿宋"/>
          <w:bCs/>
          <w:sz w:val="32"/>
          <w:szCs w:val="32"/>
        </w:rPr>
      </w:pPr>
    </w:p>
    <w:p>
      <w:pPr>
        <w:pStyle w:val="11"/>
        <w:rPr>
          <w:rFonts w:ascii="仿宋" w:hAnsi="仿宋" w:eastAsia="仿宋"/>
          <w:bCs/>
          <w:sz w:val="32"/>
          <w:szCs w:val="32"/>
        </w:rPr>
      </w:pPr>
    </w:p>
    <w:p>
      <w:pPr>
        <w:pStyle w:val="11"/>
        <w:rPr>
          <w:rFonts w:ascii="仿宋" w:hAnsi="仿宋" w:eastAsia="仿宋"/>
          <w:bCs/>
          <w:sz w:val="32"/>
          <w:szCs w:val="32"/>
        </w:rPr>
      </w:pPr>
    </w:p>
    <w:p>
      <w:pPr>
        <w:tabs>
          <w:tab w:val="left" w:pos="6300"/>
        </w:tabs>
        <w:snapToGrid w:val="0"/>
        <w:spacing w:line="560" w:lineRule="exact"/>
        <w:outlineLvl w:val="0"/>
        <w:rPr>
          <w:rFonts w:ascii="仿宋" w:hAnsi="仿宋" w:eastAsia="仿宋"/>
          <w:b/>
          <w:color w:val="000000"/>
          <w:sz w:val="32"/>
          <w:szCs w:val="32"/>
        </w:rPr>
      </w:pPr>
    </w:p>
    <w:p>
      <w:pPr>
        <w:tabs>
          <w:tab w:val="left" w:pos="6300"/>
        </w:tabs>
        <w:snapToGrid w:val="0"/>
        <w:spacing w:line="560" w:lineRule="exact"/>
        <w:outlineLvl w:val="0"/>
        <w:rPr>
          <w:rFonts w:ascii="仿宋" w:hAnsi="仿宋" w:eastAsia="仿宋"/>
          <w:b/>
          <w:color w:val="000000"/>
          <w:sz w:val="32"/>
          <w:szCs w:val="32"/>
        </w:rPr>
      </w:pPr>
    </w:p>
    <w:p>
      <w:pPr>
        <w:tabs>
          <w:tab w:val="left" w:pos="6300"/>
        </w:tabs>
        <w:snapToGrid w:val="0"/>
        <w:spacing w:line="560" w:lineRule="exact"/>
        <w:outlineLvl w:val="0"/>
        <w:rPr>
          <w:rFonts w:ascii="仿宋" w:hAnsi="仿宋" w:eastAsia="仿宋"/>
          <w:b/>
          <w:color w:val="000000"/>
          <w:sz w:val="32"/>
          <w:szCs w:val="32"/>
        </w:rPr>
      </w:pPr>
      <w:r>
        <w:rPr>
          <w:rFonts w:hint="eastAsia" w:ascii="仿宋" w:hAnsi="仿宋" w:eastAsia="仿宋"/>
          <w:b/>
          <w:color w:val="000000"/>
          <w:sz w:val="32"/>
          <w:szCs w:val="32"/>
        </w:rPr>
        <w:t>表三</w:t>
      </w:r>
      <w:r>
        <w:rPr>
          <w:rFonts w:ascii="仿宋" w:hAnsi="仿宋" w:eastAsia="仿宋"/>
          <w:b/>
          <w:color w:val="000000"/>
          <w:sz w:val="32"/>
          <w:szCs w:val="32"/>
        </w:rPr>
        <w:t>:</w:t>
      </w:r>
    </w:p>
    <w:p>
      <w:pPr>
        <w:tabs>
          <w:tab w:val="left" w:pos="6300"/>
        </w:tabs>
        <w:snapToGrid w:val="0"/>
        <w:spacing w:line="560" w:lineRule="exact"/>
        <w:jc w:val="center"/>
        <w:outlineLvl w:val="0"/>
        <w:rPr>
          <w:rFonts w:ascii="仿宋" w:hAnsi="仿宋" w:eastAsia="仿宋"/>
          <w:color w:val="000000"/>
          <w:sz w:val="44"/>
          <w:szCs w:val="44"/>
        </w:rPr>
      </w:pPr>
      <w:r>
        <w:rPr>
          <w:rFonts w:hint="eastAsia" w:ascii="仿宋" w:hAnsi="仿宋" w:eastAsia="仿宋"/>
          <w:b/>
          <w:bCs/>
          <w:color w:val="000000"/>
          <w:sz w:val="44"/>
          <w:szCs w:val="44"/>
        </w:rPr>
        <w:t>授权委托书</w:t>
      </w:r>
    </w:p>
    <w:p>
      <w:pPr>
        <w:tabs>
          <w:tab w:val="left" w:pos="6300"/>
        </w:tabs>
        <w:snapToGrid w:val="0"/>
        <w:spacing w:line="560" w:lineRule="exact"/>
        <w:jc w:val="left"/>
        <w:outlineLvl w:val="0"/>
        <w:rPr>
          <w:rFonts w:ascii="仿宋" w:hAnsi="仿宋" w:eastAsia="仿宋"/>
          <w:color w:val="000000"/>
          <w:sz w:val="32"/>
          <w:szCs w:val="32"/>
        </w:rPr>
      </w:pPr>
    </w:p>
    <w:p>
      <w:pPr>
        <w:tabs>
          <w:tab w:val="left" w:pos="6300"/>
        </w:tabs>
        <w:snapToGrid w:val="0"/>
        <w:spacing w:line="560" w:lineRule="exact"/>
        <w:jc w:val="left"/>
        <w:outlineLvl w:val="0"/>
        <w:rPr>
          <w:rFonts w:ascii="仿宋" w:hAnsi="仿宋" w:eastAsia="仿宋"/>
          <w:color w:val="000000"/>
          <w:sz w:val="32"/>
          <w:szCs w:val="32"/>
        </w:rPr>
      </w:pPr>
      <w:r>
        <w:rPr>
          <w:rFonts w:hint="eastAsia" w:ascii="仿宋" w:hAnsi="仿宋" w:eastAsia="仿宋"/>
          <w:color w:val="000000"/>
          <w:sz w:val="32"/>
          <w:szCs w:val="32"/>
        </w:rPr>
        <w:t>授权单位：</w:t>
      </w:r>
      <w:r>
        <w:rPr>
          <w:rFonts w:hint="eastAsia" w:ascii="仿宋" w:hAnsi="仿宋" w:eastAsia="仿宋"/>
          <w:color w:val="000000"/>
          <w:sz w:val="32"/>
          <w:szCs w:val="32"/>
          <w:u w:val="single"/>
        </w:rPr>
        <w:t xml:space="preserve">                           </w:t>
      </w:r>
      <w:r>
        <w:rPr>
          <w:rFonts w:hint="eastAsia" w:ascii="仿宋" w:hAnsi="仿宋" w:eastAsia="仿宋"/>
          <w:color w:val="000000"/>
          <w:sz w:val="32"/>
          <w:szCs w:val="32"/>
        </w:rPr>
        <w:t>。（供应商全称）</w:t>
      </w:r>
    </w:p>
    <w:p>
      <w:pPr>
        <w:tabs>
          <w:tab w:val="left" w:pos="6300"/>
        </w:tabs>
        <w:snapToGrid w:val="0"/>
        <w:spacing w:line="560" w:lineRule="exact"/>
        <w:rPr>
          <w:rFonts w:ascii="仿宋" w:hAnsi="仿宋" w:eastAsia="仿宋"/>
          <w:color w:val="000000"/>
          <w:sz w:val="32"/>
          <w:szCs w:val="32"/>
        </w:rPr>
      </w:pPr>
      <w:r>
        <w:rPr>
          <w:rFonts w:hint="eastAsia" w:ascii="仿宋" w:hAnsi="仿宋" w:eastAsia="仿宋"/>
          <w:color w:val="000000"/>
          <w:sz w:val="32"/>
          <w:szCs w:val="32"/>
        </w:rPr>
        <w:t>公司地址：</w:t>
      </w:r>
      <w:r>
        <w:rPr>
          <w:rFonts w:hint="eastAsia" w:ascii="仿宋" w:hAnsi="仿宋" w:eastAsia="仿宋"/>
          <w:color w:val="000000"/>
          <w:sz w:val="32"/>
          <w:szCs w:val="32"/>
          <w:u w:val="single"/>
        </w:rPr>
        <w:t xml:space="preserve">                           </w:t>
      </w:r>
      <w:r>
        <w:rPr>
          <w:rFonts w:hint="eastAsia" w:ascii="仿宋" w:hAnsi="仿宋" w:eastAsia="仿宋"/>
          <w:color w:val="000000"/>
          <w:sz w:val="32"/>
          <w:szCs w:val="32"/>
        </w:rPr>
        <w:t>。</w:t>
      </w:r>
    </w:p>
    <w:p>
      <w:pPr>
        <w:tabs>
          <w:tab w:val="left" w:pos="6300"/>
        </w:tabs>
        <w:snapToGrid w:val="0"/>
        <w:spacing w:line="560" w:lineRule="exact"/>
        <w:rPr>
          <w:rFonts w:ascii="仿宋" w:hAnsi="仿宋" w:eastAsia="仿宋"/>
          <w:color w:val="000000"/>
          <w:sz w:val="32"/>
          <w:szCs w:val="32"/>
        </w:rPr>
      </w:pPr>
      <w:r>
        <w:rPr>
          <w:rFonts w:hint="eastAsia" w:ascii="仿宋" w:hAnsi="仿宋" w:eastAsia="仿宋"/>
          <w:color w:val="000000"/>
          <w:sz w:val="32"/>
          <w:szCs w:val="32"/>
        </w:rPr>
        <w:t>法定代表人：</w:t>
      </w:r>
      <w:r>
        <w:rPr>
          <w:rFonts w:hint="eastAsia" w:ascii="仿宋" w:hAnsi="仿宋" w:eastAsia="仿宋"/>
          <w:color w:val="000000"/>
          <w:sz w:val="32"/>
          <w:szCs w:val="32"/>
          <w:u w:val="single"/>
        </w:rPr>
        <w:t xml:space="preserve">            </w:t>
      </w:r>
      <w:r>
        <w:rPr>
          <w:rFonts w:hint="eastAsia" w:ascii="仿宋" w:hAnsi="仿宋" w:eastAsia="仿宋"/>
          <w:color w:val="000000"/>
          <w:sz w:val="32"/>
          <w:szCs w:val="32"/>
        </w:rPr>
        <w:t xml:space="preserve"> 手机号码：</w:t>
      </w:r>
      <w:r>
        <w:rPr>
          <w:rFonts w:hint="eastAsia" w:ascii="仿宋" w:hAnsi="仿宋" w:eastAsia="仿宋"/>
          <w:color w:val="000000"/>
          <w:sz w:val="32"/>
          <w:szCs w:val="32"/>
          <w:u w:val="single"/>
        </w:rPr>
        <w:t xml:space="preserve">                  </w:t>
      </w:r>
      <w:r>
        <w:rPr>
          <w:rFonts w:hint="eastAsia" w:ascii="仿宋" w:hAnsi="仿宋" w:eastAsia="仿宋"/>
          <w:color w:val="000000"/>
          <w:sz w:val="32"/>
          <w:szCs w:val="32"/>
        </w:rPr>
        <w:t>。</w:t>
      </w:r>
    </w:p>
    <w:p>
      <w:pPr>
        <w:tabs>
          <w:tab w:val="left" w:pos="6300"/>
        </w:tabs>
        <w:snapToGrid w:val="0"/>
        <w:spacing w:line="560" w:lineRule="exact"/>
        <w:rPr>
          <w:rFonts w:ascii="仿宋" w:hAnsi="仿宋" w:eastAsia="仿宋"/>
          <w:color w:val="000000"/>
          <w:sz w:val="32"/>
          <w:szCs w:val="32"/>
          <w:u w:val="single"/>
        </w:rPr>
      </w:pPr>
      <w:r>
        <w:rPr>
          <w:rFonts w:hint="eastAsia" w:ascii="仿宋" w:hAnsi="仿宋" w:eastAsia="仿宋"/>
          <w:color w:val="000000"/>
          <w:sz w:val="32"/>
          <w:szCs w:val="32"/>
        </w:rPr>
        <w:t>被授权人：</w:t>
      </w:r>
      <w:r>
        <w:rPr>
          <w:rFonts w:hint="eastAsia" w:ascii="仿宋" w:hAnsi="仿宋" w:eastAsia="仿宋"/>
          <w:color w:val="000000"/>
          <w:sz w:val="32"/>
          <w:szCs w:val="32"/>
          <w:u w:val="single"/>
        </w:rPr>
        <w:t xml:space="preserve">               </w:t>
      </w:r>
      <w:r>
        <w:rPr>
          <w:rFonts w:hint="eastAsia" w:ascii="仿宋" w:hAnsi="仿宋" w:eastAsia="仿宋"/>
          <w:color w:val="000000"/>
          <w:sz w:val="32"/>
          <w:szCs w:val="32"/>
        </w:rPr>
        <w:t>手机号码：</w:t>
      </w:r>
      <w:r>
        <w:rPr>
          <w:rFonts w:hint="eastAsia" w:ascii="仿宋" w:hAnsi="仿宋" w:eastAsia="仿宋"/>
          <w:color w:val="000000"/>
          <w:sz w:val="32"/>
          <w:szCs w:val="32"/>
          <w:u w:val="single"/>
        </w:rPr>
        <w:t xml:space="preserve">                  </w:t>
      </w:r>
      <w:r>
        <w:rPr>
          <w:rFonts w:hint="eastAsia" w:ascii="仿宋" w:hAnsi="仿宋" w:eastAsia="仿宋"/>
          <w:color w:val="000000"/>
          <w:sz w:val="32"/>
          <w:szCs w:val="32"/>
        </w:rPr>
        <w:t>。</w:t>
      </w:r>
    </w:p>
    <w:p>
      <w:pPr>
        <w:tabs>
          <w:tab w:val="left" w:pos="6300"/>
        </w:tabs>
        <w:snapToGrid w:val="0"/>
        <w:spacing w:line="560" w:lineRule="exact"/>
        <w:rPr>
          <w:rFonts w:ascii="仿宋" w:hAnsi="仿宋" w:eastAsia="仿宋"/>
          <w:color w:val="000000"/>
          <w:sz w:val="32"/>
          <w:szCs w:val="32"/>
          <w:u w:val="single"/>
        </w:rPr>
      </w:pPr>
      <w:r>
        <w:rPr>
          <w:rFonts w:hint="eastAsia" w:ascii="仿宋" w:hAnsi="仿宋" w:eastAsia="仿宋"/>
          <w:color w:val="000000"/>
          <w:sz w:val="32"/>
          <w:szCs w:val="32"/>
        </w:rPr>
        <w:t>项目名称：</w:t>
      </w:r>
      <w:r>
        <w:rPr>
          <w:rFonts w:hint="eastAsia" w:ascii="仿宋" w:hAnsi="仿宋" w:eastAsia="仿宋"/>
          <w:color w:val="000000"/>
          <w:sz w:val="32"/>
          <w:szCs w:val="32"/>
          <w:u w:val="single"/>
        </w:rPr>
        <w:t xml:space="preserve">                         </w:t>
      </w:r>
      <w:r>
        <w:rPr>
          <w:rFonts w:hint="eastAsia" w:ascii="仿宋" w:hAnsi="仿宋" w:eastAsia="仿宋"/>
          <w:color w:val="000000"/>
          <w:sz w:val="32"/>
          <w:szCs w:val="32"/>
        </w:rPr>
        <w:t>。</w:t>
      </w:r>
    </w:p>
    <w:p>
      <w:pPr>
        <w:tabs>
          <w:tab w:val="left" w:pos="630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授权单位现授权被授权人参加上述项目政府采购活动，以本公司的名义全权参与竞争性谈判，签署相关合同及其他相关法律文书，并办理与上述项目相关</w:t>
      </w:r>
      <w:r>
        <w:rPr>
          <w:rFonts w:hint="eastAsia" w:ascii="仿宋" w:hAnsi="仿宋" w:eastAsia="仿宋" w:cs="宋体"/>
          <w:color w:val="000000"/>
          <w:sz w:val="32"/>
          <w:szCs w:val="32"/>
        </w:rPr>
        <w:t>的其他所有事宜</w:t>
      </w:r>
      <w:r>
        <w:rPr>
          <w:rFonts w:hint="eastAsia" w:ascii="仿宋" w:hAnsi="仿宋" w:eastAsia="仿宋"/>
          <w:color w:val="000000"/>
          <w:sz w:val="32"/>
          <w:szCs w:val="32"/>
        </w:rPr>
        <w:t xml:space="preserve">。 </w:t>
      </w:r>
    </w:p>
    <w:p>
      <w:pPr>
        <w:tabs>
          <w:tab w:val="left" w:pos="6300"/>
        </w:tabs>
        <w:snapToGrid w:val="0"/>
        <w:spacing w:line="560" w:lineRule="exact"/>
        <w:ind w:firstLine="555"/>
        <w:rPr>
          <w:rFonts w:ascii="仿宋" w:hAnsi="仿宋" w:eastAsia="仿宋"/>
          <w:color w:val="000000"/>
          <w:sz w:val="32"/>
          <w:szCs w:val="32"/>
        </w:rPr>
      </w:pPr>
      <w:r>
        <w:rPr>
          <w:rFonts w:hint="eastAsia" w:ascii="仿宋" w:hAnsi="仿宋" w:eastAsia="仿宋"/>
          <w:color w:val="000000"/>
          <w:sz w:val="32"/>
          <w:szCs w:val="32"/>
        </w:rPr>
        <w:t>委托期限至上述事项全部办理完毕为止，受托人无转委托权。</w:t>
      </w:r>
    </w:p>
    <w:p>
      <w:pPr>
        <w:tabs>
          <w:tab w:val="left" w:pos="6300"/>
        </w:tabs>
        <w:snapToGrid w:val="0"/>
        <w:spacing w:line="560" w:lineRule="exact"/>
        <w:ind w:firstLine="555"/>
        <w:rPr>
          <w:rFonts w:ascii="仿宋" w:hAnsi="仿宋" w:eastAsia="仿宋"/>
          <w:color w:val="000000"/>
          <w:sz w:val="32"/>
          <w:szCs w:val="32"/>
        </w:rPr>
      </w:pPr>
      <w:r>
        <w:rPr>
          <w:rFonts w:hint="eastAsia" w:ascii="仿宋" w:hAnsi="仿宋" w:eastAsia="仿宋"/>
          <w:color w:val="000000"/>
          <w:sz w:val="32"/>
          <w:szCs w:val="32"/>
        </w:rPr>
        <w:t>受托人在办理上述事项过程中所实施的行为及签署的相关文件，我公司均予以认可。</w:t>
      </w:r>
    </w:p>
    <w:p>
      <w:pPr>
        <w:tabs>
          <w:tab w:val="left" w:pos="6300"/>
        </w:tabs>
        <w:snapToGrid w:val="0"/>
        <w:spacing w:line="560" w:lineRule="exact"/>
        <w:jc w:val="left"/>
        <w:outlineLvl w:val="0"/>
        <w:rPr>
          <w:rFonts w:ascii="仿宋" w:hAnsi="仿宋" w:eastAsia="仿宋"/>
          <w:b/>
          <w:color w:val="000000"/>
          <w:sz w:val="32"/>
          <w:szCs w:val="32"/>
        </w:rPr>
      </w:pPr>
    </w:p>
    <w:p>
      <w:pPr>
        <w:spacing w:line="560" w:lineRule="exact"/>
        <w:ind w:firstLine="480" w:firstLineChars="150"/>
        <w:rPr>
          <w:rFonts w:ascii="仿宋" w:hAnsi="仿宋" w:eastAsia="仿宋"/>
          <w:color w:val="000000"/>
          <w:sz w:val="32"/>
          <w:szCs w:val="32"/>
        </w:rPr>
      </w:pPr>
      <w:r>
        <w:rPr>
          <w:rFonts w:hint="eastAsia" w:ascii="仿宋" w:hAnsi="仿宋" w:eastAsia="仿宋"/>
          <w:color w:val="000000"/>
          <w:sz w:val="32"/>
          <w:szCs w:val="32"/>
        </w:rPr>
        <w:t>供应商：           法定代表人：</w:t>
      </w:r>
      <w:r>
        <w:rPr>
          <w:rFonts w:ascii="仿宋" w:hAnsi="仿宋" w:eastAsia="仿宋"/>
          <w:color w:val="000000"/>
          <w:sz w:val="32"/>
          <w:szCs w:val="32"/>
        </w:rPr>
        <w:t xml:space="preserve"> </w:t>
      </w:r>
    </w:p>
    <w:p>
      <w:pPr>
        <w:spacing w:line="560" w:lineRule="exact"/>
        <w:ind w:firstLine="160" w:firstLineChars="50"/>
        <w:rPr>
          <w:rFonts w:ascii="仿宋" w:hAnsi="仿宋" w:eastAsia="仿宋"/>
          <w:color w:val="000000"/>
          <w:sz w:val="32"/>
          <w:szCs w:val="32"/>
        </w:rPr>
      </w:pPr>
      <w:r>
        <w:rPr>
          <w:rFonts w:hint="eastAsia" w:ascii="仿宋" w:hAnsi="仿宋" w:eastAsia="仿宋"/>
          <w:color w:val="000000"/>
          <w:sz w:val="32"/>
          <w:szCs w:val="32"/>
        </w:rPr>
        <w:t>（盖公章）         （签字或加盖印鉴）</w:t>
      </w:r>
    </w:p>
    <w:p>
      <w:pPr>
        <w:pStyle w:val="11"/>
        <w:rPr>
          <w:rFonts w:ascii="仿宋" w:hAnsi="仿宋" w:eastAsia="仿宋"/>
          <w:color w:val="000000"/>
          <w:sz w:val="32"/>
          <w:szCs w:val="32"/>
        </w:rPr>
      </w:pPr>
    </w:p>
    <w:p>
      <w:pPr>
        <w:pStyle w:val="11"/>
        <w:rPr>
          <w:rFonts w:ascii="仿宋" w:hAnsi="仿宋" w:eastAsia="仿宋"/>
          <w:color w:val="000000"/>
          <w:sz w:val="32"/>
          <w:szCs w:val="32"/>
        </w:rPr>
      </w:pPr>
    </w:p>
    <w:tbl>
      <w:tblPr>
        <w:tblStyle w:val="40"/>
        <w:tblpPr w:leftFromText="180" w:rightFromText="180" w:vertAnchor="text" w:horzAnchor="page" w:tblpX="1467" w:tblpY="263"/>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0"/>
        <w:gridCol w:w="4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4650" w:type="dxa"/>
          </w:tcPr>
          <w:p>
            <w:pPr>
              <w:tabs>
                <w:tab w:val="left" w:pos="6300"/>
              </w:tabs>
              <w:snapToGrid w:val="0"/>
              <w:spacing w:line="560" w:lineRule="exact"/>
              <w:jc w:val="left"/>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授权人（</w:t>
            </w:r>
            <w:r>
              <w:rPr>
                <w:rFonts w:hint="eastAsia" w:ascii="仿宋" w:hAnsi="仿宋" w:eastAsia="仿宋"/>
                <w:color w:val="000000"/>
                <w:sz w:val="32"/>
                <w:szCs w:val="32"/>
              </w:rPr>
              <w:t>法定代表人</w:t>
            </w:r>
            <w:r>
              <w:rPr>
                <w:rFonts w:hint="eastAsia" w:ascii="仿宋" w:hAnsi="仿宋" w:eastAsia="仿宋" w:cs="仿宋_GB2312"/>
                <w:bCs/>
                <w:color w:val="000000"/>
                <w:sz w:val="32"/>
                <w:szCs w:val="32"/>
              </w:rPr>
              <w:t>）身份证复印件</w:t>
            </w:r>
          </w:p>
        </w:tc>
        <w:tc>
          <w:tcPr>
            <w:tcW w:w="4650" w:type="dxa"/>
          </w:tcPr>
          <w:p>
            <w:pPr>
              <w:tabs>
                <w:tab w:val="left" w:pos="6300"/>
              </w:tabs>
              <w:snapToGrid w:val="0"/>
              <w:spacing w:line="560" w:lineRule="exact"/>
              <w:jc w:val="left"/>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被授权人身份证复印件</w:t>
            </w:r>
          </w:p>
        </w:tc>
      </w:tr>
    </w:tbl>
    <w:p>
      <w:pPr>
        <w:tabs>
          <w:tab w:val="left" w:pos="6300"/>
        </w:tabs>
        <w:snapToGrid w:val="0"/>
        <w:spacing w:line="400" w:lineRule="exact"/>
        <w:outlineLvl w:val="0"/>
        <w:rPr>
          <w:rFonts w:ascii="仿宋" w:hAnsi="仿宋" w:eastAsia="仿宋"/>
          <w:color w:val="000000"/>
          <w:sz w:val="32"/>
          <w:szCs w:val="32"/>
        </w:rPr>
      </w:pPr>
    </w:p>
    <w:p>
      <w:pPr>
        <w:tabs>
          <w:tab w:val="left" w:pos="6300"/>
        </w:tabs>
        <w:snapToGrid w:val="0"/>
        <w:spacing w:line="400" w:lineRule="exact"/>
        <w:outlineLvl w:val="0"/>
        <w:rPr>
          <w:rFonts w:ascii="仿宋" w:hAnsi="仿宋" w:eastAsia="仿宋"/>
          <w:color w:val="000000"/>
          <w:sz w:val="32"/>
          <w:szCs w:val="32"/>
        </w:rPr>
      </w:pPr>
      <w:r>
        <w:rPr>
          <w:rFonts w:hint="eastAsia" w:ascii="仿宋" w:hAnsi="仿宋" w:eastAsia="仿宋"/>
          <w:color w:val="000000"/>
          <w:sz w:val="32"/>
          <w:szCs w:val="32"/>
        </w:rPr>
        <w:t xml:space="preserve">                                    </w:t>
      </w:r>
    </w:p>
    <w:p>
      <w:pPr>
        <w:tabs>
          <w:tab w:val="left" w:pos="6300"/>
        </w:tabs>
        <w:snapToGrid w:val="0"/>
        <w:spacing w:line="400" w:lineRule="exact"/>
        <w:outlineLvl w:val="0"/>
        <w:rPr>
          <w:rFonts w:ascii="仿宋" w:hAnsi="仿宋" w:eastAsia="仿宋"/>
          <w:color w:val="000000"/>
          <w:sz w:val="32"/>
          <w:szCs w:val="32"/>
        </w:rPr>
      </w:pPr>
      <w:r>
        <w:rPr>
          <w:rFonts w:hint="eastAsia" w:ascii="仿宋" w:hAnsi="仿宋" w:eastAsia="仿宋"/>
          <w:color w:val="000000"/>
          <w:sz w:val="32"/>
          <w:szCs w:val="32"/>
        </w:rPr>
        <w:t xml:space="preserve">                                       年  月  日</w:t>
      </w:r>
    </w:p>
    <w:p>
      <w:pPr>
        <w:tabs>
          <w:tab w:val="left" w:pos="6300"/>
        </w:tabs>
        <w:snapToGrid w:val="0"/>
        <w:spacing w:line="560" w:lineRule="exact"/>
        <w:outlineLvl w:val="0"/>
        <w:rPr>
          <w:rFonts w:ascii="仿宋_GB2312" w:hAnsi="仿宋_GB2312" w:eastAsia="仿宋_GB2312" w:cs="仿宋_GB2312"/>
          <w:b/>
          <w:color w:val="000000"/>
          <w:sz w:val="32"/>
          <w:szCs w:val="32"/>
        </w:rPr>
      </w:pPr>
    </w:p>
    <w:p>
      <w:pPr>
        <w:tabs>
          <w:tab w:val="left" w:pos="6300"/>
        </w:tabs>
        <w:snapToGrid w:val="0"/>
        <w:spacing w:line="400" w:lineRule="exact"/>
        <w:outlineLvl w:val="0"/>
        <w:rPr>
          <w:rFonts w:ascii="仿宋_GB2312" w:hAnsi="仿宋_GB2312" w:eastAsia="仿宋_GB2312" w:cs="仿宋_GB2312"/>
          <w:b/>
          <w:sz w:val="32"/>
          <w:szCs w:val="32"/>
        </w:rPr>
      </w:pPr>
      <w:r>
        <w:rPr>
          <w:rFonts w:hint="eastAsia" w:ascii="仿宋_GB2312" w:hAnsi="仿宋_GB2312" w:eastAsia="仿宋_GB2312" w:cs="仿宋_GB2312"/>
          <w:b/>
          <w:sz w:val="32"/>
          <w:szCs w:val="32"/>
        </w:rPr>
        <w:t>表三（2）:</w:t>
      </w:r>
    </w:p>
    <w:p>
      <w:pPr>
        <w:tabs>
          <w:tab w:val="left" w:pos="6300"/>
        </w:tabs>
        <w:snapToGrid w:val="0"/>
        <w:spacing w:line="560" w:lineRule="exact"/>
        <w:jc w:val="left"/>
        <w:outlineLvl w:val="0"/>
        <w:rPr>
          <w:rFonts w:ascii="仿宋" w:hAnsi="仿宋" w:eastAsia="仿宋"/>
          <w:b/>
          <w:color w:val="000000"/>
          <w:sz w:val="32"/>
          <w:szCs w:val="32"/>
        </w:rPr>
      </w:pPr>
    </w:p>
    <w:p>
      <w:pPr>
        <w:jc w:val="center"/>
        <w:rPr>
          <w:rFonts w:ascii="宋体" w:hAnsi="宋体"/>
          <w:sz w:val="44"/>
          <w:szCs w:val="44"/>
        </w:rPr>
      </w:pPr>
    </w:p>
    <w:p>
      <w:pPr>
        <w:jc w:val="center"/>
        <w:rPr>
          <w:rFonts w:ascii="宋体" w:hAnsi="宋体"/>
          <w:sz w:val="44"/>
          <w:szCs w:val="44"/>
        </w:rPr>
      </w:pPr>
      <w:r>
        <w:rPr>
          <w:rFonts w:hint="eastAsia" w:ascii="宋体" w:hAnsi="宋体"/>
          <w:sz w:val="44"/>
          <w:szCs w:val="44"/>
        </w:rPr>
        <w:t>法定代表人身份证明书</w:t>
      </w:r>
    </w:p>
    <w:p>
      <w:pPr>
        <w:ind w:firstLine="1280" w:firstLineChars="400"/>
        <w:rPr>
          <w:rFonts w:ascii="宋体" w:hAnsi="宋体"/>
          <w:sz w:val="32"/>
          <w:szCs w:val="32"/>
        </w:rPr>
      </w:pPr>
    </w:p>
    <w:p>
      <w:pPr>
        <w:ind w:firstLine="1280" w:firstLineChars="400"/>
        <w:rPr>
          <w:rFonts w:ascii="宋体" w:hAnsi="宋体"/>
          <w:sz w:val="32"/>
          <w:szCs w:val="32"/>
        </w:rPr>
      </w:pPr>
    </w:p>
    <w:p>
      <w:pPr>
        <w:ind w:firstLine="640" w:firstLineChars="200"/>
        <w:rPr>
          <w:rFonts w:ascii="宋体" w:hAnsi="宋体"/>
          <w:sz w:val="32"/>
          <w:szCs w:val="32"/>
        </w:rPr>
      </w:pPr>
      <w:r>
        <w:rPr>
          <w:rFonts w:hint="eastAsia" w:ascii="宋体" w:hAnsi="宋体"/>
          <w:sz w:val="32"/>
          <w:szCs w:val="32"/>
        </w:rPr>
        <w:t>兹证明XXX（性别，公民身份号码为：XXXXXXXXXXXXXXXXXXXXX）系我公司法定代表人。</w:t>
      </w:r>
    </w:p>
    <w:p>
      <w:pPr>
        <w:ind w:firstLine="1280" w:firstLineChars="400"/>
        <w:rPr>
          <w:rFonts w:ascii="宋体" w:hAnsi="宋体"/>
          <w:sz w:val="32"/>
          <w:szCs w:val="32"/>
        </w:rPr>
      </w:pPr>
    </w:p>
    <w:p>
      <w:pPr>
        <w:ind w:firstLine="1280" w:firstLineChars="400"/>
        <w:rPr>
          <w:rFonts w:ascii="宋体" w:hAnsi="宋体"/>
          <w:sz w:val="32"/>
          <w:szCs w:val="32"/>
        </w:rPr>
      </w:pPr>
    </w:p>
    <w:p>
      <w:pPr>
        <w:ind w:firstLine="1280" w:firstLineChars="400"/>
        <w:rPr>
          <w:rFonts w:ascii="宋体" w:hAnsi="宋体"/>
          <w:sz w:val="32"/>
          <w:szCs w:val="32"/>
        </w:rPr>
      </w:pPr>
    </w:p>
    <w:p>
      <w:pPr>
        <w:ind w:firstLine="1280" w:firstLineChars="400"/>
        <w:jc w:val="center"/>
        <w:rPr>
          <w:rFonts w:ascii="宋体" w:hAnsi="宋体"/>
          <w:sz w:val="32"/>
          <w:szCs w:val="32"/>
        </w:rPr>
      </w:pPr>
      <w:r>
        <w:rPr>
          <w:rFonts w:hint="eastAsia" w:ascii="宋体" w:hAnsi="宋体"/>
          <w:sz w:val="32"/>
          <w:szCs w:val="32"/>
        </w:rPr>
        <w:t xml:space="preserve">                             XXXXXXXXXXX公司</w:t>
      </w:r>
    </w:p>
    <w:p>
      <w:pPr>
        <w:ind w:right="640"/>
        <w:jc w:val="right"/>
        <w:rPr>
          <w:rFonts w:ascii="宋体" w:hAnsi="宋体"/>
          <w:sz w:val="32"/>
          <w:szCs w:val="32"/>
        </w:rPr>
      </w:pPr>
      <w:r>
        <w:rPr>
          <w:rFonts w:hint="eastAsia" w:ascii="宋体" w:hAnsi="宋体"/>
          <w:sz w:val="32"/>
          <w:szCs w:val="32"/>
        </w:rPr>
        <w:t>年  月  日</w:t>
      </w:r>
    </w:p>
    <w:p>
      <w:pPr>
        <w:tabs>
          <w:tab w:val="left" w:pos="6300"/>
        </w:tabs>
        <w:snapToGrid w:val="0"/>
        <w:spacing w:line="560" w:lineRule="exact"/>
        <w:jc w:val="left"/>
        <w:outlineLvl w:val="0"/>
        <w:rPr>
          <w:rFonts w:ascii="仿宋" w:hAnsi="仿宋" w:eastAsia="仿宋"/>
          <w:b/>
          <w:color w:val="000000"/>
          <w:sz w:val="32"/>
          <w:szCs w:val="32"/>
        </w:rPr>
      </w:pPr>
    </w:p>
    <w:p>
      <w:pPr>
        <w:tabs>
          <w:tab w:val="left" w:pos="6300"/>
        </w:tabs>
        <w:snapToGrid w:val="0"/>
        <w:spacing w:line="560" w:lineRule="exact"/>
        <w:jc w:val="left"/>
        <w:outlineLvl w:val="0"/>
        <w:rPr>
          <w:rFonts w:ascii="仿宋" w:hAnsi="仿宋" w:eastAsia="仿宋"/>
          <w:b/>
          <w:color w:val="000000"/>
          <w:sz w:val="32"/>
          <w:szCs w:val="32"/>
        </w:rPr>
      </w:pPr>
    </w:p>
    <w:p>
      <w:pPr>
        <w:tabs>
          <w:tab w:val="left" w:pos="6300"/>
        </w:tabs>
        <w:snapToGrid w:val="0"/>
        <w:spacing w:line="560" w:lineRule="exact"/>
        <w:jc w:val="left"/>
        <w:outlineLvl w:val="0"/>
        <w:rPr>
          <w:rFonts w:ascii="仿宋" w:hAnsi="仿宋" w:eastAsia="仿宋"/>
          <w:b/>
          <w:color w:val="000000"/>
          <w:sz w:val="32"/>
          <w:szCs w:val="32"/>
        </w:rPr>
      </w:pPr>
    </w:p>
    <w:p>
      <w:pPr>
        <w:tabs>
          <w:tab w:val="left" w:pos="6300"/>
        </w:tabs>
        <w:snapToGrid w:val="0"/>
        <w:spacing w:line="560" w:lineRule="exact"/>
        <w:jc w:val="left"/>
        <w:outlineLvl w:val="0"/>
        <w:rPr>
          <w:rFonts w:ascii="仿宋" w:hAnsi="仿宋" w:eastAsia="仿宋"/>
          <w:b/>
          <w:color w:val="000000"/>
          <w:sz w:val="32"/>
          <w:szCs w:val="32"/>
        </w:rPr>
      </w:pPr>
    </w:p>
    <w:p>
      <w:pPr>
        <w:tabs>
          <w:tab w:val="left" w:pos="6300"/>
        </w:tabs>
        <w:snapToGrid w:val="0"/>
        <w:spacing w:line="560" w:lineRule="exact"/>
        <w:jc w:val="left"/>
        <w:outlineLvl w:val="0"/>
        <w:rPr>
          <w:rFonts w:ascii="仿宋" w:hAnsi="仿宋" w:eastAsia="仿宋"/>
          <w:b/>
          <w:color w:val="000000"/>
          <w:sz w:val="32"/>
          <w:szCs w:val="32"/>
        </w:rPr>
      </w:pPr>
    </w:p>
    <w:p>
      <w:pPr>
        <w:tabs>
          <w:tab w:val="left" w:pos="6300"/>
        </w:tabs>
        <w:snapToGrid w:val="0"/>
        <w:spacing w:line="560" w:lineRule="exact"/>
        <w:jc w:val="left"/>
        <w:outlineLvl w:val="0"/>
        <w:rPr>
          <w:rFonts w:ascii="仿宋" w:hAnsi="仿宋" w:eastAsia="仿宋"/>
          <w:b/>
          <w:color w:val="000000"/>
          <w:sz w:val="32"/>
          <w:szCs w:val="32"/>
        </w:rPr>
      </w:pPr>
    </w:p>
    <w:p>
      <w:pPr>
        <w:tabs>
          <w:tab w:val="left" w:pos="6300"/>
        </w:tabs>
        <w:snapToGrid w:val="0"/>
        <w:spacing w:line="560" w:lineRule="exact"/>
        <w:jc w:val="left"/>
        <w:outlineLvl w:val="0"/>
        <w:rPr>
          <w:rFonts w:ascii="仿宋" w:hAnsi="仿宋" w:eastAsia="仿宋"/>
          <w:b/>
          <w:color w:val="000000"/>
          <w:sz w:val="32"/>
          <w:szCs w:val="32"/>
        </w:rPr>
      </w:pPr>
    </w:p>
    <w:p>
      <w:pPr>
        <w:tabs>
          <w:tab w:val="left" w:pos="6300"/>
        </w:tabs>
        <w:snapToGrid w:val="0"/>
        <w:spacing w:line="560" w:lineRule="exact"/>
        <w:outlineLvl w:val="0"/>
        <w:rPr>
          <w:rFonts w:ascii="仿宋" w:hAnsi="仿宋" w:eastAsia="仿宋"/>
          <w:b/>
          <w:color w:val="000000"/>
          <w:sz w:val="32"/>
          <w:szCs w:val="32"/>
        </w:rPr>
      </w:pPr>
      <w:r>
        <w:rPr>
          <w:rFonts w:hint="eastAsia" w:ascii="仿宋" w:hAnsi="仿宋" w:eastAsia="仿宋"/>
          <w:b/>
          <w:color w:val="000000"/>
          <w:sz w:val="32"/>
          <w:szCs w:val="32"/>
        </w:rPr>
        <w:t>备注：若法人参与本项目，则填写本表，不填写</w:t>
      </w:r>
      <w:r>
        <w:rPr>
          <w:rFonts w:hint="eastAsia" w:ascii="仿宋_GB2312" w:hAnsi="仿宋_GB2312" w:eastAsia="仿宋_GB2312" w:cs="仿宋_GB2312"/>
          <w:b/>
          <w:sz w:val="32"/>
          <w:szCs w:val="32"/>
        </w:rPr>
        <w:t>表二（1）</w:t>
      </w:r>
      <w:r>
        <w:rPr>
          <w:rFonts w:hint="eastAsia" w:ascii="仿宋" w:hAnsi="仿宋" w:eastAsia="仿宋"/>
          <w:b/>
          <w:color w:val="000000"/>
          <w:sz w:val="32"/>
          <w:szCs w:val="32"/>
        </w:rPr>
        <w:t>。</w:t>
      </w:r>
    </w:p>
    <w:p>
      <w:pPr>
        <w:tabs>
          <w:tab w:val="left" w:pos="6300"/>
        </w:tabs>
        <w:snapToGrid w:val="0"/>
        <w:spacing w:line="560" w:lineRule="exact"/>
        <w:jc w:val="left"/>
        <w:outlineLvl w:val="0"/>
        <w:rPr>
          <w:rFonts w:ascii="仿宋" w:hAnsi="仿宋" w:eastAsia="仿宋"/>
          <w:b/>
          <w:color w:val="000000"/>
          <w:sz w:val="32"/>
          <w:szCs w:val="32"/>
        </w:rPr>
      </w:pPr>
    </w:p>
    <w:p>
      <w:pPr>
        <w:tabs>
          <w:tab w:val="left" w:pos="6300"/>
        </w:tabs>
        <w:snapToGrid w:val="0"/>
        <w:spacing w:line="560" w:lineRule="exact"/>
        <w:jc w:val="left"/>
        <w:outlineLvl w:val="0"/>
        <w:rPr>
          <w:rFonts w:ascii="仿宋" w:hAnsi="仿宋" w:eastAsia="仿宋"/>
          <w:b/>
          <w:color w:val="000000"/>
          <w:sz w:val="32"/>
          <w:szCs w:val="32"/>
        </w:rPr>
      </w:pPr>
    </w:p>
    <w:p>
      <w:pPr>
        <w:tabs>
          <w:tab w:val="left" w:pos="6300"/>
        </w:tabs>
        <w:snapToGrid w:val="0"/>
        <w:spacing w:line="560" w:lineRule="exact"/>
        <w:jc w:val="left"/>
        <w:outlineLvl w:val="0"/>
        <w:rPr>
          <w:rFonts w:ascii="仿宋" w:hAnsi="仿宋" w:eastAsia="仿宋"/>
          <w:b/>
          <w:color w:val="000000"/>
          <w:sz w:val="32"/>
          <w:szCs w:val="32"/>
        </w:rPr>
      </w:pPr>
      <w:r>
        <w:rPr>
          <w:rFonts w:hint="eastAsia" w:ascii="仿宋" w:hAnsi="仿宋" w:eastAsia="仿宋"/>
          <w:b/>
          <w:color w:val="000000"/>
          <w:sz w:val="32"/>
          <w:szCs w:val="32"/>
        </w:rPr>
        <w:t>表四：</w:t>
      </w:r>
    </w:p>
    <w:p>
      <w:pPr>
        <w:jc w:val="center"/>
        <w:rPr>
          <w:rFonts w:ascii="仿宋_GB2312" w:hAnsi="仿宋_GB2312" w:eastAsia="仿宋_GB2312" w:cs="仿宋_GB2312"/>
          <w:color w:val="000000"/>
          <w:sz w:val="44"/>
          <w:szCs w:val="44"/>
        </w:rPr>
      </w:pPr>
      <w:r>
        <w:rPr>
          <w:rFonts w:hint="eastAsia" w:ascii="仿宋" w:hAnsi="仿宋" w:eastAsia="仿宋"/>
          <w:b/>
          <w:color w:val="000000"/>
          <w:sz w:val="44"/>
          <w:szCs w:val="44"/>
        </w:rPr>
        <w:t>反商业贿赂承诺书</w:t>
      </w:r>
    </w:p>
    <w:p>
      <w:pPr>
        <w:rPr>
          <w:rFonts w:ascii="仿宋_GB2312" w:hAnsi="仿宋_GB2312" w:eastAsia="仿宋_GB2312" w:cs="仿宋_GB2312"/>
          <w:color w:val="000000"/>
          <w:sz w:val="32"/>
          <w:szCs w:val="32"/>
        </w:rPr>
      </w:pPr>
    </w:p>
    <w:p>
      <w:pPr>
        <w:tabs>
          <w:tab w:val="left" w:pos="6300"/>
        </w:tabs>
        <w:snapToGrid w:val="0"/>
        <w:spacing w:line="560" w:lineRule="exact"/>
        <w:jc w:val="left"/>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昌吉市政府采购中心：</w:t>
      </w:r>
    </w:p>
    <w:p>
      <w:pPr>
        <w:tabs>
          <w:tab w:val="left" w:pos="6300"/>
        </w:tabs>
        <w:snapToGrid w:val="0"/>
        <w:spacing w:line="560" w:lineRule="exact"/>
        <w:jc w:val="left"/>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为促进采购工作的规范运行和公平竞争，有效制止采购活动中的不正之风和腐败现象，预防和遏制行贿受贿等违法犯罪活动，我单位特作以下承诺：</w:t>
      </w:r>
    </w:p>
    <w:p>
      <w:pPr>
        <w:tabs>
          <w:tab w:val="left" w:pos="6300"/>
        </w:tabs>
        <w:snapToGrid w:val="0"/>
        <w:spacing w:line="560" w:lineRule="exact"/>
        <w:jc w:val="left"/>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在本次采购活动中，我公司将自觉遵守《政府采购法》，不给予国家工作人员及其亲属各种形式的商业贿赂，包括送礼金、礼品、有价证券、购物券、回扣、佣金、咨询费、劳务费、赞助费、宣传费、支付旅游费用、报销各种消费凭证、宴请、娱乐活动等。</w:t>
      </w:r>
    </w:p>
    <w:p>
      <w:pPr>
        <w:tabs>
          <w:tab w:val="left" w:pos="6300"/>
        </w:tabs>
        <w:snapToGrid w:val="0"/>
        <w:spacing w:line="560" w:lineRule="exact"/>
        <w:ind w:firstLine="640" w:firstLineChars="200"/>
        <w:jc w:val="left"/>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如存在上述行为，我公司及项目参与人员自愿放弃本次项目的参与资格，若为预中标或成交人，也自愿放弃中标或成交资格，并愿意按照《反不正当竞争法》的有关规定接受处罚。</w:t>
      </w:r>
    </w:p>
    <w:p>
      <w:pPr>
        <w:tabs>
          <w:tab w:val="left" w:pos="6300"/>
        </w:tabs>
        <w:snapToGrid w:val="0"/>
        <w:spacing w:line="560" w:lineRule="exact"/>
        <w:jc w:val="center"/>
        <w:outlineLvl w:val="0"/>
        <w:rPr>
          <w:rFonts w:ascii="仿宋" w:hAnsi="仿宋" w:eastAsia="仿宋" w:cs="仿宋_GB2312"/>
          <w:bCs/>
          <w:color w:val="000000"/>
          <w:sz w:val="32"/>
          <w:szCs w:val="32"/>
        </w:rPr>
      </w:pPr>
    </w:p>
    <w:p>
      <w:pPr>
        <w:tabs>
          <w:tab w:val="left" w:pos="6300"/>
        </w:tabs>
        <w:snapToGrid w:val="0"/>
        <w:spacing w:line="560" w:lineRule="exact"/>
        <w:jc w:val="center"/>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供应商：</w:t>
      </w:r>
    </w:p>
    <w:p>
      <w:pPr>
        <w:tabs>
          <w:tab w:val="left" w:pos="6300"/>
        </w:tabs>
        <w:snapToGrid w:val="0"/>
        <w:spacing w:line="560" w:lineRule="exact"/>
        <w:jc w:val="center"/>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法定代表人：</w:t>
      </w:r>
    </w:p>
    <w:p>
      <w:pPr>
        <w:tabs>
          <w:tab w:val="left" w:pos="6300"/>
        </w:tabs>
        <w:snapToGrid w:val="0"/>
        <w:spacing w:line="560" w:lineRule="exact"/>
        <w:ind w:firstLine="4640" w:firstLineChars="1450"/>
        <w:jc w:val="left"/>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年   月   日</w:t>
      </w:r>
    </w:p>
    <w:p>
      <w:pPr>
        <w:spacing w:line="560" w:lineRule="exact"/>
        <w:rPr>
          <w:rFonts w:ascii="仿宋" w:hAnsi="仿宋" w:eastAsia="仿宋"/>
          <w:sz w:val="32"/>
          <w:szCs w:val="32"/>
        </w:rPr>
      </w:pPr>
    </w:p>
    <w:p>
      <w:pPr>
        <w:pStyle w:val="2"/>
        <w:ind w:firstLine="640"/>
        <w:rPr>
          <w:rFonts w:ascii="仿宋" w:hAnsi="仿宋" w:eastAsia="仿宋"/>
          <w:sz w:val="32"/>
          <w:szCs w:val="32"/>
        </w:rPr>
      </w:pPr>
    </w:p>
    <w:p>
      <w:pPr>
        <w:pStyle w:val="2"/>
        <w:ind w:firstLine="640"/>
        <w:rPr>
          <w:rFonts w:ascii="仿宋" w:hAnsi="仿宋" w:eastAsia="仿宋"/>
          <w:sz w:val="32"/>
          <w:szCs w:val="32"/>
        </w:rPr>
      </w:pPr>
    </w:p>
    <w:p>
      <w:pPr>
        <w:pStyle w:val="2"/>
        <w:ind w:firstLine="640"/>
        <w:rPr>
          <w:rFonts w:ascii="仿宋" w:hAnsi="仿宋" w:eastAsia="仿宋"/>
          <w:sz w:val="32"/>
          <w:szCs w:val="32"/>
        </w:rPr>
      </w:pPr>
    </w:p>
    <w:p>
      <w:pPr>
        <w:pStyle w:val="2"/>
        <w:ind w:firstLine="640"/>
        <w:rPr>
          <w:rFonts w:ascii="仿宋" w:hAnsi="仿宋" w:eastAsia="仿宋"/>
          <w:sz w:val="32"/>
          <w:szCs w:val="32"/>
        </w:rPr>
      </w:pPr>
    </w:p>
    <w:p>
      <w:pPr>
        <w:spacing w:line="560" w:lineRule="exact"/>
        <w:rPr>
          <w:rFonts w:ascii="仿宋" w:hAnsi="仿宋" w:eastAsia="仿宋"/>
          <w:sz w:val="32"/>
          <w:szCs w:val="32"/>
        </w:rPr>
      </w:pPr>
    </w:p>
    <w:p>
      <w:pPr>
        <w:spacing w:line="560" w:lineRule="exact"/>
        <w:textAlignment w:val="baseline"/>
        <w:rPr>
          <w:rFonts w:ascii="仿宋" w:hAnsi="仿宋" w:eastAsia="仿宋"/>
          <w:sz w:val="32"/>
          <w:szCs w:val="32"/>
        </w:rPr>
      </w:pPr>
      <w:r>
        <w:rPr>
          <w:rFonts w:hint="eastAsia" w:ascii="仿宋" w:hAnsi="仿宋" w:eastAsia="仿宋"/>
          <w:sz w:val="32"/>
          <w:szCs w:val="32"/>
        </w:rPr>
        <w:t>表表五：</w:t>
      </w:r>
    </w:p>
    <w:p>
      <w:pPr>
        <w:tabs>
          <w:tab w:val="left" w:pos="6300"/>
        </w:tabs>
        <w:snapToGrid w:val="0"/>
        <w:spacing w:line="560" w:lineRule="exact"/>
        <w:jc w:val="center"/>
        <w:textAlignment w:val="baseline"/>
        <w:rPr>
          <w:rFonts w:ascii="仿宋" w:hAnsi="仿宋" w:eastAsia="仿宋"/>
          <w:b/>
          <w:color w:val="000000"/>
          <w:sz w:val="44"/>
          <w:szCs w:val="44"/>
        </w:rPr>
      </w:pPr>
      <w:r>
        <w:rPr>
          <w:rFonts w:hint="eastAsia" w:ascii="仿宋" w:hAnsi="仿宋" w:eastAsia="仿宋"/>
          <w:b/>
          <w:color w:val="000000"/>
          <w:sz w:val="44"/>
          <w:szCs w:val="44"/>
        </w:rPr>
        <w:t>商务规格偏离表</w:t>
      </w:r>
    </w:p>
    <w:p>
      <w:pPr>
        <w:pStyle w:val="11"/>
        <w:textAlignment w:val="baseline"/>
      </w:pPr>
    </w:p>
    <w:tbl>
      <w:tblPr>
        <w:tblStyle w:val="40"/>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1860"/>
        <w:gridCol w:w="1860"/>
        <w:gridCol w:w="1861"/>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1" w:hRule="atLeast"/>
        </w:trPr>
        <w:tc>
          <w:tcPr>
            <w:tcW w:w="1859" w:type="dxa"/>
          </w:tcPr>
          <w:p>
            <w:pPr>
              <w:tabs>
                <w:tab w:val="left" w:pos="6300"/>
              </w:tabs>
              <w:snapToGrid w:val="0"/>
              <w:spacing w:line="560" w:lineRule="exact"/>
              <w:jc w:val="center"/>
              <w:textAlignment w:val="baseline"/>
              <w:rPr>
                <w:rFonts w:ascii="仿宋" w:hAnsi="仿宋" w:eastAsia="仿宋"/>
                <w:color w:val="000000"/>
                <w:sz w:val="32"/>
                <w:szCs w:val="32"/>
              </w:rPr>
            </w:pPr>
            <w:r>
              <w:rPr>
                <w:rFonts w:hint="eastAsia" w:ascii="仿宋" w:hAnsi="仿宋" w:eastAsia="仿宋"/>
                <w:color w:val="000000"/>
                <w:sz w:val="32"/>
                <w:szCs w:val="32"/>
              </w:rPr>
              <w:t>项目</w:t>
            </w:r>
          </w:p>
        </w:tc>
        <w:tc>
          <w:tcPr>
            <w:tcW w:w="1860" w:type="dxa"/>
          </w:tcPr>
          <w:p>
            <w:pPr>
              <w:tabs>
                <w:tab w:val="left" w:pos="6300"/>
              </w:tabs>
              <w:snapToGrid w:val="0"/>
              <w:spacing w:line="560" w:lineRule="exact"/>
              <w:jc w:val="center"/>
              <w:textAlignment w:val="baseline"/>
              <w:rPr>
                <w:rFonts w:ascii="仿宋" w:hAnsi="仿宋" w:eastAsia="仿宋"/>
                <w:color w:val="000000"/>
                <w:sz w:val="32"/>
                <w:szCs w:val="32"/>
              </w:rPr>
            </w:pPr>
            <w:r>
              <w:rPr>
                <w:rFonts w:hint="eastAsia" w:ascii="仿宋" w:hAnsi="仿宋" w:eastAsia="仿宋"/>
                <w:color w:val="000000"/>
                <w:sz w:val="32"/>
                <w:szCs w:val="32"/>
              </w:rPr>
              <w:t>技术要求</w:t>
            </w:r>
          </w:p>
        </w:tc>
        <w:tc>
          <w:tcPr>
            <w:tcW w:w="1860" w:type="dxa"/>
          </w:tcPr>
          <w:p>
            <w:pPr>
              <w:tabs>
                <w:tab w:val="left" w:pos="6300"/>
              </w:tabs>
              <w:snapToGrid w:val="0"/>
              <w:spacing w:line="560" w:lineRule="exact"/>
              <w:jc w:val="center"/>
              <w:textAlignment w:val="baseline"/>
              <w:rPr>
                <w:rFonts w:ascii="仿宋" w:hAnsi="仿宋" w:eastAsia="仿宋"/>
                <w:b/>
                <w:color w:val="000000"/>
                <w:sz w:val="32"/>
                <w:szCs w:val="32"/>
              </w:rPr>
            </w:pPr>
            <w:r>
              <w:rPr>
                <w:rFonts w:hint="eastAsia" w:ascii="仿宋" w:hAnsi="仿宋" w:eastAsia="仿宋"/>
                <w:sz w:val="32"/>
                <w:szCs w:val="32"/>
              </w:rPr>
              <w:t>应标参数</w:t>
            </w:r>
          </w:p>
        </w:tc>
        <w:tc>
          <w:tcPr>
            <w:tcW w:w="1861" w:type="dxa"/>
          </w:tcPr>
          <w:p>
            <w:pPr>
              <w:tabs>
                <w:tab w:val="left" w:pos="6300"/>
              </w:tabs>
              <w:snapToGrid w:val="0"/>
              <w:spacing w:line="560" w:lineRule="exact"/>
              <w:jc w:val="center"/>
              <w:textAlignment w:val="baseline"/>
              <w:rPr>
                <w:rFonts w:ascii="仿宋" w:hAnsi="仿宋" w:eastAsia="仿宋"/>
                <w:b/>
                <w:color w:val="000000"/>
                <w:sz w:val="32"/>
                <w:szCs w:val="32"/>
              </w:rPr>
            </w:pPr>
            <w:r>
              <w:rPr>
                <w:rFonts w:hint="eastAsia" w:ascii="仿宋" w:hAnsi="仿宋" w:eastAsia="仿宋"/>
                <w:sz w:val="32"/>
                <w:szCs w:val="32"/>
              </w:rPr>
              <w:t>正/负偏离/响应</w:t>
            </w:r>
          </w:p>
        </w:tc>
        <w:tc>
          <w:tcPr>
            <w:tcW w:w="1860" w:type="dxa"/>
          </w:tcPr>
          <w:p>
            <w:pPr>
              <w:tabs>
                <w:tab w:val="left" w:pos="6300"/>
              </w:tabs>
              <w:snapToGrid w:val="0"/>
              <w:spacing w:line="560" w:lineRule="exact"/>
              <w:jc w:val="center"/>
              <w:textAlignment w:val="baseline"/>
              <w:rPr>
                <w:rFonts w:ascii="仿宋" w:hAnsi="仿宋" w:eastAsia="仿宋"/>
                <w:sz w:val="32"/>
                <w:szCs w:val="32"/>
              </w:rPr>
            </w:pPr>
            <w:r>
              <w:rPr>
                <w:rFonts w:hint="eastAsia" w:ascii="仿宋" w:hAnsi="仿宋" w:eastAsia="仿宋"/>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5" w:hRule="atLeast"/>
        </w:trPr>
        <w:tc>
          <w:tcPr>
            <w:tcW w:w="1859" w:type="dxa"/>
          </w:tcPr>
          <w:p>
            <w:pPr>
              <w:tabs>
                <w:tab w:val="left" w:pos="6300"/>
              </w:tabs>
              <w:snapToGrid w:val="0"/>
              <w:spacing w:line="560" w:lineRule="exact"/>
              <w:jc w:val="center"/>
              <w:textAlignment w:val="baseline"/>
              <w:rPr>
                <w:rFonts w:ascii="仿宋" w:hAnsi="仿宋" w:eastAsia="仿宋"/>
                <w:sz w:val="32"/>
                <w:szCs w:val="32"/>
              </w:rPr>
            </w:pPr>
            <w:r>
              <w:rPr>
                <w:rFonts w:hint="eastAsia" w:ascii="仿宋" w:hAnsi="仿宋" w:eastAsia="仿宋"/>
                <w:sz w:val="32"/>
                <w:szCs w:val="32"/>
              </w:rPr>
              <w:t>供货时间</w:t>
            </w:r>
          </w:p>
        </w:tc>
        <w:tc>
          <w:tcPr>
            <w:tcW w:w="1860" w:type="dxa"/>
          </w:tcPr>
          <w:p>
            <w:pPr>
              <w:tabs>
                <w:tab w:val="left" w:pos="6300"/>
              </w:tabs>
              <w:snapToGrid w:val="0"/>
              <w:spacing w:line="560" w:lineRule="exact"/>
              <w:jc w:val="left"/>
              <w:textAlignment w:val="baseline"/>
              <w:rPr>
                <w:rFonts w:ascii="仿宋" w:hAnsi="仿宋" w:eastAsia="仿宋"/>
                <w:b/>
                <w:color w:val="000000"/>
                <w:sz w:val="32"/>
                <w:szCs w:val="32"/>
              </w:rPr>
            </w:pPr>
          </w:p>
        </w:tc>
        <w:tc>
          <w:tcPr>
            <w:tcW w:w="1860" w:type="dxa"/>
          </w:tcPr>
          <w:p>
            <w:pPr>
              <w:tabs>
                <w:tab w:val="left" w:pos="6300"/>
              </w:tabs>
              <w:snapToGrid w:val="0"/>
              <w:spacing w:line="560" w:lineRule="exact"/>
              <w:jc w:val="left"/>
              <w:textAlignment w:val="baseline"/>
              <w:rPr>
                <w:rFonts w:ascii="仿宋" w:hAnsi="仿宋" w:eastAsia="仿宋"/>
                <w:b/>
                <w:color w:val="000000"/>
                <w:sz w:val="32"/>
                <w:szCs w:val="32"/>
              </w:rPr>
            </w:pPr>
          </w:p>
        </w:tc>
        <w:tc>
          <w:tcPr>
            <w:tcW w:w="1861" w:type="dxa"/>
          </w:tcPr>
          <w:p>
            <w:pPr>
              <w:tabs>
                <w:tab w:val="left" w:pos="6300"/>
              </w:tabs>
              <w:snapToGrid w:val="0"/>
              <w:spacing w:line="560" w:lineRule="exact"/>
              <w:jc w:val="left"/>
              <w:textAlignment w:val="baseline"/>
              <w:rPr>
                <w:rFonts w:ascii="仿宋" w:hAnsi="仿宋" w:eastAsia="仿宋"/>
                <w:b/>
                <w:color w:val="000000"/>
                <w:sz w:val="32"/>
                <w:szCs w:val="32"/>
              </w:rPr>
            </w:pPr>
          </w:p>
        </w:tc>
        <w:tc>
          <w:tcPr>
            <w:tcW w:w="1860" w:type="dxa"/>
          </w:tcPr>
          <w:p>
            <w:pPr>
              <w:tabs>
                <w:tab w:val="left" w:pos="6300"/>
              </w:tabs>
              <w:snapToGrid w:val="0"/>
              <w:spacing w:line="560" w:lineRule="exact"/>
              <w:jc w:val="left"/>
              <w:textAlignment w:val="baseline"/>
              <w:rPr>
                <w:rFonts w:ascii="仿宋" w:hAnsi="仿宋" w:eastAsia="仿宋"/>
                <w:b/>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3" w:hRule="atLeast"/>
        </w:trPr>
        <w:tc>
          <w:tcPr>
            <w:tcW w:w="1859" w:type="dxa"/>
          </w:tcPr>
          <w:p>
            <w:pPr>
              <w:tabs>
                <w:tab w:val="left" w:pos="6300"/>
              </w:tabs>
              <w:snapToGrid w:val="0"/>
              <w:spacing w:line="560" w:lineRule="exact"/>
              <w:jc w:val="center"/>
              <w:textAlignment w:val="baseline"/>
              <w:rPr>
                <w:rFonts w:ascii="仿宋" w:hAnsi="仿宋" w:eastAsia="仿宋"/>
                <w:sz w:val="32"/>
                <w:szCs w:val="32"/>
              </w:rPr>
            </w:pPr>
            <w:r>
              <w:rPr>
                <w:rFonts w:hint="eastAsia" w:ascii="仿宋" w:hAnsi="仿宋" w:eastAsia="仿宋"/>
                <w:sz w:val="32"/>
                <w:szCs w:val="32"/>
              </w:rPr>
              <w:t>供货地点</w:t>
            </w:r>
          </w:p>
        </w:tc>
        <w:tc>
          <w:tcPr>
            <w:tcW w:w="1860" w:type="dxa"/>
          </w:tcPr>
          <w:p>
            <w:pPr>
              <w:tabs>
                <w:tab w:val="left" w:pos="6300"/>
              </w:tabs>
              <w:snapToGrid w:val="0"/>
              <w:spacing w:line="560" w:lineRule="exact"/>
              <w:jc w:val="center"/>
              <w:textAlignment w:val="baseline"/>
              <w:rPr>
                <w:rFonts w:ascii="仿宋" w:hAnsi="仿宋" w:eastAsia="仿宋"/>
                <w:color w:val="000000"/>
                <w:sz w:val="32"/>
                <w:szCs w:val="32"/>
              </w:rPr>
            </w:pPr>
          </w:p>
        </w:tc>
        <w:tc>
          <w:tcPr>
            <w:tcW w:w="1860" w:type="dxa"/>
          </w:tcPr>
          <w:p>
            <w:pPr>
              <w:tabs>
                <w:tab w:val="left" w:pos="6300"/>
              </w:tabs>
              <w:snapToGrid w:val="0"/>
              <w:spacing w:line="560" w:lineRule="exact"/>
              <w:jc w:val="center"/>
              <w:textAlignment w:val="baseline"/>
              <w:rPr>
                <w:rFonts w:ascii="仿宋" w:hAnsi="仿宋" w:eastAsia="仿宋"/>
                <w:color w:val="000000"/>
                <w:sz w:val="32"/>
                <w:szCs w:val="32"/>
              </w:rPr>
            </w:pPr>
          </w:p>
        </w:tc>
        <w:tc>
          <w:tcPr>
            <w:tcW w:w="1861" w:type="dxa"/>
          </w:tcPr>
          <w:p>
            <w:pPr>
              <w:tabs>
                <w:tab w:val="left" w:pos="6300"/>
              </w:tabs>
              <w:snapToGrid w:val="0"/>
              <w:spacing w:line="560" w:lineRule="exact"/>
              <w:jc w:val="center"/>
              <w:textAlignment w:val="baseline"/>
              <w:rPr>
                <w:rFonts w:ascii="仿宋" w:hAnsi="仿宋" w:eastAsia="仿宋"/>
                <w:color w:val="000000"/>
                <w:sz w:val="32"/>
                <w:szCs w:val="32"/>
              </w:rPr>
            </w:pPr>
          </w:p>
        </w:tc>
        <w:tc>
          <w:tcPr>
            <w:tcW w:w="1860" w:type="dxa"/>
          </w:tcPr>
          <w:p>
            <w:pPr>
              <w:tabs>
                <w:tab w:val="left" w:pos="6300"/>
              </w:tabs>
              <w:snapToGrid w:val="0"/>
              <w:spacing w:line="560" w:lineRule="exact"/>
              <w:jc w:val="center"/>
              <w:textAlignment w:val="baseline"/>
              <w:rPr>
                <w:rFonts w:ascii="仿宋" w:hAnsi="仿宋" w:eastAsia="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trPr>
        <w:tc>
          <w:tcPr>
            <w:tcW w:w="1859" w:type="dxa"/>
          </w:tcPr>
          <w:p>
            <w:pPr>
              <w:tabs>
                <w:tab w:val="left" w:pos="6300"/>
              </w:tabs>
              <w:snapToGrid w:val="0"/>
              <w:spacing w:line="560" w:lineRule="exact"/>
              <w:jc w:val="center"/>
              <w:textAlignment w:val="baseline"/>
              <w:rPr>
                <w:rFonts w:ascii="仿宋" w:hAnsi="仿宋" w:eastAsia="仿宋"/>
                <w:sz w:val="32"/>
                <w:szCs w:val="32"/>
              </w:rPr>
            </w:pPr>
            <w:r>
              <w:rPr>
                <w:rFonts w:hint="eastAsia" w:ascii="仿宋" w:hAnsi="仿宋" w:eastAsia="仿宋"/>
                <w:sz w:val="32"/>
                <w:szCs w:val="32"/>
              </w:rPr>
              <w:t>验收方式</w:t>
            </w:r>
          </w:p>
        </w:tc>
        <w:tc>
          <w:tcPr>
            <w:tcW w:w="1860" w:type="dxa"/>
          </w:tcPr>
          <w:p>
            <w:pPr>
              <w:tabs>
                <w:tab w:val="left" w:pos="6300"/>
              </w:tabs>
              <w:snapToGrid w:val="0"/>
              <w:spacing w:line="560" w:lineRule="exact"/>
              <w:jc w:val="left"/>
              <w:textAlignment w:val="baseline"/>
              <w:rPr>
                <w:rFonts w:ascii="仿宋" w:hAnsi="仿宋" w:eastAsia="仿宋"/>
                <w:color w:val="000000"/>
                <w:sz w:val="32"/>
                <w:szCs w:val="32"/>
              </w:rPr>
            </w:pPr>
          </w:p>
        </w:tc>
        <w:tc>
          <w:tcPr>
            <w:tcW w:w="1860" w:type="dxa"/>
          </w:tcPr>
          <w:p>
            <w:pPr>
              <w:tabs>
                <w:tab w:val="left" w:pos="6300"/>
              </w:tabs>
              <w:snapToGrid w:val="0"/>
              <w:spacing w:line="560" w:lineRule="exact"/>
              <w:jc w:val="left"/>
              <w:textAlignment w:val="baseline"/>
              <w:rPr>
                <w:rFonts w:ascii="仿宋" w:hAnsi="仿宋" w:eastAsia="仿宋"/>
                <w:color w:val="000000"/>
                <w:sz w:val="32"/>
                <w:szCs w:val="32"/>
              </w:rPr>
            </w:pPr>
          </w:p>
        </w:tc>
        <w:tc>
          <w:tcPr>
            <w:tcW w:w="1861" w:type="dxa"/>
          </w:tcPr>
          <w:p>
            <w:pPr>
              <w:tabs>
                <w:tab w:val="left" w:pos="6300"/>
              </w:tabs>
              <w:snapToGrid w:val="0"/>
              <w:spacing w:line="560" w:lineRule="exact"/>
              <w:jc w:val="left"/>
              <w:textAlignment w:val="baseline"/>
              <w:rPr>
                <w:rFonts w:ascii="仿宋" w:hAnsi="仿宋" w:eastAsia="仿宋"/>
                <w:color w:val="000000"/>
                <w:sz w:val="32"/>
                <w:szCs w:val="32"/>
              </w:rPr>
            </w:pPr>
          </w:p>
        </w:tc>
        <w:tc>
          <w:tcPr>
            <w:tcW w:w="1860" w:type="dxa"/>
          </w:tcPr>
          <w:p>
            <w:pPr>
              <w:tabs>
                <w:tab w:val="left" w:pos="6300"/>
              </w:tabs>
              <w:snapToGrid w:val="0"/>
              <w:spacing w:line="560" w:lineRule="exact"/>
              <w:jc w:val="left"/>
              <w:textAlignment w:val="baseline"/>
              <w:rPr>
                <w:rFonts w:ascii="仿宋" w:hAnsi="仿宋" w:eastAsia="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6" w:hRule="atLeast"/>
        </w:trPr>
        <w:tc>
          <w:tcPr>
            <w:tcW w:w="1859" w:type="dxa"/>
          </w:tcPr>
          <w:p>
            <w:pPr>
              <w:tabs>
                <w:tab w:val="left" w:pos="6300"/>
              </w:tabs>
              <w:snapToGrid w:val="0"/>
              <w:spacing w:line="560" w:lineRule="exact"/>
              <w:jc w:val="center"/>
              <w:textAlignment w:val="baseline"/>
              <w:rPr>
                <w:rFonts w:ascii="仿宋" w:hAnsi="仿宋" w:eastAsia="仿宋"/>
                <w:sz w:val="32"/>
                <w:szCs w:val="32"/>
              </w:rPr>
            </w:pPr>
            <w:r>
              <w:rPr>
                <w:rFonts w:hint="eastAsia" w:ascii="仿宋" w:hAnsi="仿宋" w:eastAsia="仿宋"/>
                <w:sz w:val="32"/>
                <w:szCs w:val="32"/>
              </w:rPr>
              <w:t>付款方式</w:t>
            </w:r>
          </w:p>
          <w:p>
            <w:pPr>
              <w:tabs>
                <w:tab w:val="left" w:pos="6300"/>
              </w:tabs>
              <w:snapToGrid w:val="0"/>
              <w:spacing w:line="560" w:lineRule="exact"/>
              <w:jc w:val="center"/>
              <w:textAlignment w:val="baseline"/>
              <w:rPr>
                <w:rFonts w:ascii="仿宋" w:hAnsi="仿宋" w:eastAsia="仿宋"/>
                <w:sz w:val="32"/>
                <w:szCs w:val="32"/>
              </w:rPr>
            </w:pPr>
          </w:p>
        </w:tc>
        <w:tc>
          <w:tcPr>
            <w:tcW w:w="1860" w:type="dxa"/>
          </w:tcPr>
          <w:p>
            <w:pPr>
              <w:tabs>
                <w:tab w:val="left" w:pos="6300"/>
              </w:tabs>
              <w:snapToGrid w:val="0"/>
              <w:spacing w:line="560" w:lineRule="exact"/>
              <w:jc w:val="left"/>
              <w:textAlignment w:val="baseline"/>
              <w:rPr>
                <w:rFonts w:ascii="仿宋" w:hAnsi="仿宋" w:eastAsia="仿宋"/>
                <w:color w:val="000000"/>
                <w:sz w:val="32"/>
                <w:szCs w:val="32"/>
              </w:rPr>
            </w:pPr>
          </w:p>
        </w:tc>
        <w:tc>
          <w:tcPr>
            <w:tcW w:w="1860" w:type="dxa"/>
          </w:tcPr>
          <w:p>
            <w:pPr>
              <w:tabs>
                <w:tab w:val="left" w:pos="6300"/>
              </w:tabs>
              <w:snapToGrid w:val="0"/>
              <w:spacing w:line="560" w:lineRule="exact"/>
              <w:jc w:val="left"/>
              <w:textAlignment w:val="baseline"/>
              <w:rPr>
                <w:rFonts w:ascii="仿宋" w:hAnsi="仿宋" w:eastAsia="仿宋"/>
                <w:color w:val="000000"/>
                <w:sz w:val="32"/>
                <w:szCs w:val="32"/>
              </w:rPr>
            </w:pPr>
          </w:p>
        </w:tc>
        <w:tc>
          <w:tcPr>
            <w:tcW w:w="1861" w:type="dxa"/>
          </w:tcPr>
          <w:p>
            <w:pPr>
              <w:tabs>
                <w:tab w:val="left" w:pos="6300"/>
              </w:tabs>
              <w:snapToGrid w:val="0"/>
              <w:spacing w:line="560" w:lineRule="exact"/>
              <w:jc w:val="left"/>
              <w:textAlignment w:val="baseline"/>
              <w:rPr>
                <w:rFonts w:ascii="仿宋" w:hAnsi="仿宋" w:eastAsia="仿宋"/>
                <w:color w:val="000000"/>
                <w:sz w:val="32"/>
                <w:szCs w:val="32"/>
              </w:rPr>
            </w:pPr>
          </w:p>
        </w:tc>
        <w:tc>
          <w:tcPr>
            <w:tcW w:w="1860" w:type="dxa"/>
          </w:tcPr>
          <w:p>
            <w:pPr>
              <w:tabs>
                <w:tab w:val="left" w:pos="6300"/>
              </w:tabs>
              <w:snapToGrid w:val="0"/>
              <w:spacing w:line="560" w:lineRule="exact"/>
              <w:jc w:val="left"/>
              <w:textAlignment w:val="baseline"/>
              <w:rPr>
                <w:rFonts w:ascii="仿宋" w:hAnsi="仿宋" w:eastAsia="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6" w:hRule="atLeast"/>
        </w:trPr>
        <w:tc>
          <w:tcPr>
            <w:tcW w:w="1859" w:type="dxa"/>
          </w:tcPr>
          <w:p>
            <w:pPr>
              <w:tabs>
                <w:tab w:val="left" w:pos="6300"/>
              </w:tabs>
              <w:snapToGrid w:val="0"/>
              <w:spacing w:line="560" w:lineRule="exact"/>
              <w:ind w:firstLine="320" w:firstLineChars="100"/>
              <w:textAlignment w:val="baseline"/>
              <w:rPr>
                <w:rFonts w:ascii="仿宋" w:hAnsi="仿宋" w:eastAsia="仿宋_GB2312"/>
                <w:sz w:val="32"/>
                <w:szCs w:val="32"/>
              </w:rPr>
            </w:pPr>
            <w:r>
              <w:rPr>
                <w:rFonts w:hint="eastAsia" w:ascii="仿宋" w:hAnsi="仿宋" w:eastAsia="仿宋_GB2312"/>
                <w:sz w:val="32"/>
                <w:szCs w:val="32"/>
              </w:rPr>
              <w:t>售后服务</w:t>
            </w:r>
          </w:p>
        </w:tc>
        <w:tc>
          <w:tcPr>
            <w:tcW w:w="1860" w:type="dxa"/>
          </w:tcPr>
          <w:p>
            <w:pPr>
              <w:tabs>
                <w:tab w:val="left" w:pos="6300"/>
              </w:tabs>
              <w:snapToGrid w:val="0"/>
              <w:spacing w:line="560" w:lineRule="exact"/>
              <w:jc w:val="left"/>
              <w:textAlignment w:val="baseline"/>
              <w:rPr>
                <w:rFonts w:ascii="仿宋" w:hAnsi="仿宋" w:eastAsia="仿宋"/>
                <w:color w:val="000000"/>
                <w:sz w:val="32"/>
                <w:szCs w:val="32"/>
              </w:rPr>
            </w:pPr>
          </w:p>
        </w:tc>
        <w:tc>
          <w:tcPr>
            <w:tcW w:w="1860" w:type="dxa"/>
          </w:tcPr>
          <w:p>
            <w:pPr>
              <w:tabs>
                <w:tab w:val="left" w:pos="6300"/>
              </w:tabs>
              <w:snapToGrid w:val="0"/>
              <w:spacing w:line="560" w:lineRule="exact"/>
              <w:jc w:val="left"/>
              <w:textAlignment w:val="baseline"/>
              <w:rPr>
                <w:rFonts w:ascii="仿宋" w:hAnsi="仿宋" w:eastAsia="仿宋"/>
                <w:color w:val="000000"/>
                <w:sz w:val="32"/>
                <w:szCs w:val="32"/>
              </w:rPr>
            </w:pPr>
          </w:p>
        </w:tc>
        <w:tc>
          <w:tcPr>
            <w:tcW w:w="1861" w:type="dxa"/>
          </w:tcPr>
          <w:p>
            <w:pPr>
              <w:tabs>
                <w:tab w:val="left" w:pos="6300"/>
              </w:tabs>
              <w:snapToGrid w:val="0"/>
              <w:spacing w:line="560" w:lineRule="exact"/>
              <w:jc w:val="left"/>
              <w:textAlignment w:val="baseline"/>
              <w:rPr>
                <w:rFonts w:ascii="仿宋" w:hAnsi="仿宋" w:eastAsia="仿宋"/>
                <w:color w:val="000000"/>
                <w:sz w:val="32"/>
                <w:szCs w:val="32"/>
              </w:rPr>
            </w:pPr>
          </w:p>
        </w:tc>
        <w:tc>
          <w:tcPr>
            <w:tcW w:w="1860" w:type="dxa"/>
          </w:tcPr>
          <w:p>
            <w:pPr>
              <w:tabs>
                <w:tab w:val="left" w:pos="6300"/>
              </w:tabs>
              <w:snapToGrid w:val="0"/>
              <w:spacing w:line="560" w:lineRule="exact"/>
              <w:jc w:val="left"/>
              <w:textAlignment w:val="baseline"/>
              <w:rPr>
                <w:rFonts w:ascii="仿宋" w:hAnsi="仿宋" w:eastAsia="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6" w:hRule="atLeast"/>
        </w:trPr>
        <w:tc>
          <w:tcPr>
            <w:tcW w:w="1859" w:type="dxa"/>
          </w:tcPr>
          <w:p>
            <w:pPr>
              <w:tabs>
                <w:tab w:val="left" w:pos="6300"/>
              </w:tabs>
              <w:snapToGrid w:val="0"/>
              <w:spacing w:line="560" w:lineRule="exact"/>
              <w:ind w:firstLine="320" w:firstLineChars="100"/>
              <w:textAlignment w:val="baseline"/>
              <w:rPr>
                <w:rFonts w:ascii="仿宋" w:hAnsi="仿宋" w:eastAsia="仿宋_GB2312"/>
                <w:sz w:val="32"/>
                <w:szCs w:val="32"/>
              </w:rPr>
            </w:pPr>
            <w:r>
              <w:rPr>
                <w:rFonts w:hint="eastAsia" w:ascii="仿宋" w:hAnsi="仿宋" w:eastAsia="仿宋"/>
                <w:color w:val="000000"/>
                <w:sz w:val="32"/>
                <w:szCs w:val="32"/>
              </w:rPr>
              <w:t>质保期</w:t>
            </w:r>
          </w:p>
        </w:tc>
        <w:tc>
          <w:tcPr>
            <w:tcW w:w="1860" w:type="dxa"/>
          </w:tcPr>
          <w:p>
            <w:pPr>
              <w:tabs>
                <w:tab w:val="left" w:pos="6300"/>
              </w:tabs>
              <w:snapToGrid w:val="0"/>
              <w:spacing w:line="560" w:lineRule="exact"/>
              <w:jc w:val="left"/>
              <w:textAlignment w:val="baseline"/>
              <w:rPr>
                <w:rFonts w:ascii="仿宋" w:hAnsi="仿宋" w:eastAsia="仿宋"/>
                <w:color w:val="000000"/>
                <w:sz w:val="32"/>
                <w:szCs w:val="32"/>
              </w:rPr>
            </w:pPr>
          </w:p>
        </w:tc>
        <w:tc>
          <w:tcPr>
            <w:tcW w:w="1860" w:type="dxa"/>
          </w:tcPr>
          <w:p>
            <w:pPr>
              <w:tabs>
                <w:tab w:val="left" w:pos="6300"/>
              </w:tabs>
              <w:snapToGrid w:val="0"/>
              <w:spacing w:line="560" w:lineRule="exact"/>
              <w:jc w:val="left"/>
              <w:textAlignment w:val="baseline"/>
              <w:rPr>
                <w:rFonts w:ascii="仿宋" w:hAnsi="仿宋" w:eastAsia="仿宋"/>
                <w:color w:val="000000"/>
                <w:sz w:val="32"/>
                <w:szCs w:val="32"/>
              </w:rPr>
            </w:pPr>
          </w:p>
        </w:tc>
        <w:tc>
          <w:tcPr>
            <w:tcW w:w="1861" w:type="dxa"/>
          </w:tcPr>
          <w:p>
            <w:pPr>
              <w:tabs>
                <w:tab w:val="left" w:pos="6300"/>
              </w:tabs>
              <w:snapToGrid w:val="0"/>
              <w:spacing w:line="560" w:lineRule="exact"/>
              <w:jc w:val="left"/>
              <w:textAlignment w:val="baseline"/>
              <w:rPr>
                <w:rFonts w:ascii="仿宋" w:hAnsi="仿宋" w:eastAsia="仿宋"/>
                <w:color w:val="000000"/>
                <w:sz w:val="32"/>
                <w:szCs w:val="32"/>
              </w:rPr>
            </w:pPr>
          </w:p>
        </w:tc>
        <w:tc>
          <w:tcPr>
            <w:tcW w:w="1860" w:type="dxa"/>
          </w:tcPr>
          <w:p>
            <w:pPr>
              <w:tabs>
                <w:tab w:val="left" w:pos="6300"/>
              </w:tabs>
              <w:snapToGrid w:val="0"/>
              <w:spacing w:line="560" w:lineRule="exact"/>
              <w:jc w:val="left"/>
              <w:textAlignment w:val="baseline"/>
              <w:rPr>
                <w:rFonts w:ascii="仿宋" w:hAnsi="仿宋" w:eastAsia="仿宋"/>
                <w:color w:val="000000"/>
                <w:sz w:val="32"/>
                <w:szCs w:val="32"/>
              </w:rPr>
            </w:pPr>
          </w:p>
        </w:tc>
      </w:tr>
    </w:tbl>
    <w:p>
      <w:pPr>
        <w:tabs>
          <w:tab w:val="left" w:pos="6300"/>
        </w:tabs>
        <w:snapToGrid w:val="0"/>
        <w:spacing w:line="560" w:lineRule="exact"/>
        <w:jc w:val="left"/>
        <w:textAlignment w:val="baseline"/>
        <w:rPr>
          <w:rFonts w:ascii="仿宋" w:hAnsi="仿宋" w:eastAsia="仿宋" w:cs="仿宋_GB2312"/>
          <w:bCs/>
          <w:color w:val="000000"/>
          <w:sz w:val="32"/>
          <w:szCs w:val="32"/>
        </w:rPr>
      </w:pPr>
    </w:p>
    <w:p>
      <w:pPr>
        <w:tabs>
          <w:tab w:val="left" w:pos="6300"/>
        </w:tabs>
        <w:snapToGrid w:val="0"/>
        <w:spacing w:line="560" w:lineRule="exact"/>
        <w:textAlignment w:val="baseline"/>
        <w:rPr>
          <w:rFonts w:ascii="仿宋" w:hAnsi="仿宋" w:eastAsia="仿宋"/>
          <w:bCs/>
          <w:sz w:val="32"/>
          <w:szCs w:val="32"/>
        </w:rPr>
      </w:pPr>
      <w:r>
        <w:rPr>
          <w:rFonts w:hint="eastAsia" w:ascii="仿宋" w:hAnsi="仿宋" w:eastAsia="仿宋"/>
          <w:bCs/>
          <w:sz w:val="32"/>
          <w:szCs w:val="32"/>
        </w:rPr>
        <w:t>供应商（盖章）：          法定代表人（签字或加盖印鉴）：</w:t>
      </w:r>
    </w:p>
    <w:p>
      <w:pPr>
        <w:tabs>
          <w:tab w:val="left" w:pos="6300"/>
        </w:tabs>
        <w:snapToGrid w:val="0"/>
        <w:spacing w:line="560" w:lineRule="exact"/>
        <w:ind w:firstLine="5760" w:firstLineChars="1800"/>
        <w:textAlignment w:val="baseline"/>
        <w:rPr>
          <w:rFonts w:ascii="仿宋" w:hAnsi="仿宋" w:eastAsia="仿宋"/>
          <w:bCs/>
          <w:sz w:val="32"/>
          <w:szCs w:val="32"/>
        </w:rPr>
      </w:pPr>
    </w:p>
    <w:p>
      <w:pPr>
        <w:tabs>
          <w:tab w:val="left" w:pos="6300"/>
        </w:tabs>
        <w:snapToGrid w:val="0"/>
        <w:spacing w:line="560" w:lineRule="exact"/>
        <w:ind w:firstLine="5760" w:firstLineChars="1800"/>
        <w:textAlignment w:val="baseline"/>
        <w:rPr>
          <w:rFonts w:ascii="仿宋" w:hAnsi="仿宋" w:eastAsia="仿宋"/>
          <w:bCs/>
          <w:sz w:val="32"/>
          <w:szCs w:val="32"/>
        </w:rPr>
      </w:pPr>
      <w:r>
        <w:rPr>
          <w:rFonts w:hint="eastAsia" w:ascii="仿宋" w:hAnsi="仿宋" w:eastAsia="仿宋"/>
          <w:bCs/>
          <w:sz w:val="32"/>
          <w:szCs w:val="32"/>
        </w:rPr>
        <w:t>年    月    日</w:t>
      </w:r>
    </w:p>
    <w:p>
      <w:pPr>
        <w:tabs>
          <w:tab w:val="left" w:pos="6300"/>
        </w:tabs>
        <w:snapToGrid w:val="0"/>
        <w:spacing w:line="560" w:lineRule="exact"/>
        <w:jc w:val="left"/>
        <w:outlineLvl w:val="0"/>
        <w:rPr>
          <w:rFonts w:ascii="仿宋" w:hAnsi="仿宋" w:eastAsia="仿宋"/>
          <w:b/>
          <w:color w:val="000000"/>
          <w:sz w:val="32"/>
          <w:szCs w:val="32"/>
        </w:rPr>
      </w:pPr>
      <w:r>
        <w:rPr>
          <w:rFonts w:hint="eastAsia" w:ascii="仿宋" w:hAnsi="仿宋" w:eastAsia="仿宋"/>
          <w:b/>
          <w:sz w:val="32"/>
          <w:szCs w:val="32"/>
        </w:rPr>
        <w:t>表六</w:t>
      </w:r>
      <w:r>
        <w:rPr>
          <w:rFonts w:hint="eastAsia" w:ascii="仿宋" w:hAnsi="仿宋" w:eastAsia="仿宋"/>
          <w:b/>
          <w:color w:val="000000"/>
          <w:sz w:val="32"/>
          <w:szCs w:val="32"/>
        </w:rPr>
        <w:t>：</w:t>
      </w:r>
    </w:p>
    <w:p>
      <w:pPr>
        <w:tabs>
          <w:tab w:val="left" w:pos="6300"/>
        </w:tabs>
        <w:snapToGrid w:val="0"/>
        <w:spacing w:line="560" w:lineRule="exact"/>
        <w:jc w:val="center"/>
        <w:outlineLvl w:val="0"/>
        <w:rPr>
          <w:rFonts w:ascii="仿宋" w:hAnsi="仿宋" w:eastAsia="仿宋"/>
          <w:b/>
          <w:color w:val="000000"/>
          <w:sz w:val="44"/>
          <w:szCs w:val="44"/>
        </w:rPr>
      </w:pPr>
      <w:r>
        <w:rPr>
          <w:rFonts w:hint="eastAsia" w:ascii="仿宋" w:hAnsi="仿宋" w:eastAsia="仿宋"/>
          <w:b/>
          <w:color w:val="000000"/>
          <w:sz w:val="44"/>
          <w:szCs w:val="44"/>
        </w:rPr>
        <w:t>技术规格偏离表</w:t>
      </w:r>
    </w:p>
    <w:p>
      <w:pPr>
        <w:tabs>
          <w:tab w:val="left" w:pos="6300"/>
        </w:tabs>
        <w:snapToGrid w:val="0"/>
        <w:spacing w:line="560" w:lineRule="exact"/>
        <w:jc w:val="center"/>
        <w:outlineLvl w:val="0"/>
        <w:rPr>
          <w:rFonts w:ascii="仿宋" w:hAnsi="仿宋" w:eastAsia="仿宋"/>
          <w:b/>
          <w:color w:val="000000"/>
          <w:sz w:val="32"/>
          <w:szCs w:val="32"/>
        </w:rPr>
      </w:pPr>
    </w:p>
    <w:tbl>
      <w:tblPr>
        <w:tblStyle w:val="40"/>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1860"/>
        <w:gridCol w:w="1860"/>
        <w:gridCol w:w="1861"/>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8" w:hRule="atLeast"/>
        </w:trPr>
        <w:tc>
          <w:tcPr>
            <w:tcW w:w="1859" w:type="dxa"/>
          </w:tcPr>
          <w:p>
            <w:pPr>
              <w:tabs>
                <w:tab w:val="left" w:pos="6300"/>
              </w:tabs>
              <w:snapToGrid w:val="0"/>
              <w:spacing w:line="560" w:lineRule="exact"/>
              <w:jc w:val="center"/>
              <w:outlineLvl w:val="0"/>
              <w:rPr>
                <w:rFonts w:ascii="仿宋" w:hAnsi="仿宋" w:eastAsia="仿宋"/>
                <w:color w:val="000000"/>
                <w:sz w:val="32"/>
                <w:szCs w:val="32"/>
              </w:rPr>
            </w:pPr>
            <w:r>
              <w:rPr>
                <w:rFonts w:hint="eastAsia" w:ascii="仿宋" w:hAnsi="仿宋" w:eastAsia="仿宋"/>
                <w:color w:val="000000"/>
                <w:sz w:val="32"/>
                <w:szCs w:val="32"/>
              </w:rPr>
              <w:t>项目</w:t>
            </w:r>
          </w:p>
        </w:tc>
        <w:tc>
          <w:tcPr>
            <w:tcW w:w="1860" w:type="dxa"/>
          </w:tcPr>
          <w:p>
            <w:pPr>
              <w:tabs>
                <w:tab w:val="left" w:pos="6300"/>
              </w:tabs>
              <w:snapToGrid w:val="0"/>
              <w:spacing w:line="560" w:lineRule="exact"/>
              <w:jc w:val="center"/>
              <w:outlineLvl w:val="0"/>
              <w:rPr>
                <w:rFonts w:ascii="仿宋" w:hAnsi="仿宋" w:eastAsia="仿宋"/>
                <w:color w:val="000000"/>
                <w:sz w:val="32"/>
                <w:szCs w:val="32"/>
              </w:rPr>
            </w:pPr>
            <w:r>
              <w:rPr>
                <w:rFonts w:hint="eastAsia" w:ascii="仿宋" w:hAnsi="仿宋" w:eastAsia="仿宋"/>
                <w:color w:val="000000"/>
                <w:sz w:val="32"/>
                <w:szCs w:val="32"/>
              </w:rPr>
              <w:t>谈判参数</w:t>
            </w:r>
          </w:p>
        </w:tc>
        <w:tc>
          <w:tcPr>
            <w:tcW w:w="1860" w:type="dxa"/>
          </w:tcPr>
          <w:p>
            <w:pPr>
              <w:tabs>
                <w:tab w:val="left" w:pos="6300"/>
              </w:tabs>
              <w:snapToGrid w:val="0"/>
              <w:spacing w:line="560" w:lineRule="exact"/>
              <w:jc w:val="center"/>
              <w:outlineLvl w:val="0"/>
              <w:rPr>
                <w:rFonts w:ascii="仿宋" w:hAnsi="仿宋" w:eastAsia="仿宋"/>
                <w:b/>
                <w:color w:val="000000"/>
                <w:sz w:val="32"/>
                <w:szCs w:val="32"/>
              </w:rPr>
            </w:pPr>
            <w:r>
              <w:rPr>
                <w:rFonts w:hint="eastAsia" w:ascii="仿宋" w:hAnsi="仿宋" w:eastAsia="仿宋"/>
                <w:sz w:val="32"/>
                <w:szCs w:val="32"/>
              </w:rPr>
              <w:t>应标参数</w:t>
            </w:r>
          </w:p>
        </w:tc>
        <w:tc>
          <w:tcPr>
            <w:tcW w:w="1861" w:type="dxa"/>
          </w:tcPr>
          <w:p>
            <w:pPr>
              <w:tabs>
                <w:tab w:val="left" w:pos="6300"/>
              </w:tabs>
              <w:snapToGrid w:val="0"/>
              <w:spacing w:line="560" w:lineRule="exact"/>
              <w:jc w:val="center"/>
              <w:outlineLvl w:val="0"/>
              <w:rPr>
                <w:rFonts w:ascii="仿宋" w:hAnsi="仿宋" w:eastAsia="仿宋"/>
                <w:b/>
                <w:color w:val="000000"/>
                <w:sz w:val="32"/>
                <w:szCs w:val="32"/>
              </w:rPr>
            </w:pPr>
            <w:r>
              <w:rPr>
                <w:rFonts w:hint="eastAsia" w:ascii="仿宋" w:hAnsi="仿宋" w:eastAsia="仿宋"/>
                <w:sz w:val="32"/>
                <w:szCs w:val="32"/>
              </w:rPr>
              <w:t>正/负偏离/响应</w:t>
            </w:r>
          </w:p>
        </w:tc>
        <w:tc>
          <w:tcPr>
            <w:tcW w:w="1860" w:type="dxa"/>
          </w:tcPr>
          <w:p>
            <w:pPr>
              <w:tabs>
                <w:tab w:val="left" w:pos="6300"/>
              </w:tabs>
              <w:snapToGrid w:val="0"/>
              <w:spacing w:line="560" w:lineRule="exact"/>
              <w:jc w:val="center"/>
              <w:outlineLvl w:val="0"/>
              <w:rPr>
                <w:rFonts w:ascii="仿宋" w:hAnsi="仿宋" w:eastAsia="仿宋"/>
                <w:sz w:val="32"/>
                <w:szCs w:val="32"/>
              </w:rPr>
            </w:pPr>
            <w:r>
              <w:rPr>
                <w:rFonts w:hint="eastAsia" w:ascii="仿宋" w:hAnsi="仿宋" w:eastAsia="仿宋"/>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1859" w:type="dxa"/>
          </w:tcPr>
          <w:p>
            <w:pPr>
              <w:tabs>
                <w:tab w:val="left" w:pos="6300"/>
              </w:tabs>
              <w:snapToGrid w:val="0"/>
              <w:spacing w:line="560" w:lineRule="exact"/>
              <w:jc w:val="center"/>
              <w:outlineLvl w:val="0"/>
              <w:rPr>
                <w:rFonts w:ascii="仿宋" w:hAnsi="仿宋" w:eastAsia="仿宋"/>
                <w:color w:val="000000"/>
                <w:sz w:val="32"/>
                <w:szCs w:val="32"/>
              </w:rPr>
            </w:pPr>
            <w:r>
              <w:rPr>
                <w:rFonts w:hint="eastAsia" w:ascii="仿宋" w:hAnsi="仿宋" w:eastAsia="仿宋"/>
                <w:color w:val="000000"/>
                <w:sz w:val="32"/>
                <w:szCs w:val="32"/>
              </w:rPr>
              <w:t>产品名称</w:t>
            </w:r>
          </w:p>
        </w:tc>
        <w:tc>
          <w:tcPr>
            <w:tcW w:w="1860" w:type="dxa"/>
          </w:tcPr>
          <w:p>
            <w:pPr>
              <w:numPr>
                <w:ilvl w:val="0"/>
                <w:numId w:val="6"/>
              </w:numPr>
              <w:tabs>
                <w:tab w:val="left" w:pos="6300"/>
              </w:tabs>
              <w:snapToGrid w:val="0"/>
              <w:jc w:val="left"/>
              <w:outlineLvl w:val="0"/>
              <w:rPr>
                <w:rFonts w:ascii="仿宋" w:hAnsi="仿宋" w:eastAsia="仿宋"/>
                <w:b/>
                <w:color w:val="000000"/>
                <w:szCs w:val="21"/>
              </w:rPr>
            </w:pPr>
            <w:r>
              <w:rPr>
                <w:rFonts w:hint="eastAsia" w:ascii="仿宋" w:hAnsi="仿宋" w:eastAsia="仿宋"/>
                <w:b/>
                <w:color w:val="000000"/>
                <w:szCs w:val="21"/>
              </w:rPr>
              <w:t>......</w:t>
            </w:r>
          </w:p>
          <w:p>
            <w:pPr>
              <w:numPr>
                <w:ilvl w:val="0"/>
                <w:numId w:val="6"/>
              </w:numPr>
              <w:tabs>
                <w:tab w:val="left" w:pos="6300"/>
              </w:tabs>
              <w:snapToGrid w:val="0"/>
              <w:jc w:val="left"/>
              <w:outlineLvl w:val="0"/>
              <w:rPr>
                <w:rFonts w:ascii="仿宋" w:hAnsi="仿宋" w:eastAsia="仿宋"/>
                <w:b/>
                <w:color w:val="000000"/>
                <w:szCs w:val="21"/>
              </w:rPr>
            </w:pPr>
            <w:r>
              <w:rPr>
                <w:rFonts w:hint="eastAsia" w:ascii="仿宋" w:hAnsi="仿宋" w:eastAsia="仿宋"/>
                <w:b/>
                <w:color w:val="000000"/>
                <w:szCs w:val="21"/>
              </w:rPr>
              <w:t>......</w:t>
            </w:r>
          </w:p>
          <w:p>
            <w:pPr>
              <w:numPr>
                <w:ilvl w:val="0"/>
                <w:numId w:val="6"/>
              </w:numPr>
              <w:tabs>
                <w:tab w:val="left" w:pos="6300"/>
              </w:tabs>
              <w:snapToGrid w:val="0"/>
              <w:jc w:val="left"/>
              <w:outlineLvl w:val="0"/>
              <w:rPr>
                <w:rFonts w:ascii="仿宋" w:hAnsi="仿宋" w:eastAsia="仿宋"/>
                <w:b/>
                <w:color w:val="000000"/>
                <w:szCs w:val="21"/>
              </w:rPr>
            </w:pPr>
            <w:r>
              <w:rPr>
                <w:rFonts w:hint="eastAsia" w:ascii="仿宋" w:hAnsi="仿宋" w:eastAsia="仿宋"/>
                <w:b/>
                <w:color w:val="000000"/>
                <w:szCs w:val="21"/>
              </w:rPr>
              <w:t>......</w:t>
            </w:r>
          </w:p>
          <w:p>
            <w:pPr>
              <w:tabs>
                <w:tab w:val="left" w:pos="6300"/>
              </w:tabs>
              <w:snapToGrid w:val="0"/>
              <w:jc w:val="left"/>
              <w:outlineLvl w:val="0"/>
              <w:rPr>
                <w:rFonts w:ascii="仿宋" w:hAnsi="仿宋" w:eastAsia="仿宋"/>
                <w:b/>
                <w:color w:val="000000"/>
                <w:szCs w:val="21"/>
              </w:rPr>
            </w:pPr>
            <w:r>
              <w:rPr>
                <w:rFonts w:hint="eastAsia" w:ascii="仿宋" w:hAnsi="仿宋" w:eastAsia="仿宋"/>
                <w:b/>
                <w:color w:val="000000"/>
                <w:szCs w:val="21"/>
              </w:rPr>
              <w:t>........</w:t>
            </w:r>
          </w:p>
        </w:tc>
        <w:tc>
          <w:tcPr>
            <w:tcW w:w="1860" w:type="dxa"/>
          </w:tcPr>
          <w:p>
            <w:pPr>
              <w:numPr>
                <w:ilvl w:val="0"/>
                <w:numId w:val="7"/>
              </w:numPr>
              <w:tabs>
                <w:tab w:val="left" w:pos="6300"/>
              </w:tabs>
              <w:snapToGrid w:val="0"/>
              <w:jc w:val="left"/>
              <w:outlineLvl w:val="0"/>
              <w:rPr>
                <w:rFonts w:ascii="仿宋" w:hAnsi="仿宋" w:eastAsia="仿宋"/>
                <w:b/>
                <w:color w:val="000000"/>
                <w:szCs w:val="21"/>
              </w:rPr>
            </w:pPr>
            <w:r>
              <w:rPr>
                <w:rFonts w:hint="eastAsia" w:ascii="仿宋" w:hAnsi="仿宋" w:eastAsia="仿宋"/>
                <w:b/>
                <w:color w:val="000000"/>
                <w:szCs w:val="21"/>
              </w:rPr>
              <w:t>......</w:t>
            </w:r>
          </w:p>
          <w:p>
            <w:pPr>
              <w:numPr>
                <w:ilvl w:val="0"/>
                <w:numId w:val="7"/>
              </w:numPr>
              <w:tabs>
                <w:tab w:val="left" w:pos="6300"/>
              </w:tabs>
              <w:snapToGrid w:val="0"/>
              <w:jc w:val="left"/>
              <w:outlineLvl w:val="0"/>
              <w:rPr>
                <w:rFonts w:ascii="仿宋" w:hAnsi="仿宋" w:eastAsia="仿宋"/>
                <w:b/>
                <w:color w:val="000000"/>
                <w:szCs w:val="21"/>
              </w:rPr>
            </w:pPr>
            <w:r>
              <w:rPr>
                <w:rFonts w:hint="eastAsia" w:ascii="仿宋" w:hAnsi="仿宋" w:eastAsia="仿宋"/>
                <w:b/>
                <w:color w:val="000000"/>
                <w:szCs w:val="21"/>
              </w:rPr>
              <w:t>......</w:t>
            </w:r>
          </w:p>
          <w:p>
            <w:pPr>
              <w:numPr>
                <w:ilvl w:val="0"/>
                <w:numId w:val="7"/>
              </w:numPr>
              <w:tabs>
                <w:tab w:val="left" w:pos="6300"/>
              </w:tabs>
              <w:snapToGrid w:val="0"/>
              <w:jc w:val="left"/>
              <w:outlineLvl w:val="0"/>
              <w:rPr>
                <w:rFonts w:ascii="仿宋" w:hAnsi="仿宋" w:eastAsia="仿宋"/>
                <w:b/>
                <w:color w:val="000000"/>
                <w:szCs w:val="21"/>
              </w:rPr>
            </w:pPr>
            <w:r>
              <w:rPr>
                <w:rFonts w:hint="eastAsia" w:ascii="仿宋" w:hAnsi="仿宋" w:eastAsia="仿宋"/>
                <w:b/>
                <w:color w:val="000000"/>
                <w:szCs w:val="21"/>
              </w:rPr>
              <w:t>......</w:t>
            </w:r>
          </w:p>
          <w:p>
            <w:pPr>
              <w:tabs>
                <w:tab w:val="left" w:pos="6300"/>
              </w:tabs>
              <w:snapToGrid w:val="0"/>
              <w:jc w:val="left"/>
              <w:outlineLvl w:val="0"/>
              <w:rPr>
                <w:rFonts w:ascii="仿宋" w:hAnsi="仿宋" w:eastAsia="仿宋"/>
                <w:b/>
                <w:color w:val="000000"/>
                <w:szCs w:val="21"/>
              </w:rPr>
            </w:pPr>
            <w:r>
              <w:rPr>
                <w:rFonts w:hint="eastAsia" w:ascii="仿宋" w:hAnsi="仿宋" w:eastAsia="仿宋"/>
                <w:b/>
                <w:color w:val="000000"/>
                <w:szCs w:val="21"/>
              </w:rPr>
              <w:t>........</w:t>
            </w:r>
          </w:p>
        </w:tc>
        <w:tc>
          <w:tcPr>
            <w:tcW w:w="1861" w:type="dxa"/>
          </w:tcPr>
          <w:p>
            <w:pPr>
              <w:tabs>
                <w:tab w:val="left" w:pos="6300"/>
              </w:tabs>
              <w:snapToGrid w:val="0"/>
              <w:spacing w:line="560" w:lineRule="exact"/>
              <w:jc w:val="left"/>
              <w:outlineLvl w:val="0"/>
              <w:rPr>
                <w:rFonts w:ascii="仿宋" w:hAnsi="仿宋" w:eastAsia="仿宋"/>
                <w:b/>
                <w:color w:val="000000"/>
                <w:sz w:val="32"/>
                <w:szCs w:val="32"/>
              </w:rPr>
            </w:pPr>
            <w:r>
              <w:rPr>
                <w:rFonts w:hint="eastAsia" w:ascii="仿宋" w:hAnsi="仿宋" w:eastAsia="仿宋"/>
                <w:sz w:val="32"/>
                <w:szCs w:val="32"/>
              </w:rPr>
              <w:t>正/负/响应</w:t>
            </w:r>
          </w:p>
        </w:tc>
        <w:tc>
          <w:tcPr>
            <w:tcW w:w="1860" w:type="dxa"/>
          </w:tcPr>
          <w:p>
            <w:pPr>
              <w:tabs>
                <w:tab w:val="left" w:pos="6300"/>
              </w:tabs>
              <w:snapToGrid w:val="0"/>
              <w:spacing w:line="560" w:lineRule="exact"/>
              <w:jc w:val="left"/>
              <w:outlineLvl w:val="0"/>
              <w:rPr>
                <w:rFonts w:ascii="仿宋" w:hAnsi="仿宋" w:eastAsia="仿宋"/>
                <w:b/>
                <w:color w:val="000000"/>
                <w:sz w:val="22"/>
                <w:szCs w:val="22"/>
              </w:rPr>
            </w:pPr>
            <w:r>
              <w:rPr>
                <w:rFonts w:hint="eastAsia" w:ascii="仿宋" w:hAnsi="仿宋" w:eastAsia="仿宋"/>
                <w:b/>
                <w:color w:val="000000"/>
                <w:sz w:val="22"/>
                <w:szCs w:val="22"/>
              </w:rPr>
              <w:t>需逐条对应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1859" w:type="dxa"/>
          </w:tcPr>
          <w:p>
            <w:pPr>
              <w:tabs>
                <w:tab w:val="left" w:pos="6300"/>
              </w:tabs>
              <w:snapToGrid w:val="0"/>
              <w:spacing w:line="560" w:lineRule="exact"/>
              <w:jc w:val="center"/>
              <w:outlineLvl w:val="0"/>
              <w:rPr>
                <w:rFonts w:ascii="仿宋" w:hAnsi="仿宋" w:eastAsia="仿宋"/>
                <w:color w:val="000000"/>
                <w:sz w:val="32"/>
                <w:szCs w:val="32"/>
              </w:rPr>
            </w:pPr>
            <w:r>
              <w:rPr>
                <w:rFonts w:hint="eastAsia" w:ascii="仿宋" w:hAnsi="仿宋" w:eastAsia="仿宋"/>
                <w:color w:val="000000"/>
                <w:sz w:val="32"/>
                <w:szCs w:val="32"/>
              </w:rPr>
              <w:t>......</w:t>
            </w:r>
          </w:p>
        </w:tc>
        <w:tc>
          <w:tcPr>
            <w:tcW w:w="1860" w:type="dxa"/>
          </w:tcPr>
          <w:p>
            <w:pPr>
              <w:tabs>
                <w:tab w:val="left" w:pos="6300"/>
              </w:tabs>
              <w:snapToGrid w:val="0"/>
              <w:spacing w:line="560" w:lineRule="exact"/>
              <w:jc w:val="center"/>
              <w:outlineLvl w:val="0"/>
              <w:rPr>
                <w:rFonts w:ascii="仿宋" w:hAnsi="仿宋" w:eastAsia="仿宋"/>
                <w:color w:val="000000"/>
                <w:sz w:val="32"/>
                <w:szCs w:val="32"/>
              </w:rPr>
            </w:pPr>
          </w:p>
        </w:tc>
        <w:tc>
          <w:tcPr>
            <w:tcW w:w="1860" w:type="dxa"/>
          </w:tcPr>
          <w:p>
            <w:pPr>
              <w:tabs>
                <w:tab w:val="left" w:pos="6300"/>
              </w:tabs>
              <w:snapToGrid w:val="0"/>
              <w:spacing w:line="560" w:lineRule="exact"/>
              <w:jc w:val="center"/>
              <w:outlineLvl w:val="0"/>
              <w:rPr>
                <w:rFonts w:ascii="仿宋" w:hAnsi="仿宋" w:eastAsia="仿宋"/>
                <w:color w:val="000000"/>
                <w:sz w:val="32"/>
                <w:szCs w:val="32"/>
              </w:rPr>
            </w:pPr>
          </w:p>
        </w:tc>
        <w:tc>
          <w:tcPr>
            <w:tcW w:w="1861" w:type="dxa"/>
          </w:tcPr>
          <w:p>
            <w:pPr>
              <w:tabs>
                <w:tab w:val="left" w:pos="6300"/>
              </w:tabs>
              <w:snapToGrid w:val="0"/>
              <w:spacing w:line="560" w:lineRule="exact"/>
              <w:jc w:val="center"/>
              <w:outlineLvl w:val="0"/>
              <w:rPr>
                <w:rFonts w:ascii="仿宋" w:hAnsi="仿宋" w:eastAsia="仿宋"/>
                <w:color w:val="000000"/>
                <w:sz w:val="32"/>
                <w:szCs w:val="32"/>
              </w:rPr>
            </w:pPr>
          </w:p>
        </w:tc>
        <w:tc>
          <w:tcPr>
            <w:tcW w:w="1860" w:type="dxa"/>
          </w:tcPr>
          <w:p>
            <w:pPr>
              <w:tabs>
                <w:tab w:val="left" w:pos="6300"/>
              </w:tabs>
              <w:snapToGrid w:val="0"/>
              <w:spacing w:line="560" w:lineRule="exact"/>
              <w:jc w:val="center"/>
              <w:outlineLvl w:val="0"/>
              <w:rPr>
                <w:rFonts w:ascii="仿宋" w:hAnsi="仿宋" w:eastAsia="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0" w:hRule="atLeast"/>
        </w:trPr>
        <w:tc>
          <w:tcPr>
            <w:tcW w:w="1859" w:type="dxa"/>
          </w:tcPr>
          <w:p>
            <w:pPr>
              <w:tabs>
                <w:tab w:val="left" w:pos="6300"/>
              </w:tabs>
              <w:snapToGrid w:val="0"/>
              <w:spacing w:line="560" w:lineRule="exact"/>
              <w:jc w:val="center"/>
              <w:outlineLvl w:val="0"/>
              <w:rPr>
                <w:rFonts w:ascii="仿宋" w:hAnsi="仿宋" w:eastAsia="仿宋"/>
                <w:color w:val="000000"/>
                <w:sz w:val="32"/>
                <w:szCs w:val="32"/>
              </w:rPr>
            </w:pPr>
            <w:r>
              <w:rPr>
                <w:rFonts w:hint="eastAsia" w:ascii="仿宋" w:hAnsi="仿宋" w:eastAsia="仿宋"/>
                <w:color w:val="000000"/>
                <w:sz w:val="32"/>
                <w:szCs w:val="32"/>
              </w:rPr>
              <w:t>......</w:t>
            </w: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c>
          <w:tcPr>
            <w:tcW w:w="1861" w:type="dxa"/>
          </w:tcPr>
          <w:p>
            <w:pPr>
              <w:tabs>
                <w:tab w:val="left" w:pos="6300"/>
              </w:tabs>
              <w:snapToGrid w:val="0"/>
              <w:spacing w:line="560" w:lineRule="exact"/>
              <w:jc w:val="left"/>
              <w:outlineLvl w:val="0"/>
              <w:rPr>
                <w:rFonts w:ascii="仿宋" w:hAnsi="仿宋" w:eastAsia="仿宋"/>
                <w:color w:val="000000"/>
                <w:sz w:val="32"/>
                <w:szCs w:val="32"/>
              </w:rPr>
            </w:pP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1859" w:type="dxa"/>
          </w:tcPr>
          <w:p>
            <w:pPr>
              <w:tabs>
                <w:tab w:val="left" w:pos="6300"/>
              </w:tabs>
              <w:snapToGrid w:val="0"/>
              <w:spacing w:line="560" w:lineRule="exact"/>
              <w:jc w:val="center"/>
              <w:outlineLvl w:val="0"/>
              <w:rPr>
                <w:rFonts w:ascii="仿宋" w:hAnsi="仿宋" w:eastAsia="仿宋"/>
                <w:color w:val="000000"/>
                <w:sz w:val="32"/>
                <w:szCs w:val="32"/>
              </w:rPr>
            </w:pPr>
            <w:r>
              <w:rPr>
                <w:rFonts w:hint="eastAsia" w:ascii="仿宋" w:hAnsi="仿宋" w:eastAsia="仿宋"/>
                <w:color w:val="000000"/>
                <w:sz w:val="32"/>
                <w:szCs w:val="32"/>
              </w:rPr>
              <w:t>......</w:t>
            </w: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c>
          <w:tcPr>
            <w:tcW w:w="1861" w:type="dxa"/>
          </w:tcPr>
          <w:p>
            <w:pPr>
              <w:tabs>
                <w:tab w:val="left" w:pos="6300"/>
              </w:tabs>
              <w:snapToGrid w:val="0"/>
              <w:spacing w:line="560" w:lineRule="exact"/>
              <w:jc w:val="left"/>
              <w:outlineLvl w:val="0"/>
              <w:rPr>
                <w:rFonts w:ascii="仿宋" w:hAnsi="仿宋" w:eastAsia="仿宋"/>
                <w:color w:val="000000"/>
                <w:sz w:val="32"/>
                <w:szCs w:val="32"/>
              </w:rPr>
            </w:pP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6" w:hRule="atLeast"/>
        </w:trPr>
        <w:tc>
          <w:tcPr>
            <w:tcW w:w="1859" w:type="dxa"/>
          </w:tcPr>
          <w:p>
            <w:pPr>
              <w:tabs>
                <w:tab w:val="left" w:pos="6300"/>
              </w:tabs>
              <w:snapToGrid w:val="0"/>
              <w:spacing w:line="560" w:lineRule="exact"/>
              <w:jc w:val="center"/>
              <w:outlineLvl w:val="0"/>
              <w:rPr>
                <w:rFonts w:ascii="仿宋" w:hAnsi="仿宋" w:eastAsia="仿宋"/>
                <w:color w:val="000000"/>
                <w:sz w:val="32"/>
                <w:szCs w:val="32"/>
              </w:rPr>
            </w:pPr>
            <w:r>
              <w:rPr>
                <w:rFonts w:hint="eastAsia" w:ascii="仿宋" w:hAnsi="仿宋" w:eastAsia="仿宋"/>
                <w:color w:val="000000"/>
                <w:sz w:val="32"/>
                <w:szCs w:val="32"/>
              </w:rPr>
              <w:t>......</w:t>
            </w: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c>
          <w:tcPr>
            <w:tcW w:w="1861" w:type="dxa"/>
          </w:tcPr>
          <w:p>
            <w:pPr>
              <w:tabs>
                <w:tab w:val="left" w:pos="6300"/>
              </w:tabs>
              <w:snapToGrid w:val="0"/>
              <w:spacing w:line="560" w:lineRule="exact"/>
              <w:jc w:val="left"/>
              <w:outlineLvl w:val="0"/>
              <w:rPr>
                <w:rFonts w:ascii="仿宋" w:hAnsi="仿宋" w:eastAsia="仿宋"/>
                <w:color w:val="000000"/>
                <w:sz w:val="32"/>
                <w:szCs w:val="32"/>
              </w:rPr>
            </w:pP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r>
    </w:tbl>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投标人（盖章）：               法定代表人（签字或加盖印鉴）：</w:t>
      </w: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
          <w:sz w:val="32"/>
          <w:szCs w:val="32"/>
        </w:rPr>
      </w:pPr>
      <w:r>
        <w:rPr>
          <w:rFonts w:hint="eastAsia" w:ascii="仿宋" w:hAnsi="仿宋" w:eastAsia="仿宋"/>
          <w:bCs/>
          <w:sz w:val="32"/>
          <w:szCs w:val="32"/>
        </w:rPr>
        <w:t xml:space="preserve">                                      年    月    日</w:t>
      </w:r>
    </w:p>
    <w:p>
      <w:pPr>
        <w:pStyle w:val="21"/>
        <w:ind w:firstLine="643"/>
        <w:rPr>
          <w:rFonts w:ascii="仿宋" w:hAnsi="仿宋" w:eastAsia="仿宋"/>
          <w:b/>
          <w:sz w:val="32"/>
          <w:szCs w:val="32"/>
        </w:rPr>
      </w:pPr>
    </w:p>
    <w:p>
      <w:pPr>
        <w:rPr>
          <w:rFonts w:ascii="仿宋" w:hAnsi="仿宋" w:eastAsia="仿宋"/>
          <w:b/>
          <w:sz w:val="32"/>
          <w:szCs w:val="32"/>
        </w:rPr>
      </w:pPr>
      <w:r>
        <w:rPr>
          <w:rFonts w:hint="eastAsia" w:ascii="仿宋" w:hAnsi="仿宋" w:eastAsia="仿宋"/>
          <w:b/>
          <w:sz w:val="32"/>
          <w:szCs w:val="32"/>
        </w:rPr>
        <w:t>(附件1)</w:t>
      </w: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jc w:val="center"/>
        <w:outlineLvl w:val="0"/>
        <w:rPr>
          <w:rFonts w:ascii="仿宋" w:hAnsi="仿宋" w:eastAsia="仿宋"/>
          <w:bCs/>
          <w:sz w:val="32"/>
          <w:szCs w:val="32"/>
        </w:rPr>
      </w:pPr>
      <w:r>
        <w:rPr>
          <w:rFonts w:hint="eastAsia" w:ascii="仿宋" w:hAnsi="仿宋" w:eastAsia="仿宋"/>
          <w:b/>
          <w:sz w:val="44"/>
          <w:szCs w:val="44"/>
        </w:rPr>
        <w:t>无违法记录证明</w:t>
      </w: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昌吉市政府采购中心：</w:t>
      </w: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 xml:space="preserve">    我公司郑重承诺，在参加本次政府采购活动前三年内，在经营活动中没有重大违法记录。</w:t>
      </w: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 xml:space="preserve">    如我公司的上述声明及提供的资料有任何虚假内容，则采购机构有权取消我公司的参与、中标或成交资格，且我公司自愿承担由此而引起的一切法律责任。</w:t>
      </w: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 xml:space="preserve">                       投标单位（投标人）：</w:t>
      </w: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 xml:space="preserve">                       </w:t>
      </w:r>
      <w:r>
        <w:rPr>
          <w:rFonts w:hint="eastAsia" w:ascii="仿宋_GB2312" w:hAnsi="仿宋" w:eastAsia="仿宋_GB2312"/>
          <w:bCs/>
          <w:sz w:val="32"/>
          <w:szCs w:val="32"/>
        </w:rPr>
        <w:t xml:space="preserve"> 法定负责人</w:t>
      </w:r>
      <w:r>
        <w:rPr>
          <w:rFonts w:hint="eastAsia" w:ascii="仿宋" w:hAnsi="仿宋" w:eastAsia="仿宋"/>
          <w:bCs/>
          <w:sz w:val="32"/>
          <w:szCs w:val="32"/>
        </w:rPr>
        <w:t>：</w:t>
      </w: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 xml:space="preserve">                                    年     月     日</w:t>
      </w: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p>
    <w:p>
      <w:pPr>
        <w:pStyle w:val="11"/>
        <w:rPr>
          <w:rFonts w:ascii="仿宋" w:hAnsi="仿宋" w:eastAsia="仿宋"/>
          <w:bCs/>
          <w:color w:val="auto"/>
          <w:sz w:val="32"/>
          <w:szCs w:val="32"/>
        </w:rPr>
      </w:pPr>
    </w:p>
    <w:p>
      <w:pPr>
        <w:rPr>
          <w:rFonts w:ascii="仿宋" w:hAnsi="仿宋" w:eastAsia="仿宋"/>
          <w:b/>
          <w:sz w:val="32"/>
          <w:szCs w:val="32"/>
        </w:rPr>
      </w:pPr>
      <w:r>
        <w:rPr>
          <w:rFonts w:hint="eastAsia" w:ascii="仿宋" w:hAnsi="仿宋" w:eastAsia="仿宋"/>
          <w:b/>
          <w:sz w:val="32"/>
          <w:szCs w:val="32"/>
        </w:rPr>
        <w:t>(附件2)</w:t>
      </w:r>
    </w:p>
    <w:p>
      <w:pPr>
        <w:tabs>
          <w:tab w:val="left" w:pos="6300"/>
        </w:tabs>
        <w:snapToGrid w:val="0"/>
        <w:spacing w:line="560" w:lineRule="exact"/>
        <w:jc w:val="center"/>
        <w:outlineLvl w:val="0"/>
        <w:rPr>
          <w:rFonts w:ascii="仿宋" w:hAnsi="仿宋" w:eastAsia="仿宋"/>
          <w:b/>
          <w:sz w:val="44"/>
          <w:szCs w:val="44"/>
        </w:rPr>
      </w:pPr>
      <w:r>
        <w:rPr>
          <w:rFonts w:hint="eastAsia" w:ascii="仿宋" w:hAnsi="仿宋" w:eastAsia="仿宋"/>
          <w:b/>
          <w:sz w:val="44"/>
          <w:szCs w:val="44"/>
        </w:rPr>
        <w:t>声   明  书</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昌吉市政府采购中心：</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我公司已收到并阅读采购文件，在完全理解该项目的采购质量技术要求、商务条件以及其他内容后，决定参与此次采购活动，并作出如下声明：</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1、我公司具有独立承担民事责任的能力；</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2、我公司具有良好的商业信誉和健全的财务会计制度；</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3、我公司具有履行采购项目所必需的设备和专业技术能力；</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4、我公司严格按照法律规定缴纳税金和社会保障资金；</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5、我公司保证提供的所有资料及相关证明文件均真实、准确；</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6、我公司保证所投货物品牌型号、投标文件及相关资料的合法性，且均未侵犯他人的知识产权。</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7、我公司保证使用了他人的专利、专有技术、涉及的费用由其自行承担。</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8、如我公司被确定为中标人或成交人，将根据采购文件积极响应，履行合同义务，承担合同责任；</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 xml:space="preserve">     上述声明内容全部属实，如有不实，我公司自愿承担由此而引起的所有法律责任。</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 xml:space="preserve">                     </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 xml:space="preserve">                       投标单位（供应商）：</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 xml:space="preserve">                       法定负责人：</w:t>
      </w:r>
    </w:p>
    <w:p>
      <w:pPr>
        <w:tabs>
          <w:tab w:val="left" w:pos="6300"/>
        </w:tabs>
        <w:snapToGrid w:val="0"/>
        <w:spacing w:line="560" w:lineRule="exact"/>
        <w:outlineLvl w:val="0"/>
      </w:pPr>
      <w:r>
        <w:rPr>
          <w:rFonts w:hint="eastAsia" w:ascii="仿宋_GB2312" w:hAnsi="仿宋" w:eastAsia="仿宋_GB2312"/>
          <w:bCs/>
          <w:sz w:val="32"/>
          <w:szCs w:val="32"/>
        </w:rPr>
        <w:t xml:space="preserve">                                    年     月     日</w:t>
      </w:r>
    </w:p>
    <w:sectPr>
      <w:headerReference r:id="rId3" w:type="default"/>
      <w:footerReference r:id="rId4" w:type="default"/>
      <w:pgSz w:w="11906" w:h="16838"/>
      <w:pgMar w:top="1440" w:right="1417" w:bottom="1440" w:left="1417"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Cambria">
    <w:altName w:val="Segoe Print"/>
    <w:panose1 w:val="02040503050406030204"/>
    <w:charset w:val="00"/>
    <w:family w:val="roman"/>
    <w:pitch w:val="default"/>
    <w:sig w:usb0="00000000" w:usb1="00000000" w:usb2="02000000" w:usb3="00000000" w:csb0="2000019F" w:csb1="00000000"/>
  </w:font>
  <w:font w:name="幼圆">
    <w:altName w:val="宋体"/>
    <w:panose1 w:val="0201050906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Dotum">
    <w:altName w:val="Malgun Gothic"/>
    <w:panose1 w:val="020B0600000101010101"/>
    <w:charset w:val="81"/>
    <w:family w:val="swiss"/>
    <w:pitch w:val="default"/>
    <w:sig w:usb0="00000000" w:usb1="00000000" w:usb2="00000030" w:usb3="00000000" w:csb0="0008009F" w:csb1="00000000"/>
  </w:font>
  <w:font w:name="方正仿宋_GBK">
    <w:altName w:val="微软雅黑"/>
    <w:panose1 w:val="00000000000000000000"/>
    <w:charset w:val="86"/>
    <w:family w:val="script"/>
    <w:pitch w:val="default"/>
    <w:sig w:usb0="00000000" w:usb1="00000000" w:usb2="00000010" w:usb3="00000000" w:csb0="00040000" w:csb1="00000000"/>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 PAGE   \* MERGEFORMAT </w:instrText>
    </w:r>
    <w:r>
      <w:fldChar w:fldCharType="separate"/>
    </w:r>
    <w:r>
      <w:rPr>
        <w:lang w:val="zh-CN"/>
      </w:rPr>
      <w:t>18</w:t>
    </w:r>
    <w:r>
      <w:rPr>
        <w:lang w:val="zh-CN"/>
      </w:rPr>
      <w:fldChar w:fldCharType="end"/>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both"/>
      <w:rPr>
        <w:rFonts w:ascii="方正仿宋_GBK" w:eastAsia="方正仿宋_GBK"/>
        <w:sz w:val="21"/>
        <w:szCs w:val="24"/>
      </w:rPr>
    </w:pPr>
    <w:r>
      <w:rPr>
        <w:rFonts w:hint="eastAsia" w:ascii="方正仿宋_GBK" w:eastAsia="方正仿宋_GBK"/>
        <w:sz w:val="21"/>
        <w:szCs w:val="24"/>
      </w:rPr>
      <w:t>昌吉市政府采购中心竞争性谈判文件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D417DB"/>
    <w:multiLevelType w:val="singleLevel"/>
    <w:tmpl w:val="A0D417DB"/>
    <w:lvl w:ilvl="0" w:tentative="0">
      <w:start w:val="1"/>
      <w:numFmt w:val="decimal"/>
      <w:lvlText w:val="%1."/>
      <w:lvlJc w:val="left"/>
      <w:pPr>
        <w:tabs>
          <w:tab w:val="left" w:pos="312"/>
        </w:tabs>
      </w:pPr>
    </w:lvl>
  </w:abstractNum>
  <w:abstractNum w:abstractNumId="1">
    <w:nsid w:val="C9755AD0"/>
    <w:multiLevelType w:val="singleLevel"/>
    <w:tmpl w:val="C9755AD0"/>
    <w:lvl w:ilvl="0" w:tentative="0">
      <w:start w:val="1"/>
      <w:numFmt w:val="chineseCounting"/>
      <w:suff w:val="space"/>
      <w:lvlText w:val="第%1部分"/>
      <w:lvlJc w:val="left"/>
      <w:rPr>
        <w:rFonts w:hint="eastAsia"/>
      </w:rPr>
    </w:lvl>
  </w:abstractNum>
  <w:abstractNum w:abstractNumId="2">
    <w:nsid w:val="FC6F5563"/>
    <w:multiLevelType w:val="singleLevel"/>
    <w:tmpl w:val="FC6F5563"/>
    <w:lvl w:ilvl="0" w:tentative="0">
      <w:start w:val="1"/>
      <w:numFmt w:val="decimal"/>
      <w:lvlText w:val="%1."/>
      <w:lvlJc w:val="left"/>
      <w:pPr>
        <w:tabs>
          <w:tab w:val="left" w:pos="312"/>
        </w:tabs>
      </w:pPr>
    </w:lvl>
  </w:abstractNum>
  <w:abstractNum w:abstractNumId="3">
    <w:nsid w:val="15F5C739"/>
    <w:multiLevelType w:val="singleLevel"/>
    <w:tmpl w:val="15F5C739"/>
    <w:lvl w:ilvl="0" w:tentative="0">
      <w:start w:val="1"/>
      <w:numFmt w:val="decimal"/>
      <w:lvlText w:val="%1."/>
      <w:lvlJc w:val="left"/>
      <w:pPr>
        <w:tabs>
          <w:tab w:val="left" w:pos="312"/>
        </w:tabs>
      </w:pPr>
    </w:lvl>
  </w:abstractNum>
  <w:abstractNum w:abstractNumId="4">
    <w:nsid w:val="43752A92"/>
    <w:multiLevelType w:val="singleLevel"/>
    <w:tmpl w:val="43752A92"/>
    <w:lvl w:ilvl="0" w:tentative="0">
      <w:start w:val="2"/>
      <w:numFmt w:val="chineseCounting"/>
      <w:suff w:val="nothing"/>
      <w:lvlText w:val="%1、"/>
      <w:lvlJc w:val="left"/>
      <w:pPr>
        <w:ind w:left="800" w:firstLine="0"/>
      </w:pPr>
      <w:rPr>
        <w:rFonts w:hint="eastAsia"/>
      </w:rPr>
    </w:lvl>
  </w:abstractNum>
  <w:abstractNum w:abstractNumId="5">
    <w:nsid w:val="59528241"/>
    <w:multiLevelType w:val="singleLevel"/>
    <w:tmpl w:val="59528241"/>
    <w:lvl w:ilvl="0" w:tentative="0">
      <w:start w:val="1"/>
      <w:numFmt w:val="decimal"/>
      <w:suff w:val="nothing"/>
      <w:lvlText w:val="%1."/>
      <w:lvlJc w:val="left"/>
    </w:lvl>
  </w:abstractNum>
  <w:abstractNum w:abstractNumId="6">
    <w:nsid w:val="5952826A"/>
    <w:multiLevelType w:val="singleLevel"/>
    <w:tmpl w:val="5952826A"/>
    <w:lvl w:ilvl="0" w:tentative="0">
      <w:start w:val="1"/>
      <w:numFmt w:val="decimal"/>
      <w:suff w:val="nothing"/>
      <w:lvlText w:val="%1."/>
      <w:lvlJc w:val="left"/>
    </w:lvl>
  </w:abstractNum>
  <w:num w:numId="1">
    <w:abstractNumId w:val="1"/>
  </w:num>
  <w:num w:numId="2">
    <w:abstractNumId w:val="0"/>
  </w:num>
  <w:num w:numId="3">
    <w:abstractNumId w:val="4"/>
  </w:num>
  <w:num w:numId="4">
    <w:abstractNumId w:val="2"/>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A3F"/>
    <w:rsid w:val="00036A56"/>
    <w:rsid w:val="000573DB"/>
    <w:rsid w:val="00077F65"/>
    <w:rsid w:val="000850DE"/>
    <w:rsid w:val="00094307"/>
    <w:rsid w:val="00094C4B"/>
    <w:rsid w:val="00096F56"/>
    <w:rsid w:val="000A5992"/>
    <w:rsid w:val="000C0CF7"/>
    <w:rsid w:val="000D40F6"/>
    <w:rsid w:val="000E345A"/>
    <w:rsid w:val="000E7A85"/>
    <w:rsid w:val="00107847"/>
    <w:rsid w:val="001146F2"/>
    <w:rsid w:val="00116E81"/>
    <w:rsid w:val="0012059D"/>
    <w:rsid w:val="0014720E"/>
    <w:rsid w:val="001535C9"/>
    <w:rsid w:val="00172A27"/>
    <w:rsid w:val="00173857"/>
    <w:rsid w:val="001847C7"/>
    <w:rsid w:val="00197A6A"/>
    <w:rsid w:val="001A1A9B"/>
    <w:rsid w:val="001B4A24"/>
    <w:rsid w:val="001C5070"/>
    <w:rsid w:val="001D2448"/>
    <w:rsid w:val="001F302B"/>
    <w:rsid w:val="001F5A46"/>
    <w:rsid w:val="002048B0"/>
    <w:rsid w:val="00204E2A"/>
    <w:rsid w:val="0021541B"/>
    <w:rsid w:val="00225C0B"/>
    <w:rsid w:val="002332C6"/>
    <w:rsid w:val="00255187"/>
    <w:rsid w:val="00271D5B"/>
    <w:rsid w:val="002D7C57"/>
    <w:rsid w:val="00315B2C"/>
    <w:rsid w:val="00321AC1"/>
    <w:rsid w:val="00340A2B"/>
    <w:rsid w:val="00347B38"/>
    <w:rsid w:val="00383E56"/>
    <w:rsid w:val="00385CA8"/>
    <w:rsid w:val="003922D8"/>
    <w:rsid w:val="003953BD"/>
    <w:rsid w:val="00397B88"/>
    <w:rsid w:val="00397C1E"/>
    <w:rsid w:val="003A12A1"/>
    <w:rsid w:val="003A48BF"/>
    <w:rsid w:val="003F092B"/>
    <w:rsid w:val="003F5436"/>
    <w:rsid w:val="004003A7"/>
    <w:rsid w:val="00403206"/>
    <w:rsid w:val="004073D7"/>
    <w:rsid w:val="00472B87"/>
    <w:rsid w:val="004857C8"/>
    <w:rsid w:val="004B057D"/>
    <w:rsid w:val="004B7357"/>
    <w:rsid w:val="004D4802"/>
    <w:rsid w:val="004D74F2"/>
    <w:rsid w:val="004D781E"/>
    <w:rsid w:val="004D7FDE"/>
    <w:rsid w:val="004E3033"/>
    <w:rsid w:val="00503323"/>
    <w:rsid w:val="00514713"/>
    <w:rsid w:val="00523EFD"/>
    <w:rsid w:val="00531FC5"/>
    <w:rsid w:val="00544766"/>
    <w:rsid w:val="00547D5F"/>
    <w:rsid w:val="005565E6"/>
    <w:rsid w:val="00563E76"/>
    <w:rsid w:val="00565D96"/>
    <w:rsid w:val="00572529"/>
    <w:rsid w:val="005751B4"/>
    <w:rsid w:val="00581F8D"/>
    <w:rsid w:val="005B2A1F"/>
    <w:rsid w:val="005C3A8D"/>
    <w:rsid w:val="005D70B6"/>
    <w:rsid w:val="005E7512"/>
    <w:rsid w:val="005F21E6"/>
    <w:rsid w:val="00613F01"/>
    <w:rsid w:val="00620095"/>
    <w:rsid w:val="00626EFD"/>
    <w:rsid w:val="006503B8"/>
    <w:rsid w:val="0067049A"/>
    <w:rsid w:val="00675BA7"/>
    <w:rsid w:val="00695B3A"/>
    <w:rsid w:val="00701BF1"/>
    <w:rsid w:val="007146EB"/>
    <w:rsid w:val="00722100"/>
    <w:rsid w:val="007225F4"/>
    <w:rsid w:val="00732197"/>
    <w:rsid w:val="00745AFA"/>
    <w:rsid w:val="00771433"/>
    <w:rsid w:val="00792C78"/>
    <w:rsid w:val="007C09C3"/>
    <w:rsid w:val="007C2149"/>
    <w:rsid w:val="007D2850"/>
    <w:rsid w:val="007D50C0"/>
    <w:rsid w:val="007E7CDD"/>
    <w:rsid w:val="007F1561"/>
    <w:rsid w:val="00800149"/>
    <w:rsid w:val="008006B2"/>
    <w:rsid w:val="00822E5D"/>
    <w:rsid w:val="0082360B"/>
    <w:rsid w:val="00832132"/>
    <w:rsid w:val="00847515"/>
    <w:rsid w:val="0085368D"/>
    <w:rsid w:val="008570D3"/>
    <w:rsid w:val="0088079C"/>
    <w:rsid w:val="008B17AE"/>
    <w:rsid w:val="008C57DA"/>
    <w:rsid w:val="008D5B2E"/>
    <w:rsid w:val="008E24F6"/>
    <w:rsid w:val="008E4A34"/>
    <w:rsid w:val="00911A43"/>
    <w:rsid w:val="009458AB"/>
    <w:rsid w:val="00952DAE"/>
    <w:rsid w:val="00960891"/>
    <w:rsid w:val="00975440"/>
    <w:rsid w:val="009777AB"/>
    <w:rsid w:val="009B5FD0"/>
    <w:rsid w:val="009F3187"/>
    <w:rsid w:val="00A14AAC"/>
    <w:rsid w:val="00A418EE"/>
    <w:rsid w:val="00A53543"/>
    <w:rsid w:val="00A908BC"/>
    <w:rsid w:val="00AC01C6"/>
    <w:rsid w:val="00AC2208"/>
    <w:rsid w:val="00AC691E"/>
    <w:rsid w:val="00AD110F"/>
    <w:rsid w:val="00AD242A"/>
    <w:rsid w:val="00AD4847"/>
    <w:rsid w:val="00AE2270"/>
    <w:rsid w:val="00AF2C42"/>
    <w:rsid w:val="00AF4AEB"/>
    <w:rsid w:val="00B24F63"/>
    <w:rsid w:val="00B2539C"/>
    <w:rsid w:val="00B40FC2"/>
    <w:rsid w:val="00B460D3"/>
    <w:rsid w:val="00B8059C"/>
    <w:rsid w:val="00BA211A"/>
    <w:rsid w:val="00BA48DD"/>
    <w:rsid w:val="00BA58E9"/>
    <w:rsid w:val="00BD094F"/>
    <w:rsid w:val="00BE1BBC"/>
    <w:rsid w:val="00BE4077"/>
    <w:rsid w:val="00BE5359"/>
    <w:rsid w:val="00C04075"/>
    <w:rsid w:val="00C06F57"/>
    <w:rsid w:val="00C17294"/>
    <w:rsid w:val="00C34273"/>
    <w:rsid w:val="00C37643"/>
    <w:rsid w:val="00C418BE"/>
    <w:rsid w:val="00C55677"/>
    <w:rsid w:val="00C71883"/>
    <w:rsid w:val="00C753EE"/>
    <w:rsid w:val="00C900F8"/>
    <w:rsid w:val="00C951A8"/>
    <w:rsid w:val="00CA6489"/>
    <w:rsid w:val="00CB29DE"/>
    <w:rsid w:val="00CC0E57"/>
    <w:rsid w:val="00CC38A0"/>
    <w:rsid w:val="00CD0221"/>
    <w:rsid w:val="00CD753E"/>
    <w:rsid w:val="00CF6705"/>
    <w:rsid w:val="00D00F31"/>
    <w:rsid w:val="00D315ED"/>
    <w:rsid w:val="00D3220D"/>
    <w:rsid w:val="00D43319"/>
    <w:rsid w:val="00D56715"/>
    <w:rsid w:val="00D72795"/>
    <w:rsid w:val="00D91D05"/>
    <w:rsid w:val="00DA6237"/>
    <w:rsid w:val="00DB7DFC"/>
    <w:rsid w:val="00DF16A9"/>
    <w:rsid w:val="00E36FFE"/>
    <w:rsid w:val="00E40F8A"/>
    <w:rsid w:val="00E50C4E"/>
    <w:rsid w:val="00EA4087"/>
    <w:rsid w:val="00ED1C1B"/>
    <w:rsid w:val="00EE0046"/>
    <w:rsid w:val="00EF1DCE"/>
    <w:rsid w:val="00EF2619"/>
    <w:rsid w:val="00EF6F73"/>
    <w:rsid w:val="00F0288F"/>
    <w:rsid w:val="00F333F8"/>
    <w:rsid w:val="00F335FC"/>
    <w:rsid w:val="00F6217E"/>
    <w:rsid w:val="00F658C8"/>
    <w:rsid w:val="00F7324E"/>
    <w:rsid w:val="00F82417"/>
    <w:rsid w:val="00F93906"/>
    <w:rsid w:val="00FA1794"/>
    <w:rsid w:val="00FB4745"/>
    <w:rsid w:val="01031878"/>
    <w:rsid w:val="01165903"/>
    <w:rsid w:val="014E3143"/>
    <w:rsid w:val="018361D9"/>
    <w:rsid w:val="01A93A77"/>
    <w:rsid w:val="026D7455"/>
    <w:rsid w:val="03281650"/>
    <w:rsid w:val="03742140"/>
    <w:rsid w:val="03B23BC3"/>
    <w:rsid w:val="04016527"/>
    <w:rsid w:val="041817F0"/>
    <w:rsid w:val="042F6017"/>
    <w:rsid w:val="04CC1FC4"/>
    <w:rsid w:val="04DC6F41"/>
    <w:rsid w:val="05333D5A"/>
    <w:rsid w:val="053E1D5F"/>
    <w:rsid w:val="053F4618"/>
    <w:rsid w:val="05B748B4"/>
    <w:rsid w:val="05D539D7"/>
    <w:rsid w:val="06336970"/>
    <w:rsid w:val="063C1611"/>
    <w:rsid w:val="072D389C"/>
    <w:rsid w:val="07B843E4"/>
    <w:rsid w:val="07F75857"/>
    <w:rsid w:val="080677F9"/>
    <w:rsid w:val="090019C7"/>
    <w:rsid w:val="0960300F"/>
    <w:rsid w:val="09DF55D8"/>
    <w:rsid w:val="0A16352B"/>
    <w:rsid w:val="0A744580"/>
    <w:rsid w:val="0B570821"/>
    <w:rsid w:val="0BBB1F90"/>
    <w:rsid w:val="0BE94314"/>
    <w:rsid w:val="0C6E6423"/>
    <w:rsid w:val="0CFC7CEB"/>
    <w:rsid w:val="0D25455E"/>
    <w:rsid w:val="0D290F40"/>
    <w:rsid w:val="0DD71E8C"/>
    <w:rsid w:val="0ED32F1A"/>
    <w:rsid w:val="0FC45BF7"/>
    <w:rsid w:val="100522DA"/>
    <w:rsid w:val="10102A08"/>
    <w:rsid w:val="11824621"/>
    <w:rsid w:val="119C023F"/>
    <w:rsid w:val="12A26760"/>
    <w:rsid w:val="13C97B52"/>
    <w:rsid w:val="140806E4"/>
    <w:rsid w:val="14634AF6"/>
    <w:rsid w:val="14C45AEA"/>
    <w:rsid w:val="14D921D4"/>
    <w:rsid w:val="15EC1AF6"/>
    <w:rsid w:val="160913D9"/>
    <w:rsid w:val="16292EE7"/>
    <w:rsid w:val="163A2C85"/>
    <w:rsid w:val="17B21632"/>
    <w:rsid w:val="17F66B63"/>
    <w:rsid w:val="187C3B02"/>
    <w:rsid w:val="19281344"/>
    <w:rsid w:val="19C14FA6"/>
    <w:rsid w:val="1AA23438"/>
    <w:rsid w:val="1AE704DB"/>
    <w:rsid w:val="1AEC206B"/>
    <w:rsid w:val="1B8301B9"/>
    <w:rsid w:val="1C2431CF"/>
    <w:rsid w:val="1D052DD3"/>
    <w:rsid w:val="1D0C7744"/>
    <w:rsid w:val="1D1A26F5"/>
    <w:rsid w:val="1D484C2B"/>
    <w:rsid w:val="1DB77532"/>
    <w:rsid w:val="1DF428DC"/>
    <w:rsid w:val="1EC8102D"/>
    <w:rsid w:val="201658F6"/>
    <w:rsid w:val="2021666A"/>
    <w:rsid w:val="203F3DC1"/>
    <w:rsid w:val="22627200"/>
    <w:rsid w:val="23AA0478"/>
    <w:rsid w:val="24766CD8"/>
    <w:rsid w:val="25082D96"/>
    <w:rsid w:val="25414BFA"/>
    <w:rsid w:val="258C0D16"/>
    <w:rsid w:val="25FB55AA"/>
    <w:rsid w:val="267B2134"/>
    <w:rsid w:val="26C61EBC"/>
    <w:rsid w:val="26FC6273"/>
    <w:rsid w:val="278A77A2"/>
    <w:rsid w:val="27D57375"/>
    <w:rsid w:val="28D62B57"/>
    <w:rsid w:val="28F77CAB"/>
    <w:rsid w:val="290B02B8"/>
    <w:rsid w:val="295F6313"/>
    <w:rsid w:val="29C209A3"/>
    <w:rsid w:val="2A3308B1"/>
    <w:rsid w:val="2A9B3CE1"/>
    <w:rsid w:val="2B0C5090"/>
    <w:rsid w:val="2B135D87"/>
    <w:rsid w:val="2B6154F1"/>
    <w:rsid w:val="2C1509BB"/>
    <w:rsid w:val="2C392DDE"/>
    <w:rsid w:val="2CEA2ACC"/>
    <w:rsid w:val="2D153CD1"/>
    <w:rsid w:val="2DDA66F5"/>
    <w:rsid w:val="2E4D0102"/>
    <w:rsid w:val="2E7D1B76"/>
    <w:rsid w:val="2EB751AF"/>
    <w:rsid w:val="2F106FAC"/>
    <w:rsid w:val="30A52A9B"/>
    <w:rsid w:val="31B53A73"/>
    <w:rsid w:val="321570B4"/>
    <w:rsid w:val="32211D4D"/>
    <w:rsid w:val="333A19C0"/>
    <w:rsid w:val="33EF3D94"/>
    <w:rsid w:val="34C317C6"/>
    <w:rsid w:val="34D70E8D"/>
    <w:rsid w:val="35067E36"/>
    <w:rsid w:val="36337135"/>
    <w:rsid w:val="365D6610"/>
    <w:rsid w:val="367C095F"/>
    <w:rsid w:val="370E36E5"/>
    <w:rsid w:val="37B75EFC"/>
    <w:rsid w:val="382C2BAA"/>
    <w:rsid w:val="382C59CC"/>
    <w:rsid w:val="383C1846"/>
    <w:rsid w:val="385D40AB"/>
    <w:rsid w:val="387C6E98"/>
    <w:rsid w:val="390B06ED"/>
    <w:rsid w:val="39375CC6"/>
    <w:rsid w:val="39C339F2"/>
    <w:rsid w:val="3A2D531B"/>
    <w:rsid w:val="3A2E4947"/>
    <w:rsid w:val="3A601760"/>
    <w:rsid w:val="3A7F77C9"/>
    <w:rsid w:val="3B044326"/>
    <w:rsid w:val="3C0A4FDE"/>
    <w:rsid w:val="3C454D64"/>
    <w:rsid w:val="3D4F6CE9"/>
    <w:rsid w:val="3E8A7933"/>
    <w:rsid w:val="3EB462F7"/>
    <w:rsid w:val="4059794A"/>
    <w:rsid w:val="414A06C3"/>
    <w:rsid w:val="41C76FB6"/>
    <w:rsid w:val="420946E8"/>
    <w:rsid w:val="42200BAC"/>
    <w:rsid w:val="42A20B34"/>
    <w:rsid w:val="43A2376F"/>
    <w:rsid w:val="43AF27D3"/>
    <w:rsid w:val="43DF7A00"/>
    <w:rsid w:val="44405EDB"/>
    <w:rsid w:val="445E0283"/>
    <w:rsid w:val="44726DBB"/>
    <w:rsid w:val="44B125CB"/>
    <w:rsid w:val="45272CCD"/>
    <w:rsid w:val="46091E5A"/>
    <w:rsid w:val="4662482A"/>
    <w:rsid w:val="46630E3A"/>
    <w:rsid w:val="47093572"/>
    <w:rsid w:val="474A1D4F"/>
    <w:rsid w:val="47B57D9D"/>
    <w:rsid w:val="47D5069D"/>
    <w:rsid w:val="482B3A69"/>
    <w:rsid w:val="48A63FBF"/>
    <w:rsid w:val="49C1177C"/>
    <w:rsid w:val="4A3B1384"/>
    <w:rsid w:val="4A585724"/>
    <w:rsid w:val="4A8F5312"/>
    <w:rsid w:val="4AA76663"/>
    <w:rsid w:val="4C4676B9"/>
    <w:rsid w:val="4DB179E2"/>
    <w:rsid w:val="4EBA3E89"/>
    <w:rsid w:val="4EC032F4"/>
    <w:rsid w:val="4F226D6F"/>
    <w:rsid w:val="4FDA374B"/>
    <w:rsid w:val="4FFC1F7B"/>
    <w:rsid w:val="505778B0"/>
    <w:rsid w:val="50990851"/>
    <w:rsid w:val="50E434E2"/>
    <w:rsid w:val="514C3169"/>
    <w:rsid w:val="517B033A"/>
    <w:rsid w:val="51FF5468"/>
    <w:rsid w:val="52F44D9E"/>
    <w:rsid w:val="534204D9"/>
    <w:rsid w:val="536E0874"/>
    <w:rsid w:val="54246D03"/>
    <w:rsid w:val="54A9121E"/>
    <w:rsid w:val="54A9722B"/>
    <w:rsid w:val="54C05C75"/>
    <w:rsid w:val="55631BB2"/>
    <w:rsid w:val="560D3C43"/>
    <w:rsid w:val="58934D18"/>
    <w:rsid w:val="59324804"/>
    <w:rsid w:val="59A11587"/>
    <w:rsid w:val="5BB20D3E"/>
    <w:rsid w:val="5C2A745C"/>
    <w:rsid w:val="5C2B780E"/>
    <w:rsid w:val="5CF80645"/>
    <w:rsid w:val="5D205396"/>
    <w:rsid w:val="5DEE389D"/>
    <w:rsid w:val="5E56009B"/>
    <w:rsid w:val="5F6F73E7"/>
    <w:rsid w:val="5F700EB8"/>
    <w:rsid w:val="5FD008B1"/>
    <w:rsid w:val="606773F0"/>
    <w:rsid w:val="60E95C60"/>
    <w:rsid w:val="617938DD"/>
    <w:rsid w:val="61A2430F"/>
    <w:rsid w:val="622C5CF8"/>
    <w:rsid w:val="62304974"/>
    <w:rsid w:val="62562195"/>
    <w:rsid w:val="626B1E00"/>
    <w:rsid w:val="639C51C4"/>
    <w:rsid w:val="63AA4B86"/>
    <w:rsid w:val="64B3498F"/>
    <w:rsid w:val="65127EE2"/>
    <w:rsid w:val="65556CBE"/>
    <w:rsid w:val="66396618"/>
    <w:rsid w:val="66576BBB"/>
    <w:rsid w:val="66B20ACE"/>
    <w:rsid w:val="68A61FF2"/>
    <w:rsid w:val="68B11E37"/>
    <w:rsid w:val="68D1691B"/>
    <w:rsid w:val="698637B9"/>
    <w:rsid w:val="69BD11AF"/>
    <w:rsid w:val="69D4282B"/>
    <w:rsid w:val="69D82B35"/>
    <w:rsid w:val="6C422478"/>
    <w:rsid w:val="6C9C32DA"/>
    <w:rsid w:val="6CBB4749"/>
    <w:rsid w:val="6D210E66"/>
    <w:rsid w:val="6D532ED6"/>
    <w:rsid w:val="6DAE3138"/>
    <w:rsid w:val="6DDD395F"/>
    <w:rsid w:val="6E7B6701"/>
    <w:rsid w:val="6EF72F2E"/>
    <w:rsid w:val="6F9D1CCE"/>
    <w:rsid w:val="702D1839"/>
    <w:rsid w:val="702D4846"/>
    <w:rsid w:val="70E64D5D"/>
    <w:rsid w:val="70EA7A01"/>
    <w:rsid w:val="70FC337D"/>
    <w:rsid w:val="71451F7E"/>
    <w:rsid w:val="719766E5"/>
    <w:rsid w:val="71A37E0B"/>
    <w:rsid w:val="720B664F"/>
    <w:rsid w:val="7243707F"/>
    <w:rsid w:val="730C4D4C"/>
    <w:rsid w:val="73683892"/>
    <w:rsid w:val="738C61A9"/>
    <w:rsid w:val="74166BA6"/>
    <w:rsid w:val="74E926D4"/>
    <w:rsid w:val="75294A10"/>
    <w:rsid w:val="7545688D"/>
    <w:rsid w:val="75FB604D"/>
    <w:rsid w:val="76130A66"/>
    <w:rsid w:val="77B208F0"/>
    <w:rsid w:val="782307AA"/>
    <w:rsid w:val="79C91124"/>
    <w:rsid w:val="7A0B5F14"/>
    <w:rsid w:val="7BCB3604"/>
    <w:rsid w:val="7C346056"/>
    <w:rsid w:val="7C4D51D3"/>
    <w:rsid w:val="7C50224A"/>
    <w:rsid w:val="7C933EED"/>
    <w:rsid w:val="7CE159E4"/>
    <w:rsid w:val="7D336690"/>
    <w:rsid w:val="7E49546B"/>
    <w:rsid w:val="7E872459"/>
    <w:rsid w:val="7FD8481C"/>
    <w:rsid w:val="7FEC0F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b/>
      <w:bCs/>
      <w:kern w:val="44"/>
      <w:sz w:val="44"/>
      <w:szCs w:val="44"/>
    </w:rPr>
  </w:style>
  <w:style w:type="paragraph" w:styleId="4">
    <w:name w:val="heading 2"/>
    <w:basedOn w:val="1"/>
    <w:next w:val="1"/>
    <w:qFormat/>
    <w:uiPriority w:val="0"/>
    <w:pPr>
      <w:keepNext/>
      <w:outlineLvl w:val="1"/>
    </w:pPr>
    <w:rPr>
      <w:sz w:val="28"/>
      <w:szCs w:val="28"/>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character" w:default="1" w:styleId="33">
    <w:name w:val="Default Paragraph Font"/>
    <w:semiHidden/>
    <w:unhideWhenUsed/>
    <w:qFormat/>
    <w:uiPriority w:val="1"/>
  </w:style>
  <w:style w:type="table" w:default="1" w:styleId="40">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6">
    <w:name w:val="toc 7"/>
    <w:basedOn w:val="1"/>
    <w:next w:val="1"/>
    <w:qFormat/>
    <w:uiPriority w:val="0"/>
    <w:pPr>
      <w:ind w:left="2520" w:leftChars="1200"/>
    </w:pPr>
  </w:style>
  <w:style w:type="paragraph" w:styleId="7">
    <w:name w:val="Document Map"/>
    <w:basedOn w:val="1"/>
    <w:qFormat/>
    <w:uiPriority w:val="0"/>
    <w:pPr>
      <w:shd w:val="clear" w:color="auto" w:fill="000080"/>
    </w:pPr>
  </w:style>
  <w:style w:type="paragraph" w:styleId="8">
    <w:name w:val="toa heading"/>
    <w:basedOn w:val="1"/>
    <w:next w:val="1"/>
    <w:qFormat/>
    <w:uiPriority w:val="99"/>
    <w:pPr>
      <w:spacing w:before="120"/>
    </w:pPr>
    <w:rPr>
      <w:rFonts w:ascii="Cambria" w:hAnsi="Cambria"/>
      <w:sz w:val="24"/>
    </w:rPr>
  </w:style>
  <w:style w:type="paragraph" w:styleId="9">
    <w:name w:val="annotation text"/>
    <w:basedOn w:val="1"/>
    <w:qFormat/>
    <w:uiPriority w:val="0"/>
    <w:pPr>
      <w:jc w:val="left"/>
    </w:pPr>
  </w:style>
  <w:style w:type="paragraph" w:styleId="10">
    <w:name w:val="Body Text 3"/>
    <w:basedOn w:val="1"/>
    <w:link w:val="42"/>
    <w:qFormat/>
    <w:uiPriority w:val="0"/>
    <w:pPr>
      <w:spacing w:after="120"/>
    </w:pPr>
    <w:rPr>
      <w:sz w:val="16"/>
      <w:szCs w:val="16"/>
    </w:rPr>
  </w:style>
  <w:style w:type="paragraph" w:styleId="11">
    <w:name w:val="Body Text"/>
    <w:basedOn w:val="1"/>
    <w:qFormat/>
    <w:uiPriority w:val="0"/>
    <w:rPr>
      <w:rFonts w:ascii="宋体" w:hAnsi="宋体"/>
      <w:color w:val="0000FF"/>
      <w:sz w:val="24"/>
    </w:rPr>
  </w:style>
  <w:style w:type="paragraph" w:styleId="12">
    <w:name w:val="Body Text Indent"/>
    <w:basedOn w:val="1"/>
    <w:link w:val="67"/>
    <w:qFormat/>
    <w:uiPriority w:val="0"/>
    <w:pPr>
      <w:ind w:left="540" w:firstLine="669" w:firstLineChars="239"/>
    </w:pPr>
    <w:rPr>
      <w:rFonts w:ascii="宋体" w:hAnsi="宋体"/>
      <w:sz w:val="28"/>
      <w:szCs w:val="28"/>
    </w:rPr>
  </w:style>
  <w:style w:type="paragraph" w:styleId="13">
    <w:name w:val="toc 5"/>
    <w:basedOn w:val="1"/>
    <w:next w:val="1"/>
    <w:qFormat/>
    <w:uiPriority w:val="0"/>
    <w:pPr>
      <w:ind w:left="1680" w:leftChars="800"/>
    </w:pPr>
  </w:style>
  <w:style w:type="paragraph" w:styleId="14">
    <w:name w:val="toc 3"/>
    <w:basedOn w:val="1"/>
    <w:next w:val="1"/>
    <w:qFormat/>
    <w:uiPriority w:val="0"/>
    <w:pPr>
      <w:ind w:left="840" w:leftChars="400"/>
    </w:pPr>
  </w:style>
  <w:style w:type="paragraph" w:styleId="15">
    <w:name w:val="Plain Text"/>
    <w:basedOn w:val="1"/>
    <w:link w:val="66"/>
    <w:qFormat/>
    <w:uiPriority w:val="0"/>
    <w:rPr>
      <w:rFonts w:ascii="宋体" w:hAnsi="Courier New" w:cs="Courier New"/>
      <w:szCs w:val="21"/>
    </w:rPr>
  </w:style>
  <w:style w:type="paragraph" w:styleId="16">
    <w:name w:val="toc 8"/>
    <w:basedOn w:val="1"/>
    <w:next w:val="1"/>
    <w:qFormat/>
    <w:uiPriority w:val="0"/>
    <w:pPr>
      <w:ind w:left="2940" w:leftChars="1400"/>
    </w:pPr>
  </w:style>
  <w:style w:type="paragraph" w:styleId="17">
    <w:name w:val="Date"/>
    <w:basedOn w:val="1"/>
    <w:next w:val="1"/>
    <w:qFormat/>
    <w:uiPriority w:val="0"/>
    <w:pPr>
      <w:ind w:left="100" w:leftChars="2500"/>
    </w:pPr>
    <w:rPr>
      <w:rFonts w:ascii="幼圆" w:eastAsia="幼圆"/>
      <w:sz w:val="30"/>
    </w:rPr>
  </w:style>
  <w:style w:type="paragraph" w:styleId="18">
    <w:name w:val="Body Text Indent 2"/>
    <w:basedOn w:val="1"/>
    <w:qFormat/>
    <w:uiPriority w:val="0"/>
    <w:pPr>
      <w:ind w:left="-69" w:leftChars="-33" w:firstLine="608" w:firstLineChars="217"/>
    </w:pPr>
    <w:rPr>
      <w:color w:val="33CCCC"/>
      <w:sz w:val="28"/>
    </w:rPr>
  </w:style>
  <w:style w:type="paragraph" w:styleId="19">
    <w:name w:val="Balloon Text"/>
    <w:basedOn w:val="1"/>
    <w:qFormat/>
    <w:uiPriority w:val="0"/>
    <w:rPr>
      <w:sz w:val="18"/>
      <w:szCs w:val="18"/>
    </w:rPr>
  </w:style>
  <w:style w:type="paragraph" w:styleId="20">
    <w:name w:val="footer"/>
    <w:basedOn w:val="1"/>
    <w:link w:val="45"/>
    <w:qFormat/>
    <w:uiPriority w:val="99"/>
    <w:pPr>
      <w:tabs>
        <w:tab w:val="center" w:pos="4153"/>
        <w:tab w:val="right" w:pos="8306"/>
      </w:tabs>
      <w:snapToGrid w:val="0"/>
      <w:jc w:val="left"/>
    </w:pPr>
    <w:rPr>
      <w:sz w:val="18"/>
      <w:szCs w:val="18"/>
    </w:rPr>
  </w:style>
  <w:style w:type="paragraph" w:styleId="21">
    <w:name w:val="Body Text First Indent 2"/>
    <w:basedOn w:val="12"/>
    <w:link w:val="68"/>
    <w:qFormat/>
    <w:uiPriority w:val="0"/>
    <w:pPr>
      <w:spacing w:after="120"/>
      <w:ind w:left="420" w:leftChars="200" w:firstLine="420" w:firstLineChars="200"/>
    </w:pPr>
    <w:rPr>
      <w:rFonts w:ascii="Calibri" w:hAnsi="Calibri"/>
      <w:sz w:val="21"/>
      <w:szCs w:val="24"/>
    </w:rPr>
  </w:style>
  <w:style w:type="paragraph" w:styleId="22">
    <w:name w:val="header"/>
    <w:basedOn w:val="1"/>
    <w:link w:val="46"/>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pPr>
      <w:tabs>
        <w:tab w:val="right" w:leader="dot" w:pos="9000"/>
      </w:tabs>
      <w:spacing w:line="540" w:lineRule="exact"/>
      <w:ind w:right="-153" w:rightChars="-73"/>
    </w:pPr>
    <w:rPr>
      <w:rFonts w:ascii="宋体" w:hAnsi="宋体"/>
      <w:b/>
      <w:sz w:val="28"/>
      <w:szCs w:val="32"/>
    </w:rPr>
  </w:style>
  <w:style w:type="paragraph" w:styleId="24">
    <w:name w:val="toc 4"/>
    <w:basedOn w:val="1"/>
    <w:next w:val="1"/>
    <w:qFormat/>
    <w:uiPriority w:val="0"/>
    <w:pPr>
      <w:ind w:left="1260" w:leftChars="600"/>
    </w:pPr>
  </w:style>
  <w:style w:type="paragraph" w:styleId="25">
    <w:name w:val="footnote text"/>
    <w:basedOn w:val="1"/>
    <w:qFormat/>
    <w:uiPriority w:val="0"/>
    <w:pPr>
      <w:snapToGrid w:val="0"/>
      <w:jc w:val="left"/>
    </w:pPr>
    <w:rPr>
      <w:sz w:val="18"/>
      <w:szCs w:val="18"/>
    </w:rPr>
  </w:style>
  <w:style w:type="paragraph" w:styleId="26">
    <w:name w:val="toc 6"/>
    <w:basedOn w:val="1"/>
    <w:next w:val="1"/>
    <w:qFormat/>
    <w:uiPriority w:val="0"/>
    <w:pPr>
      <w:ind w:left="2100" w:leftChars="1000"/>
    </w:pPr>
  </w:style>
  <w:style w:type="paragraph" w:styleId="27">
    <w:name w:val="Body Text Indent 3"/>
    <w:basedOn w:val="1"/>
    <w:qFormat/>
    <w:uiPriority w:val="0"/>
    <w:pPr>
      <w:spacing w:line="360" w:lineRule="auto"/>
      <w:ind w:firstLine="549" w:firstLineChars="200"/>
    </w:pPr>
    <w:rPr>
      <w:sz w:val="28"/>
    </w:rPr>
  </w:style>
  <w:style w:type="paragraph" w:styleId="28">
    <w:name w:val="toc 2"/>
    <w:basedOn w:val="1"/>
    <w:next w:val="1"/>
    <w:qFormat/>
    <w:uiPriority w:val="0"/>
    <w:pPr>
      <w:tabs>
        <w:tab w:val="right" w:leader="dot" w:pos="9000"/>
      </w:tabs>
      <w:spacing w:line="540" w:lineRule="exact"/>
    </w:pPr>
    <w:rPr>
      <w:rFonts w:ascii="宋体" w:hAnsi="宋体"/>
      <w:sz w:val="28"/>
    </w:rPr>
  </w:style>
  <w:style w:type="paragraph" w:styleId="29">
    <w:name w:val="toc 9"/>
    <w:basedOn w:val="1"/>
    <w:next w:val="1"/>
    <w:qFormat/>
    <w:uiPriority w:val="0"/>
    <w:pPr>
      <w:ind w:left="3360" w:leftChars="1600"/>
    </w:pPr>
  </w:style>
  <w:style w:type="paragraph" w:styleId="3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cs="Arial"/>
      <w:kern w:val="0"/>
      <w:sz w:val="28"/>
      <w:szCs w:val="28"/>
    </w:rPr>
  </w:style>
  <w:style w:type="paragraph" w:styleId="31">
    <w:name w:val="Normal (Web)"/>
    <w:basedOn w:val="1"/>
    <w:qFormat/>
    <w:uiPriority w:val="0"/>
    <w:rPr>
      <w:sz w:val="24"/>
    </w:rPr>
  </w:style>
  <w:style w:type="paragraph" w:styleId="32">
    <w:name w:val="Title"/>
    <w:basedOn w:val="1"/>
    <w:next w:val="1"/>
    <w:qFormat/>
    <w:uiPriority w:val="0"/>
    <w:pPr>
      <w:spacing w:before="120" w:after="120"/>
      <w:jc w:val="center"/>
      <w:outlineLvl w:val="0"/>
    </w:pPr>
    <w:rPr>
      <w:rFonts w:ascii="Cambria" w:hAnsi="Cambria"/>
      <w:b/>
      <w:bCs/>
      <w:sz w:val="28"/>
      <w:szCs w:val="32"/>
    </w:rPr>
  </w:style>
  <w:style w:type="character" w:styleId="34">
    <w:name w:val="page number"/>
    <w:basedOn w:val="33"/>
    <w:qFormat/>
    <w:uiPriority w:val="0"/>
  </w:style>
  <w:style w:type="character" w:styleId="35">
    <w:name w:val="FollowedHyperlink"/>
    <w:qFormat/>
    <w:uiPriority w:val="0"/>
    <w:rPr>
      <w:color w:val="666666"/>
      <w:u w:val="none"/>
    </w:rPr>
  </w:style>
  <w:style w:type="character" w:styleId="36">
    <w:name w:val="Emphasis"/>
    <w:qFormat/>
    <w:uiPriority w:val="0"/>
  </w:style>
  <w:style w:type="character" w:styleId="37">
    <w:name w:val="Hyperlink"/>
    <w:qFormat/>
    <w:uiPriority w:val="0"/>
    <w:rPr>
      <w:color w:val="666666"/>
      <w:u w:val="none"/>
    </w:rPr>
  </w:style>
  <w:style w:type="character" w:styleId="38">
    <w:name w:val="annotation reference"/>
    <w:qFormat/>
    <w:uiPriority w:val="0"/>
    <w:rPr>
      <w:sz w:val="21"/>
      <w:szCs w:val="21"/>
    </w:rPr>
  </w:style>
  <w:style w:type="character" w:styleId="39">
    <w:name w:val="footnote reference"/>
    <w:qFormat/>
    <w:uiPriority w:val="0"/>
    <w:rPr>
      <w:vertAlign w:val="superscript"/>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42">
    <w:name w:val="正文文本 3 Char"/>
    <w:link w:val="10"/>
    <w:qFormat/>
    <w:uiPriority w:val="0"/>
    <w:rPr>
      <w:kern w:val="2"/>
      <w:sz w:val="16"/>
      <w:szCs w:val="16"/>
    </w:rPr>
  </w:style>
  <w:style w:type="character" w:customStyle="1" w:styleId="43">
    <w:name w:val="font31"/>
    <w:qFormat/>
    <w:uiPriority w:val="0"/>
    <w:rPr>
      <w:rFonts w:hint="eastAsia" w:ascii="微软雅黑" w:hAnsi="微软雅黑" w:eastAsia="微软雅黑" w:cs="微软雅黑"/>
      <w:color w:val="000000"/>
      <w:sz w:val="20"/>
      <w:szCs w:val="20"/>
      <w:u w:val="none"/>
    </w:rPr>
  </w:style>
  <w:style w:type="character" w:customStyle="1" w:styleId="44">
    <w:name w:val="font41"/>
    <w:qFormat/>
    <w:uiPriority w:val="0"/>
    <w:rPr>
      <w:rFonts w:hint="eastAsia" w:ascii="微软雅黑" w:hAnsi="微软雅黑" w:eastAsia="微软雅黑" w:cs="微软雅黑"/>
      <w:color w:val="000000"/>
      <w:sz w:val="20"/>
      <w:szCs w:val="20"/>
      <w:u w:val="none"/>
    </w:rPr>
  </w:style>
  <w:style w:type="character" w:customStyle="1" w:styleId="45">
    <w:name w:val="页脚 Char"/>
    <w:link w:val="20"/>
    <w:qFormat/>
    <w:uiPriority w:val="99"/>
    <w:rPr>
      <w:kern w:val="2"/>
      <w:sz w:val="18"/>
      <w:szCs w:val="18"/>
    </w:rPr>
  </w:style>
  <w:style w:type="character" w:customStyle="1" w:styleId="46">
    <w:name w:val="页眉 Char"/>
    <w:link w:val="22"/>
    <w:qFormat/>
    <w:uiPriority w:val="0"/>
    <w:rPr>
      <w:kern w:val="2"/>
      <w:sz w:val="18"/>
      <w:szCs w:val="18"/>
    </w:rPr>
  </w:style>
  <w:style w:type="character" w:customStyle="1" w:styleId="47">
    <w:name w:val="正文2 Char Char"/>
    <w:link w:val="48"/>
    <w:qFormat/>
    <w:uiPriority w:val="0"/>
    <w:rPr>
      <w:rFonts w:eastAsia="宋体"/>
      <w:kern w:val="2"/>
      <w:sz w:val="24"/>
      <w:lang w:val="en-US" w:eastAsia="zh-CN" w:bidi="ar-SA"/>
    </w:rPr>
  </w:style>
  <w:style w:type="paragraph" w:customStyle="1" w:styleId="48">
    <w:name w:val="正文2"/>
    <w:basedOn w:val="1"/>
    <w:link w:val="47"/>
    <w:qFormat/>
    <w:uiPriority w:val="0"/>
    <w:pPr>
      <w:adjustRightInd w:val="0"/>
      <w:spacing w:before="156" w:line="360" w:lineRule="auto"/>
      <w:ind w:firstLine="510" w:firstLineChars="200"/>
    </w:pPr>
    <w:rPr>
      <w:sz w:val="24"/>
      <w:szCs w:val="20"/>
    </w:rPr>
  </w:style>
  <w:style w:type="character" w:customStyle="1" w:styleId="49">
    <w:name w:val="样式 Char Char"/>
    <w:link w:val="50"/>
    <w:qFormat/>
    <w:uiPriority w:val="0"/>
    <w:rPr>
      <w:rFonts w:ascii="宋体" w:hAnsi="宋体" w:cs="宋体"/>
      <w:sz w:val="24"/>
      <w:szCs w:val="24"/>
      <w:lang w:val="en-US" w:eastAsia="zh-CN" w:bidi="ar-SA"/>
    </w:rPr>
  </w:style>
  <w:style w:type="paragraph" w:customStyle="1" w:styleId="50">
    <w:name w:val="样式"/>
    <w:link w:val="49"/>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51">
    <w:name w:val="font91"/>
    <w:qFormat/>
    <w:uiPriority w:val="0"/>
    <w:rPr>
      <w:rFonts w:hint="eastAsia" w:ascii="宋体" w:hAnsi="宋体" w:eastAsia="宋体" w:cs="宋体"/>
      <w:color w:val="000000"/>
      <w:sz w:val="20"/>
      <w:szCs w:val="20"/>
      <w:u w:val="none"/>
    </w:rPr>
  </w:style>
  <w:style w:type="paragraph" w:customStyle="1" w:styleId="52">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p0"/>
    <w:basedOn w:val="1"/>
    <w:qFormat/>
    <w:uiPriority w:val="0"/>
    <w:pPr>
      <w:widowControl/>
    </w:pPr>
    <w:rPr>
      <w:szCs w:val="21"/>
    </w:rPr>
  </w:style>
  <w:style w:type="paragraph" w:customStyle="1" w:styleId="54">
    <w:name w:val="标书正文"/>
    <w:basedOn w:val="1"/>
    <w:qFormat/>
    <w:uiPriority w:val="0"/>
    <w:pPr>
      <w:spacing w:line="560" w:lineRule="exact"/>
      <w:ind w:firstLine="723" w:firstLineChars="200"/>
      <w:jc w:val="center"/>
    </w:pPr>
    <w:rPr>
      <w:rFonts w:ascii="仿宋_GB2312" w:eastAsia="仿宋_GB2312"/>
      <w:b/>
      <w:sz w:val="36"/>
      <w:szCs w:val="20"/>
    </w:rPr>
  </w:style>
  <w:style w:type="paragraph" w:customStyle="1" w:styleId="55">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56">
    <w:name w:val="列出段落1"/>
    <w:basedOn w:val="1"/>
    <w:qFormat/>
    <w:uiPriority w:val="0"/>
    <w:pPr>
      <w:ind w:firstLine="420" w:firstLineChars="200"/>
    </w:pPr>
    <w:rPr>
      <w:rFonts w:ascii="Times New Roman" w:hAnsi="Times New Roman"/>
      <w:sz w:val="24"/>
    </w:rPr>
  </w:style>
  <w:style w:type="paragraph" w:customStyle="1" w:styleId="57">
    <w:name w:val="1"/>
    <w:basedOn w:val="1"/>
    <w:next w:val="15"/>
    <w:qFormat/>
    <w:uiPriority w:val="0"/>
    <w:rPr>
      <w:rFonts w:ascii="宋体" w:hAnsi="Courier New"/>
      <w:szCs w:val="20"/>
    </w:rPr>
  </w:style>
  <w:style w:type="paragraph" w:customStyle="1" w:styleId="58">
    <w:name w:val="列表段落1"/>
    <w:basedOn w:val="1"/>
    <w:qFormat/>
    <w:uiPriority w:val="0"/>
    <w:pPr>
      <w:ind w:firstLine="420" w:firstLineChars="200"/>
    </w:pPr>
  </w:style>
  <w:style w:type="paragraph" w:styleId="59">
    <w:name w:val="List Paragraph"/>
    <w:basedOn w:val="1"/>
    <w:qFormat/>
    <w:uiPriority w:val="0"/>
    <w:pPr>
      <w:ind w:firstLine="420" w:firstLineChars="200"/>
    </w:pPr>
    <w:rPr>
      <w:szCs w:val="22"/>
    </w:rPr>
  </w:style>
  <w:style w:type="paragraph" w:customStyle="1" w:styleId="60">
    <w:name w:val="Char"/>
    <w:basedOn w:val="1"/>
    <w:qFormat/>
    <w:uiPriority w:val="0"/>
  </w:style>
  <w:style w:type="paragraph" w:customStyle="1" w:styleId="6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缺省文本"/>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63">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ascii="Calibri" w:hAnsi="Calibri" w:eastAsia="宋体" w:cs="Times New Roman"/>
      <w:kern w:val="2"/>
      <w:sz w:val="21"/>
      <w:szCs w:val="22"/>
      <w:lang w:val="en-US" w:eastAsia="ar-SA" w:bidi="ar-SA"/>
    </w:rPr>
  </w:style>
  <w:style w:type="character" w:customStyle="1" w:styleId="64">
    <w:name w:val="NormalCharacter"/>
    <w:qFormat/>
    <w:uiPriority w:val="0"/>
    <w:rPr>
      <w:rFonts w:ascii="Calibri" w:hAnsi="Calibri" w:eastAsia="宋体" w:cs="Times New Roman"/>
      <w:kern w:val="2"/>
      <w:sz w:val="21"/>
      <w:szCs w:val="22"/>
      <w:lang w:val="en-US" w:eastAsia="zh-CN" w:bidi="ar-SA"/>
    </w:rPr>
  </w:style>
  <w:style w:type="character" w:customStyle="1" w:styleId="65">
    <w:name w:val="font01"/>
    <w:basedOn w:val="33"/>
    <w:qFormat/>
    <w:uiPriority w:val="0"/>
    <w:rPr>
      <w:rFonts w:hint="default" w:ascii="Arial" w:hAnsi="Arial" w:cs="Arial"/>
      <w:color w:val="333333"/>
      <w:sz w:val="19"/>
      <w:szCs w:val="19"/>
      <w:u w:val="none"/>
    </w:rPr>
  </w:style>
  <w:style w:type="character" w:customStyle="1" w:styleId="66">
    <w:name w:val="纯文本 Char"/>
    <w:link w:val="15"/>
    <w:qFormat/>
    <w:uiPriority w:val="0"/>
    <w:rPr>
      <w:rFonts w:ascii="宋体" w:hAnsi="Courier New" w:cs="Courier New"/>
      <w:kern w:val="2"/>
      <w:sz w:val="21"/>
      <w:szCs w:val="21"/>
    </w:rPr>
  </w:style>
  <w:style w:type="character" w:customStyle="1" w:styleId="67">
    <w:name w:val="正文文本缩进 Char"/>
    <w:basedOn w:val="33"/>
    <w:link w:val="12"/>
    <w:qFormat/>
    <w:uiPriority w:val="0"/>
    <w:rPr>
      <w:rFonts w:ascii="宋体" w:hAnsi="宋体"/>
      <w:kern w:val="2"/>
      <w:sz w:val="28"/>
      <w:szCs w:val="28"/>
    </w:rPr>
  </w:style>
  <w:style w:type="character" w:customStyle="1" w:styleId="68">
    <w:name w:val="正文首行缩进 2 Char"/>
    <w:basedOn w:val="67"/>
    <w:link w:val="2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C542C0-3767-4EBE-B17D-C4E30EE33A53}">
  <ds:schemaRefs/>
</ds:datastoreItem>
</file>

<file path=docProps/app.xml><?xml version="1.0" encoding="utf-8"?>
<Properties xmlns="http://schemas.openxmlformats.org/officeDocument/2006/extended-properties" xmlns:vt="http://schemas.openxmlformats.org/officeDocument/2006/docPropsVTypes">
  <Template>Normal</Template>
  <Company>jw</Company>
  <Pages>36</Pages>
  <Words>2611</Words>
  <Characters>14889</Characters>
  <Lines>124</Lines>
  <Paragraphs>34</Paragraphs>
  <TotalTime>3</TotalTime>
  <ScaleCrop>false</ScaleCrop>
  <LinksUpToDate>false</LinksUpToDate>
  <CharactersWithSpaces>17466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2021-11-01T05:27:00Z</dcterms:created>
  <dc:creator>toshiba</dc:creator>
  <cp:lastModifiedBy>Administrator</cp:lastModifiedBy>
  <cp:lastPrinted>2019-07-29T09:59:00Z</cp:lastPrinted>
  <dcterms:modified xsi:type="dcterms:W3CDTF">2021-11-02T03:58:40Z</dcterms:modified>
  <dc:title>招标文件编号：CJXY2002Z43-1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BE7B5A976A2F441CAEF2357CDCB6125E</vt:lpwstr>
  </property>
</Properties>
</file>