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仿宋" w:hAnsi="仿宋" w:eastAsia="仿宋"/>
          <w:kern w:val="0"/>
          <w:sz w:val="24"/>
        </w:rPr>
      </w:pPr>
      <w:r>
        <w:rPr>
          <w:rFonts w:ascii="Times New Roman" w:hAnsi="Times New Roman"/>
        </w:rPr>
        <w:drawing>
          <wp:inline distT="0" distB="0" distL="0" distR="0">
            <wp:extent cx="752475" cy="457200"/>
            <wp:effectExtent l="19050" t="19050" r="9525" b="0"/>
            <wp:docPr id="3" name="图片 14"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徽标2"/>
                    <pic:cNvPicPr>
                      <a:picLocks noChangeAspect="1" noChangeArrowheads="1"/>
                    </pic:cNvPicPr>
                  </pic:nvPicPr>
                  <pic:blipFill>
                    <a:blip r:embed="rId5"/>
                    <a:srcRect/>
                    <a:stretch>
                      <a:fillRect/>
                    </a:stretch>
                  </pic:blipFill>
                  <pic:spPr>
                    <a:xfrm rot="60000">
                      <a:off x="0" y="0"/>
                      <a:ext cx="752475" cy="457200"/>
                    </a:xfrm>
                    <a:prstGeom prst="rect">
                      <a:avLst/>
                    </a:prstGeom>
                    <a:noFill/>
                    <a:ln w="9525">
                      <a:noFill/>
                      <a:miter lim="800000"/>
                      <a:headEnd/>
                      <a:tailEnd/>
                    </a:ln>
                  </pic:spPr>
                </pic:pic>
              </a:graphicData>
            </a:graphic>
          </wp:inline>
        </w:drawing>
      </w:r>
      <w:r>
        <w:rPr>
          <w:rFonts w:ascii="仿宋" w:hAnsi="仿宋" w:eastAsia="仿宋"/>
          <w:b/>
          <w:kern w:val="16"/>
        </w:rPr>
        <w:pict>
          <v:shape id="_x0000_i1025" o:spt="136" type="#_x0000_t136" style="height:19.25pt;width:184.2pt;" fillcolor="#FFCC99" filled="t" coordsize="21600,21600">
            <v:path/>
            <v:fill type="tile" on="t" o:title="weave" focussize="0,0" r:id="rId6"/>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pPr>
        <w:wordWrap w:val="0"/>
        <w:autoSpaceDE w:val="0"/>
        <w:autoSpaceDN w:val="0"/>
        <w:adjustRightInd w:val="0"/>
        <w:spacing w:line="360" w:lineRule="auto"/>
        <w:ind w:right="480"/>
        <w:jc w:val="right"/>
        <w:rPr>
          <w:rFonts w:ascii="宋体" w:hAnsi="宋体"/>
          <w:kern w:val="0"/>
          <w:sz w:val="24"/>
        </w:rPr>
      </w:pPr>
      <w:r>
        <w:rPr>
          <w:rFonts w:hint="eastAsia" w:ascii="宋体" w:hAnsi="宋体"/>
          <w:kern w:val="0"/>
          <w:sz w:val="24"/>
        </w:rPr>
        <w:t>项目编号：金采招字[2021]XJJZC-071</w:t>
      </w:r>
    </w:p>
    <w:p>
      <w:pPr>
        <w:autoSpaceDE w:val="0"/>
        <w:autoSpaceDN w:val="0"/>
        <w:adjustRightInd w:val="0"/>
        <w:spacing w:line="360" w:lineRule="auto"/>
        <w:jc w:val="right"/>
        <w:rPr>
          <w:rFonts w:ascii="宋体" w:hAnsi="宋体"/>
          <w:kern w:val="0"/>
          <w:sz w:val="24"/>
        </w:rPr>
      </w:pPr>
    </w:p>
    <w:p>
      <w:pPr>
        <w:autoSpaceDE w:val="0"/>
        <w:autoSpaceDN w:val="0"/>
        <w:adjustRightInd w:val="0"/>
        <w:spacing w:line="360" w:lineRule="auto"/>
        <w:rPr>
          <w:rFonts w:ascii="宋体" w:hAnsi="宋体"/>
          <w:kern w:val="0"/>
          <w:sz w:val="24"/>
        </w:rPr>
      </w:pPr>
    </w:p>
    <w:p>
      <w:pPr>
        <w:widowControl/>
        <w:wordWrap w:val="0"/>
        <w:spacing w:line="360" w:lineRule="auto"/>
        <w:jc w:val="center"/>
        <w:rPr>
          <w:rFonts w:ascii="宋体" w:hAnsi="宋体" w:cs="宋体"/>
          <w:b/>
          <w:kern w:val="0"/>
          <w:sz w:val="32"/>
          <w:szCs w:val="32"/>
        </w:rPr>
      </w:pPr>
      <w:r>
        <w:rPr>
          <w:rFonts w:hint="eastAsia" w:ascii="宋体" w:hAnsi="宋体" w:cs="宋体"/>
          <w:b/>
          <w:kern w:val="0"/>
          <w:sz w:val="32"/>
          <w:szCs w:val="32"/>
        </w:rPr>
        <w:t>准东产教融合科技创新园智慧教室多媒体系统项目采购</w:t>
      </w:r>
    </w:p>
    <w:p>
      <w:pPr>
        <w:autoSpaceDE w:val="0"/>
        <w:autoSpaceDN w:val="0"/>
        <w:adjustRightInd w:val="0"/>
        <w:spacing w:line="360" w:lineRule="auto"/>
        <w:jc w:val="center"/>
        <w:rPr>
          <w:rFonts w:ascii="宋体" w:hAnsi="宋体"/>
          <w:bCs/>
          <w:kern w:val="0"/>
          <w:sz w:val="52"/>
          <w:szCs w:val="52"/>
        </w:rPr>
      </w:pPr>
    </w:p>
    <w:p>
      <w:pPr>
        <w:autoSpaceDE w:val="0"/>
        <w:autoSpaceDN w:val="0"/>
        <w:adjustRightInd w:val="0"/>
        <w:spacing w:line="360" w:lineRule="auto"/>
        <w:jc w:val="center"/>
        <w:rPr>
          <w:rFonts w:ascii="宋体" w:hAnsi="宋体"/>
          <w:kern w:val="0"/>
          <w:sz w:val="24"/>
        </w:rPr>
      </w:pPr>
    </w:p>
    <w:p>
      <w:pPr>
        <w:autoSpaceDE w:val="0"/>
        <w:autoSpaceDN w:val="0"/>
        <w:adjustRightInd w:val="0"/>
        <w:spacing w:line="360" w:lineRule="auto"/>
        <w:jc w:val="center"/>
        <w:rPr>
          <w:rFonts w:ascii="宋体" w:hAnsi="宋体"/>
          <w:kern w:val="0"/>
          <w:sz w:val="24"/>
        </w:rPr>
      </w:pPr>
    </w:p>
    <w:p>
      <w:pPr>
        <w:autoSpaceDE w:val="0"/>
        <w:autoSpaceDN w:val="0"/>
        <w:adjustRightInd w:val="0"/>
        <w:spacing w:line="360" w:lineRule="auto"/>
        <w:jc w:val="center"/>
        <w:rPr>
          <w:rFonts w:ascii="宋体" w:hAnsi="宋体"/>
          <w:kern w:val="0"/>
          <w:sz w:val="24"/>
        </w:rPr>
      </w:pPr>
    </w:p>
    <w:p>
      <w:pPr>
        <w:autoSpaceDE w:val="0"/>
        <w:autoSpaceDN w:val="0"/>
        <w:adjustRightInd w:val="0"/>
        <w:spacing w:line="360" w:lineRule="auto"/>
        <w:jc w:val="center"/>
        <w:rPr>
          <w:rFonts w:ascii="宋体" w:hAnsi="宋体"/>
          <w:kern w:val="0"/>
          <w:sz w:val="80"/>
          <w:szCs w:val="80"/>
        </w:rPr>
      </w:pPr>
      <w:r>
        <w:rPr>
          <w:rFonts w:hint="eastAsia" w:ascii="宋体" w:hAnsi="宋体"/>
          <w:b/>
          <w:sz w:val="80"/>
          <w:szCs w:val="80"/>
        </w:rPr>
        <w:t>招标文件</w:t>
      </w:r>
    </w:p>
    <w:p>
      <w:pPr>
        <w:autoSpaceDE w:val="0"/>
        <w:autoSpaceDN w:val="0"/>
        <w:adjustRightInd w:val="0"/>
        <w:spacing w:line="360" w:lineRule="auto"/>
        <w:rPr>
          <w:rFonts w:ascii="宋体" w:hAnsi="宋体"/>
          <w:kern w:val="0"/>
          <w:sz w:val="32"/>
        </w:rPr>
      </w:pPr>
    </w:p>
    <w:p>
      <w:pPr>
        <w:autoSpaceDE w:val="0"/>
        <w:autoSpaceDN w:val="0"/>
        <w:adjustRightInd w:val="0"/>
        <w:spacing w:line="360" w:lineRule="auto"/>
        <w:rPr>
          <w:rFonts w:ascii="宋体" w:hAnsi="宋体"/>
          <w:kern w:val="0"/>
          <w:sz w:val="32"/>
        </w:rPr>
      </w:pPr>
    </w:p>
    <w:p>
      <w:pPr>
        <w:autoSpaceDE w:val="0"/>
        <w:autoSpaceDN w:val="0"/>
        <w:adjustRightInd w:val="0"/>
        <w:spacing w:line="360" w:lineRule="auto"/>
        <w:rPr>
          <w:rFonts w:ascii="宋体" w:hAnsi="宋体"/>
          <w:kern w:val="0"/>
          <w:sz w:val="32"/>
        </w:rPr>
      </w:pPr>
    </w:p>
    <w:p>
      <w:pPr>
        <w:autoSpaceDE w:val="0"/>
        <w:autoSpaceDN w:val="0"/>
        <w:adjustRightInd w:val="0"/>
        <w:spacing w:line="360" w:lineRule="auto"/>
        <w:rPr>
          <w:rFonts w:ascii="宋体" w:hAnsi="宋体"/>
          <w:kern w:val="0"/>
          <w:sz w:val="32"/>
        </w:rPr>
      </w:pPr>
    </w:p>
    <w:p>
      <w:pPr>
        <w:spacing w:line="360" w:lineRule="auto"/>
        <w:rPr>
          <w:rFonts w:ascii="宋体" w:hAnsi="宋体"/>
          <w:sz w:val="28"/>
          <w:szCs w:val="28"/>
        </w:rPr>
      </w:pPr>
      <w:r>
        <w:rPr>
          <w:rFonts w:hint="eastAsia" w:ascii="宋体" w:hAnsi="宋体"/>
          <w:sz w:val="28"/>
          <w:szCs w:val="28"/>
        </w:rPr>
        <w:t xml:space="preserve">    采   购   人：新疆准东经济技术开发区人力资源和社会保障局</w:t>
      </w:r>
    </w:p>
    <w:p>
      <w:pPr>
        <w:spacing w:line="360" w:lineRule="auto"/>
        <w:ind w:firstLine="560" w:firstLineChars="200"/>
        <w:rPr>
          <w:rFonts w:ascii="宋体" w:hAnsi="宋体"/>
          <w:sz w:val="28"/>
          <w:szCs w:val="28"/>
        </w:rPr>
      </w:pPr>
      <w:r>
        <w:rPr>
          <w:rFonts w:hint="eastAsia" w:ascii="宋体" w:hAnsi="宋体"/>
          <w:sz w:val="28"/>
          <w:szCs w:val="28"/>
        </w:rPr>
        <w:t>采购代理机构：新疆金正建设工程管理有限公司</w:t>
      </w:r>
    </w:p>
    <w:p>
      <w:pPr>
        <w:spacing w:line="360" w:lineRule="auto"/>
        <w:ind w:firstLine="137" w:firstLineChars="49"/>
        <w:rPr>
          <w:rFonts w:ascii="宋体" w:hAnsi="宋体"/>
          <w:sz w:val="28"/>
          <w:szCs w:val="28"/>
        </w:rPr>
      </w:pPr>
      <w:r>
        <w:rPr>
          <w:rFonts w:hint="eastAsia" w:ascii="宋体" w:hAnsi="宋体"/>
          <w:sz w:val="28"/>
          <w:szCs w:val="28"/>
        </w:rPr>
        <w:t xml:space="preserve">   招标代理资质：甲级    证书编号：甲F165000160</w:t>
      </w:r>
    </w:p>
    <w:p>
      <w:pPr>
        <w:spacing w:line="360" w:lineRule="auto"/>
        <w:ind w:firstLine="137" w:firstLineChars="49"/>
        <w:rPr>
          <w:rFonts w:ascii="宋体" w:hAnsi="宋体"/>
          <w:sz w:val="28"/>
          <w:szCs w:val="28"/>
        </w:rPr>
      </w:pPr>
      <w:r>
        <w:rPr>
          <w:rFonts w:hint="eastAsia" w:ascii="宋体" w:hAnsi="宋体"/>
          <w:sz w:val="28"/>
          <w:szCs w:val="28"/>
        </w:rPr>
        <w:t xml:space="preserve">   造价咨询资质：甲级    证书编号：甲001465002892</w:t>
      </w:r>
    </w:p>
    <w:p>
      <w:pPr>
        <w:spacing w:line="360" w:lineRule="auto"/>
        <w:ind w:firstLine="137" w:firstLineChars="49"/>
        <w:rPr>
          <w:rFonts w:ascii="宋体" w:hAnsi="宋体"/>
          <w:sz w:val="28"/>
          <w:szCs w:val="28"/>
        </w:rPr>
      </w:pPr>
      <w:r>
        <w:rPr>
          <w:rFonts w:hint="eastAsia" w:ascii="宋体" w:hAnsi="宋体"/>
          <w:sz w:val="28"/>
          <w:szCs w:val="28"/>
        </w:rPr>
        <w:t xml:space="preserve">   中央投资资质：乙级    证书编号：ZYTZ-B2012112      </w:t>
      </w:r>
    </w:p>
    <w:p>
      <w:pPr>
        <w:spacing w:line="360" w:lineRule="auto"/>
        <w:ind w:firstLine="1257" w:firstLineChars="449"/>
        <w:rPr>
          <w:rFonts w:ascii="宋体" w:hAnsi="宋体"/>
          <w:sz w:val="28"/>
          <w:szCs w:val="28"/>
        </w:rPr>
      </w:pPr>
    </w:p>
    <w:p>
      <w:pPr>
        <w:spacing w:line="360" w:lineRule="auto"/>
        <w:jc w:val="center"/>
        <w:rPr>
          <w:rFonts w:ascii="宋体" w:hAnsi="宋体"/>
          <w:sz w:val="28"/>
          <w:szCs w:val="28"/>
        </w:rPr>
      </w:pPr>
      <w:r>
        <w:rPr>
          <w:rFonts w:hint="eastAsia" w:ascii="宋体" w:hAnsi="宋体"/>
          <w:sz w:val="28"/>
          <w:szCs w:val="28"/>
        </w:rPr>
        <w:t>2021年10月</w:t>
      </w:r>
    </w:p>
    <w:p>
      <w:pPr>
        <w:jc w:val="center"/>
        <w:rPr>
          <w:rFonts w:ascii="宋体" w:hAnsi="宋体"/>
          <w:sz w:val="32"/>
          <w:szCs w:val="32"/>
        </w:rPr>
      </w:pPr>
    </w:p>
    <w:p>
      <w:pPr>
        <w:autoSpaceDE w:val="0"/>
        <w:autoSpaceDN w:val="0"/>
        <w:adjustRightInd w:val="0"/>
        <w:spacing w:line="360" w:lineRule="auto"/>
        <w:jc w:val="center"/>
        <w:rPr>
          <w:rFonts w:ascii="宋体" w:hAnsi="宋体"/>
          <w:kern w:val="0"/>
          <w:sz w:val="48"/>
          <w:szCs w:val="48"/>
        </w:rPr>
      </w:pPr>
      <w:r>
        <w:rPr>
          <w:rFonts w:hint="eastAsia" w:ascii="宋体" w:hAnsi="宋体"/>
          <w:sz w:val="48"/>
          <w:szCs w:val="48"/>
        </w:rPr>
        <w:t>招标文件</w:t>
      </w:r>
    </w:p>
    <w:p>
      <w:pPr>
        <w:autoSpaceDE w:val="0"/>
        <w:autoSpaceDN w:val="0"/>
        <w:adjustRightInd w:val="0"/>
        <w:spacing w:line="500" w:lineRule="exact"/>
        <w:jc w:val="center"/>
        <w:rPr>
          <w:rFonts w:ascii="宋体" w:hAnsi="宋体"/>
          <w:kern w:val="0"/>
          <w:sz w:val="24"/>
        </w:rPr>
      </w:pPr>
    </w:p>
    <w:p>
      <w:pPr>
        <w:ind w:left="1687" w:hanging="1687" w:hangingChars="700"/>
        <w:rPr>
          <w:rFonts w:ascii="宋体" w:hAnsi="宋体"/>
          <w:b/>
          <w:sz w:val="24"/>
        </w:rPr>
      </w:pPr>
      <w:r>
        <w:rPr>
          <w:rFonts w:hint="eastAsia" w:ascii="宋体" w:hAnsi="宋体"/>
          <w:b/>
          <w:sz w:val="24"/>
        </w:rPr>
        <w:t xml:space="preserve">    项目名称：准东产教融合科技创新园智慧教室多媒体系统项目采购</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采  购  人：新疆准东经济技术开发区人力资源和社会保障局</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color w:val="000000"/>
          <w:sz w:val="24"/>
        </w:rPr>
      </w:pPr>
      <w:r>
        <w:rPr>
          <w:rFonts w:hint="eastAsia" w:ascii="宋体" w:hAnsi="宋体"/>
          <w:b/>
          <w:sz w:val="24"/>
        </w:rPr>
        <w:t>联 系 人：</w:t>
      </w:r>
      <w:r>
        <w:rPr>
          <w:rFonts w:hint="eastAsia" w:ascii="宋体" w:hAnsi="宋体"/>
          <w:b/>
          <w:color w:val="000000"/>
          <w:sz w:val="24"/>
        </w:rPr>
        <w:t>白先生</w:t>
      </w:r>
    </w:p>
    <w:p>
      <w:pPr>
        <w:autoSpaceDE w:val="0"/>
        <w:autoSpaceDN w:val="0"/>
        <w:adjustRightInd w:val="0"/>
        <w:spacing w:line="400" w:lineRule="exact"/>
        <w:ind w:firstLine="472" w:firstLineChars="196"/>
        <w:rPr>
          <w:rFonts w:ascii="宋体" w:hAnsi="宋体"/>
          <w:b/>
          <w:color w:val="000000"/>
          <w:sz w:val="24"/>
        </w:rPr>
      </w:pPr>
    </w:p>
    <w:p>
      <w:pPr>
        <w:autoSpaceDE w:val="0"/>
        <w:autoSpaceDN w:val="0"/>
        <w:adjustRightInd w:val="0"/>
        <w:spacing w:line="400" w:lineRule="exact"/>
        <w:ind w:firstLine="472" w:firstLineChars="196"/>
        <w:rPr>
          <w:rFonts w:ascii="宋体" w:hAnsi="宋体"/>
          <w:b/>
          <w:i/>
          <w:iCs/>
          <w:color w:val="000000"/>
          <w:sz w:val="24"/>
        </w:rPr>
      </w:pPr>
      <w:r>
        <w:rPr>
          <w:rFonts w:hint="eastAsia" w:ascii="宋体" w:hAnsi="宋体"/>
          <w:b/>
          <w:color w:val="000000"/>
          <w:sz w:val="24"/>
        </w:rPr>
        <w:t>联系电话：</w:t>
      </w:r>
      <w:r>
        <w:rPr>
          <w:rFonts w:ascii="宋体" w:hAnsi="宋体"/>
          <w:b/>
          <w:color w:val="000000"/>
          <w:sz w:val="24"/>
        </w:rPr>
        <w:t>13995017970</w:t>
      </w:r>
    </w:p>
    <w:p>
      <w:pPr>
        <w:autoSpaceDE w:val="0"/>
        <w:autoSpaceDN w:val="0"/>
        <w:adjustRightInd w:val="0"/>
        <w:spacing w:line="400" w:lineRule="exact"/>
        <w:ind w:firstLine="472" w:firstLineChars="196"/>
        <w:rPr>
          <w:rFonts w:ascii="宋体" w:hAnsi="宋体"/>
          <w:b/>
          <w:color w:val="000000"/>
          <w:sz w:val="24"/>
        </w:rPr>
      </w:pPr>
    </w:p>
    <w:p>
      <w:pPr>
        <w:autoSpaceDE w:val="0"/>
        <w:autoSpaceDN w:val="0"/>
        <w:adjustRightInd w:val="0"/>
        <w:spacing w:line="400" w:lineRule="exact"/>
        <w:ind w:firstLine="472" w:firstLineChars="196"/>
        <w:rPr>
          <w:rFonts w:ascii="宋体" w:hAnsi="宋体"/>
          <w:b/>
          <w:color w:val="000000"/>
          <w:sz w:val="24"/>
        </w:rPr>
      </w:pPr>
      <w:r>
        <w:rPr>
          <w:rFonts w:hint="eastAsia" w:ascii="宋体" w:hAnsi="宋体"/>
          <w:b/>
          <w:color w:val="000000"/>
          <w:sz w:val="24"/>
        </w:rPr>
        <w:t>联系地址：新疆准东经济技术开发区人才大厦407办公室</w:t>
      </w:r>
    </w:p>
    <w:p>
      <w:pPr>
        <w:pStyle w:val="2"/>
        <w:ind w:firstLine="440"/>
      </w:pPr>
    </w:p>
    <w:p>
      <w:pPr>
        <w:pStyle w:val="2"/>
        <w:ind w:firstLine="440"/>
      </w:pPr>
      <w:r>
        <w:rPr>
          <w:rFonts w:hint="eastAsia"/>
        </w:rPr>
        <w:t>----------------------------------------------------------------------</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采购代理机构：新疆金正建设工程管理有限公司</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法定代表人（签章）：</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文件编制人：李积娟</w:t>
      </w:r>
    </w:p>
    <w:p>
      <w:pPr>
        <w:pStyle w:val="2"/>
        <w:ind w:firstLine="440"/>
      </w:pPr>
    </w:p>
    <w:p>
      <w:pPr>
        <w:pStyle w:val="2"/>
        <w:ind w:firstLine="482"/>
        <w:rPr>
          <w:rFonts w:ascii="宋体" w:hAnsi="宋体" w:eastAsia="宋体"/>
          <w:b/>
          <w:bCs w:val="0"/>
          <w:color w:val="auto"/>
          <w:spacing w:val="0"/>
          <w:szCs w:val="22"/>
        </w:rPr>
      </w:pPr>
      <w:r>
        <w:rPr>
          <w:rFonts w:hint="eastAsia" w:ascii="宋体" w:hAnsi="宋体" w:eastAsia="宋体"/>
          <w:b/>
          <w:bCs w:val="0"/>
          <w:color w:val="auto"/>
          <w:spacing w:val="0"/>
          <w:szCs w:val="22"/>
        </w:rPr>
        <w:t>文件审核人：肖甜甜</w:t>
      </w:r>
      <w:r>
        <w:rPr>
          <w:rFonts w:ascii="宋体" w:hAnsi="宋体" w:eastAsia="宋体"/>
          <w:b/>
          <w:bCs w:val="0"/>
          <w:color w:val="auto"/>
          <w:spacing w:val="0"/>
          <w:szCs w:val="22"/>
        </w:rPr>
        <w:t xml:space="preserve"> </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联系电话：0991-4508367、18599129359</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传    真：0991-4508736</w:t>
      </w:r>
    </w:p>
    <w:p>
      <w:pPr>
        <w:autoSpaceDE w:val="0"/>
        <w:autoSpaceDN w:val="0"/>
        <w:adjustRightInd w:val="0"/>
        <w:spacing w:line="400" w:lineRule="exact"/>
        <w:ind w:firstLine="472" w:firstLineChars="196"/>
        <w:rPr>
          <w:rFonts w:ascii="宋体" w:hAnsi="宋体"/>
          <w:b/>
          <w:sz w:val="24"/>
        </w:rPr>
      </w:pPr>
    </w:p>
    <w:p>
      <w:pPr>
        <w:autoSpaceDE w:val="0"/>
        <w:autoSpaceDN w:val="0"/>
        <w:adjustRightInd w:val="0"/>
        <w:spacing w:line="400" w:lineRule="exact"/>
        <w:ind w:firstLine="472" w:firstLineChars="196"/>
        <w:rPr>
          <w:rFonts w:ascii="宋体" w:hAnsi="宋体"/>
          <w:b/>
          <w:sz w:val="24"/>
        </w:rPr>
      </w:pPr>
      <w:r>
        <w:rPr>
          <w:rFonts w:hint="eastAsia" w:ascii="宋体" w:hAnsi="宋体"/>
          <w:b/>
          <w:sz w:val="24"/>
        </w:rPr>
        <w:t>详细地址：乌鲁木齐市水磨沟区南湖东路165号新疆国际大厦18楼</w:t>
      </w:r>
    </w:p>
    <w:p>
      <w:pPr>
        <w:spacing w:line="360" w:lineRule="auto"/>
        <w:jc w:val="center"/>
        <w:rPr>
          <w:rFonts w:cs="仿宋" w:asciiTheme="minorEastAsia" w:hAnsiTheme="minorEastAsia" w:eastAsiaTheme="minorEastAsia"/>
          <w:color w:val="000000" w:themeColor="text1"/>
          <w:sz w:val="56"/>
          <w:szCs w:val="32"/>
          <w14:textFill>
            <w14:solidFill>
              <w14:schemeClr w14:val="tx1"/>
            </w14:solidFill>
          </w14:textFill>
        </w:rPr>
      </w:pPr>
      <w:r>
        <w:rPr>
          <w:rFonts w:asciiTheme="minorEastAsia" w:hAnsiTheme="minorEastAsia" w:eastAsiaTheme="minorEastAsia"/>
          <w:b/>
          <w:color w:val="000000" w:themeColor="text1"/>
          <w:kern w:val="0"/>
          <w:sz w:val="36"/>
          <w:szCs w:val="36"/>
          <w14:textFill>
            <w14:solidFill>
              <w14:schemeClr w14:val="tx1"/>
            </w14:solidFill>
          </w14:textFill>
        </w:rPr>
        <w:br w:type="page"/>
      </w:r>
      <w:r>
        <w:rPr>
          <w:rFonts w:hint="eastAsia" w:asciiTheme="minorEastAsia" w:hAnsiTheme="minorEastAsia" w:eastAsiaTheme="minorEastAsia"/>
          <w:color w:val="000000" w:themeColor="text1"/>
          <w:spacing w:val="800"/>
          <w:kern w:val="0"/>
          <w:sz w:val="40"/>
          <w:fitText w:val="2400" w:id="1995383370"/>
          <w14:textFill>
            <w14:solidFill>
              <w14:schemeClr w14:val="tx1"/>
            </w14:solidFill>
          </w14:textFill>
        </w:rPr>
        <w:t>目</w:t>
      </w:r>
      <w:r>
        <w:rPr>
          <w:rFonts w:hint="eastAsia" w:asciiTheme="minorEastAsia" w:hAnsiTheme="minorEastAsia" w:eastAsiaTheme="minorEastAsia"/>
          <w:color w:val="000000" w:themeColor="text1"/>
          <w:spacing w:val="0"/>
          <w:kern w:val="0"/>
          <w:sz w:val="40"/>
          <w:fitText w:val="2400" w:id="1995383370"/>
          <w14:textFill>
            <w14:solidFill>
              <w14:schemeClr w14:val="tx1"/>
            </w14:solidFill>
          </w14:textFill>
        </w:rPr>
        <w:t>录</w:t>
      </w:r>
    </w:p>
    <w:p>
      <w:pPr>
        <w:pStyle w:val="17"/>
        <w:spacing w:line="360" w:lineRule="auto"/>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22"/>
        <w:tabs>
          <w:tab w:val="right" w:leader="dot" w:pos="8296"/>
        </w:tabs>
        <w:spacing w:line="276" w:lineRule="auto"/>
        <w:rPr>
          <w:rStyle w:val="34"/>
          <w:rFonts w:ascii="宋体" w:hAnsi="宋体"/>
          <w:sz w:val="20"/>
          <w:szCs w:val="18"/>
        </w:rPr>
      </w:pPr>
      <w:r>
        <w:rPr>
          <w:rStyle w:val="34"/>
        </w:rPr>
        <w:fldChar w:fldCharType="begin"/>
      </w:r>
      <w:r>
        <w:rPr>
          <w:rStyle w:val="34"/>
        </w:rPr>
        <w:instrText xml:space="preserve"> TOC \o "1-5" \h \z \u </w:instrText>
      </w:r>
      <w:r>
        <w:rPr>
          <w:rStyle w:val="34"/>
        </w:rPr>
        <w:fldChar w:fldCharType="separate"/>
      </w:r>
      <w:r>
        <w:fldChar w:fldCharType="begin"/>
      </w:r>
      <w:r>
        <w:instrText xml:space="preserve"> HYPERLINK \l "_Toc83402830" </w:instrText>
      </w:r>
      <w:r>
        <w:fldChar w:fldCharType="separate"/>
      </w:r>
      <w:r>
        <w:rPr>
          <w:rStyle w:val="34"/>
          <w:rFonts w:hint="eastAsia" w:ascii="宋体" w:hAnsi="宋体"/>
          <w:sz w:val="20"/>
          <w:szCs w:val="18"/>
        </w:rPr>
        <w:t>第一部分</w:t>
      </w:r>
      <w:r>
        <w:rPr>
          <w:rStyle w:val="34"/>
          <w:rFonts w:ascii="宋体" w:hAnsi="宋体"/>
          <w:sz w:val="20"/>
          <w:szCs w:val="18"/>
        </w:rPr>
        <w:t xml:space="preserve"> </w:t>
      </w:r>
      <w:r>
        <w:rPr>
          <w:rStyle w:val="34"/>
          <w:rFonts w:hint="eastAsia" w:ascii="宋体" w:hAnsi="宋体"/>
          <w:sz w:val="20"/>
          <w:szCs w:val="18"/>
        </w:rPr>
        <w:t>商务部分</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_Toc83402830 \h </w:instrText>
      </w:r>
      <w:r>
        <w:rPr>
          <w:rStyle w:val="34"/>
          <w:rFonts w:ascii="宋体" w:hAnsi="宋体"/>
          <w:sz w:val="20"/>
          <w:szCs w:val="18"/>
        </w:rPr>
        <w:fldChar w:fldCharType="separate"/>
      </w:r>
      <w:r>
        <w:rPr>
          <w:rStyle w:val="34"/>
          <w:rFonts w:ascii="宋体" w:hAnsi="宋体"/>
          <w:sz w:val="20"/>
          <w:szCs w:val="18"/>
        </w:rPr>
        <w:t>1</w:t>
      </w:r>
      <w:r>
        <w:rPr>
          <w:rStyle w:val="34"/>
          <w:rFonts w:ascii="宋体" w:hAnsi="宋体"/>
          <w:sz w:val="20"/>
          <w:szCs w:val="18"/>
        </w:rPr>
        <w:fldChar w:fldCharType="end"/>
      </w:r>
      <w:r>
        <w:rPr>
          <w:rStyle w:val="34"/>
          <w:rFonts w:ascii="宋体" w:hAnsi="宋体"/>
          <w:sz w:val="20"/>
          <w:szCs w:val="18"/>
        </w:rPr>
        <w:fldChar w:fldCharType="end"/>
      </w:r>
    </w:p>
    <w:p>
      <w:pPr>
        <w:pStyle w:val="25"/>
        <w:tabs>
          <w:tab w:val="left" w:pos="1470"/>
          <w:tab w:val="right" w:leader="dot" w:pos="8296"/>
        </w:tabs>
        <w:spacing w:line="276" w:lineRule="auto"/>
        <w:rPr>
          <w:rStyle w:val="34"/>
          <w:rFonts w:ascii="宋体" w:hAnsi="宋体"/>
          <w:sz w:val="20"/>
          <w:szCs w:val="18"/>
        </w:rPr>
      </w:pPr>
      <w:r>
        <w:fldChar w:fldCharType="begin"/>
      </w:r>
      <w:r>
        <w:instrText xml:space="preserve"> HYPERLINK \l "_Toc83402831" </w:instrText>
      </w:r>
      <w:r>
        <w:fldChar w:fldCharType="separate"/>
      </w:r>
      <w:r>
        <w:rPr>
          <w:rStyle w:val="34"/>
          <w:rFonts w:hint="eastAsia" w:ascii="宋体" w:hAnsi="宋体"/>
          <w:sz w:val="20"/>
          <w:szCs w:val="18"/>
        </w:rPr>
        <w:t>第一章.</w:t>
      </w:r>
      <w:r>
        <w:rPr>
          <w:rStyle w:val="34"/>
          <w:rFonts w:ascii="宋体" w:hAnsi="宋体"/>
          <w:sz w:val="20"/>
          <w:szCs w:val="18"/>
        </w:rPr>
        <w:tab/>
      </w:r>
      <w:r>
        <w:rPr>
          <w:rStyle w:val="34"/>
          <w:rFonts w:hint="eastAsia" w:ascii="宋体" w:hAnsi="宋体"/>
          <w:sz w:val="20"/>
          <w:szCs w:val="18"/>
        </w:rPr>
        <w:t>招标公告</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_Toc83402831 \h </w:instrText>
      </w:r>
      <w:r>
        <w:rPr>
          <w:rStyle w:val="34"/>
          <w:rFonts w:ascii="宋体" w:hAnsi="宋体"/>
          <w:sz w:val="20"/>
          <w:szCs w:val="18"/>
        </w:rPr>
        <w:fldChar w:fldCharType="separate"/>
      </w:r>
      <w:r>
        <w:rPr>
          <w:rStyle w:val="34"/>
          <w:rFonts w:ascii="宋体" w:hAnsi="宋体"/>
          <w:sz w:val="20"/>
          <w:szCs w:val="18"/>
        </w:rPr>
        <w:t>1</w:t>
      </w:r>
      <w:r>
        <w:rPr>
          <w:rStyle w:val="34"/>
          <w:rFonts w:ascii="宋体" w:hAnsi="宋体"/>
          <w:sz w:val="20"/>
          <w:szCs w:val="18"/>
        </w:rPr>
        <w:fldChar w:fldCharType="end"/>
      </w:r>
      <w:r>
        <w:rPr>
          <w:rStyle w:val="34"/>
          <w:rFonts w:ascii="宋体" w:hAnsi="宋体"/>
          <w:sz w:val="20"/>
          <w:szCs w:val="18"/>
        </w:rPr>
        <w:fldChar w:fldCharType="end"/>
      </w:r>
    </w:p>
    <w:p>
      <w:pPr>
        <w:pStyle w:val="25"/>
        <w:tabs>
          <w:tab w:val="left" w:pos="1470"/>
          <w:tab w:val="right" w:leader="dot" w:pos="8296"/>
        </w:tabs>
        <w:spacing w:line="276" w:lineRule="auto"/>
        <w:rPr>
          <w:rStyle w:val="34"/>
          <w:rFonts w:ascii="宋体" w:hAnsi="宋体"/>
          <w:sz w:val="20"/>
          <w:szCs w:val="18"/>
        </w:rPr>
      </w:pPr>
      <w:r>
        <w:fldChar w:fldCharType="begin"/>
      </w:r>
      <w:r>
        <w:instrText xml:space="preserve"> HYPERLINK \l "_Toc83402832" </w:instrText>
      </w:r>
      <w:r>
        <w:fldChar w:fldCharType="separate"/>
      </w:r>
      <w:r>
        <w:rPr>
          <w:rStyle w:val="34"/>
          <w:rFonts w:hint="eastAsia" w:ascii="宋体" w:hAnsi="宋体"/>
          <w:sz w:val="20"/>
          <w:szCs w:val="18"/>
        </w:rPr>
        <w:t>第二章.</w:t>
      </w:r>
      <w:r>
        <w:rPr>
          <w:rStyle w:val="34"/>
          <w:rFonts w:ascii="宋体" w:hAnsi="宋体"/>
          <w:sz w:val="20"/>
          <w:szCs w:val="18"/>
        </w:rPr>
        <w:tab/>
      </w:r>
      <w:r>
        <w:rPr>
          <w:rStyle w:val="34"/>
          <w:rFonts w:hint="eastAsia" w:ascii="宋体" w:hAnsi="宋体"/>
          <w:sz w:val="20"/>
          <w:szCs w:val="18"/>
        </w:rPr>
        <w:t>供应商须知</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_Toc83402832 \h </w:instrText>
      </w:r>
      <w:r>
        <w:rPr>
          <w:rStyle w:val="34"/>
          <w:rFonts w:ascii="宋体" w:hAnsi="宋体"/>
          <w:sz w:val="20"/>
          <w:szCs w:val="18"/>
        </w:rPr>
        <w:fldChar w:fldCharType="separate"/>
      </w:r>
      <w:r>
        <w:rPr>
          <w:rStyle w:val="34"/>
          <w:rFonts w:ascii="宋体" w:hAnsi="宋体"/>
          <w:sz w:val="20"/>
          <w:szCs w:val="18"/>
        </w:rPr>
        <w:t>4</w:t>
      </w:r>
      <w:r>
        <w:rPr>
          <w:rStyle w:val="34"/>
          <w:rFonts w:ascii="宋体" w:hAnsi="宋体"/>
          <w:sz w:val="20"/>
          <w:szCs w:val="18"/>
        </w:rPr>
        <w:fldChar w:fldCharType="end"/>
      </w:r>
      <w:r>
        <w:rPr>
          <w:rStyle w:val="34"/>
          <w:rFonts w:ascii="宋体" w:hAnsi="宋体"/>
          <w:sz w:val="20"/>
          <w:szCs w:val="18"/>
        </w:rPr>
        <w:fldChar w:fldCharType="end"/>
      </w:r>
    </w:p>
    <w:p>
      <w:pPr>
        <w:pStyle w:val="16"/>
        <w:tabs>
          <w:tab w:val="left" w:pos="1470"/>
          <w:tab w:val="right" w:leader="dot" w:pos="8296"/>
        </w:tabs>
        <w:spacing w:line="276" w:lineRule="auto"/>
        <w:rPr>
          <w:rStyle w:val="34"/>
          <w:rFonts w:ascii="宋体" w:hAnsi="宋体"/>
          <w:sz w:val="20"/>
          <w:szCs w:val="18"/>
        </w:rPr>
      </w:pPr>
      <w:r>
        <w:fldChar w:fldCharType="begin"/>
      </w:r>
      <w:r>
        <w:instrText xml:space="preserve"> HYPERLINK \l "_Toc83402833" </w:instrText>
      </w:r>
      <w:r>
        <w:fldChar w:fldCharType="separate"/>
      </w:r>
      <w:r>
        <w:rPr>
          <w:rStyle w:val="34"/>
          <w:rFonts w:hint="eastAsia" w:ascii="宋体" w:hAnsi="宋体"/>
          <w:sz w:val="20"/>
          <w:szCs w:val="18"/>
        </w:rPr>
        <w:t>一.</w:t>
      </w:r>
      <w:r>
        <w:rPr>
          <w:rStyle w:val="34"/>
          <w:rFonts w:ascii="宋体" w:hAnsi="宋体"/>
          <w:sz w:val="20"/>
          <w:szCs w:val="18"/>
        </w:rPr>
        <w:tab/>
      </w:r>
      <w:r>
        <w:rPr>
          <w:rStyle w:val="34"/>
          <w:rFonts w:hint="eastAsia" w:ascii="宋体" w:hAnsi="宋体"/>
          <w:sz w:val="20"/>
          <w:szCs w:val="18"/>
        </w:rPr>
        <w:t>供应商须知前附表</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_Toc83402833 \h </w:instrText>
      </w:r>
      <w:r>
        <w:rPr>
          <w:rStyle w:val="34"/>
          <w:rFonts w:ascii="宋体" w:hAnsi="宋体"/>
          <w:sz w:val="20"/>
          <w:szCs w:val="18"/>
        </w:rPr>
        <w:fldChar w:fldCharType="separate"/>
      </w:r>
      <w:r>
        <w:rPr>
          <w:rStyle w:val="34"/>
          <w:rFonts w:ascii="宋体" w:hAnsi="宋体"/>
          <w:sz w:val="20"/>
          <w:szCs w:val="18"/>
        </w:rPr>
        <w:t>4</w:t>
      </w:r>
      <w:r>
        <w:rPr>
          <w:rStyle w:val="34"/>
          <w:rFonts w:ascii="宋体" w:hAnsi="宋体"/>
          <w:sz w:val="20"/>
          <w:szCs w:val="18"/>
        </w:rPr>
        <w:fldChar w:fldCharType="end"/>
      </w:r>
      <w:r>
        <w:rPr>
          <w:rStyle w:val="34"/>
          <w:rFonts w:ascii="宋体" w:hAnsi="宋体"/>
          <w:sz w:val="20"/>
          <w:szCs w:val="18"/>
        </w:rPr>
        <w:fldChar w:fldCharType="end"/>
      </w:r>
    </w:p>
    <w:p>
      <w:pPr>
        <w:pStyle w:val="16"/>
        <w:tabs>
          <w:tab w:val="left" w:pos="1470"/>
          <w:tab w:val="right" w:leader="dot" w:pos="8296"/>
        </w:tabs>
        <w:spacing w:line="276" w:lineRule="auto"/>
        <w:rPr>
          <w:rStyle w:val="34"/>
          <w:rFonts w:ascii="宋体" w:hAnsi="宋体"/>
          <w:sz w:val="20"/>
          <w:szCs w:val="18"/>
        </w:rPr>
      </w:pPr>
      <w:r>
        <w:fldChar w:fldCharType="begin"/>
      </w:r>
      <w:r>
        <w:instrText xml:space="preserve"> HYPERLINK \l "_Toc83402834" </w:instrText>
      </w:r>
      <w:r>
        <w:fldChar w:fldCharType="separate"/>
      </w:r>
      <w:r>
        <w:rPr>
          <w:rStyle w:val="34"/>
          <w:rFonts w:hint="eastAsia" w:ascii="宋体" w:hAnsi="宋体"/>
          <w:sz w:val="20"/>
          <w:szCs w:val="18"/>
        </w:rPr>
        <w:t>二.</w:t>
      </w:r>
      <w:r>
        <w:rPr>
          <w:rStyle w:val="34"/>
          <w:rFonts w:ascii="宋体" w:hAnsi="宋体"/>
          <w:sz w:val="20"/>
          <w:szCs w:val="18"/>
        </w:rPr>
        <w:tab/>
      </w:r>
      <w:r>
        <w:rPr>
          <w:rStyle w:val="34"/>
          <w:rFonts w:hint="eastAsia" w:ascii="宋体" w:hAnsi="宋体"/>
          <w:sz w:val="20"/>
          <w:szCs w:val="18"/>
        </w:rPr>
        <w:t>供应商须知正文</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_Toc83402834 \h </w:instrText>
      </w:r>
      <w:r>
        <w:rPr>
          <w:rStyle w:val="34"/>
          <w:rFonts w:ascii="宋体" w:hAnsi="宋体"/>
          <w:sz w:val="20"/>
          <w:szCs w:val="18"/>
        </w:rPr>
        <w:fldChar w:fldCharType="separate"/>
      </w:r>
      <w:r>
        <w:rPr>
          <w:rStyle w:val="34"/>
          <w:rFonts w:ascii="宋体" w:hAnsi="宋体"/>
          <w:sz w:val="20"/>
          <w:szCs w:val="18"/>
        </w:rPr>
        <w:t>8</w:t>
      </w:r>
      <w:r>
        <w:rPr>
          <w:rStyle w:val="34"/>
          <w:rFonts w:ascii="宋体" w:hAnsi="宋体"/>
          <w:sz w:val="20"/>
          <w:szCs w:val="18"/>
        </w:rPr>
        <w:fldChar w:fldCharType="end"/>
      </w:r>
      <w:r>
        <w:rPr>
          <w:rStyle w:val="34"/>
          <w:rFonts w:ascii="宋体" w:hAnsi="宋体"/>
          <w:sz w:val="20"/>
          <w:szCs w:val="18"/>
        </w:rPr>
        <w:fldChar w:fldCharType="end"/>
      </w:r>
    </w:p>
    <w:p>
      <w:pPr>
        <w:pStyle w:val="25"/>
        <w:tabs>
          <w:tab w:val="left" w:pos="1470"/>
          <w:tab w:val="right" w:leader="dot" w:pos="8296"/>
        </w:tabs>
        <w:spacing w:line="276" w:lineRule="auto"/>
        <w:rPr>
          <w:rStyle w:val="34"/>
          <w:rFonts w:ascii="宋体" w:hAnsi="宋体"/>
          <w:sz w:val="20"/>
          <w:szCs w:val="18"/>
        </w:rPr>
      </w:pPr>
      <w:r>
        <w:fldChar w:fldCharType="begin"/>
      </w:r>
      <w:r>
        <w:instrText xml:space="preserve"> HYPERLINK \l "_Toc83402835" </w:instrText>
      </w:r>
      <w:r>
        <w:fldChar w:fldCharType="separate"/>
      </w:r>
      <w:r>
        <w:rPr>
          <w:rStyle w:val="34"/>
          <w:rFonts w:hint="eastAsia" w:ascii="宋体" w:hAnsi="宋体"/>
          <w:sz w:val="20"/>
          <w:szCs w:val="18"/>
        </w:rPr>
        <w:t>第三章.</w:t>
      </w:r>
      <w:r>
        <w:rPr>
          <w:rStyle w:val="34"/>
          <w:rFonts w:ascii="宋体" w:hAnsi="宋体"/>
          <w:sz w:val="20"/>
          <w:szCs w:val="18"/>
        </w:rPr>
        <w:tab/>
      </w:r>
      <w:r>
        <w:rPr>
          <w:rStyle w:val="34"/>
          <w:rFonts w:hint="eastAsia" w:ascii="宋体" w:hAnsi="宋体"/>
          <w:sz w:val="20"/>
          <w:szCs w:val="18"/>
        </w:rPr>
        <w:t>评标办法及标准</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_Toc83402835 \h </w:instrText>
      </w:r>
      <w:r>
        <w:rPr>
          <w:rStyle w:val="34"/>
          <w:rFonts w:ascii="宋体" w:hAnsi="宋体"/>
          <w:sz w:val="20"/>
          <w:szCs w:val="18"/>
        </w:rPr>
        <w:fldChar w:fldCharType="separate"/>
      </w:r>
      <w:r>
        <w:rPr>
          <w:rStyle w:val="34"/>
          <w:rFonts w:ascii="宋体" w:hAnsi="宋体"/>
          <w:sz w:val="20"/>
          <w:szCs w:val="18"/>
        </w:rPr>
        <w:t>21</w:t>
      </w:r>
      <w:r>
        <w:rPr>
          <w:rStyle w:val="34"/>
          <w:rFonts w:ascii="宋体" w:hAnsi="宋体"/>
          <w:sz w:val="20"/>
          <w:szCs w:val="18"/>
        </w:rPr>
        <w:fldChar w:fldCharType="end"/>
      </w:r>
      <w:r>
        <w:rPr>
          <w:rStyle w:val="34"/>
          <w:rFonts w:ascii="宋体" w:hAnsi="宋体"/>
          <w:sz w:val="20"/>
          <w:szCs w:val="18"/>
        </w:rPr>
        <w:fldChar w:fldCharType="end"/>
      </w:r>
    </w:p>
    <w:p>
      <w:pPr>
        <w:pStyle w:val="25"/>
        <w:tabs>
          <w:tab w:val="left" w:pos="1470"/>
          <w:tab w:val="right" w:leader="dot" w:pos="8296"/>
        </w:tabs>
        <w:spacing w:line="276" w:lineRule="auto"/>
        <w:rPr>
          <w:rStyle w:val="34"/>
          <w:rFonts w:ascii="宋体" w:hAnsi="宋体"/>
          <w:sz w:val="20"/>
          <w:szCs w:val="18"/>
        </w:rPr>
      </w:pPr>
      <w:r>
        <w:fldChar w:fldCharType="begin"/>
      </w:r>
      <w:r>
        <w:instrText xml:space="preserve"> HYPERLINK \l "_Toc83402836" </w:instrText>
      </w:r>
      <w:r>
        <w:fldChar w:fldCharType="separate"/>
      </w:r>
      <w:r>
        <w:rPr>
          <w:rStyle w:val="34"/>
          <w:rFonts w:hint="eastAsia" w:ascii="宋体" w:hAnsi="宋体"/>
          <w:sz w:val="20"/>
          <w:szCs w:val="18"/>
        </w:rPr>
        <w:t>第四章.</w:t>
      </w:r>
      <w:r>
        <w:rPr>
          <w:rStyle w:val="34"/>
          <w:rFonts w:ascii="宋体" w:hAnsi="宋体"/>
          <w:sz w:val="20"/>
          <w:szCs w:val="18"/>
        </w:rPr>
        <w:tab/>
      </w:r>
      <w:r>
        <w:rPr>
          <w:rStyle w:val="34"/>
          <w:rFonts w:hint="eastAsia" w:ascii="宋体" w:hAnsi="宋体"/>
          <w:sz w:val="20"/>
          <w:szCs w:val="18"/>
        </w:rPr>
        <w:t>拟签订的合同文本</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_Toc83402836 \h </w:instrText>
      </w:r>
      <w:r>
        <w:rPr>
          <w:rStyle w:val="34"/>
          <w:rFonts w:ascii="宋体" w:hAnsi="宋体"/>
          <w:sz w:val="20"/>
          <w:szCs w:val="18"/>
        </w:rPr>
        <w:fldChar w:fldCharType="separate"/>
      </w:r>
      <w:r>
        <w:rPr>
          <w:rStyle w:val="34"/>
          <w:rFonts w:ascii="宋体" w:hAnsi="宋体"/>
          <w:sz w:val="20"/>
          <w:szCs w:val="18"/>
        </w:rPr>
        <w:t>24</w:t>
      </w:r>
      <w:r>
        <w:rPr>
          <w:rStyle w:val="34"/>
          <w:rFonts w:ascii="宋体" w:hAnsi="宋体"/>
          <w:sz w:val="20"/>
          <w:szCs w:val="18"/>
        </w:rPr>
        <w:fldChar w:fldCharType="end"/>
      </w:r>
      <w:r>
        <w:rPr>
          <w:rStyle w:val="34"/>
          <w:rFonts w:ascii="宋体" w:hAnsi="宋体"/>
          <w:sz w:val="20"/>
          <w:szCs w:val="18"/>
        </w:rPr>
        <w:fldChar w:fldCharType="end"/>
      </w:r>
    </w:p>
    <w:p>
      <w:pPr>
        <w:pStyle w:val="25"/>
        <w:tabs>
          <w:tab w:val="left" w:pos="1470"/>
          <w:tab w:val="right" w:leader="dot" w:pos="8296"/>
        </w:tabs>
        <w:spacing w:line="276" w:lineRule="auto"/>
        <w:rPr>
          <w:rStyle w:val="34"/>
          <w:rFonts w:ascii="宋体" w:hAnsi="宋体"/>
          <w:sz w:val="20"/>
          <w:szCs w:val="18"/>
        </w:rPr>
      </w:pPr>
      <w:r>
        <w:fldChar w:fldCharType="begin"/>
      </w:r>
      <w:r>
        <w:instrText xml:space="preserve"> HYPERLINK \l "_Toc83402837" </w:instrText>
      </w:r>
      <w:r>
        <w:fldChar w:fldCharType="separate"/>
      </w:r>
      <w:r>
        <w:rPr>
          <w:rStyle w:val="34"/>
          <w:rFonts w:hint="eastAsia" w:ascii="宋体" w:hAnsi="宋体"/>
          <w:sz w:val="20"/>
          <w:szCs w:val="18"/>
        </w:rPr>
        <w:t>第五章.</w:t>
      </w:r>
      <w:r>
        <w:rPr>
          <w:rStyle w:val="34"/>
          <w:rFonts w:ascii="宋体" w:hAnsi="宋体"/>
          <w:sz w:val="20"/>
          <w:szCs w:val="18"/>
        </w:rPr>
        <w:tab/>
      </w:r>
      <w:r>
        <w:rPr>
          <w:rStyle w:val="34"/>
          <w:rFonts w:hint="eastAsia" w:ascii="宋体" w:hAnsi="宋体"/>
          <w:sz w:val="20"/>
          <w:szCs w:val="18"/>
        </w:rPr>
        <w:t>投标文件组成</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_Toc83402837 \h </w:instrText>
      </w:r>
      <w:r>
        <w:rPr>
          <w:rStyle w:val="34"/>
          <w:rFonts w:ascii="宋体" w:hAnsi="宋体"/>
          <w:sz w:val="20"/>
          <w:szCs w:val="18"/>
        </w:rPr>
        <w:fldChar w:fldCharType="separate"/>
      </w:r>
      <w:r>
        <w:rPr>
          <w:rStyle w:val="34"/>
          <w:rFonts w:ascii="宋体" w:hAnsi="宋体"/>
          <w:sz w:val="20"/>
          <w:szCs w:val="18"/>
        </w:rPr>
        <w:t>27</w:t>
      </w:r>
      <w:r>
        <w:rPr>
          <w:rStyle w:val="34"/>
          <w:rFonts w:ascii="宋体" w:hAnsi="宋体"/>
          <w:sz w:val="20"/>
          <w:szCs w:val="18"/>
        </w:rPr>
        <w:fldChar w:fldCharType="end"/>
      </w:r>
      <w:r>
        <w:rPr>
          <w:rStyle w:val="34"/>
          <w:rFonts w:ascii="宋体" w:hAnsi="宋体"/>
          <w:sz w:val="20"/>
          <w:szCs w:val="18"/>
        </w:rPr>
        <w:fldChar w:fldCharType="end"/>
      </w:r>
    </w:p>
    <w:p>
      <w:pPr>
        <w:pStyle w:val="16"/>
        <w:tabs>
          <w:tab w:val="right" w:leader="dot" w:pos="8296"/>
        </w:tabs>
        <w:spacing w:line="276" w:lineRule="auto"/>
        <w:rPr>
          <w:rStyle w:val="34"/>
          <w:rFonts w:ascii="宋体" w:hAnsi="宋体"/>
          <w:sz w:val="20"/>
          <w:szCs w:val="18"/>
        </w:rPr>
      </w:pPr>
      <w:r>
        <w:fldChar w:fldCharType="begin"/>
      </w:r>
      <w:r>
        <w:instrText xml:space="preserve"> HYPERLINK \l "_Toc83402838" </w:instrText>
      </w:r>
      <w:r>
        <w:fldChar w:fldCharType="separate"/>
      </w:r>
      <w:r>
        <w:rPr>
          <w:rStyle w:val="34"/>
          <w:rFonts w:hint="eastAsia" w:ascii="宋体" w:hAnsi="宋体"/>
          <w:sz w:val="20"/>
          <w:szCs w:val="18"/>
        </w:rPr>
        <w:t>第一部分</w:t>
      </w:r>
      <w:r>
        <w:rPr>
          <w:rStyle w:val="34"/>
          <w:rFonts w:ascii="宋体" w:hAnsi="宋体"/>
          <w:sz w:val="20"/>
          <w:szCs w:val="18"/>
        </w:rPr>
        <w:t xml:space="preserve"> </w:t>
      </w:r>
      <w:r>
        <w:rPr>
          <w:rStyle w:val="34"/>
          <w:rFonts w:hint="eastAsia" w:ascii="宋体" w:hAnsi="宋体"/>
          <w:sz w:val="20"/>
          <w:szCs w:val="18"/>
        </w:rPr>
        <w:t>投标文件（商务部分）</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_Toc83402838 \h </w:instrText>
      </w:r>
      <w:r>
        <w:rPr>
          <w:rStyle w:val="34"/>
          <w:rFonts w:ascii="宋体" w:hAnsi="宋体"/>
          <w:sz w:val="20"/>
          <w:szCs w:val="18"/>
        </w:rPr>
        <w:fldChar w:fldCharType="separate"/>
      </w:r>
      <w:r>
        <w:rPr>
          <w:rStyle w:val="34"/>
          <w:rFonts w:ascii="宋体" w:hAnsi="宋体"/>
          <w:sz w:val="20"/>
          <w:szCs w:val="18"/>
        </w:rPr>
        <w:t>29</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"_Toc83402839" </w:instrText>
      </w:r>
      <w:r>
        <w:fldChar w:fldCharType="separate"/>
      </w:r>
      <w:r>
        <w:rPr>
          <w:rStyle w:val="34"/>
          <w:rFonts w:hint="eastAsia" w:ascii="宋体" w:hAnsi="宋体"/>
          <w:sz w:val="20"/>
          <w:szCs w:val="18"/>
        </w:rPr>
        <w:t>一、投标函</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_Toc83402839 \h </w:instrText>
      </w:r>
      <w:r>
        <w:rPr>
          <w:rStyle w:val="34"/>
          <w:rFonts w:ascii="宋体" w:hAnsi="宋体"/>
          <w:sz w:val="20"/>
          <w:szCs w:val="18"/>
        </w:rPr>
        <w:fldChar w:fldCharType="separate"/>
      </w:r>
      <w:r>
        <w:rPr>
          <w:rStyle w:val="34"/>
          <w:rFonts w:ascii="宋体" w:hAnsi="宋体"/>
          <w:sz w:val="20"/>
          <w:szCs w:val="18"/>
        </w:rPr>
        <w:t>30</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"_Toc83402840" </w:instrText>
      </w:r>
      <w:r>
        <w:fldChar w:fldCharType="separate"/>
      </w:r>
      <w:r>
        <w:rPr>
          <w:rStyle w:val="34"/>
          <w:rFonts w:hint="eastAsia" w:ascii="宋体" w:hAnsi="宋体"/>
          <w:sz w:val="20"/>
          <w:szCs w:val="18"/>
        </w:rPr>
        <w:t>二、开标一览表</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_Toc83402840 \h </w:instrText>
      </w:r>
      <w:r>
        <w:rPr>
          <w:rStyle w:val="34"/>
          <w:rFonts w:ascii="宋体" w:hAnsi="宋体"/>
          <w:sz w:val="20"/>
          <w:szCs w:val="18"/>
        </w:rPr>
        <w:fldChar w:fldCharType="separate"/>
      </w:r>
      <w:r>
        <w:rPr>
          <w:rStyle w:val="34"/>
          <w:rFonts w:ascii="宋体" w:hAnsi="宋体"/>
          <w:sz w:val="20"/>
          <w:szCs w:val="18"/>
        </w:rPr>
        <w:t>34</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"_Toc83402841" </w:instrText>
      </w:r>
      <w:r>
        <w:fldChar w:fldCharType="separate"/>
      </w:r>
      <w:r>
        <w:rPr>
          <w:rStyle w:val="34"/>
          <w:rFonts w:hint="eastAsia" w:ascii="宋体" w:hAnsi="宋体"/>
          <w:sz w:val="20"/>
          <w:szCs w:val="18"/>
        </w:rPr>
        <w:t>三、分项价格表</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_Toc83402841 \h </w:instrText>
      </w:r>
      <w:r>
        <w:rPr>
          <w:rStyle w:val="34"/>
          <w:rFonts w:ascii="宋体" w:hAnsi="宋体"/>
          <w:sz w:val="20"/>
          <w:szCs w:val="18"/>
        </w:rPr>
        <w:fldChar w:fldCharType="separate"/>
      </w:r>
      <w:r>
        <w:rPr>
          <w:rStyle w:val="34"/>
          <w:rFonts w:ascii="宋体" w:hAnsi="宋体"/>
          <w:sz w:val="20"/>
          <w:szCs w:val="18"/>
        </w:rPr>
        <w:t>35</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"_Toc83402842" </w:instrText>
      </w:r>
      <w:r>
        <w:fldChar w:fldCharType="separate"/>
      </w:r>
      <w:r>
        <w:rPr>
          <w:rStyle w:val="34"/>
          <w:rFonts w:hint="eastAsia" w:ascii="宋体" w:hAnsi="宋体"/>
          <w:sz w:val="20"/>
          <w:szCs w:val="18"/>
        </w:rPr>
        <w:t>四、商务条款偏离表</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_Toc83402842 \h </w:instrText>
      </w:r>
      <w:r>
        <w:rPr>
          <w:rStyle w:val="34"/>
          <w:rFonts w:ascii="宋体" w:hAnsi="宋体"/>
          <w:sz w:val="20"/>
          <w:szCs w:val="18"/>
        </w:rPr>
        <w:fldChar w:fldCharType="separate"/>
      </w:r>
      <w:r>
        <w:rPr>
          <w:rStyle w:val="34"/>
          <w:rFonts w:ascii="宋体" w:hAnsi="宋体"/>
          <w:sz w:val="20"/>
          <w:szCs w:val="18"/>
        </w:rPr>
        <w:t>36</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"_Toc83402843" </w:instrText>
      </w:r>
      <w:r>
        <w:fldChar w:fldCharType="separate"/>
      </w:r>
      <w:r>
        <w:rPr>
          <w:rStyle w:val="34"/>
          <w:rFonts w:hint="eastAsia" w:ascii="宋体" w:hAnsi="宋体"/>
          <w:sz w:val="20"/>
          <w:szCs w:val="18"/>
        </w:rPr>
        <w:t>五、投标保证金</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_Toc83402843 \h </w:instrText>
      </w:r>
      <w:r>
        <w:rPr>
          <w:rStyle w:val="34"/>
          <w:rFonts w:ascii="宋体" w:hAnsi="宋体"/>
          <w:sz w:val="20"/>
          <w:szCs w:val="18"/>
        </w:rPr>
        <w:fldChar w:fldCharType="separate"/>
      </w:r>
      <w:r>
        <w:rPr>
          <w:rStyle w:val="34"/>
          <w:rFonts w:ascii="宋体" w:hAnsi="宋体"/>
          <w:sz w:val="20"/>
          <w:szCs w:val="18"/>
        </w:rPr>
        <w:t>37</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"_Toc83402844" </w:instrText>
      </w:r>
      <w:r>
        <w:fldChar w:fldCharType="separate"/>
      </w:r>
      <w:r>
        <w:rPr>
          <w:rStyle w:val="34"/>
          <w:rFonts w:hint="eastAsia" w:ascii="宋体" w:hAnsi="宋体"/>
          <w:sz w:val="20"/>
          <w:szCs w:val="18"/>
        </w:rPr>
        <w:t>六、供应商具备投标资格的证明文件</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_Toc83402844 \h </w:instrText>
      </w:r>
      <w:r>
        <w:rPr>
          <w:rStyle w:val="34"/>
          <w:rFonts w:ascii="宋体" w:hAnsi="宋体"/>
          <w:sz w:val="20"/>
          <w:szCs w:val="18"/>
        </w:rPr>
        <w:fldChar w:fldCharType="separate"/>
      </w:r>
      <w:r>
        <w:rPr>
          <w:rStyle w:val="34"/>
          <w:rFonts w:ascii="宋体" w:hAnsi="宋体"/>
          <w:sz w:val="20"/>
          <w:szCs w:val="18"/>
        </w:rPr>
        <w:t>38</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"_Toc83402845" </w:instrText>
      </w:r>
      <w:r>
        <w:fldChar w:fldCharType="separate"/>
      </w:r>
      <w:r>
        <w:rPr>
          <w:rStyle w:val="34"/>
          <w:rFonts w:hint="eastAsia" w:ascii="宋体" w:hAnsi="宋体"/>
          <w:sz w:val="20"/>
          <w:szCs w:val="18"/>
        </w:rPr>
        <w:t>七、供应商近三年（</w:t>
      </w:r>
      <w:r>
        <w:rPr>
          <w:rStyle w:val="34"/>
          <w:rFonts w:ascii="宋体" w:hAnsi="宋体"/>
          <w:sz w:val="20"/>
          <w:szCs w:val="18"/>
        </w:rPr>
        <w:t>2018</w:t>
      </w:r>
      <w:r>
        <w:rPr>
          <w:rStyle w:val="34"/>
          <w:rFonts w:hint="eastAsia" w:ascii="宋体" w:hAnsi="宋体"/>
          <w:sz w:val="20"/>
          <w:szCs w:val="18"/>
        </w:rPr>
        <w:t>年</w:t>
      </w:r>
      <w:r>
        <w:rPr>
          <w:rStyle w:val="34"/>
          <w:rFonts w:ascii="宋体" w:hAnsi="宋体"/>
          <w:sz w:val="20"/>
          <w:szCs w:val="18"/>
        </w:rPr>
        <w:t>1</w:t>
      </w:r>
      <w:r>
        <w:rPr>
          <w:rStyle w:val="34"/>
          <w:rFonts w:hint="eastAsia" w:ascii="宋体" w:hAnsi="宋体"/>
          <w:sz w:val="20"/>
          <w:szCs w:val="18"/>
        </w:rPr>
        <w:t>月</w:t>
      </w:r>
      <w:r>
        <w:rPr>
          <w:rStyle w:val="34"/>
          <w:rFonts w:ascii="宋体" w:hAnsi="宋体"/>
          <w:sz w:val="20"/>
          <w:szCs w:val="18"/>
        </w:rPr>
        <w:t>1</w:t>
      </w:r>
      <w:r>
        <w:rPr>
          <w:rStyle w:val="34"/>
          <w:rFonts w:hint="eastAsia" w:ascii="宋体" w:hAnsi="宋体"/>
          <w:sz w:val="20"/>
          <w:szCs w:val="18"/>
        </w:rPr>
        <w:t>日</w:t>
      </w:r>
      <w:r>
        <w:rPr>
          <w:rStyle w:val="34"/>
          <w:rFonts w:ascii="宋体" w:hAnsi="宋体"/>
          <w:sz w:val="20"/>
          <w:szCs w:val="18"/>
        </w:rPr>
        <w:t>-</w:t>
      </w:r>
      <w:r>
        <w:rPr>
          <w:rStyle w:val="34"/>
          <w:rFonts w:hint="eastAsia" w:ascii="宋体" w:hAnsi="宋体"/>
          <w:sz w:val="20"/>
          <w:szCs w:val="18"/>
        </w:rPr>
        <w:t>至今）类似项目业绩</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_Toc83402845 \h </w:instrText>
      </w:r>
      <w:r>
        <w:rPr>
          <w:rStyle w:val="34"/>
          <w:rFonts w:ascii="宋体" w:hAnsi="宋体"/>
          <w:sz w:val="20"/>
          <w:szCs w:val="18"/>
        </w:rPr>
        <w:fldChar w:fldCharType="separate"/>
      </w:r>
      <w:r>
        <w:rPr>
          <w:rStyle w:val="34"/>
          <w:rFonts w:ascii="宋体" w:hAnsi="宋体"/>
          <w:sz w:val="20"/>
          <w:szCs w:val="18"/>
        </w:rPr>
        <w:t>41</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"_Toc83402846" </w:instrText>
      </w:r>
      <w:r>
        <w:fldChar w:fldCharType="separate"/>
      </w:r>
      <w:r>
        <w:rPr>
          <w:rStyle w:val="34"/>
          <w:rFonts w:hint="eastAsia" w:ascii="宋体" w:hAnsi="宋体"/>
          <w:sz w:val="20"/>
          <w:szCs w:val="18"/>
        </w:rPr>
        <w:t>八、供应商认为需提供的其他资料</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_Toc83402846 \h </w:instrText>
      </w:r>
      <w:r>
        <w:rPr>
          <w:rStyle w:val="34"/>
          <w:rFonts w:ascii="宋体" w:hAnsi="宋体"/>
          <w:sz w:val="20"/>
          <w:szCs w:val="18"/>
        </w:rPr>
        <w:fldChar w:fldCharType="separate"/>
      </w:r>
      <w:r>
        <w:rPr>
          <w:rStyle w:val="34"/>
          <w:rFonts w:ascii="宋体" w:hAnsi="宋体"/>
          <w:sz w:val="20"/>
          <w:szCs w:val="18"/>
        </w:rPr>
        <w:t>42</w:t>
      </w:r>
      <w:r>
        <w:rPr>
          <w:rStyle w:val="34"/>
          <w:rFonts w:ascii="宋体" w:hAnsi="宋体"/>
          <w:sz w:val="20"/>
          <w:szCs w:val="18"/>
        </w:rPr>
        <w:fldChar w:fldCharType="end"/>
      </w:r>
      <w:r>
        <w:rPr>
          <w:rStyle w:val="34"/>
          <w:rFonts w:ascii="宋体" w:hAnsi="宋体"/>
          <w:sz w:val="20"/>
          <w:szCs w:val="18"/>
        </w:rPr>
        <w:fldChar w:fldCharType="end"/>
      </w:r>
    </w:p>
    <w:p>
      <w:pPr>
        <w:pStyle w:val="23"/>
        <w:tabs>
          <w:tab w:val="right" w:leader="dot" w:pos="8296"/>
        </w:tabs>
        <w:spacing w:line="276" w:lineRule="auto"/>
        <w:rPr>
          <w:rStyle w:val="34"/>
          <w:rFonts w:ascii="宋体" w:hAnsi="宋体"/>
          <w:sz w:val="20"/>
          <w:szCs w:val="18"/>
        </w:rPr>
      </w:pPr>
      <w:r>
        <w:fldChar w:fldCharType="begin"/>
      </w:r>
      <w:r>
        <w:instrText xml:space="preserve"> HYPERLINK \l "_Toc83402847" </w:instrText>
      </w:r>
      <w:r>
        <w:fldChar w:fldCharType="separate"/>
      </w:r>
      <w:r>
        <w:rPr>
          <w:rStyle w:val="34"/>
          <w:rFonts w:hint="eastAsia" w:ascii="宋体" w:hAnsi="宋体"/>
          <w:sz w:val="20"/>
          <w:szCs w:val="18"/>
        </w:rPr>
        <w:t>九、供应商企业类型声明函</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_Toc83402847 \h </w:instrText>
      </w:r>
      <w:r>
        <w:rPr>
          <w:rStyle w:val="34"/>
          <w:rFonts w:ascii="宋体" w:hAnsi="宋体"/>
          <w:sz w:val="20"/>
          <w:szCs w:val="18"/>
        </w:rPr>
        <w:fldChar w:fldCharType="separate"/>
      </w:r>
      <w:r>
        <w:rPr>
          <w:rStyle w:val="34"/>
          <w:rFonts w:ascii="宋体" w:hAnsi="宋体"/>
          <w:sz w:val="20"/>
          <w:szCs w:val="18"/>
        </w:rPr>
        <w:t>43</w:t>
      </w:r>
      <w:r>
        <w:rPr>
          <w:rStyle w:val="34"/>
          <w:rFonts w:ascii="宋体" w:hAnsi="宋体"/>
          <w:sz w:val="20"/>
          <w:szCs w:val="18"/>
        </w:rPr>
        <w:fldChar w:fldCharType="end"/>
      </w:r>
      <w:r>
        <w:rPr>
          <w:rStyle w:val="34"/>
          <w:rFonts w:ascii="宋体" w:hAnsi="宋体"/>
          <w:sz w:val="20"/>
          <w:szCs w:val="18"/>
        </w:rPr>
        <w:fldChar w:fldCharType="end"/>
      </w:r>
    </w:p>
    <w:p>
      <w:pPr>
        <w:pStyle w:val="15"/>
        <w:tabs>
          <w:tab w:val="left" w:pos="2205"/>
          <w:tab w:val="right" w:leader="dot" w:pos="8296"/>
        </w:tabs>
        <w:spacing w:line="276" w:lineRule="auto"/>
        <w:rPr>
          <w:rStyle w:val="34"/>
          <w:rFonts w:ascii="宋体" w:hAnsi="宋体"/>
          <w:sz w:val="20"/>
          <w:szCs w:val="18"/>
        </w:rPr>
      </w:pPr>
      <w:r>
        <w:fldChar w:fldCharType="begin"/>
      </w:r>
      <w:r>
        <w:instrText xml:space="preserve"> HYPERLINK \l "_Toc83402848" </w:instrText>
      </w:r>
      <w:r>
        <w:fldChar w:fldCharType="separate"/>
      </w:r>
      <w:r>
        <w:rPr>
          <w:rStyle w:val="34"/>
          <w:rFonts w:hint="eastAsia" w:ascii="宋体" w:hAnsi="宋体"/>
          <w:sz w:val="20"/>
          <w:szCs w:val="18"/>
        </w:rPr>
        <w:t>1、</w:t>
      </w:r>
      <w:r>
        <w:rPr>
          <w:rStyle w:val="34"/>
          <w:rFonts w:ascii="宋体" w:hAnsi="宋体"/>
          <w:sz w:val="20"/>
          <w:szCs w:val="18"/>
        </w:rPr>
        <w:tab/>
      </w:r>
      <w:r>
        <w:rPr>
          <w:rStyle w:val="34"/>
          <w:rFonts w:hint="eastAsia" w:ascii="宋体" w:hAnsi="宋体"/>
          <w:sz w:val="20"/>
          <w:szCs w:val="18"/>
        </w:rPr>
        <w:t>中小微企业声明函</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_Toc83402848 \h </w:instrText>
      </w:r>
      <w:r>
        <w:rPr>
          <w:rStyle w:val="34"/>
          <w:rFonts w:ascii="宋体" w:hAnsi="宋体"/>
          <w:sz w:val="20"/>
          <w:szCs w:val="18"/>
        </w:rPr>
        <w:fldChar w:fldCharType="separate"/>
      </w:r>
      <w:r>
        <w:rPr>
          <w:rStyle w:val="34"/>
          <w:rFonts w:ascii="宋体" w:hAnsi="宋体"/>
          <w:sz w:val="20"/>
          <w:szCs w:val="18"/>
        </w:rPr>
        <w:t>43</w:t>
      </w:r>
      <w:r>
        <w:rPr>
          <w:rStyle w:val="34"/>
          <w:rFonts w:ascii="宋体" w:hAnsi="宋体"/>
          <w:sz w:val="20"/>
          <w:szCs w:val="18"/>
        </w:rPr>
        <w:fldChar w:fldCharType="end"/>
      </w:r>
      <w:r>
        <w:rPr>
          <w:rStyle w:val="34"/>
          <w:rFonts w:ascii="宋体" w:hAnsi="宋体"/>
          <w:sz w:val="20"/>
          <w:szCs w:val="18"/>
        </w:rPr>
        <w:fldChar w:fldCharType="end"/>
      </w:r>
    </w:p>
    <w:p>
      <w:pPr>
        <w:pStyle w:val="15"/>
        <w:tabs>
          <w:tab w:val="left" w:pos="2205"/>
          <w:tab w:val="right" w:leader="dot" w:pos="8296"/>
        </w:tabs>
        <w:spacing w:line="276" w:lineRule="auto"/>
        <w:rPr>
          <w:rStyle w:val="34"/>
          <w:rFonts w:ascii="宋体" w:hAnsi="宋体"/>
          <w:sz w:val="20"/>
          <w:szCs w:val="18"/>
        </w:rPr>
      </w:pPr>
      <w:r>
        <w:fldChar w:fldCharType="begin"/>
      </w:r>
      <w:r>
        <w:instrText xml:space="preserve"> HYPERLINK \l "_Toc83402849" </w:instrText>
      </w:r>
      <w:r>
        <w:fldChar w:fldCharType="separate"/>
      </w:r>
      <w:r>
        <w:rPr>
          <w:rStyle w:val="34"/>
          <w:rFonts w:hint="eastAsia" w:ascii="宋体" w:hAnsi="宋体"/>
          <w:sz w:val="20"/>
          <w:szCs w:val="18"/>
        </w:rPr>
        <w:t>2、</w:t>
      </w:r>
      <w:r>
        <w:rPr>
          <w:rStyle w:val="34"/>
          <w:rFonts w:ascii="宋体" w:hAnsi="宋体"/>
          <w:sz w:val="20"/>
          <w:szCs w:val="18"/>
        </w:rPr>
        <w:tab/>
      </w:r>
      <w:r>
        <w:rPr>
          <w:rStyle w:val="34"/>
          <w:rFonts w:hint="eastAsia" w:ascii="宋体" w:hAnsi="宋体"/>
          <w:sz w:val="20"/>
          <w:szCs w:val="18"/>
        </w:rPr>
        <w:t>中小企业生产或销售的产品优惠明细表</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_Toc83402849 \h </w:instrText>
      </w:r>
      <w:r>
        <w:rPr>
          <w:rStyle w:val="34"/>
          <w:rFonts w:ascii="宋体" w:hAnsi="宋体"/>
          <w:sz w:val="20"/>
          <w:szCs w:val="18"/>
        </w:rPr>
        <w:fldChar w:fldCharType="separate"/>
      </w:r>
      <w:r>
        <w:rPr>
          <w:rStyle w:val="34"/>
          <w:rFonts w:ascii="宋体" w:hAnsi="宋体"/>
          <w:sz w:val="20"/>
          <w:szCs w:val="18"/>
        </w:rPr>
        <w:t>44</w:t>
      </w:r>
      <w:r>
        <w:rPr>
          <w:rStyle w:val="34"/>
          <w:rFonts w:ascii="宋体" w:hAnsi="宋体"/>
          <w:sz w:val="20"/>
          <w:szCs w:val="18"/>
        </w:rPr>
        <w:fldChar w:fldCharType="end"/>
      </w:r>
      <w:r>
        <w:rPr>
          <w:rStyle w:val="34"/>
          <w:rFonts w:ascii="宋体" w:hAnsi="宋体"/>
          <w:sz w:val="20"/>
          <w:szCs w:val="18"/>
        </w:rPr>
        <w:fldChar w:fldCharType="end"/>
      </w:r>
    </w:p>
    <w:p>
      <w:pPr>
        <w:pStyle w:val="15"/>
        <w:tabs>
          <w:tab w:val="left" w:pos="2205"/>
          <w:tab w:val="right" w:leader="dot" w:pos="8296"/>
        </w:tabs>
        <w:spacing w:line="276" w:lineRule="auto"/>
        <w:rPr>
          <w:rStyle w:val="34"/>
          <w:rFonts w:ascii="宋体" w:hAnsi="宋体"/>
          <w:sz w:val="20"/>
          <w:szCs w:val="18"/>
        </w:rPr>
      </w:pPr>
      <w:r>
        <w:fldChar w:fldCharType="begin"/>
      </w:r>
      <w:r>
        <w:instrText xml:space="preserve"> HYPERLINK \l "_Toc83402850" </w:instrText>
      </w:r>
      <w:r>
        <w:fldChar w:fldCharType="separate"/>
      </w:r>
      <w:r>
        <w:rPr>
          <w:rStyle w:val="34"/>
          <w:rFonts w:hint="eastAsia" w:ascii="宋体" w:hAnsi="宋体"/>
          <w:sz w:val="20"/>
          <w:szCs w:val="18"/>
        </w:rPr>
        <w:t>3、</w:t>
      </w:r>
      <w:r>
        <w:rPr>
          <w:rStyle w:val="34"/>
          <w:rFonts w:ascii="宋体" w:hAnsi="宋体"/>
          <w:sz w:val="20"/>
          <w:szCs w:val="18"/>
        </w:rPr>
        <w:tab/>
      </w:r>
      <w:r>
        <w:rPr>
          <w:rStyle w:val="34"/>
          <w:rFonts w:hint="eastAsia" w:ascii="宋体" w:hAnsi="宋体"/>
          <w:sz w:val="20"/>
          <w:szCs w:val="18"/>
        </w:rPr>
        <w:t>监狱企业声明函</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_Toc83402850 \h </w:instrText>
      </w:r>
      <w:r>
        <w:rPr>
          <w:rStyle w:val="34"/>
          <w:rFonts w:ascii="宋体" w:hAnsi="宋体"/>
          <w:sz w:val="20"/>
          <w:szCs w:val="18"/>
        </w:rPr>
        <w:fldChar w:fldCharType="separate"/>
      </w:r>
      <w:r>
        <w:rPr>
          <w:rStyle w:val="34"/>
          <w:rFonts w:ascii="宋体" w:hAnsi="宋体"/>
          <w:sz w:val="20"/>
          <w:szCs w:val="18"/>
        </w:rPr>
        <w:t>45</w:t>
      </w:r>
      <w:r>
        <w:rPr>
          <w:rStyle w:val="34"/>
          <w:rFonts w:ascii="宋体" w:hAnsi="宋体"/>
          <w:sz w:val="20"/>
          <w:szCs w:val="18"/>
        </w:rPr>
        <w:fldChar w:fldCharType="end"/>
      </w:r>
      <w:r>
        <w:rPr>
          <w:rStyle w:val="34"/>
          <w:rFonts w:ascii="宋体" w:hAnsi="宋体"/>
          <w:sz w:val="20"/>
          <w:szCs w:val="18"/>
        </w:rPr>
        <w:fldChar w:fldCharType="end"/>
      </w:r>
    </w:p>
    <w:p>
      <w:pPr>
        <w:pStyle w:val="15"/>
        <w:tabs>
          <w:tab w:val="left" w:pos="2205"/>
          <w:tab w:val="right" w:leader="dot" w:pos="8296"/>
        </w:tabs>
        <w:spacing w:line="276" w:lineRule="auto"/>
        <w:rPr>
          <w:rStyle w:val="34"/>
          <w:rFonts w:ascii="宋体" w:hAnsi="宋体"/>
          <w:sz w:val="20"/>
          <w:szCs w:val="18"/>
        </w:rPr>
      </w:pPr>
      <w:r>
        <w:fldChar w:fldCharType="begin"/>
      </w:r>
      <w:r>
        <w:instrText xml:space="preserve"> HYPERLINK \l "_Toc83402851" </w:instrText>
      </w:r>
      <w:r>
        <w:fldChar w:fldCharType="separate"/>
      </w:r>
      <w:r>
        <w:rPr>
          <w:rStyle w:val="34"/>
          <w:rFonts w:hint="eastAsia" w:ascii="宋体" w:hAnsi="宋体"/>
          <w:sz w:val="20"/>
          <w:szCs w:val="18"/>
        </w:rPr>
        <w:t>4、</w:t>
      </w:r>
      <w:r>
        <w:rPr>
          <w:rStyle w:val="34"/>
          <w:rFonts w:ascii="宋体" w:hAnsi="宋体"/>
          <w:sz w:val="20"/>
          <w:szCs w:val="18"/>
        </w:rPr>
        <w:tab/>
      </w:r>
      <w:r>
        <w:rPr>
          <w:rStyle w:val="34"/>
          <w:rFonts w:hint="eastAsia" w:ascii="宋体" w:hAnsi="宋体"/>
          <w:sz w:val="20"/>
          <w:szCs w:val="18"/>
        </w:rPr>
        <w:t>残疾人福利性单位声明函</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_Toc83402851 \h </w:instrText>
      </w:r>
      <w:r>
        <w:rPr>
          <w:rStyle w:val="34"/>
          <w:rFonts w:ascii="宋体" w:hAnsi="宋体"/>
          <w:sz w:val="20"/>
          <w:szCs w:val="18"/>
        </w:rPr>
        <w:fldChar w:fldCharType="separate"/>
      </w:r>
      <w:r>
        <w:rPr>
          <w:rStyle w:val="34"/>
          <w:rFonts w:ascii="宋体" w:hAnsi="宋体"/>
          <w:sz w:val="20"/>
          <w:szCs w:val="18"/>
        </w:rPr>
        <w:t>46</w:t>
      </w:r>
      <w:r>
        <w:rPr>
          <w:rStyle w:val="34"/>
          <w:rFonts w:ascii="宋体" w:hAnsi="宋体"/>
          <w:sz w:val="20"/>
          <w:szCs w:val="18"/>
        </w:rPr>
        <w:fldChar w:fldCharType="end"/>
      </w:r>
      <w:r>
        <w:rPr>
          <w:rStyle w:val="34"/>
          <w:rFonts w:ascii="宋体" w:hAnsi="宋体"/>
          <w:sz w:val="20"/>
          <w:szCs w:val="18"/>
        </w:rPr>
        <w:fldChar w:fldCharType="end"/>
      </w:r>
    </w:p>
    <w:p>
      <w:pPr>
        <w:pStyle w:val="16"/>
        <w:tabs>
          <w:tab w:val="right" w:leader="dot" w:pos="8296"/>
        </w:tabs>
        <w:spacing w:line="276" w:lineRule="auto"/>
        <w:rPr>
          <w:rStyle w:val="34"/>
          <w:rFonts w:ascii="宋体" w:hAnsi="宋体"/>
          <w:sz w:val="20"/>
          <w:szCs w:val="18"/>
        </w:rPr>
      </w:pPr>
      <w:r>
        <w:fldChar w:fldCharType="begin"/>
      </w:r>
      <w:r>
        <w:instrText xml:space="preserve"> HYPERLINK \l "_Toc83402852" </w:instrText>
      </w:r>
      <w:r>
        <w:fldChar w:fldCharType="separate"/>
      </w:r>
      <w:r>
        <w:rPr>
          <w:rStyle w:val="34"/>
          <w:rFonts w:hint="eastAsia" w:ascii="宋体" w:hAnsi="宋体"/>
          <w:sz w:val="20"/>
          <w:szCs w:val="18"/>
        </w:rPr>
        <w:t>第二部分</w:t>
      </w:r>
      <w:r>
        <w:rPr>
          <w:rStyle w:val="34"/>
          <w:rFonts w:ascii="宋体" w:hAnsi="宋体"/>
          <w:sz w:val="20"/>
          <w:szCs w:val="18"/>
        </w:rPr>
        <w:t xml:space="preserve"> </w:t>
      </w:r>
      <w:r>
        <w:rPr>
          <w:rStyle w:val="34"/>
          <w:rFonts w:hint="eastAsia" w:ascii="宋体" w:hAnsi="宋体"/>
          <w:sz w:val="20"/>
          <w:szCs w:val="18"/>
        </w:rPr>
        <w:t>投标文件（技术部分）</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_Toc83402852 \h </w:instrText>
      </w:r>
      <w:r>
        <w:rPr>
          <w:rStyle w:val="34"/>
          <w:rFonts w:ascii="宋体" w:hAnsi="宋体"/>
          <w:sz w:val="20"/>
          <w:szCs w:val="18"/>
        </w:rPr>
        <w:fldChar w:fldCharType="separate"/>
      </w:r>
      <w:r>
        <w:rPr>
          <w:rStyle w:val="34"/>
          <w:rFonts w:ascii="宋体" w:hAnsi="宋体"/>
          <w:sz w:val="20"/>
          <w:szCs w:val="18"/>
        </w:rPr>
        <w:t>47</w:t>
      </w:r>
      <w:r>
        <w:rPr>
          <w:rStyle w:val="34"/>
          <w:rFonts w:ascii="宋体" w:hAnsi="宋体"/>
          <w:sz w:val="20"/>
          <w:szCs w:val="18"/>
        </w:rPr>
        <w:fldChar w:fldCharType="end"/>
      </w:r>
      <w:r>
        <w:rPr>
          <w:rStyle w:val="34"/>
          <w:rFonts w:ascii="宋体" w:hAnsi="宋体"/>
          <w:sz w:val="20"/>
          <w:szCs w:val="18"/>
        </w:rPr>
        <w:fldChar w:fldCharType="end"/>
      </w:r>
    </w:p>
    <w:p>
      <w:pPr>
        <w:pStyle w:val="23"/>
        <w:tabs>
          <w:tab w:val="left" w:pos="1733"/>
          <w:tab w:val="right" w:leader="dot" w:pos="8296"/>
        </w:tabs>
        <w:spacing w:line="276" w:lineRule="auto"/>
        <w:rPr>
          <w:rStyle w:val="34"/>
          <w:rFonts w:ascii="宋体" w:hAnsi="宋体"/>
          <w:sz w:val="20"/>
          <w:szCs w:val="18"/>
        </w:rPr>
      </w:pPr>
      <w:r>
        <w:fldChar w:fldCharType="begin"/>
      </w:r>
      <w:r>
        <w:instrText xml:space="preserve"> HYPERLINK \l "_Toc83402853" </w:instrText>
      </w:r>
      <w:r>
        <w:fldChar w:fldCharType="separate"/>
      </w:r>
      <w:r>
        <w:rPr>
          <w:rStyle w:val="34"/>
          <w:rFonts w:hint="eastAsia" w:ascii="宋体" w:hAnsi="宋体"/>
          <w:sz w:val="20"/>
          <w:szCs w:val="18"/>
        </w:rPr>
        <w:t>一.</w:t>
      </w:r>
      <w:r>
        <w:rPr>
          <w:rStyle w:val="34"/>
          <w:rFonts w:ascii="宋体" w:hAnsi="宋体"/>
          <w:sz w:val="20"/>
          <w:szCs w:val="18"/>
        </w:rPr>
        <w:tab/>
      </w:r>
      <w:r>
        <w:rPr>
          <w:rStyle w:val="34"/>
          <w:rFonts w:hint="eastAsia" w:ascii="宋体" w:hAnsi="宋体"/>
          <w:sz w:val="20"/>
          <w:szCs w:val="18"/>
        </w:rPr>
        <w:t>货物说明一览表及技术方案</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_Toc83402853 \h </w:instrText>
      </w:r>
      <w:r>
        <w:rPr>
          <w:rStyle w:val="34"/>
          <w:rFonts w:ascii="宋体" w:hAnsi="宋体"/>
          <w:sz w:val="20"/>
          <w:szCs w:val="18"/>
        </w:rPr>
        <w:fldChar w:fldCharType="separate"/>
      </w:r>
      <w:r>
        <w:rPr>
          <w:rStyle w:val="34"/>
          <w:rFonts w:ascii="宋体" w:hAnsi="宋体"/>
          <w:sz w:val="20"/>
          <w:szCs w:val="18"/>
        </w:rPr>
        <w:t>48</w:t>
      </w:r>
      <w:r>
        <w:rPr>
          <w:rStyle w:val="34"/>
          <w:rFonts w:ascii="宋体" w:hAnsi="宋体"/>
          <w:sz w:val="20"/>
          <w:szCs w:val="18"/>
        </w:rPr>
        <w:fldChar w:fldCharType="end"/>
      </w:r>
      <w:r>
        <w:rPr>
          <w:rStyle w:val="34"/>
          <w:rFonts w:ascii="宋体" w:hAnsi="宋体"/>
          <w:sz w:val="20"/>
          <w:szCs w:val="18"/>
        </w:rPr>
        <w:fldChar w:fldCharType="end"/>
      </w:r>
    </w:p>
    <w:p>
      <w:pPr>
        <w:pStyle w:val="23"/>
        <w:tabs>
          <w:tab w:val="left" w:pos="1733"/>
          <w:tab w:val="right" w:leader="dot" w:pos="8296"/>
        </w:tabs>
        <w:spacing w:line="276" w:lineRule="auto"/>
        <w:rPr>
          <w:rStyle w:val="34"/>
          <w:rFonts w:ascii="宋体" w:hAnsi="宋体"/>
          <w:sz w:val="20"/>
          <w:szCs w:val="18"/>
        </w:rPr>
      </w:pPr>
      <w:r>
        <w:fldChar w:fldCharType="begin"/>
      </w:r>
      <w:r>
        <w:instrText xml:space="preserve"> HYPERLINK \l "_Toc83402854" </w:instrText>
      </w:r>
      <w:r>
        <w:fldChar w:fldCharType="separate"/>
      </w:r>
      <w:r>
        <w:rPr>
          <w:rStyle w:val="34"/>
          <w:rFonts w:hint="eastAsia" w:ascii="宋体" w:hAnsi="宋体"/>
          <w:sz w:val="20"/>
          <w:szCs w:val="18"/>
        </w:rPr>
        <w:t>二.</w:t>
      </w:r>
      <w:r>
        <w:rPr>
          <w:rStyle w:val="34"/>
          <w:rFonts w:ascii="宋体" w:hAnsi="宋体"/>
          <w:sz w:val="20"/>
          <w:szCs w:val="18"/>
        </w:rPr>
        <w:tab/>
      </w:r>
      <w:r>
        <w:rPr>
          <w:rStyle w:val="34"/>
          <w:rFonts w:hint="eastAsia" w:ascii="宋体" w:hAnsi="宋体"/>
          <w:sz w:val="20"/>
          <w:szCs w:val="18"/>
        </w:rPr>
        <w:t>技术方案</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_Toc83402854 \h </w:instrText>
      </w:r>
      <w:r>
        <w:rPr>
          <w:rStyle w:val="34"/>
          <w:rFonts w:ascii="宋体" w:hAnsi="宋体"/>
          <w:sz w:val="20"/>
          <w:szCs w:val="18"/>
        </w:rPr>
        <w:fldChar w:fldCharType="separate"/>
      </w:r>
      <w:r>
        <w:rPr>
          <w:rStyle w:val="34"/>
          <w:rFonts w:ascii="宋体" w:hAnsi="宋体"/>
          <w:sz w:val="20"/>
          <w:szCs w:val="18"/>
        </w:rPr>
        <w:t>49</w:t>
      </w:r>
      <w:r>
        <w:rPr>
          <w:rStyle w:val="34"/>
          <w:rFonts w:ascii="宋体" w:hAnsi="宋体"/>
          <w:sz w:val="20"/>
          <w:szCs w:val="18"/>
        </w:rPr>
        <w:fldChar w:fldCharType="end"/>
      </w:r>
      <w:r>
        <w:rPr>
          <w:rStyle w:val="34"/>
          <w:rFonts w:ascii="宋体" w:hAnsi="宋体"/>
          <w:sz w:val="20"/>
          <w:szCs w:val="18"/>
        </w:rPr>
        <w:fldChar w:fldCharType="end"/>
      </w:r>
    </w:p>
    <w:p>
      <w:pPr>
        <w:pStyle w:val="23"/>
        <w:tabs>
          <w:tab w:val="left" w:pos="1733"/>
          <w:tab w:val="right" w:leader="dot" w:pos="8296"/>
        </w:tabs>
        <w:spacing w:line="276" w:lineRule="auto"/>
        <w:rPr>
          <w:rStyle w:val="34"/>
          <w:rFonts w:ascii="宋体" w:hAnsi="宋体"/>
          <w:sz w:val="20"/>
          <w:szCs w:val="18"/>
        </w:rPr>
      </w:pPr>
      <w:r>
        <w:fldChar w:fldCharType="begin"/>
      </w:r>
      <w:r>
        <w:instrText xml:space="preserve"> HYPERLINK \l "_Toc83402855" </w:instrText>
      </w:r>
      <w:r>
        <w:fldChar w:fldCharType="separate"/>
      </w:r>
      <w:r>
        <w:rPr>
          <w:rStyle w:val="34"/>
          <w:rFonts w:hint="eastAsia" w:ascii="宋体" w:hAnsi="宋体"/>
          <w:sz w:val="20"/>
          <w:szCs w:val="18"/>
        </w:rPr>
        <w:t>三.</w:t>
      </w:r>
      <w:r>
        <w:rPr>
          <w:rStyle w:val="34"/>
          <w:rFonts w:ascii="宋体" w:hAnsi="宋体"/>
          <w:sz w:val="20"/>
          <w:szCs w:val="18"/>
        </w:rPr>
        <w:tab/>
      </w:r>
      <w:r>
        <w:rPr>
          <w:rStyle w:val="34"/>
          <w:rFonts w:hint="eastAsia" w:ascii="宋体" w:hAnsi="宋体"/>
          <w:sz w:val="20"/>
          <w:szCs w:val="18"/>
        </w:rPr>
        <w:t>技术响应与偏离表</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_Toc83402855 \h </w:instrText>
      </w:r>
      <w:r>
        <w:rPr>
          <w:rStyle w:val="34"/>
          <w:rFonts w:ascii="宋体" w:hAnsi="宋体"/>
          <w:sz w:val="20"/>
          <w:szCs w:val="18"/>
        </w:rPr>
        <w:fldChar w:fldCharType="separate"/>
      </w:r>
      <w:r>
        <w:rPr>
          <w:rStyle w:val="34"/>
          <w:rFonts w:ascii="宋体" w:hAnsi="宋体"/>
          <w:sz w:val="20"/>
          <w:szCs w:val="18"/>
        </w:rPr>
        <w:t>50</w:t>
      </w:r>
      <w:r>
        <w:rPr>
          <w:rStyle w:val="34"/>
          <w:rFonts w:ascii="宋体" w:hAnsi="宋体"/>
          <w:sz w:val="20"/>
          <w:szCs w:val="18"/>
        </w:rPr>
        <w:fldChar w:fldCharType="end"/>
      </w:r>
      <w:r>
        <w:rPr>
          <w:rStyle w:val="34"/>
          <w:rFonts w:ascii="宋体" w:hAnsi="宋体"/>
          <w:sz w:val="20"/>
          <w:szCs w:val="18"/>
        </w:rPr>
        <w:fldChar w:fldCharType="end"/>
      </w:r>
    </w:p>
    <w:p>
      <w:pPr>
        <w:pStyle w:val="23"/>
        <w:tabs>
          <w:tab w:val="left" w:pos="1733"/>
          <w:tab w:val="right" w:leader="dot" w:pos="8296"/>
        </w:tabs>
        <w:spacing w:line="276" w:lineRule="auto"/>
        <w:rPr>
          <w:rStyle w:val="34"/>
          <w:rFonts w:ascii="宋体" w:hAnsi="宋体"/>
          <w:sz w:val="20"/>
          <w:szCs w:val="18"/>
        </w:rPr>
      </w:pPr>
      <w:r>
        <w:fldChar w:fldCharType="begin"/>
      </w:r>
      <w:r>
        <w:instrText xml:space="preserve"> HYPERLINK \l "_Toc83402856" </w:instrText>
      </w:r>
      <w:r>
        <w:fldChar w:fldCharType="separate"/>
      </w:r>
      <w:r>
        <w:rPr>
          <w:rStyle w:val="34"/>
          <w:rFonts w:hint="eastAsia" w:ascii="宋体" w:hAnsi="宋体"/>
          <w:sz w:val="20"/>
          <w:szCs w:val="18"/>
        </w:rPr>
        <w:t>四.</w:t>
      </w:r>
      <w:r>
        <w:rPr>
          <w:rStyle w:val="34"/>
          <w:rFonts w:ascii="宋体" w:hAnsi="宋体"/>
          <w:sz w:val="20"/>
          <w:szCs w:val="18"/>
        </w:rPr>
        <w:tab/>
      </w:r>
      <w:r>
        <w:rPr>
          <w:rStyle w:val="34"/>
          <w:rFonts w:hint="eastAsia" w:ascii="宋体" w:hAnsi="宋体"/>
          <w:sz w:val="20"/>
          <w:szCs w:val="18"/>
        </w:rPr>
        <w:t>供应商售后服务承诺</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_Toc83402856 \h </w:instrText>
      </w:r>
      <w:r>
        <w:rPr>
          <w:rStyle w:val="34"/>
          <w:rFonts w:ascii="宋体" w:hAnsi="宋体"/>
          <w:sz w:val="20"/>
          <w:szCs w:val="18"/>
        </w:rPr>
        <w:fldChar w:fldCharType="separate"/>
      </w:r>
      <w:r>
        <w:rPr>
          <w:rStyle w:val="34"/>
          <w:rFonts w:ascii="宋体" w:hAnsi="宋体"/>
          <w:sz w:val="20"/>
          <w:szCs w:val="18"/>
        </w:rPr>
        <w:t>51</w:t>
      </w:r>
      <w:r>
        <w:rPr>
          <w:rStyle w:val="34"/>
          <w:rFonts w:ascii="宋体" w:hAnsi="宋体"/>
          <w:sz w:val="20"/>
          <w:szCs w:val="18"/>
        </w:rPr>
        <w:fldChar w:fldCharType="end"/>
      </w:r>
      <w:r>
        <w:rPr>
          <w:rStyle w:val="34"/>
          <w:rFonts w:ascii="宋体" w:hAnsi="宋体"/>
          <w:sz w:val="20"/>
          <w:szCs w:val="18"/>
        </w:rPr>
        <w:fldChar w:fldCharType="end"/>
      </w:r>
    </w:p>
    <w:p>
      <w:pPr>
        <w:pStyle w:val="23"/>
        <w:tabs>
          <w:tab w:val="left" w:pos="1733"/>
          <w:tab w:val="right" w:leader="dot" w:pos="8296"/>
        </w:tabs>
        <w:spacing w:line="276" w:lineRule="auto"/>
        <w:rPr>
          <w:rStyle w:val="34"/>
          <w:rFonts w:ascii="宋体" w:hAnsi="宋体"/>
          <w:sz w:val="20"/>
          <w:szCs w:val="18"/>
        </w:rPr>
      </w:pPr>
      <w:r>
        <w:fldChar w:fldCharType="begin"/>
      </w:r>
      <w:r>
        <w:instrText xml:space="preserve"> HYPERLINK \l "_Toc83402857" </w:instrText>
      </w:r>
      <w:r>
        <w:fldChar w:fldCharType="separate"/>
      </w:r>
      <w:r>
        <w:rPr>
          <w:rStyle w:val="34"/>
          <w:rFonts w:hint="eastAsia" w:ascii="宋体" w:hAnsi="宋体"/>
          <w:sz w:val="20"/>
          <w:szCs w:val="18"/>
        </w:rPr>
        <w:t>五.</w:t>
      </w:r>
      <w:r>
        <w:rPr>
          <w:rStyle w:val="34"/>
          <w:rFonts w:ascii="宋体" w:hAnsi="宋体"/>
          <w:sz w:val="20"/>
          <w:szCs w:val="18"/>
        </w:rPr>
        <w:tab/>
      </w:r>
      <w:r>
        <w:rPr>
          <w:rStyle w:val="34"/>
          <w:rFonts w:hint="eastAsia" w:ascii="宋体" w:hAnsi="宋体"/>
          <w:sz w:val="20"/>
          <w:szCs w:val="18"/>
        </w:rPr>
        <w:t>投标标的物符合招标文件规定的证明文件</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_Toc83402857 \h </w:instrText>
      </w:r>
      <w:r>
        <w:rPr>
          <w:rStyle w:val="34"/>
          <w:rFonts w:ascii="宋体" w:hAnsi="宋体"/>
          <w:sz w:val="20"/>
          <w:szCs w:val="18"/>
        </w:rPr>
        <w:fldChar w:fldCharType="separate"/>
      </w:r>
      <w:r>
        <w:rPr>
          <w:rStyle w:val="34"/>
          <w:rFonts w:ascii="宋体" w:hAnsi="宋体"/>
          <w:sz w:val="20"/>
          <w:szCs w:val="18"/>
        </w:rPr>
        <w:t>52</w:t>
      </w:r>
      <w:r>
        <w:rPr>
          <w:rStyle w:val="34"/>
          <w:rFonts w:ascii="宋体" w:hAnsi="宋体"/>
          <w:sz w:val="20"/>
          <w:szCs w:val="18"/>
        </w:rPr>
        <w:fldChar w:fldCharType="end"/>
      </w:r>
      <w:r>
        <w:rPr>
          <w:rStyle w:val="34"/>
          <w:rFonts w:ascii="宋体" w:hAnsi="宋体"/>
          <w:sz w:val="20"/>
          <w:szCs w:val="18"/>
        </w:rPr>
        <w:fldChar w:fldCharType="end"/>
      </w:r>
    </w:p>
    <w:p>
      <w:pPr>
        <w:pStyle w:val="22"/>
        <w:tabs>
          <w:tab w:val="right" w:leader="dot" w:pos="8296"/>
        </w:tabs>
        <w:spacing w:line="276" w:lineRule="auto"/>
        <w:rPr>
          <w:rStyle w:val="34"/>
          <w:rFonts w:ascii="宋体" w:hAnsi="宋体"/>
          <w:sz w:val="20"/>
          <w:szCs w:val="18"/>
        </w:rPr>
      </w:pPr>
      <w:r>
        <w:fldChar w:fldCharType="begin"/>
      </w:r>
      <w:r>
        <w:instrText xml:space="preserve"> HYPERLINK \l "_Toc83402858" </w:instrText>
      </w:r>
      <w:r>
        <w:fldChar w:fldCharType="separate"/>
      </w:r>
      <w:r>
        <w:rPr>
          <w:rStyle w:val="34"/>
          <w:rFonts w:hint="eastAsia" w:ascii="宋体" w:hAnsi="宋体"/>
          <w:sz w:val="20"/>
          <w:szCs w:val="18"/>
        </w:rPr>
        <w:t>第二部分</w:t>
      </w:r>
      <w:r>
        <w:rPr>
          <w:rStyle w:val="34"/>
          <w:rFonts w:ascii="宋体" w:hAnsi="宋体"/>
          <w:sz w:val="20"/>
          <w:szCs w:val="18"/>
        </w:rPr>
        <w:t xml:space="preserve"> </w:t>
      </w:r>
      <w:r>
        <w:rPr>
          <w:rStyle w:val="34"/>
          <w:rFonts w:hint="eastAsia" w:ascii="宋体" w:hAnsi="宋体"/>
          <w:sz w:val="20"/>
          <w:szCs w:val="18"/>
        </w:rPr>
        <w:t>技术部分</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_Toc83402858 \h </w:instrText>
      </w:r>
      <w:r>
        <w:rPr>
          <w:rStyle w:val="34"/>
          <w:rFonts w:ascii="宋体" w:hAnsi="宋体"/>
          <w:sz w:val="20"/>
          <w:szCs w:val="18"/>
        </w:rPr>
        <w:fldChar w:fldCharType="separate"/>
      </w:r>
      <w:r>
        <w:rPr>
          <w:rStyle w:val="34"/>
          <w:rFonts w:ascii="宋体" w:hAnsi="宋体"/>
          <w:sz w:val="20"/>
          <w:szCs w:val="18"/>
        </w:rPr>
        <w:t>53</w:t>
      </w:r>
      <w:r>
        <w:rPr>
          <w:rStyle w:val="34"/>
          <w:rFonts w:ascii="宋体" w:hAnsi="宋体"/>
          <w:sz w:val="20"/>
          <w:szCs w:val="18"/>
        </w:rPr>
        <w:fldChar w:fldCharType="end"/>
      </w:r>
      <w:r>
        <w:rPr>
          <w:rStyle w:val="34"/>
          <w:rFonts w:ascii="宋体" w:hAnsi="宋体"/>
          <w:sz w:val="20"/>
          <w:szCs w:val="18"/>
        </w:rPr>
        <w:fldChar w:fldCharType="end"/>
      </w:r>
    </w:p>
    <w:p>
      <w:pPr>
        <w:pStyle w:val="25"/>
        <w:tabs>
          <w:tab w:val="left" w:pos="1680"/>
          <w:tab w:val="right" w:leader="dot" w:pos="8296"/>
        </w:tabs>
        <w:spacing w:line="276" w:lineRule="auto"/>
        <w:ind w:firstLine="435"/>
        <w:rPr>
          <w:rStyle w:val="34"/>
        </w:rPr>
      </w:pPr>
      <w:r>
        <w:fldChar w:fldCharType="begin"/>
      </w:r>
      <w:r>
        <w:instrText xml:space="preserve"> HYPERLINK \l "_Toc83402859" </w:instrText>
      </w:r>
      <w:r>
        <w:fldChar w:fldCharType="separate"/>
      </w:r>
      <w:r>
        <w:rPr>
          <w:rStyle w:val="34"/>
          <w:rFonts w:hint="eastAsia" w:ascii="宋体" w:hAnsi="宋体"/>
          <w:sz w:val="20"/>
          <w:szCs w:val="18"/>
        </w:rPr>
        <w:t>第六章.</w:t>
      </w:r>
      <w:r>
        <w:rPr>
          <w:rStyle w:val="34"/>
          <w:rFonts w:ascii="宋体" w:hAnsi="宋体"/>
          <w:sz w:val="20"/>
          <w:szCs w:val="18"/>
        </w:rPr>
        <w:tab/>
      </w:r>
      <w:r>
        <w:rPr>
          <w:rStyle w:val="34"/>
          <w:rFonts w:hint="eastAsia" w:ascii="宋体" w:hAnsi="宋体"/>
          <w:sz w:val="20"/>
          <w:szCs w:val="18"/>
        </w:rPr>
        <w:t>项目采购需求</w:t>
      </w:r>
      <w:r>
        <w:rPr>
          <w:rStyle w:val="34"/>
          <w:rFonts w:ascii="宋体" w:hAnsi="宋体"/>
          <w:sz w:val="20"/>
          <w:szCs w:val="18"/>
        </w:rPr>
        <w:tab/>
      </w:r>
      <w:r>
        <w:rPr>
          <w:rStyle w:val="34"/>
          <w:rFonts w:ascii="宋体" w:hAnsi="宋体"/>
          <w:sz w:val="20"/>
          <w:szCs w:val="18"/>
        </w:rPr>
        <w:fldChar w:fldCharType="begin"/>
      </w:r>
      <w:r>
        <w:rPr>
          <w:rStyle w:val="34"/>
          <w:rFonts w:ascii="宋体" w:hAnsi="宋体"/>
          <w:sz w:val="20"/>
          <w:szCs w:val="18"/>
        </w:rPr>
        <w:instrText xml:space="preserve"> PAGEREF _Toc83402859 \h </w:instrText>
      </w:r>
      <w:r>
        <w:rPr>
          <w:rStyle w:val="34"/>
          <w:rFonts w:ascii="宋体" w:hAnsi="宋体"/>
          <w:sz w:val="20"/>
          <w:szCs w:val="18"/>
        </w:rPr>
        <w:fldChar w:fldCharType="separate"/>
      </w:r>
      <w:r>
        <w:rPr>
          <w:rStyle w:val="34"/>
          <w:rFonts w:ascii="宋体" w:hAnsi="宋体"/>
          <w:sz w:val="20"/>
          <w:szCs w:val="18"/>
        </w:rPr>
        <w:t>53</w:t>
      </w:r>
      <w:r>
        <w:rPr>
          <w:rStyle w:val="34"/>
          <w:rFonts w:ascii="宋体" w:hAnsi="宋体"/>
          <w:sz w:val="20"/>
          <w:szCs w:val="18"/>
        </w:rPr>
        <w:fldChar w:fldCharType="end"/>
      </w:r>
      <w:r>
        <w:rPr>
          <w:rStyle w:val="34"/>
          <w:rFonts w:ascii="宋体" w:hAnsi="宋体"/>
          <w:sz w:val="20"/>
          <w:szCs w:val="18"/>
        </w:rPr>
        <w:fldChar w:fldCharType="end"/>
      </w:r>
    </w:p>
    <w:p>
      <w:pPr>
        <w:pStyle w:val="17"/>
        <w:spacing w:line="276" w:lineRule="auto"/>
        <w:ind w:firstLine="420" w:firstLineChars="200"/>
        <w:rPr>
          <w:rFonts w:cs="Times New Roman" w:asciiTheme="minorEastAsia" w:hAnsiTheme="minorEastAsia" w:eastAsiaTheme="minorEastAsia"/>
          <w:color w:val="000000" w:themeColor="text1"/>
          <w14:textFill>
            <w14:solidFill>
              <w14:schemeClr w14:val="tx1"/>
            </w14:solidFill>
          </w14:textFill>
        </w:rPr>
      </w:pPr>
      <w:r>
        <w:rPr>
          <w:rStyle w:val="34"/>
          <w:szCs w:val="22"/>
        </w:rPr>
        <w:fldChar w:fldCharType="end"/>
      </w: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pStyle w:val="4"/>
      </w:pPr>
      <w:bookmarkStart w:id="0" w:name="_Toc83402763"/>
      <w:bookmarkStart w:id="1" w:name="_Toc83402715"/>
      <w:bookmarkStart w:id="2" w:name="_Toc83402830"/>
      <w:bookmarkStart w:id="3" w:name="_Toc83402730"/>
      <w:r>
        <w:rPr>
          <w:rFonts w:hint="eastAsia"/>
        </w:rPr>
        <w:t>第一部分 商务部分</w:t>
      </w:r>
      <w:bookmarkEnd w:id="0"/>
      <w:bookmarkEnd w:id="1"/>
      <w:bookmarkEnd w:id="2"/>
      <w:bookmarkEnd w:id="3"/>
    </w:p>
    <w:p>
      <w:pPr>
        <w:pStyle w:val="5"/>
        <w:numPr>
          <w:ilvl w:val="0"/>
          <w:numId w:val="1"/>
        </w:numPr>
      </w:pPr>
      <w:bookmarkStart w:id="4" w:name="_Toc83402731"/>
      <w:bookmarkStart w:id="5" w:name="_Toc83402831"/>
      <w:bookmarkStart w:id="6" w:name="_Toc83402764"/>
      <w:bookmarkStart w:id="7" w:name="_Toc83402716"/>
      <w:r>
        <w:rPr>
          <w:rFonts w:hint="eastAsia"/>
        </w:rPr>
        <w:t>招标公告</w:t>
      </w:r>
      <w:bookmarkEnd w:id="4"/>
      <w:bookmarkEnd w:id="5"/>
      <w:bookmarkEnd w:id="6"/>
      <w:bookmarkEnd w:id="7"/>
    </w:p>
    <w:p>
      <w:pPr>
        <w:jc w:val="center"/>
        <w:rPr>
          <w:rFonts w:hint="eastAsia"/>
          <w:b/>
          <w:bCs/>
          <w:sz w:val="24"/>
          <w:szCs w:val="28"/>
        </w:rPr>
      </w:pPr>
      <w:r>
        <w:rPr>
          <w:b/>
          <w:sz w:val="24"/>
        </w:rPr>
        <w:t>新疆金正建设工程管理有限公司关于</w:t>
      </w:r>
      <w:r>
        <w:rPr>
          <w:rFonts w:hint="eastAsia"/>
          <w:b/>
          <w:sz w:val="24"/>
        </w:rPr>
        <w:t>准东产教融合科技创新园智慧教室多媒体系统项目采购招标项目</w:t>
      </w:r>
      <w:r>
        <w:rPr>
          <w:b/>
          <w:sz w:val="24"/>
        </w:rPr>
        <w:t>的公开招标公告</w:t>
      </w:r>
    </w:p>
    <w:p>
      <w:pPr>
        <w:rPr>
          <w:rFonts w:hint="eastAsia"/>
          <w:b/>
          <w:bCs/>
          <w:sz w:val="24"/>
          <w:szCs w:val="28"/>
        </w:rPr>
      </w:pPr>
      <w:r>
        <w:rPr>
          <w:rFonts w:hint="eastAsia"/>
          <w:b/>
          <w:bCs/>
          <w:sz w:val="24"/>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cs="Arial" w:asciiTheme="minorEastAsia" w:hAnsiTheme="minorEastAsia" w:eastAsiaTheme="minorEastAsia"/>
        </w:rPr>
        <w:t>准东产教融合科技创新园智慧教室多媒体系统项目采购招标项目的潜在供应商应在新疆金正建设工程管理有限公司（乌鲁木齐市水磨沟区南湖东路165号新疆国际大厦18楼）获取招标文件，</w:t>
      </w:r>
      <w:r>
        <w:rPr>
          <w:rFonts w:hint="eastAsia" w:cs="Arial" w:asciiTheme="minorEastAsia" w:hAnsiTheme="minorEastAsia" w:eastAsiaTheme="minorEastAsia"/>
          <w:color w:val="auto"/>
        </w:rPr>
        <w:t>并于2021年11月</w:t>
      </w:r>
      <w:r>
        <w:rPr>
          <w:rFonts w:hint="eastAsia" w:cs="Arial" w:asciiTheme="minorEastAsia" w:hAnsiTheme="minorEastAsia" w:eastAsiaTheme="minorEastAsia"/>
          <w:color w:val="auto"/>
          <w:lang w:val="en-US" w:eastAsia="zh-CN"/>
        </w:rPr>
        <w:t>11</w:t>
      </w:r>
      <w:r>
        <w:rPr>
          <w:rFonts w:hint="eastAsia" w:cs="Arial" w:asciiTheme="minorEastAsia" w:hAnsiTheme="minorEastAsia" w:eastAsiaTheme="minorEastAsia"/>
          <w:color w:val="auto"/>
        </w:rPr>
        <w:t>日11:00（北京时间）</w:t>
      </w:r>
      <w:r>
        <w:rPr>
          <w:rFonts w:hint="eastAsia"/>
          <w:color w:val="auto"/>
        </w:rPr>
        <w:t>前递交投标文件。</w:t>
      </w:r>
    </w:p>
    <w:p>
      <w:pPr>
        <w:rPr>
          <w:b/>
          <w:bCs/>
          <w:sz w:val="24"/>
          <w:szCs w:val="28"/>
        </w:rPr>
      </w:pPr>
      <w:r>
        <w:rPr>
          <w:rFonts w:hint="eastAsia"/>
          <w:b/>
          <w:bCs/>
          <w:sz w:val="24"/>
          <w:szCs w:val="28"/>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 xml:space="preserve">项目编号：金采招字[2021]XJJZC-071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项目名称：准东产教融合科技创新园智慧教室多媒体系统项目采购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预算金额（元）：3626923.00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最高限价（元）：3626923.00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标项一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 xml:space="preserve">数量：不限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预算金额（元）：3626923.00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 xml:space="preserve">单位：1批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简要规格描述或项目基本概况介绍、用途：准东产教融合科技创新园智慧教室多媒体系统项目采购；具体详见招标文件技术参数要求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合同履约期限：自中标结果确认之日起15个工作日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交货时间：自中标结果确认之日起15个工作日；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质保期： 3年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本项目（否）接受联合体投标。</w:t>
      </w:r>
    </w:p>
    <w:p>
      <w:pPr>
        <w:rPr>
          <w:rFonts w:hint="eastAsia"/>
          <w:b/>
          <w:bCs/>
          <w:sz w:val="24"/>
          <w:szCs w:val="28"/>
        </w:rPr>
      </w:pPr>
      <w:r>
        <w:rPr>
          <w:rFonts w:hint="eastAsia"/>
          <w:b/>
          <w:bCs/>
          <w:sz w:val="24"/>
          <w:szCs w:val="28"/>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（一）具有独立承担民事责任的能力；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2.落实政府采购政策需满足的资格要求：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1、供应商须具备独立法人资格，且具有经营范围内有效的企业法人营业执照；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2、凡拟参加本次招标项目的供应商，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rPr>
          <w:rFonts w:hint="eastAsia"/>
          <w:b/>
          <w:bCs/>
          <w:sz w:val="24"/>
          <w:szCs w:val="28"/>
        </w:rPr>
      </w:pPr>
      <w:r>
        <w:rPr>
          <w:rFonts w:hint="eastAsia"/>
          <w:b/>
          <w:bCs/>
          <w:sz w:val="24"/>
          <w:szCs w:val="28"/>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时间：2021年</w:t>
      </w:r>
      <w:r>
        <w:rPr>
          <w:rFonts w:hint="eastAsia" w:cs="Arial" w:asciiTheme="minorEastAsia" w:hAnsiTheme="minorEastAsia" w:eastAsiaTheme="minorEastAsia"/>
          <w:lang w:val="en-US" w:eastAsia="zh-CN"/>
        </w:rPr>
        <w:t>10</w:t>
      </w:r>
      <w:r>
        <w:rPr>
          <w:rFonts w:hint="eastAsia" w:cs="Arial" w:asciiTheme="minorEastAsia" w:hAnsiTheme="minorEastAsia" w:eastAsiaTheme="minorEastAsia"/>
        </w:rPr>
        <w:t>月</w:t>
      </w:r>
      <w:r>
        <w:rPr>
          <w:rFonts w:hint="eastAsia" w:cs="Arial" w:asciiTheme="minorEastAsia" w:hAnsiTheme="minorEastAsia" w:eastAsiaTheme="minorEastAsia"/>
          <w:lang w:val="en-US" w:eastAsia="zh-CN"/>
        </w:rPr>
        <w:t>22</w:t>
      </w:r>
      <w:r>
        <w:rPr>
          <w:rFonts w:hint="eastAsia" w:cs="Arial" w:asciiTheme="minorEastAsia" w:hAnsiTheme="minorEastAsia" w:eastAsiaTheme="minorEastAsia"/>
        </w:rPr>
        <w:t>日至2021年</w:t>
      </w:r>
      <w:r>
        <w:rPr>
          <w:rFonts w:hint="eastAsia" w:cs="Arial" w:asciiTheme="minorEastAsia" w:hAnsiTheme="minorEastAsia" w:eastAsiaTheme="minorEastAsia"/>
          <w:lang w:val="en-US" w:eastAsia="zh-CN"/>
        </w:rPr>
        <w:t>10</w:t>
      </w:r>
      <w:r>
        <w:rPr>
          <w:rFonts w:hint="eastAsia" w:cs="Arial" w:asciiTheme="minorEastAsia" w:hAnsiTheme="minorEastAsia" w:eastAsiaTheme="minorEastAsia"/>
        </w:rPr>
        <w:t>月</w:t>
      </w:r>
      <w:r>
        <w:rPr>
          <w:rFonts w:hint="eastAsia" w:cs="Arial" w:asciiTheme="minorEastAsia" w:hAnsiTheme="minorEastAsia" w:eastAsiaTheme="minorEastAsia"/>
          <w:lang w:val="en-US" w:eastAsia="zh-CN"/>
        </w:rPr>
        <w:t>29</w:t>
      </w:r>
      <w:r>
        <w:rPr>
          <w:rFonts w:hint="eastAsia" w:cs="Arial" w:asciiTheme="minorEastAsia" w:hAnsiTheme="minorEastAsia" w:eastAsiaTheme="minorEastAsia"/>
        </w:rPr>
        <w:t>日，每天上午10:00至13:30，下午15:00至19:00（北京时间，法定节假日除外）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地点：新疆金正建设工程管理有限公司（乌鲁木齐市水磨沟区南湖东路165号新疆国际大厦18楼）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方式：现场购买（售后不退）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售价（元）：200</w:t>
      </w:r>
    </w:p>
    <w:p>
      <w:pPr>
        <w:rPr>
          <w:rFonts w:hint="eastAsia"/>
          <w:b/>
          <w:bCs/>
          <w:sz w:val="24"/>
          <w:szCs w:val="28"/>
        </w:rPr>
      </w:pPr>
      <w:r>
        <w:rPr>
          <w:rFonts w:hint="eastAsia"/>
          <w:b/>
          <w:bCs/>
          <w:sz w:val="24"/>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提交投标文件截止时间：2021年</w:t>
      </w:r>
      <w:r>
        <w:rPr>
          <w:rFonts w:hint="eastAsia" w:cs="Arial" w:asciiTheme="minorEastAsia" w:hAnsiTheme="minorEastAsia" w:eastAsiaTheme="minorEastAsia"/>
          <w:lang w:val="en-US" w:eastAsia="zh-CN"/>
        </w:rPr>
        <w:t>11</w:t>
      </w:r>
      <w:r>
        <w:rPr>
          <w:rFonts w:hint="eastAsia" w:cs="Arial" w:asciiTheme="minorEastAsia" w:hAnsiTheme="minorEastAsia" w:eastAsiaTheme="minorEastAsia"/>
        </w:rPr>
        <w:t>月</w:t>
      </w:r>
      <w:r>
        <w:rPr>
          <w:rFonts w:hint="eastAsia" w:cs="Arial" w:asciiTheme="minorEastAsia" w:hAnsiTheme="minorEastAsia" w:eastAsiaTheme="minorEastAsia"/>
          <w:lang w:val="en-US" w:eastAsia="zh-CN"/>
        </w:rPr>
        <w:t>11</w:t>
      </w:r>
      <w:r>
        <w:rPr>
          <w:rFonts w:hint="eastAsia" w:cs="Arial" w:asciiTheme="minorEastAsia" w:hAnsiTheme="minorEastAsia" w:eastAsiaTheme="minorEastAsia"/>
        </w:rPr>
        <w:t>日11:00（北京时间）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color w:val="000000" w:themeColor="text1"/>
          <w14:textFill>
            <w14:solidFill>
              <w14:schemeClr w14:val="tx1"/>
            </w14:solidFill>
          </w14:textFill>
        </w:rPr>
      </w:pPr>
      <w:r>
        <w:rPr>
          <w:rFonts w:hint="eastAsia" w:cs="Arial" w:asciiTheme="minorEastAsia" w:hAnsiTheme="minorEastAsia" w:eastAsiaTheme="minorEastAsia"/>
        </w:rPr>
        <w:t>投标地点：</w:t>
      </w:r>
      <w:r>
        <w:rPr>
          <w:rFonts w:hint="eastAsia" w:cs="Arial" w:asciiTheme="minorEastAsia" w:hAnsiTheme="minorEastAsia" w:eastAsiaTheme="minorEastAsia"/>
          <w:color w:val="000000" w:themeColor="text1"/>
          <w14:textFill>
            <w14:solidFill>
              <w14:schemeClr w14:val="tx1"/>
            </w14:solidFill>
          </w14:textFill>
        </w:rPr>
        <w:t>昌吉州公共资源交易大厅开标一厅（昌吉市宁边西路与世纪大道交汇处，科技馆负一层）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开标时间：2021年</w:t>
      </w:r>
      <w:r>
        <w:rPr>
          <w:rFonts w:hint="eastAsia" w:cs="Arial" w:asciiTheme="minorEastAsia" w:hAnsiTheme="minorEastAsia" w:eastAsiaTheme="minorEastAsia"/>
          <w:lang w:val="en-US" w:eastAsia="zh-CN"/>
        </w:rPr>
        <w:t>11</w:t>
      </w:r>
      <w:r>
        <w:rPr>
          <w:rFonts w:hint="eastAsia" w:cs="Arial" w:asciiTheme="minorEastAsia" w:hAnsiTheme="minorEastAsia" w:eastAsiaTheme="minorEastAsia"/>
        </w:rPr>
        <w:t>月</w:t>
      </w:r>
      <w:r>
        <w:rPr>
          <w:rFonts w:hint="eastAsia" w:cs="Arial" w:asciiTheme="minorEastAsia" w:hAnsiTheme="minorEastAsia" w:eastAsiaTheme="minorEastAsia"/>
          <w:lang w:val="en-US" w:eastAsia="zh-CN"/>
        </w:rPr>
        <w:t>11</w:t>
      </w:r>
      <w:r>
        <w:rPr>
          <w:rFonts w:hint="eastAsia" w:cs="Arial" w:asciiTheme="minorEastAsia" w:hAnsiTheme="minorEastAsia" w:eastAsiaTheme="minorEastAsia"/>
        </w:rPr>
        <w:t>日11:00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color w:val="000000" w:themeColor="text1"/>
          <w14:textFill>
            <w14:solidFill>
              <w14:schemeClr w14:val="tx1"/>
            </w14:solidFill>
          </w14:textFill>
        </w:rPr>
      </w:pPr>
      <w:r>
        <w:rPr>
          <w:rFonts w:hint="eastAsia" w:cs="Arial" w:asciiTheme="minorEastAsia" w:hAnsiTheme="minorEastAsia" w:eastAsiaTheme="minorEastAsia"/>
        </w:rPr>
        <w:t>开标地点：</w:t>
      </w:r>
      <w:r>
        <w:rPr>
          <w:rFonts w:hint="eastAsia" w:cs="Arial" w:asciiTheme="minorEastAsia" w:hAnsiTheme="minorEastAsia" w:eastAsiaTheme="minorEastAsia"/>
          <w:color w:val="000000" w:themeColor="text1"/>
          <w14:textFill>
            <w14:solidFill>
              <w14:schemeClr w14:val="tx1"/>
            </w14:solidFill>
          </w14:textFill>
        </w:rPr>
        <w:t>昌吉州公共资源交易大厅开标一厅（昌吉市宁边西路与世纪大道交汇处，科技馆负一层）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s="Times New Roman"/>
          <w:b/>
          <w:bCs/>
          <w:kern w:val="2"/>
          <w:sz w:val="24"/>
          <w:szCs w:val="28"/>
          <w:lang w:val="en-US" w:eastAsia="zh-CN" w:bidi="ar-SA"/>
        </w:rPr>
      </w:pPr>
      <w:r>
        <w:rPr>
          <w:rFonts w:hint="eastAsia" w:ascii="Calibri" w:hAnsi="Calibri" w:eastAsia="宋体" w:cs="Times New Roman"/>
          <w:b/>
          <w:bCs/>
          <w:kern w:val="2"/>
          <w:sz w:val="24"/>
          <w:szCs w:val="28"/>
          <w:lang w:val="en-US" w:eastAsia="zh-CN" w:bidi="ar-SA"/>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s="Times New Roman"/>
          <w:b/>
          <w:bCs/>
          <w:kern w:val="2"/>
          <w:sz w:val="24"/>
          <w:szCs w:val="28"/>
          <w:lang w:val="en-US" w:eastAsia="zh-CN" w:bidi="ar-SA"/>
        </w:rPr>
      </w:pPr>
      <w:r>
        <w:rPr>
          <w:rFonts w:hint="eastAsia" w:ascii="Calibri" w:hAnsi="Calibri" w:eastAsia="宋体" w:cs="Times New Roman"/>
          <w:b/>
          <w:bCs/>
          <w:kern w:val="2"/>
          <w:sz w:val="24"/>
          <w:szCs w:val="28"/>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法定代表人领取文件时，须提供：法定代表人身份证明书原件、法定代表人身份证。若委托代理人领取文件时，须提供：法定代表人授权委托书原件、委托代理人身份证，上述资料的原件及复印件贰套（复印件加盖单位公章），原件核对后退还，复印件留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s="Times New Roman"/>
          <w:b/>
          <w:bCs/>
          <w:kern w:val="2"/>
          <w:sz w:val="24"/>
          <w:szCs w:val="28"/>
          <w:lang w:val="en-US" w:eastAsia="zh-CN" w:bidi="ar-SA"/>
        </w:rPr>
      </w:pPr>
      <w:r>
        <w:rPr>
          <w:rFonts w:hint="eastAsia" w:ascii="Calibri" w:hAnsi="Calibri" w:eastAsia="宋体" w:cs="Times New Roman"/>
          <w:b/>
          <w:bCs/>
          <w:kern w:val="2"/>
          <w:sz w:val="24"/>
          <w:szCs w:val="28"/>
          <w:lang w:val="en-US" w:eastAsia="zh-CN" w:bidi="ar-SA"/>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名 称：新疆准东经济技术开发区人力资源和社会保障局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地 址：新疆准东经济技术开发区人才大厦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联系方式：13995017970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名 称：新疆金正建设工程管理有限公司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地 址：新疆维吾尔自治区乌鲁木齐市水磨沟区南湖东路165号1栋18层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联系方式：0991-4508367、18599129359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项目联系人：李积娟、牛晓娟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Times New Roman" w:asciiTheme="minorEastAsia" w:hAnsiTheme="minorEastAsia" w:eastAsiaTheme="minorEastAsia"/>
          <w:color w:val="000000" w:themeColor="text1"/>
          <w14:textFill>
            <w14:solidFill>
              <w14:schemeClr w14:val="tx1"/>
            </w14:solidFill>
          </w14:textFill>
        </w:rPr>
      </w:pPr>
      <w:r>
        <w:rPr>
          <w:rFonts w:hint="eastAsia" w:cs="Arial" w:asciiTheme="minorEastAsia" w:hAnsiTheme="minorEastAsia" w:eastAsiaTheme="minorEastAsia"/>
        </w:rPr>
        <w:t>电 话：0991-4508367、18599129359</w:t>
      </w:r>
      <w:r>
        <w:rPr>
          <w:rFonts w:cs="Times New Roman" w:asciiTheme="minorEastAsia" w:hAnsiTheme="minorEastAsia" w:eastAsiaTheme="minorEastAsia"/>
          <w:color w:val="000000" w:themeColor="text1"/>
          <w14:textFill>
            <w14:solidFill>
              <w14:schemeClr w14:val="tx1"/>
            </w14:solidFill>
          </w14:textFill>
        </w:rPr>
        <w:br w:type="page"/>
      </w:r>
    </w:p>
    <w:p>
      <w:pPr>
        <w:pStyle w:val="5"/>
        <w:numPr>
          <w:ilvl w:val="0"/>
          <w:numId w:val="1"/>
        </w:numPr>
      </w:pPr>
      <w:bookmarkStart w:id="8" w:name="_Toc83402765"/>
      <w:bookmarkStart w:id="9" w:name="_Toc83402717"/>
      <w:bookmarkStart w:id="10" w:name="_Toc83402732"/>
      <w:bookmarkStart w:id="11" w:name="_Toc83402832"/>
      <w:r>
        <w:rPr>
          <w:rFonts w:hint="eastAsia"/>
        </w:rPr>
        <w:t>供应商须知</w:t>
      </w:r>
      <w:bookmarkEnd w:id="8"/>
      <w:bookmarkEnd w:id="9"/>
      <w:bookmarkEnd w:id="10"/>
      <w:bookmarkEnd w:id="11"/>
    </w:p>
    <w:p>
      <w:pPr>
        <w:pStyle w:val="6"/>
        <w:numPr>
          <w:ilvl w:val="0"/>
          <w:numId w:val="2"/>
        </w:numPr>
      </w:pPr>
      <w:bookmarkStart w:id="12" w:name="_Toc83402733"/>
      <w:bookmarkStart w:id="13" w:name="_Toc83402718"/>
      <w:bookmarkStart w:id="14" w:name="_Toc83402833"/>
      <w:bookmarkStart w:id="15" w:name="_Toc83402766"/>
      <w:r>
        <w:rPr>
          <w:rFonts w:hint="eastAsia"/>
        </w:rPr>
        <w:t>供应商须知前附表</w:t>
      </w:r>
      <w:bookmarkEnd w:id="12"/>
      <w:bookmarkEnd w:id="13"/>
      <w:bookmarkEnd w:id="14"/>
      <w:bookmarkEnd w:id="15"/>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860"/>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pPr>
              <w:jc w:val="center"/>
              <w:rPr>
                <w:rFonts w:hint="eastAsia"/>
                <w:b/>
                <w:bCs/>
              </w:rPr>
            </w:pPr>
            <w:r>
              <w:rPr>
                <w:rFonts w:hint="eastAsia"/>
                <w:b/>
                <w:bCs/>
              </w:rPr>
              <w:t>序号</w:t>
            </w:r>
          </w:p>
        </w:tc>
        <w:tc>
          <w:tcPr>
            <w:tcW w:w="1090" w:type="pct"/>
            <w:vAlign w:val="center"/>
          </w:tcPr>
          <w:p>
            <w:pPr>
              <w:jc w:val="center"/>
              <w:rPr>
                <w:rFonts w:hint="eastAsia"/>
                <w:b/>
                <w:bCs/>
              </w:rPr>
            </w:pPr>
            <w:r>
              <w:rPr>
                <w:rFonts w:hint="eastAsia"/>
                <w:b/>
                <w:bCs/>
              </w:rPr>
              <w:t>条款名称</w:t>
            </w:r>
          </w:p>
        </w:tc>
        <w:tc>
          <w:tcPr>
            <w:tcW w:w="3517" w:type="pct"/>
            <w:vAlign w:val="center"/>
          </w:tcPr>
          <w:p>
            <w:pPr>
              <w:jc w:val="center"/>
              <w:rPr>
                <w:rFonts w:hint="eastAsia"/>
                <w:b/>
                <w:bCs/>
              </w:rPr>
            </w:pPr>
            <w:r>
              <w:rPr>
                <w:rFonts w:hint="eastAsia"/>
                <w:b/>
                <w:bC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92" w:type="pct"/>
            <w:vMerge w:val="restart"/>
            <w:vAlign w:val="center"/>
          </w:tcPr>
          <w:p>
            <w:pPr>
              <w:jc w:val="center"/>
              <w:rPr>
                <w:rFonts w:hint="eastAsia"/>
              </w:rPr>
            </w:pPr>
            <w:r>
              <w:rPr>
                <w:rFonts w:hint="eastAsia"/>
              </w:rPr>
              <w:t>1</w:t>
            </w:r>
          </w:p>
        </w:tc>
        <w:tc>
          <w:tcPr>
            <w:tcW w:w="1090" w:type="pct"/>
            <w:vAlign w:val="center"/>
          </w:tcPr>
          <w:p>
            <w:pPr>
              <w:jc w:val="center"/>
              <w:rPr>
                <w:rFonts w:hint="eastAsia"/>
              </w:rPr>
            </w:pPr>
            <w:r>
              <w:rPr>
                <w:rFonts w:hint="eastAsia"/>
              </w:rPr>
              <w:t>采购项目</w:t>
            </w:r>
          </w:p>
        </w:tc>
        <w:tc>
          <w:tcPr>
            <w:tcW w:w="3517" w:type="pct"/>
            <w:vAlign w:val="center"/>
          </w:tcPr>
          <w:p>
            <w:pPr>
              <w:jc w:val="left"/>
              <w:rPr>
                <w:rFonts w:hint="eastAsia"/>
              </w:rPr>
            </w:pPr>
            <w:r>
              <w:rPr>
                <w:rFonts w:hint="eastAsia"/>
              </w:rPr>
              <w:t>准东产教融合科技创新园智慧教室多媒体系统项目采购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2" w:type="pct"/>
            <w:vMerge w:val="continue"/>
            <w:vAlign w:val="center"/>
          </w:tcPr>
          <w:p>
            <w:pPr>
              <w:jc w:val="center"/>
              <w:rPr>
                <w:rFonts w:hint="eastAsia"/>
              </w:rPr>
            </w:pPr>
          </w:p>
        </w:tc>
        <w:tc>
          <w:tcPr>
            <w:tcW w:w="1090" w:type="pct"/>
            <w:vAlign w:val="center"/>
          </w:tcPr>
          <w:p>
            <w:pPr>
              <w:jc w:val="center"/>
              <w:rPr>
                <w:rFonts w:hint="eastAsia"/>
              </w:rPr>
            </w:pPr>
            <w:r>
              <w:rPr>
                <w:rFonts w:hint="eastAsia"/>
              </w:rPr>
              <w:t>采购预算</w:t>
            </w:r>
          </w:p>
        </w:tc>
        <w:tc>
          <w:tcPr>
            <w:tcW w:w="3517" w:type="pct"/>
            <w:vAlign w:val="center"/>
          </w:tcPr>
          <w:p>
            <w:pPr>
              <w:jc w:val="left"/>
              <w:rPr>
                <w:rFonts w:hint="eastAsia"/>
              </w:rPr>
            </w:pPr>
            <w:r>
              <w:rPr>
                <w:rFonts w:hint="eastAsia"/>
              </w:rPr>
              <w:t>3626923.00元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2" w:type="pct"/>
            <w:vMerge w:val="continue"/>
            <w:vAlign w:val="center"/>
          </w:tcPr>
          <w:p>
            <w:pPr>
              <w:jc w:val="center"/>
              <w:rPr>
                <w:rFonts w:hint="eastAsia"/>
              </w:rPr>
            </w:pPr>
          </w:p>
        </w:tc>
        <w:tc>
          <w:tcPr>
            <w:tcW w:w="1090" w:type="pct"/>
            <w:vAlign w:val="center"/>
          </w:tcPr>
          <w:p>
            <w:pPr>
              <w:jc w:val="center"/>
              <w:rPr>
                <w:rFonts w:hint="eastAsia"/>
              </w:rPr>
            </w:pPr>
            <w:r>
              <w:rPr>
                <w:rFonts w:hint="eastAsia"/>
              </w:rPr>
              <w:t>项目编号</w:t>
            </w:r>
          </w:p>
        </w:tc>
        <w:tc>
          <w:tcPr>
            <w:tcW w:w="3517" w:type="pct"/>
            <w:vAlign w:val="center"/>
          </w:tcPr>
          <w:p>
            <w:pPr>
              <w:jc w:val="left"/>
              <w:rPr>
                <w:rFonts w:hint="eastAsia"/>
              </w:rPr>
            </w:pPr>
            <w:r>
              <w:rPr>
                <w:rFonts w:hint="eastAsia"/>
              </w:rPr>
              <w:t>金采招字[2021]XJJZC-071；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92" w:type="pct"/>
            <w:vMerge w:val="continue"/>
            <w:vAlign w:val="center"/>
          </w:tcPr>
          <w:p>
            <w:pPr>
              <w:jc w:val="center"/>
              <w:rPr>
                <w:rFonts w:hint="eastAsia"/>
              </w:rPr>
            </w:pPr>
          </w:p>
        </w:tc>
        <w:tc>
          <w:tcPr>
            <w:tcW w:w="1090" w:type="pct"/>
            <w:vAlign w:val="center"/>
          </w:tcPr>
          <w:p>
            <w:pPr>
              <w:jc w:val="center"/>
              <w:rPr>
                <w:rFonts w:hint="eastAsia"/>
              </w:rPr>
            </w:pPr>
            <w:r>
              <w:rPr>
                <w:rFonts w:hint="eastAsia"/>
              </w:rPr>
              <w:t>公告媒体</w:t>
            </w:r>
          </w:p>
        </w:tc>
        <w:tc>
          <w:tcPr>
            <w:tcW w:w="3517" w:type="pct"/>
            <w:vAlign w:val="center"/>
          </w:tcPr>
          <w:p>
            <w:pPr>
              <w:jc w:val="left"/>
              <w:rPr>
                <w:rFonts w:hint="eastAsia"/>
              </w:rPr>
            </w:pPr>
            <w:r>
              <w:rPr>
                <w:rFonts w:hint="eastAsi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392" w:type="pct"/>
            <w:vAlign w:val="center"/>
          </w:tcPr>
          <w:p>
            <w:pPr>
              <w:jc w:val="center"/>
              <w:rPr>
                <w:rFonts w:hint="eastAsia"/>
              </w:rPr>
            </w:pPr>
            <w:r>
              <w:rPr>
                <w:rFonts w:hint="eastAsia"/>
              </w:rPr>
              <w:t>2</w:t>
            </w:r>
          </w:p>
        </w:tc>
        <w:tc>
          <w:tcPr>
            <w:tcW w:w="1090" w:type="pct"/>
            <w:vAlign w:val="center"/>
          </w:tcPr>
          <w:p>
            <w:pPr>
              <w:jc w:val="center"/>
              <w:rPr>
                <w:rFonts w:hint="eastAsia"/>
              </w:rPr>
            </w:pPr>
            <w:r>
              <w:rPr>
                <w:rFonts w:hint="eastAsia"/>
              </w:rPr>
              <w:t>采购人</w:t>
            </w:r>
          </w:p>
        </w:tc>
        <w:tc>
          <w:tcPr>
            <w:tcW w:w="3517" w:type="pct"/>
            <w:vAlign w:val="center"/>
          </w:tcPr>
          <w:p>
            <w:pPr>
              <w:jc w:val="left"/>
              <w:rPr>
                <w:rFonts w:hint="eastAsia"/>
              </w:rPr>
            </w:pPr>
            <w:r>
              <w:rPr>
                <w:rFonts w:hint="eastAsia"/>
              </w:rPr>
              <w:t>名称：新疆准东经济技术开发区人力资源和社会保障局</w:t>
            </w:r>
          </w:p>
          <w:p>
            <w:pPr>
              <w:jc w:val="left"/>
              <w:rPr>
                <w:rFonts w:hint="eastAsia"/>
              </w:rPr>
            </w:pPr>
            <w:r>
              <w:rPr>
                <w:rFonts w:hint="eastAsia"/>
              </w:rPr>
              <w:t>地址：新疆准东经济技术开发区人才大厦407办公室</w:t>
            </w:r>
          </w:p>
          <w:p>
            <w:pPr>
              <w:jc w:val="left"/>
              <w:rPr>
                <w:rFonts w:hint="eastAsia"/>
              </w:rPr>
            </w:pPr>
            <w:r>
              <w:rPr>
                <w:rFonts w:hint="eastAsia"/>
              </w:rPr>
              <w:t>电话：13995017970</w:t>
            </w:r>
          </w:p>
          <w:p>
            <w:pPr>
              <w:jc w:val="left"/>
              <w:rPr>
                <w:rFonts w:hint="eastAsia"/>
              </w:rPr>
            </w:pPr>
            <w:r>
              <w:rPr>
                <w:rFonts w:hint="eastAsia"/>
              </w:rPr>
              <w:t>联系人：白先生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392" w:type="pct"/>
            <w:vAlign w:val="center"/>
          </w:tcPr>
          <w:p>
            <w:pPr>
              <w:jc w:val="center"/>
              <w:rPr>
                <w:rFonts w:hint="eastAsia"/>
              </w:rPr>
            </w:pPr>
            <w:r>
              <w:rPr>
                <w:rFonts w:hint="eastAsia"/>
              </w:rPr>
              <w:t>3</w:t>
            </w:r>
          </w:p>
        </w:tc>
        <w:tc>
          <w:tcPr>
            <w:tcW w:w="1090" w:type="pct"/>
            <w:vAlign w:val="center"/>
          </w:tcPr>
          <w:p>
            <w:pPr>
              <w:jc w:val="center"/>
              <w:rPr>
                <w:rFonts w:hint="eastAsia"/>
              </w:rPr>
            </w:pPr>
            <w:r>
              <w:rPr>
                <w:rFonts w:hint="eastAsia"/>
              </w:rPr>
              <w:t>采购代理机构</w:t>
            </w:r>
          </w:p>
        </w:tc>
        <w:tc>
          <w:tcPr>
            <w:tcW w:w="3517" w:type="pct"/>
            <w:vAlign w:val="center"/>
          </w:tcPr>
          <w:p>
            <w:pPr>
              <w:jc w:val="left"/>
              <w:rPr>
                <w:rFonts w:hint="eastAsia"/>
              </w:rPr>
            </w:pPr>
            <w:r>
              <w:rPr>
                <w:rFonts w:hint="eastAsia"/>
              </w:rPr>
              <w:t>名称：新疆金正建设工程管理有限公司</w:t>
            </w:r>
          </w:p>
          <w:p>
            <w:pPr>
              <w:jc w:val="left"/>
              <w:rPr>
                <w:rFonts w:hint="eastAsia"/>
              </w:rPr>
            </w:pPr>
            <w:r>
              <w:rPr>
                <w:rFonts w:hint="eastAsia"/>
              </w:rPr>
              <w:t>地址：乌鲁木齐市水磨沟区南湖东路165号新疆国际大厦18楼</w:t>
            </w:r>
          </w:p>
          <w:p>
            <w:pPr>
              <w:jc w:val="left"/>
              <w:rPr>
                <w:rFonts w:hint="eastAsia"/>
              </w:rPr>
            </w:pPr>
            <w:r>
              <w:rPr>
                <w:rFonts w:hint="eastAsia"/>
              </w:rPr>
              <w:t>电话：0991-4508367、18599129359</w:t>
            </w:r>
          </w:p>
          <w:p>
            <w:pPr>
              <w:jc w:val="left"/>
              <w:rPr>
                <w:rFonts w:hint="eastAsia"/>
              </w:rPr>
            </w:pPr>
            <w:r>
              <w:rPr>
                <w:rFonts w:hint="eastAsia"/>
              </w:rPr>
              <w:t>联系人：李积娟，牛晓娟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92" w:type="pct"/>
            <w:vAlign w:val="center"/>
          </w:tcPr>
          <w:p>
            <w:pPr>
              <w:jc w:val="center"/>
              <w:rPr>
                <w:rFonts w:hint="eastAsia"/>
              </w:rPr>
            </w:pPr>
            <w:r>
              <w:rPr>
                <w:rFonts w:hint="eastAsia"/>
              </w:rPr>
              <w:t>4</w:t>
            </w:r>
          </w:p>
        </w:tc>
        <w:tc>
          <w:tcPr>
            <w:tcW w:w="1090" w:type="pct"/>
            <w:vAlign w:val="center"/>
          </w:tcPr>
          <w:p>
            <w:pPr>
              <w:jc w:val="center"/>
              <w:rPr>
                <w:rFonts w:hint="eastAsia"/>
              </w:rPr>
            </w:pPr>
            <w:r>
              <w:rPr>
                <w:rFonts w:hint="eastAsia"/>
              </w:rPr>
              <w:t>供应商资格条件</w:t>
            </w:r>
          </w:p>
        </w:tc>
        <w:tc>
          <w:tcPr>
            <w:tcW w:w="3517" w:type="pct"/>
            <w:vAlign w:val="center"/>
          </w:tcPr>
          <w:p>
            <w:pPr>
              <w:jc w:val="left"/>
              <w:rPr>
                <w:rFonts w:hint="eastAsia"/>
              </w:rPr>
            </w:pPr>
            <w:r>
              <w:rPr>
                <w:rFonts w:hint="eastAsia"/>
              </w:rPr>
              <w:t>1.满足《中华人民共和国政府采购法》第二十二条规定；</w:t>
            </w:r>
          </w:p>
          <w:p>
            <w:pPr>
              <w:jc w:val="left"/>
              <w:rPr>
                <w:rFonts w:hint="eastAsia"/>
              </w:rPr>
            </w:pPr>
            <w:r>
              <w:rPr>
                <w:rFonts w:hint="eastAsia"/>
              </w:rPr>
              <w:t>（一）具有独立承担民事责任的能力；</w:t>
            </w:r>
          </w:p>
          <w:p>
            <w:pPr>
              <w:jc w:val="left"/>
              <w:rPr>
                <w:rFonts w:hint="eastAsia"/>
              </w:rPr>
            </w:pPr>
            <w:r>
              <w:rPr>
                <w:rFonts w:hint="eastAsia"/>
              </w:rPr>
              <w:t>（二）具有良好的商业信誉和健全的财务会计制度；</w:t>
            </w:r>
          </w:p>
          <w:p>
            <w:pPr>
              <w:jc w:val="left"/>
              <w:rPr>
                <w:rFonts w:hint="eastAsia"/>
              </w:rPr>
            </w:pPr>
            <w:r>
              <w:rPr>
                <w:rFonts w:hint="eastAsia"/>
              </w:rPr>
              <w:t>（三）具有履行合同所必需的设备和专业技术能力；</w:t>
            </w:r>
          </w:p>
          <w:p>
            <w:pPr>
              <w:jc w:val="left"/>
              <w:rPr>
                <w:rFonts w:hint="eastAsia"/>
              </w:rPr>
            </w:pPr>
            <w:r>
              <w:rPr>
                <w:rFonts w:hint="eastAsia"/>
              </w:rPr>
              <w:t>（四）有依法缴纳税收和社会保障资金的良好记录；</w:t>
            </w:r>
          </w:p>
          <w:p>
            <w:pPr>
              <w:jc w:val="left"/>
              <w:rPr>
                <w:rFonts w:hint="eastAsia"/>
              </w:rPr>
            </w:pPr>
            <w:r>
              <w:rPr>
                <w:rFonts w:hint="eastAsia"/>
              </w:rPr>
              <w:t>（五）参加政府采购活动前三年内，在经营活动中没有重大违法记录；</w:t>
            </w:r>
          </w:p>
          <w:p>
            <w:pPr>
              <w:jc w:val="left"/>
              <w:rPr>
                <w:rFonts w:hint="eastAsia"/>
              </w:rPr>
            </w:pPr>
            <w:r>
              <w:rPr>
                <w:rFonts w:hint="eastAsia"/>
              </w:rPr>
              <w:t>（六）法律、行政法规规定的其他条件；</w:t>
            </w:r>
          </w:p>
          <w:p>
            <w:pPr>
              <w:jc w:val="left"/>
              <w:rPr>
                <w:rFonts w:hint="eastAsia"/>
              </w:rPr>
            </w:pPr>
            <w:r>
              <w:rPr>
                <w:rFonts w:hint="eastAsia"/>
              </w:rPr>
              <w:t>2.落实政府采购政策需满足的资格要求：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p>
            <w:pPr>
              <w:jc w:val="left"/>
              <w:rPr>
                <w:rFonts w:hint="eastAsia"/>
              </w:rPr>
            </w:pPr>
            <w:r>
              <w:rPr>
                <w:rFonts w:hint="eastAsia"/>
              </w:rPr>
              <w:t>3.本项目的特定资格要求：</w:t>
            </w:r>
          </w:p>
          <w:p>
            <w:pPr>
              <w:jc w:val="left"/>
              <w:rPr>
                <w:rFonts w:hint="eastAsia"/>
              </w:rPr>
            </w:pPr>
            <w:r>
              <w:rPr>
                <w:rFonts w:hint="eastAsia"/>
              </w:rPr>
              <w:t>1、供应商须具备独立法人资格，且具有经营范围内有效的企业法人营业执照；</w:t>
            </w:r>
          </w:p>
          <w:p>
            <w:pPr>
              <w:jc w:val="left"/>
              <w:rPr>
                <w:rFonts w:hint="eastAsia"/>
              </w:rPr>
            </w:pPr>
            <w:r>
              <w:rPr>
                <w:rFonts w:hint="eastAsia"/>
              </w:rPr>
              <w:t>2、凡拟参加本次招标项目的供应商，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w:t>
            </w:r>
          </w:p>
          <w:p>
            <w:pPr>
              <w:jc w:val="left"/>
              <w:rPr>
                <w:rFonts w:hint="eastAsia"/>
              </w:rPr>
            </w:pPr>
            <w:r>
              <w:rPr>
                <w:rFonts w:hint="eastAsia"/>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92" w:type="pct"/>
            <w:vAlign w:val="center"/>
          </w:tcPr>
          <w:p>
            <w:pPr>
              <w:jc w:val="center"/>
              <w:rPr>
                <w:rFonts w:hint="eastAsia"/>
              </w:rPr>
            </w:pPr>
            <w:r>
              <w:rPr>
                <w:rFonts w:hint="eastAsia"/>
              </w:rPr>
              <w:t>5</w:t>
            </w:r>
          </w:p>
        </w:tc>
        <w:tc>
          <w:tcPr>
            <w:tcW w:w="1090" w:type="pct"/>
            <w:vAlign w:val="center"/>
          </w:tcPr>
          <w:p>
            <w:pPr>
              <w:jc w:val="center"/>
              <w:rPr>
                <w:rFonts w:hint="eastAsia"/>
              </w:rPr>
            </w:pPr>
            <w:r>
              <w:rPr>
                <w:rFonts w:hint="eastAsia"/>
              </w:rPr>
              <w:t>项目现场勘察</w:t>
            </w:r>
          </w:p>
        </w:tc>
        <w:tc>
          <w:tcPr>
            <w:tcW w:w="3517" w:type="pct"/>
            <w:vAlign w:val="center"/>
          </w:tcPr>
          <w:p>
            <w:pPr>
              <w:jc w:val="left"/>
              <w:rPr>
                <w:rFonts w:hint="eastAsia"/>
              </w:rPr>
            </w:pPr>
            <w:r>
              <w:rPr>
                <w:rFonts w:hint="eastAsia"/>
              </w:rPr>
              <w:fldChar w:fldCharType="begin"/>
            </w:r>
            <w:r>
              <w:rPr>
                <w:rFonts w:hint="eastAsia"/>
              </w:rPr>
              <w:instrText xml:space="preserve">eq \o\ac(□,√)</w:instrText>
            </w:r>
            <w:r>
              <w:rPr>
                <w:rFonts w:hint="eastAsia"/>
              </w:rPr>
              <w:fldChar w:fldCharType="end"/>
            </w:r>
            <w:r>
              <w:rPr>
                <w:rFonts w:hint="eastAsia"/>
              </w:rPr>
              <w:t>不组织</w:t>
            </w:r>
          </w:p>
          <w:p>
            <w:pPr>
              <w:pStyle w:val="2"/>
              <w:ind w:left="0" w:leftChars="0" w:firstLine="0" w:firstLineChars="0"/>
              <w:rPr>
                <w:rFonts w:hint="eastAsia" w:ascii="Calibri" w:hAnsi="Calibri" w:eastAsia="宋体" w:cs="Times New Roman"/>
                <w:b/>
                <w:bCs w:val="0"/>
                <w:kern w:val="2"/>
                <w:sz w:val="21"/>
                <w:szCs w:val="22"/>
                <w:lang w:val="en-US" w:eastAsia="zh-CN" w:bidi="ar-SA"/>
              </w:rPr>
            </w:pPr>
            <w:r>
              <w:rPr>
                <w:rFonts w:hint="eastAsia" w:ascii="Calibri" w:hAnsi="Calibri" w:eastAsia="宋体" w:cs="Times New Roman"/>
                <w:b/>
                <w:bCs w:val="0"/>
                <w:kern w:val="2"/>
                <w:sz w:val="21"/>
                <w:szCs w:val="22"/>
                <w:lang w:val="en-US" w:eastAsia="zh-CN" w:bidi="ar-SA"/>
              </w:rPr>
              <w:t>本项目不组织集中踏勘现场，各潜在供应商可自行进行踏勘现场。无论供应商是否踏勘过现场，均被认为在递交投标文件之前已经踏勘现场，对本合同项目的风险和义务已经十分了解，并在其投标文件中已充分考虑了现场和环境条件。</w:t>
            </w:r>
          </w:p>
          <w:p>
            <w:pPr>
              <w:jc w:val="left"/>
              <w:rPr>
                <w:rFonts w:hint="eastAsia"/>
              </w:rPr>
            </w:pPr>
            <w:r>
              <w:rPr>
                <w:rFonts w:hint="eastAsia"/>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92" w:type="pct"/>
            <w:vAlign w:val="center"/>
          </w:tcPr>
          <w:p>
            <w:pPr>
              <w:jc w:val="center"/>
              <w:rPr>
                <w:rFonts w:hint="eastAsia"/>
              </w:rPr>
            </w:pPr>
            <w:r>
              <w:rPr>
                <w:rFonts w:hint="eastAsia"/>
              </w:rPr>
              <w:t>6</w:t>
            </w:r>
          </w:p>
        </w:tc>
        <w:tc>
          <w:tcPr>
            <w:tcW w:w="1090" w:type="pct"/>
            <w:vAlign w:val="center"/>
          </w:tcPr>
          <w:p>
            <w:pPr>
              <w:jc w:val="center"/>
              <w:rPr>
                <w:rFonts w:hint="eastAsia"/>
              </w:rPr>
            </w:pPr>
            <w:r>
              <w:rPr>
                <w:rFonts w:hint="eastAsia"/>
              </w:rPr>
              <w:t>联合体投标</w:t>
            </w:r>
          </w:p>
        </w:tc>
        <w:tc>
          <w:tcPr>
            <w:tcW w:w="3517" w:type="pct"/>
            <w:vAlign w:val="center"/>
          </w:tcPr>
          <w:p>
            <w:pPr>
              <w:jc w:val="left"/>
              <w:rPr>
                <w:rFonts w:hint="eastAsia"/>
              </w:rPr>
            </w:pPr>
            <w:r>
              <w:rPr>
                <w:rFonts w:hint="eastAsia"/>
              </w:rPr>
              <w:fldChar w:fldCharType="begin"/>
            </w:r>
            <w:r>
              <w:rPr>
                <w:rFonts w:hint="eastAsia"/>
              </w:rPr>
              <w:instrText xml:space="preserve">eq \o\ac(□,√)</w:instrText>
            </w:r>
            <w:r>
              <w:rPr>
                <w:rFonts w:hint="eastAsia"/>
              </w:rPr>
              <w:fldChar w:fldCharType="end"/>
            </w:r>
            <w:r>
              <w:rPr>
                <w:rFonts w:hint="eastAsia"/>
              </w:rPr>
              <w:t>不接受</w:t>
            </w:r>
          </w:p>
          <w:p>
            <w:pPr>
              <w:jc w:val="left"/>
              <w:rPr>
                <w:rFonts w:hint="eastAsia"/>
              </w:rPr>
            </w:pPr>
            <w:r>
              <w:rPr>
                <w:rFonts w:hint="eastAsia"/>
              </w:rPr>
              <w:t>□接受</w:t>
            </w:r>
          </w:p>
          <w:p>
            <w:pPr>
              <w:jc w:val="left"/>
              <w:rPr>
                <w:rFonts w:hint="eastAsia"/>
              </w:rPr>
            </w:pPr>
            <w:r>
              <w:rPr>
                <w:rFonts w:hint="eastAsia"/>
                <w:b/>
                <w:bCs/>
              </w:rPr>
              <w:t>注:本项目不得分包、不得转包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92" w:type="pct"/>
            <w:vAlign w:val="center"/>
          </w:tcPr>
          <w:p>
            <w:pPr>
              <w:jc w:val="center"/>
              <w:rPr>
                <w:rFonts w:hint="eastAsia"/>
              </w:rPr>
            </w:pPr>
            <w:r>
              <w:rPr>
                <w:rFonts w:hint="eastAsia"/>
              </w:rPr>
              <w:t>7</w:t>
            </w:r>
          </w:p>
        </w:tc>
        <w:tc>
          <w:tcPr>
            <w:tcW w:w="1090" w:type="pct"/>
            <w:vAlign w:val="center"/>
          </w:tcPr>
          <w:p>
            <w:pPr>
              <w:jc w:val="center"/>
              <w:rPr>
                <w:rFonts w:hint="eastAsia"/>
              </w:rPr>
            </w:pPr>
            <w:r>
              <w:rPr>
                <w:rFonts w:hint="eastAsia"/>
              </w:rPr>
              <w:t>招标范围</w:t>
            </w:r>
          </w:p>
        </w:tc>
        <w:tc>
          <w:tcPr>
            <w:tcW w:w="3517" w:type="pct"/>
            <w:vAlign w:val="center"/>
          </w:tcPr>
          <w:p>
            <w:pPr>
              <w:jc w:val="left"/>
              <w:rPr>
                <w:rFonts w:hint="eastAsia"/>
              </w:rPr>
            </w:pPr>
            <w:r>
              <w:rPr>
                <w:rFonts w:hint="eastAsia"/>
              </w:rPr>
              <w:t>招标文件及补充文件中所要求的全部要工作内容：包括</w:t>
            </w:r>
            <w:r>
              <w:rPr>
                <w:rFonts w:hint="eastAsia"/>
                <w:lang w:val="en-US" w:eastAsia="zh-CN"/>
              </w:rPr>
              <w:t>但不限于</w:t>
            </w:r>
            <w:r>
              <w:rPr>
                <w:rFonts w:hint="eastAsia"/>
              </w:rPr>
              <w:t>供货、运输、安装、调试、验收、质保及售后等。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92" w:type="pct"/>
            <w:vAlign w:val="center"/>
          </w:tcPr>
          <w:p>
            <w:pPr>
              <w:jc w:val="center"/>
              <w:rPr>
                <w:rFonts w:hint="eastAsia"/>
              </w:rPr>
            </w:pPr>
            <w:r>
              <w:rPr>
                <w:rFonts w:hint="eastAsia"/>
              </w:rPr>
              <w:t>8</w:t>
            </w:r>
          </w:p>
        </w:tc>
        <w:tc>
          <w:tcPr>
            <w:tcW w:w="1090" w:type="pct"/>
            <w:vAlign w:val="center"/>
          </w:tcPr>
          <w:p>
            <w:pPr>
              <w:jc w:val="center"/>
              <w:rPr>
                <w:rFonts w:hint="eastAsia"/>
              </w:rPr>
            </w:pPr>
            <w:r>
              <w:rPr>
                <w:rFonts w:hint="eastAsia"/>
              </w:rPr>
              <w:t>澄清或者修改时间</w:t>
            </w:r>
          </w:p>
        </w:tc>
        <w:tc>
          <w:tcPr>
            <w:tcW w:w="3517" w:type="pct"/>
            <w:vAlign w:val="center"/>
          </w:tcPr>
          <w:p>
            <w:pPr>
              <w:jc w:val="left"/>
              <w:rPr>
                <w:rFonts w:hint="eastAsia"/>
              </w:rPr>
            </w:pPr>
            <w:r>
              <w:rPr>
                <w:rFonts w:hint="eastAsia"/>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92" w:type="pct"/>
            <w:vAlign w:val="center"/>
          </w:tcPr>
          <w:p>
            <w:pPr>
              <w:jc w:val="center"/>
              <w:rPr>
                <w:rFonts w:hint="eastAsia"/>
              </w:rPr>
            </w:pPr>
            <w:r>
              <w:rPr>
                <w:rFonts w:hint="eastAsia"/>
              </w:rPr>
              <w:t>9</w:t>
            </w:r>
          </w:p>
        </w:tc>
        <w:tc>
          <w:tcPr>
            <w:tcW w:w="1090" w:type="pct"/>
            <w:vAlign w:val="center"/>
          </w:tcPr>
          <w:p>
            <w:pPr>
              <w:jc w:val="center"/>
              <w:rPr>
                <w:rFonts w:hint="eastAsia"/>
              </w:rPr>
            </w:pPr>
            <w:r>
              <w:rPr>
                <w:rFonts w:hint="eastAsia"/>
              </w:rPr>
              <w:t>提交投标文件的截止时间、地点</w:t>
            </w:r>
          </w:p>
        </w:tc>
        <w:tc>
          <w:tcPr>
            <w:tcW w:w="3517" w:type="pct"/>
            <w:vAlign w:val="center"/>
          </w:tcPr>
          <w:p>
            <w:pPr>
              <w:jc w:val="left"/>
              <w:rPr>
                <w:rFonts w:hint="eastAsia"/>
              </w:rPr>
            </w:pPr>
            <w:r>
              <w:rPr>
                <w:rFonts w:hint="eastAsia"/>
              </w:rPr>
              <w:t>时间：2021年</w:t>
            </w:r>
            <w:r>
              <w:rPr>
                <w:rFonts w:hint="eastAsia"/>
                <w:lang w:val="en-US" w:eastAsia="zh-CN"/>
              </w:rPr>
              <w:t>11</w:t>
            </w:r>
            <w:r>
              <w:rPr>
                <w:rFonts w:hint="eastAsia"/>
              </w:rPr>
              <w:t>月</w:t>
            </w:r>
            <w:r>
              <w:rPr>
                <w:rFonts w:hint="eastAsia"/>
                <w:lang w:val="en-US" w:eastAsia="zh-CN"/>
              </w:rPr>
              <w:t>11</w:t>
            </w:r>
            <w:r>
              <w:rPr>
                <w:rFonts w:hint="eastAsia"/>
              </w:rPr>
              <w:t>日11时00分</w:t>
            </w:r>
          </w:p>
          <w:p>
            <w:pPr>
              <w:jc w:val="left"/>
              <w:rPr>
                <w:rFonts w:hint="eastAsia"/>
              </w:rPr>
            </w:pPr>
            <w:r>
              <w:rPr>
                <w:rFonts w:hint="eastAsia"/>
              </w:rPr>
              <w:t>地点：</w:t>
            </w:r>
            <w:r>
              <w:rPr>
                <w:rFonts w:hint="eastAsia"/>
                <w:color w:val="000000" w:themeColor="text1"/>
                <w:highlight w:val="red"/>
                <w14:textFill>
                  <w14:solidFill>
                    <w14:schemeClr w14:val="tx1"/>
                  </w14:solidFill>
                </w14:textFill>
              </w:rPr>
              <w:t>昌吉州公共资源交易大厅开标一厅（昌吉市宁边西路与世纪大道交汇处，科技馆</w:t>
            </w:r>
            <w:bookmarkStart w:id="83" w:name="_GoBack"/>
            <w:bookmarkEnd w:id="83"/>
            <w:r>
              <w:rPr>
                <w:rFonts w:hint="eastAsia"/>
                <w:color w:val="000000" w:themeColor="text1"/>
                <w:highlight w:val="red"/>
                <w14:textFill>
                  <w14:solidFill>
                    <w14:schemeClr w14:val="tx1"/>
                  </w14:solidFill>
                </w14:textFill>
              </w:rPr>
              <w:t>负一层）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92" w:type="pct"/>
            <w:vAlign w:val="center"/>
          </w:tcPr>
          <w:p>
            <w:pPr>
              <w:jc w:val="center"/>
              <w:rPr>
                <w:rFonts w:hint="eastAsia"/>
              </w:rPr>
            </w:pPr>
            <w:r>
              <w:rPr>
                <w:rFonts w:hint="eastAsia"/>
              </w:rPr>
              <w:t>10</w:t>
            </w:r>
          </w:p>
        </w:tc>
        <w:tc>
          <w:tcPr>
            <w:tcW w:w="1090" w:type="pct"/>
            <w:vAlign w:val="center"/>
          </w:tcPr>
          <w:p>
            <w:pPr>
              <w:jc w:val="center"/>
              <w:rPr>
                <w:rFonts w:hint="eastAsia"/>
              </w:rPr>
            </w:pPr>
            <w:r>
              <w:rPr>
                <w:rFonts w:hint="eastAsia"/>
              </w:rPr>
              <w:t>开标时间、地点</w:t>
            </w:r>
          </w:p>
        </w:tc>
        <w:tc>
          <w:tcPr>
            <w:tcW w:w="3517" w:type="pct"/>
            <w:vAlign w:val="center"/>
          </w:tcPr>
          <w:p>
            <w:pPr>
              <w:jc w:val="left"/>
              <w:rPr>
                <w:rFonts w:hint="eastAsia"/>
              </w:rPr>
            </w:pPr>
            <w:r>
              <w:rPr>
                <w:rFonts w:hint="eastAsia"/>
              </w:rPr>
              <w:t>时间：2021年</w:t>
            </w:r>
            <w:r>
              <w:rPr>
                <w:rFonts w:hint="eastAsia"/>
                <w:lang w:val="en-US" w:eastAsia="zh-CN"/>
              </w:rPr>
              <w:t>11</w:t>
            </w:r>
            <w:r>
              <w:rPr>
                <w:rFonts w:hint="eastAsia"/>
              </w:rPr>
              <w:t>月</w:t>
            </w:r>
            <w:r>
              <w:rPr>
                <w:rFonts w:hint="eastAsia"/>
                <w:lang w:val="en-US" w:eastAsia="zh-CN"/>
              </w:rPr>
              <w:t>11</w:t>
            </w:r>
            <w:r>
              <w:rPr>
                <w:rFonts w:hint="eastAsia"/>
              </w:rPr>
              <w:t>日11时00分</w:t>
            </w:r>
          </w:p>
          <w:p>
            <w:pPr>
              <w:jc w:val="left"/>
              <w:rPr>
                <w:rFonts w:hint="eastAsia"/>
              </w:rPr>
            </w:pPr>
            <w:r>
              <w:rPr>
                <w:rFonts w:hint="eastAsia"/>
              </w:rPr>
              <w:t>地点：</w:t>
            </w:r>
            <w:r>
              <w:rPr>
                <w:rFonts w:hint="eastAsia"/>
                <w:color w:val="000000" w:themeColor="text1"/>
                <w14:textFill>
                  <w14:solidFill>
                    <w14:schemeClr w14:val="tx1"/>
                  </w14:solidFill>
                </w14:textFill>
              </w:rPr>
              <w:t>昌吉州公共资源交易大厅开标一厅（昌吉市宁边西路与世纪大道交汇处，科技馆负一层）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92" w:type="pct"/>
            <w:vAlign w:val="center"/>
          </w:tcPr>
          <w:p>
            <w:pPr>
              <w:jc w:val="center"/>
              <w:rPr>
                <w:rFonts w:hint="eastAsia"/>
              </w:rPr>
            </w:pPr>
            <w:r>
              <w:rPr>
                <w:rFonts w:hint="eastAsia"/>
              </w:rPr>
              <w:t>11</w:t>
            </w:r>
          </w:p>
        </w:tc>
        <w:tc>
          <w:tcPr>
            <w:tcW w:w="1090" w:type="pct"/>
            <w:vAlign w:val="center"/>
          </w:tcPr>
          <w:p>
            <w:pPr>
              <w:jc w:val="center"/>
              <w:rPr>
                <w:rFonts w:hint="eastAsia"/>
              </w:rPr>
            </w:pPr>
            <w:r>
              <w:rPr>
                <w:rFonts w:hint="eastAsia"/>
              </w:rPr>
              <w:t>其他唱标内容</w:t>
            </w:r>
          </w:p>
        </w:tc>
        <w:tc>
          <w:tcPr>
            <w:tcW w:w="3517" w:type="pct"/>
            <w:vAlign w:val="center"/>
          </w:tcPr>
          <w:p>
            <w:pPr>
              <w:jc w:val="left"/>
              <w:rPr>
                <w:rFonts w:hint="eastAsia"/>
              </w:rPr>
            </w:pPr>
            <w:r>
              <w:rPr>
                <w:rFonts w:hint="eastAsia"/>
              </w:rPr>
              <w:t>投标报价、交货时间、交货地点、质保期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392" w:type="pct"/>
            <w:vAlign w:val="center"/>
          </w:tcPr>
          <w:p>
            <w:pPr>
              <w:jc w:val="center"/>
              <w:rPr>
                <w:rFonts w:hint="eastAsia"/>
              </w:rPr>
            </w:pPr>
            <w:r>
              <w:rPr>
                <w:rFonts w:hint="eastAsia"/>
              </w:rPr>
              <w:t>12</w:t>
            </w:r>
          </w:p>
        </w:tc>
        <w:tc>
          <w:tcPr>
            <w:tcW w:w="1090" w:type="pct"/>
            <w:vAlign w:val="center"/>
          </w:tcPr>
          <w:p>
            <w:pPr>
              <w:jc w:val="center"/>
              <w:rPr>
                <w:rFonts w:hint="eastAsia"/>
              </w:rPr>
            </w:pPr>
            <w:r>
              <w:rPr>
                <w:rFonts w:hint="eastAsia"/>
              </w:rPr>
              <w:t>投标保证金</w:t>
            </w:r>
          </w:p>
        </w:tc>
        <w:tc>
          <w:tcPr>
            <w:tcW w:w="3517" w:type="pct"/>
            <w:vAlign w:val="center"/>
          </w:tcPr>
          <w:p>
            <w:pPr>
              <w:jc w:val="left"/>
              <w:rPr>
                <w:rFonts w:hint="eastAsia"/>
              </w:rPr>
            </w:pPr>
            <w:r>
              <w:rPr>
                <w:rFonts w:hint="eastAsia"/>
              </w:rPr>
              <w:fldChar w:fldCharType="begin"/>
            </w:r>
            <w:r>
              <w:rPr>
                <w:rFonts w:hint="eastAsia"/>
              </w:rPr>
              <w:instrText xml:space="preserve">eq \o\ac(□,√)</w:instrText>
            </w:r>
            <w:r>
              <w:rPr>
                <w:rFonts w:hint="eastAsia"/>
              </w:rPr>
              <w:fldChar w:fldCharType="end"/>
            </w:r>
            <w:r>
              <w:rPr>
                <w:rFonts w:hint="eastAsia"/>
              </w:rPr>
              <w:t>要求提供。数额不得超过招标项目预算金额的2%，本项目的投标保证金为人民币：</w:t>
            </w:r>
            <w:r>
              <w:rPr>
                <w:rFonts w:hint="eastAsia"/>
                <w:b/>
                <w:bCs/>
                <w:u w:val="single"/>
              </w:rPr>
              <w:t>7</w:t>
            </w:r>
            <w:r>
              <w:rPr>
                <w:rFonts w:hint="eastAsia"/>
                <w:b/>
                <w:bCs/>
                <w:u w:val="single"/>
                <w:lang w:val="en-US" w:eastAsia="zh-CN"/>
              </w:rPr>
              <w:t>2</w:t>
            </w:r>
            <w:r>
              <w:rPr>
                <w:rFonts w:hint="eastAsia"/>
                <w:b/>
                <w:bCs/>
                <w:u w:val="single"/>
              </w:rPr>
              <w:t>000元（</w:t>
            </w:r>
            <w:r>
              <w:rPr>
                <w:rFonts w:hint="eastAsia"/>
                <w:b/>
                <w:bCs/>
                <w:u w:val="single"/>
                <w:lang w:val="en-US" w:eastAsia="zh-CN"/>
              </w:rPr>
              <w:t>柒万贰仟元整</w:t>
            </w:r>
            <w:r>
              <w:rPr>
                <w:rFonts w:hint="eastAsia"/>
                <w:b/>
                <w:bCs/>
                <w:u w:val="single"/>
              </w:rPr>
              <w:t>）</w:t>
            </w:r>
            <w:r>
              <w:rPr>
                <w:rFonts w:hint="eastAsia"/>
              </w:rPr>
              <w:t>；</w:t>
            </w:r>
          </w:p>
          <w:p>
            <w:pPr>
              <w:jc w:val="left"/>
              <w:rPr>
                <w:rFonts w:hint="eastAsia"/>
              </w:rPr>
            </w:pPr>
            <w:r>
              <w:rPr>
                <w:rFonts w:hint="eastAsia"/>
              </w:rPr>
              <w:t>投标保证金到账截止时间：同招标截止时间</w:t>
            </w:r>
          </w:p>
          <w:p>
            <w:pPr>
              <w:jc w:val="left"/>
              <w:rPr>
                <w:rFonts w:hint="eastAsia"/>
              </w:rPr>
            </w:pPr>
            <w:r>
              <w:rPr>
                <w:rFonts w:hint="eastAsia"/>
              </w:rPr>
              <w:t>提交方式：须从供应商基本账户以支票、汇票、本票、或者金融机构、担保机构出具的保函等非现金提交。</w:t>
            </w:r>
          </w:p>
          <w:p>
            <w:pPr>
              <w:jc w:val="left"/>
              <w:rPr>
                <w:rFonts w:hint="eastAsia"/>
              </w:rPr>
            </w:pPr>
            <w:r>
              <w:rPr>
                <w:rFonts w:hint="eastAsia"/>
              </w:rPr>
              <w:t>账户信息：</w:t>
            </w:r>
          </w:p>
          <w:p>
            <w:pPr>
              <w:jc w:val="left"/>
              <w:rPr>
                <w:rFonts w:hint="eastAsia"/>
              </w:rPr>
            </w:pPr>
            <w:r>
              <w:rPr>
                <w:rFonts w:hint="eastAsia"/>
              </w:rPr>
              <w:t>开户单位名称：新疆金正建设工程管理有限公司</w:t>
            </w:r>
          </w:p>
          <w:p>
            <w:pPr>
              <w:jc w:val="left"/>
              <w:rPr>
                <w:rFonts w:hint="eastAsia"/>
              </w:rPr>
            </w:pPr>
            <w:r>
              <w:rPr>
                <w:rFonts w:hint="eastAsia"/>
              </w:rPr>
              <w:t>开户行：中行乌鲁木齐市友好南路支行</w:t>
            </w:r>
          </w:p>
          <w:p>
            <w:pPr>
              <w:jc w:val="left"/>
              <w:rPr>
                <w:rFonts w:hint="eastAsia"/>
              </w:rPr>
            </w:pPr>
            <w:r>
              <w:rPr>
                <w:rFonts w:hint="eastAsia"/>
              </w:rPr>
              <w:t>银行帐号：107601654453</w:t>
            </w:r>
          </w:p>
          <w:p>
            <w:pPr>
              <w:jc w:val="left"/>
              <w:rPr>
                <w:rFonts w:hint="eastAsia"/>
              </w:rPr>
            </w:pPr>
            <w:r>
              <w:rPr>
                <w:rFonts w:hint="eastAsia"/>
              </w:rPr>
              <w:t>联系电话：0991-4508736；</w:t>
            </w:r>
          </w:p>
          <w:p>
            <w:pPr>
              <w:jc w:val="left"/>
              <w:rPr>
                <w:rFonts w:hint="eastAsia"/>
              </w:rPr>
            </w:pPr>
            <w:r>
              <w:rPr>
                <w:rFonts w:hint="eastAsia"/>
              </w:rPr>
              <w:t>联系人：杜香，0991-4508736</w:t>
            </w:r>
          </w:p>
          <w:p>
            <w:pPr>
              <w:jc w:val="left"/>
              <w:rPr>
                <w:rFonts w:hint="eastAsia"/>
              </w:rPr>
            </w:pPr>
            <w:r>
              <w:rPr>
                <w:rFonts w:hint="eastAsia"/>
              </w:rPr>
              <w:t>投标保证金以到账信息为准，制造商应充分考虑在途时间，制造商未按照招标文件要求提交投标保证金的，投标无效。</w:t>
            </w:r>
          </w:p>
          <w:p>
            <w:pPr>
              <w:jc w:val="left"/>
              <w:rPr>
                <w:rFonts w:hint="eastAsia"/>
              </w:rPr>
            </w:pPr>
            <w:r>
              <w:rPr>
                <w:rFonts w:hint="eastAsia"/>
              </w:rPr>
              <w:t>注：以电汇方式递交投标保证金须在电汇凭据附言栏中写明招标编号及用途(投标保证金)。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2" w:type="pct"/>
            <w:vAlign w:val="center"/>
          </w:tcPr>
          <w:p>
            <w:pPr>
              <w:jc w:val="center"/>
              <w:rPr>
                <w:rFonts w:hint="eastAsia"/>
              </w:rPr>
            </w:pPr>
            <w:r>
              <w:rPr>
                <w:rFonts w:hint="eastAsia"/>
              </w:rPr>
              <w:t>13</w:t>
            </w:r>
          </w:p>
        </w:tc>
        <w:tc>
          <w:tcPr>
            <w:tcW w:w="1090" w:type="pct"/>
            <w:vAlign w:val="center"/>
          </w:tcPr>
          <w:p>
            <w:pPr>
              <w:jc w:val="center"/>
              <w:rPr>
                <w:rFonts w:hint="eastAsia"/>
              </w:rPr>
            </w:pPr>
            <w:r>
              <w:rPr>
                <w:rFonts w:hint="eastAsia"/>
              </w:rPr>
              <w:t>投标有效期</w:t>
            </w:r>
          </w:p>
        </w:tc>
        <w:tc>
          <w:tcPr>
            <w:tcW w:w="3517" w:type="pct"/>
            <w:vAlign w:val="center"/>
          </w:tcPr>
          <w:p>
            <w:pPr>
              <w:jc w:val="left"/>
              <w:rPr>
                <w:rFonts w:hint="eastAsia"/>
              </w:rPr>
            </w:pPr>
            <w:r>
              <w:rPr>
                <w:rFonts w:hint="eastAsia"/>
              </w:rPr>
              <w:t>自投标文件截止时间起90日(日历日)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92" w:type="pct"/>
            <w:vAlign w:val="center"/>
          </w:tcPr>
          <w:p>
            <w:pPr>
              <w:jc w:val="center"/>
              <w:rPr>
                <w:rFonts w:hint="eastAsia"/>
              </w:rPr>
            </w:pPr>
            <w:r>
              <w:rPr>
                <w:rFonts w:hint="eastAsia"/>
              </w:rPr>
              <w:t>14</w:t>
            </w:r>
          </w:p>
        </w:tc>
        <w:tc>
          <w:tcPr>
            <w:tcW w:w="1090" w:type="pct"/>
            <w:vAlign w:val="center"/>
          </w:tcPr>
          <w:p>
            <w:pPr>
              <w:jc w:val="center"/>
              <w:rPr>
                <w:rFonts w:hint="eastAsia"/>
              </w:rPr>
            </w:pPr>
            <w:r>
              <w:rPr>
                <w:rFonts w:hint="eastAsia"/>
              </w:rPr>
              <w:t>投标文件份数</w:t>
            </w:r>
          </w:p>
        </w:tc>
        <w:tc>
          <w:tcPr>
            <w:tcW w:w="3517" w:type="pct"/>
            <w:vAlign w:val="center"/>
          </w:tcPr>
          <w:p>
            <w:pPr>
              <w:jc w:val="left"/>
              <w:rPr>
                <w:rFonts w:hint="eastAsia"/>
              </w:rPr>
            </w:pPr>
            <w:r>
              <w:rPr>
                <w:rFonts w:hint="eastAsia"/>
              </w:rPr>
              <w:t>正本1份</w:t>
            </w:r>
          </w:p>
          <w:p>
            <w:pPr>
              <w:jc w:val="left"/>
              <w:rPr>
                <w:rFonts w:hint="eastAsia"/>
              </w:rPr>
            </w:pPr>
            <w:r>
              <w:rPr>
                <w:rFonts w:hint="eastAsia"/>
              </w:rPr>
              <w:t>副本4份</w:t>
            </w:r>
          </w:p>
          <w:p>
            <w:pPr>
              <w:jc w:val="left"/>
              <w:rPr>
                <w:rFonts w:hint="eastAsia"/>
              </w:rPr>
            </w:pPr>
            <w:r>
              <w:rPr>
                <w:rFonts w:hint="eastAsia"/>
              </w:rPr>
              <w:t>电子U盘__1_份(</w:t>
            </w:r>
            <w:r>
              <w:rPr>
                <w:rFonts w:hint="eastAsia"/>
              </w:rPr>
              <w:fldChar w:fldCharType="begin"/>
            </w:r>
            <w:r>
              <w:rPr>
                <w:rFonts w:hint="eastAsia"/>
              </w:rPr>
              <w:instrText xml:space="preserve">eq \o\ac(□,√)</w:instrText>
            </w:r>
            <w:r>
              <w:rPr>
                <w:rFonts w:hint="eastAsia"/>
              </w:rPr>
              <w:fldChar w:fldCharType="end"/>
            </w:r>
            <w:r>
              <w:rPr>
                <w:rFonts w:hint="eastAsia"/>
              </w:rPr>
              <w:t>扫描件（正本盖章后的扫描件），□Word，可多选)</w:t>
            </w:r>
          </w:p>
          <w:p>
            <w:pPr>
              <w:jc w:val="left"/>
              <w:rPr>
                <w:rFonts w:hint="eastAsia"/>
                <w:lang w:val="en-US" w:eastAsia="zh-CN"/>
              </w:rPr>
            </w:pPr>
            <w:r>
              <w:rPr>
                <w:rFonts w:hint="eastAsia"/>
                <w:b/>
                <w:bCs/>
                <w:lang w:val="en-US" w:eastAsia="zh-CN"/>
              </w:rPr>
              <w:t>须单独提供一个现场演示内容的U盘（单独密封）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392" w:type="pct"/>
            <w:vAlign w:val="center"/>
          </w:tcPr>
          <w:p>
            <w:pPr>
              <w:jc w:val="center"/>
              <w:rPr>
                <w:rFonts w:hint="eastAsia"/>
              </w:rPr>
            </w:pPr>
            <w:r>
              <w:rPr>
                <w:rFonts w:hint="eastAsia"/>
              </w:rPr>
              <w:t>15</w:t>
            </w:r>
          </w:p>
        </w:tc>
        <w:tc>
          <w:tcPr>
            <w:tcW w:w="1090" w:type="pct"/>
            <w:vAlign w:val="center"/>
          </w:tcPr>
          <w:p>
            <w:pPr>
              <w:jc w:val="center"/>
              <w:rPr>
                <w:rFonts w:hint="eastAsia"/>
              </w:rPr>
            </w:pPr>
            <w:r>
              <w:rPr>
                <w:rFonts w:hint="eastAsia"/>
              </w:rPr>
              <w:t>封套上应载明的信息</w:t>
            </w:r>
          </w:p>
        </w:tc>
        <w:tc>
          <w:tcPr>
            <w:tcW w:w="3517" w:type="pct"/>
            <w:vAlign w:val="center"/>
          </w:tcPr>
          <w:p>
            <w:pPr>
              <w:jc w:val="left"/>
              <w:rPr>
                <w:rFonts w:hint="eastAsia"/>
              </w:rPr>
            </w:pPr>
            <w:r>
              <w:rPr>
                <w:rFonts w:hint="eastAsia"/>
              </w:rPr>
              <w:t>准东产教融合科技创新园智慧教室多媒体系统项目采购</w:t>
            </w:r>
          </w:p>
          <w:p>
            <w:pPr>
              <w:jc w:val="left"/>
              <w:rPr>
                <w:rFonts w:hint="eastAsia"/>
              </w:rPr>
            </w:pPr>
            <w:r>
              <w:rPr>
                <w:rFonts w:hint="eastAsia"/>
              </w:rPr>
              <w:t>项目编号：</w:t>
            </w:r>
          </w:p>
          <w:p>
            <w:pPr>
              <w:jc w:val="left"/>
              <w:rPr>
                <w:rFonts w:hint="eastAsia"/>
              </w:rPr>
            </w:pPr>
            <w:r>
              <w:rPr>
                <w:rFonts w:hint="eastAsia"/>
              </w:rPr>
              <w:t>在    年  月  日  时  分之前不得启封</w:t>
            </w:r>
          </w:p>
          <w:p>
            <w:pPr>
              <w:jc w:val="left"/>
              <w:rPr>
                <w:rFonts w:hint="eastAsia"/>
              </w:rPr>
            </w:pPr>
            <w:r>
              <w:rPr>
                <w:rFonts w:hint="eastAsia"/>
              </w:rPr>
              <w:t>供应商名称：____________________</w:t>
            </w:r>
          </w:p>
          <w:p>
            <w:pPr>
              <w:jc w:val="left"/>
              <w:rPr>
                <w:rFonts w:hint="eastAsia"/>
              </w:rPr>
            </w:pPr>
            <w:r>
              <w:rPr>
                <w:rFonts w:hint="eastAsia"/>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92" w:type="pct"/>
            <w:vAlign w:val="center"/>
          </w:tcPr>
          <w:p>
            <w:pPr>
              <w:jc w:val="center"/>
              <w:rPr>
                <w:rFonts w:hint="eastAsia"/>
              </w:rPr>
            </w:pPr>
            <w:r>
              <w:rPr>
                <w:rFonts w:hint="eastAsia"/>
              </w:rPr>
              <w:t>16</w:t>
            </w:r>
          </w:p>
        </w:tc>
        <w:tc>
          <w:tcPr>
            <w:tcW w:w="1090" w:type="pct"/>
            <w:vAlign w:val="center"/>
          </w:tcPr>
          <w:p>
            <w:pPr>
              <w:jc w:val="center"/>
              <w:rPr>
                <w:rFonts w:hint="eastAsia"/>
              </w:rPr>
            </w:pPr>
            <w:r>
              <w:rPr>
                <w:rFonts w:hint="eastAsia"/>
              </w:rPr>
              <w:t>信用查询</w:t>
            </w:r>
          </w:p>
        </w:tc>
        <w:tc>
          <w:tcPr>
            <w:tcW w:w="3517" w:type="pct"/>
            <w:vAlign w:val="center"/>
          </w:tcPr>
          <w:p>
            <w:pPr>
              <w:jc w:val="left"/>
              <w:rPr>
                <w:rFonts w:hint="eastAsia"/>
              </w:rPr>
            </w:pPr>
            <w:r>
              <w:rPr>
                <w:rFonts w:hint="eastAsia"/>
              </w:rPr>
              <w:t>采购人或采购代理机构将通过“信用中国”网站（www.creditchina.gov.cn）被列入失信被执行人、重大税收违法案件当事人名单、政府采购严重违法失信行为记录名单的（尚在处罚期内的）、中国政府采购网（www.ccgp.gov.cn）被列入政府采购严重违法失信行为记录名单（尚在处罚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2" w:type="pct"/>
            <w:vAlign w:val="center"/>
          </w:tcPr>
          <w:p>
            <w:pPr>
              <w:jc w:val="center"/>
              <w:rPr>
                <w:rFonts w:hint="eastAsia"/>
              </w:rPr>
            </w:pPr>
            <w:r>
              <w:rPr>
                <w:rFonts w:hint="eastAsia"/>
              </w:rPr>
              <w:t>17</w:t>
            </w:r>
          </w:p>
        </w:tc>
        <w:tc>
          <w:tcPr>
            <w:tcW w:w="1090" w:type="pct"/>
            <w:vAlign w:val="center"/>
          </w:tcPr>
          <w:p>
            <w:pPr>
              <w:jc w:val="center"/>
              <w:rPr>
                <w:rFonts w:hint="eastAsia"/>
              </w:rPr>
            </w:pPr>
            <w:r>
              <w:rPr>
                <w:rFonts w:hint="eastAsia"/>
              </w:rPr>
              <w:t>定标原则</w:t>
            </w:r>
          </w:p>
        </w:tc>
        <w:tc>
          <w:tcPr>
            <w:tcW w:w="3517" w:type="pct"/>
            <w:vAlign w:val="center"/>
          </w:tcPr>
          <w:p>
            <w:pPr>
              <w:jc w:val="left"/>
              <w:rPr>
                <w:rFonts w:hint="eastAsia"/>
              </w:rPr>
            </w:pPr>
            <w:r>
              <w:rPr>
                <w:rFonts w:hint="eastAsia"/>
              </w:rPr>
              <w:t>采购人在评标报告确定的中标候选人名单中按顺序确定中标人。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92" w:type="pct"/>
            <w:vAlign w:val="center"/>
          </w:tcPr>
          <w:p>
            <w:pPr>
              <w:jc w:val="center"/>
              <w:rPr>
                <w:rFonts w:hint="eastAsia"/>
              </w:rPr>
            </w:pPr>
            <w:r>
              <w:rPr>
                <w:rFonts w:hint="eastAsia"/>
              </w:rPr>
              <w:t>18</w:t>
            </w:r>
          </w:p>
        </w:tc>
        <w:tc>
          <w:tcPr>
            <w:tcW w:w="1090" w:type="pct"/>
            <w:vAlign w:val="center"/>
          </w:tcPr>
          <w:p>
            <w:pPr>
              <w:jc w:val="center"/>
              <w:rPr>
                <w:rFonts w:hint="eastAsia"/>
              </w:rPr>
            </w:pPr>
            <w:r>
              <w:rPr>
                <w:rFonts w:hint="eastAsia"/>
              </w:rPr>
              <w:t>交货时间、地点</w:t>
            </w:r>
          </w:p>
        </w:tc>
        <w:tc>
          <w:tcPr>
            <w:tcW w:w="3517" w:type="pct"/>
            <w:vAlign w:val="center"/>
          </w:tcPr>
          <w:p>
            <w:pPr>
              <w:jc w:val="left"/>
              <w:rPr>
                <w:rFonts w:hint="eastAsia"/>
                <w:lang w:val="en-US" w:eastAsia="zh-CN"/>
              </w:rPr>
            </w:pPr>
            <w:r>
              <w:rPr>
                <w:rFonts w:hint="eastAsia"/>
                <w:lang w:val="en-US" w:eastAsia="zh-CN"/>
              </w:rPr>
              <w:t>交货时间：自中标结果确认之日起15个工作日；</w:t>
            </w:r>
          </w:p>
          <w:p>
            <w:pPr>
              <w:jc w:val="left"/>
              <w:rPr>
                <w:rFonts w:hint="eastAsia"/>
              </w:rPr>
            </w:pPr>
            <w:r>
              <w:rPr>
                <w:rFonts w:hint="eastAsia"/>
                <w:lang w:val="en-US" w:eastAsia="zh-CN"/>
              </w:rPr>
              <w:t>交货地点：新疆准东经济技术开发区产教融合科技创新园，具体以甲方通知时指定交货地点为准。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92" w:type="pct"/>
            <w:vAlign w:val="center"/>
          </w:tcPr>
          <w:p>
            <w:pPr>
              <w:jc w:val="center"/>
              <w:rPr>
                <w:rFonts w:hint="eastAsia"/>
              </w:rPr>
            </w:pPr>
            <w:r>
              <w:rPr>
                <w:rFonts w:hint="eastAsia"/>
              </w:rPr>
              <w:t>19</w:t>
            </w:r>
          </w:p>
        </w:tc>
        <w:tc>
          <w:tcPr>
            <w:tcW w:w="1090" w:type="pct"/>
            <w:vAlign w:val="center"/>
          </w:tcPr>
          <w:p>
            <w:pPr>
              <w:jc w:val="center"/>
              <w:rPr>
                <w:rFonts w:hint="eastAsia"/>
              </w:rPr>
            </w:pPr>
            <w:r>
              <w:rPr>
                <w:rFonts w:hint="eastAsia"/>
              </w:rPr>
              <w:t>质保期</w:t>
            </w:r>
          </w:p>
        </w:tc>
        <w:tc>
          <w:tcPr>
            <w:tcW w:w="3517" w:type="pct"/>
            <w:vAlign w:val="center"/>
          </w:tcPr>
          <w:p>
            <w:pPr>
              <w:jc w:val="left"/>
              <w:rPr>
                <w:rFonts w:hint="eastAsia"/>
              </w:rPr>
            </w:pPr>
            <w:r>
              <w:rPr>
                <w:rFonts w:hint="eastAsia"/>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2" w:type="pct"/>
            <w:vAlign w:val="center"/>
          </w:tcPr>
          <w:p>
            <w:pPr>
              <w:jc w:val="center"/>
              <w:rPr>
                <w:rFonts w:hint="eastAsia"/>
              </w:rPr>
            </w:pPr>
            <w:r>
              <w:rPr>
                <w:rFonts w:hint="eastAsia"/>
              </w:rPr>
              <w:t>20</w:t>
            </w:r>
          </w:p>
        </w:tc>
        <w:tc>
          <w:tcPr>
            <w:tcW w:w="1090" w:type="pct"/>
            <w:vAlign w:val="center"/>
          </w:tcPr>
          <w:p>
            <w:pPr>
              <w:jc w:val="center"/>
              <w:rPr>
                <w:rFonts w:hint="eastAsia"/>
              </w:rPr>
            </w:pPr>
            <w:r>
              <w:rPr>
                <w:rFonts w:hint="eastAsia"/>
              </w:rPr>
              <w:t>采购资金的支付方式及时间</w:t>
            </w:r>
          </w:p>
        </w:tc>
        <w:tc>
          <w:tcPr>
            <w:tcW w:w="3517" w:type="pct"/>
            <w:vAlign w:val="center"/>
          </w:tcPr>
          <w:p>
            <w:pPr>
              <w:jc w:val="left"/>
              <w:rPr>
                <w:rFonts w:hint="eastAsia"/>
              </w:rPr>
            </w:pPr>
            <w:r>
              <w:rPr>
                <w:rFonts w:hint="eastAsia"/>
              </w:rPr>
              <w:t>1、设备到场并经甲方书面验收合格后，支付合同总额的30%；</w:t>
            </w:r>
          </w:p>
          <w:p>
            <w:pPr>
              <w:jc w:val="left"/>
              <w:rPr>
                <w:rFonts w:hint="eastAsia"/>
              </w:rPr>
            </w:pPr>
            <w:r>
              <w:rPr>
                <w:rFonts w:hint="eastAsia"/>
              </w:rPr>
              <w:t>2、设备安装完毕且能够达到合同约定的功能要求，调试正常运行并验收合格后支付合同总额的30%，并从验收合格之日起进入质保期【36】个月）。</w:t>
            </w:r>
          </w:p>
          <w:p>
            <w:pPr>
              <w:jc w:val="left"/>
              <w:rPr>
                <w:rFonts w:hint="eastAsia"/>
              </w:rPr>
            </w:pPr>
            <w:r>
              <w:rPr>
                <w:rFonts w:hint="eastAsia"/>
              </w:rPr>
              <w:t>3、质保运行满【12】个月后，进行二次验收，各项功能能够正常使用且供应商能按照合同约定及时维护，验收合格后付合同总额的30%；</w:t>
            </w:r>
          </w:p>
          <w:p>
            <w:pPr>
              <w:jc w:val="left"/>
              <w:rPr>
                <w:rFonts w:hint="eastAsia"/>
              </w:rPr>
            </w:pPr>
            <w:r>
              <w:rPr>
                <w:rFonts w:hint="eastAsia"/>
              </w:rPr>
              <w:t>4、质保运行满【36】个月后，进行终验，终验合格后，支付合同总额10%；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92" w:type="pct"/>
            <w:vAlign w:val="center"/>
          </w:tcPr>
          <w:p>
            <w:pPr>
              <w:jc w:val="center"/>
              <w:rPr>
                <w:rFonts w:hint="eastAsia"/>
              </w:rPr>
            </w:pPr>
            <w:r>
              <w:rPr>
                <w:rFonts w:hint="eastAsia"/>
              </w:rPr>
              <w:t>21</w:t>
            </w:r>
          </w:p>
        </w:tc>
        <w:tc>
          <w:tcPr>
            <w:tcW w:w="1090" w:type="pct"/>
            <w:vAlign w:val="center"/>
          </w:tcPr>
          <w:p>
            <w:pPr>
              <w:jc w:val="center"/>
              <w:rPr>
                <w:rFonts w:hint="eastAsia"/>
              </w:rPr>
            </w:pPr>
            <w:r>
              <w:rPr>
                <w:rFonts w:hint="eastAsia"/>
              </w:rPr>
              <w:t>履约保证金</w:t>
            </w:r>
          </w:p>
        </w:tc>
        <w:tc>
          <w:tcPr>
            <w:tcW w:w="3517" w:type="pct"/>
            <w:vAlign w:val="center"/>
          </w:tcPr>
          <w:p>
            <w:pPr>
              <w:jc w:val="left"/>
              <w:rPr>
                <w:rFonts w:hint="eastAsia"/>
              </w:rPr>
            </w:pPr>
            <w:r>
              <w:rPr>
                <w:rFonts w:hint="eastAsia"/>
              </w:rPr>
              <w:fldChar w:fldCharType="begin"/>
            </w:r>
            <w:r>
              <w:rPr>
                <w:rFonts w:hint="eastAsia"/>
              </w:rPr>
              <w:instrText xml:space="preserve">eq \o\ac(□,√)</w:instrText>
            </w:r>
            <w:r>
              <w:rPr>
                <w:rFonts w:hint="eastAsia"/>
              </w:rPr>
              <w:fldChar w:fldCharType="end"/>
            </w:r>
            <w:r>
              <w:rPr>
                <w:rFonts w:hint="eastAsia"/>
              </w:rPr>
              <w:t>不要求提供</w:t>
            </w:r>
          </w:p>
          <w:p>
            <w:pPr>
              <w:jc w:val="left"/>
              <w:rPr>
                <w:rFonts w:hint="eastAsia"/>
              </w:rPr>
            </w:pPr>
            <w:r>
              <w:rPr>
                <w:rFonts w:hint="eastAsia"/>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pPr>
              <w:jc w:val="center"/>
              <w:rPr>
                <w:rFonts w:hint="eastAsia"/>
              </w:rPr>
            </w:pPr>
            <w:r>
              <w:rPr>
                <w:rFonts w:hint="eastAsia"/>
              </w:rPr>
              <w:t>22</w:t>
            </w:r>
          </w:p>
        </w:tc>
        <w:tc>
          <w:tcPr>
            <w:tcW w:w="1090" w:type="pct"/>
            <w:vAlign w:val="center"/>
          </w:tcPr>
          <w:p>
            <w:pPr>
              <w:jc w:val="center"/>
              <w:rPr>
                <w:rFonts w:hint="eastAsia"/>
              </w:rPr>
            </w:pPr>
            <w:r>
              <w:rPr>
                <w:rFonts w:hint="eastAsia"/>
              </w:rPr>
              <w:t>招标代理服务费</w:t>
            </w:r>
          </w:p>
        </w:tc>
        <w:tc>
          <w:tcPr>
            <w:tcW w:w="3517" w:type="pct"/>
            <w:vAlign w:val="center"/>
          </w:tcPr>
          <w:p>
            <w:pPr>
              <w:jc w:val="left"/>
              <w:rPr>
                <w:rFonts w:hint="eastAsia"/>
              </w:rPr>
            </w:pPr>
            <w:r>
              <w:rPr>
                <w:rFonts w:hint="eastAsia"/>
              </w:rPr>
              <w:t>本项目的招标代理服务费，由中标单位参考计价格[2002]1980号文、发改办价格[2003]857号文及发改价格[2011]534号文相关取费标准下浮81%后向招标代理机构支付中标服务费。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pPr>
              <w:jc w:val="center"/>
              <w:rPr>
                <w:rFonts w:hint="eastAsia"/>
              </w:rPr>
            </w:pPr>
            <w:r>
              <w:rPr>
                <w:rFonts w:hint="eastAsia"/>
              </w:rPr>
              <w:t>23</w:t>
            </w:r>
          </w:p>
        </w:tc>
        <w:tc>
          <w:tcPr>
            <w:tcW w:w="1090" w:type="pct"/>
            <w:vAlign w:val="center"/>
          </w:tcPr>
          <w:p>
            <w:pPr>
              <w:jc w:val="center"/>
              <w:rPr>
                <w:rFonts w:hint="eastAsia"/>
              </w:rPr>
            </w:pPr>
            <w:r>
              <w:rPr>
                <w:rFonts w:hint="eastAsia"/>
              </w:rPr>
              <w:t>政府采购支持</w:t>
            </w:r>
          </w:p>
        </w:tc>
        <w:tc>
          <w:tcPr>
            <w:tcW w:w="3517" w:type="pct"/>
            <w:vAlign w:val="center"/>
          </w:tcPr>
          <w:p>
            <w:pPr>
              <w:jc w:val="left"/>
              <w:rPr>
                <w:rFonts w:hint="eastAsia"/>
              </w:rPr>
            </w:pPr>
            <w:r>
              <w:rPr>
                <w:rFonts w:hint="eastAsia"/>
              </w:rPr>
              <w:t>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pPr>
              <w:jc w:val="center"/>
              <w:rPr>
                <w:rFonts w:hint="eastAsia"/>
              </w:rPr>
            </w:pPr>
            <w:r>
              <w:rPr>
                <w:rFonts w:hint="eastAsia"/>
              </w:rPr>
              <w:t>24</w:t>
            </w:r>
          </w:p>
        </w:tc>
        <w:tc>
          <w:tcPr>
            <w:tcW w:w="1090" w:type="pct"/>
            <w:vAlign w:val="center"/>
          </w:tcPr>
          <w:p>
            <w:pPr>
              <w:jc w:val="center"/>
              <w:rPr>
                <w:rFonts w:hint="eastAsia"/>
              </w:rPr>
            </w:pPr>
            <w:r>
              <w:rPr>
                <w:rFonts w:hint="eastAsia"/>
              </w:rPr>
              <w:t>其他规定</w:t>
            </w:r>
          </w:p>
        </w:tc>
        <w:tc>
          <w:tcPr>
            <w:tcW w:w="3517" w:type="pct"/>
            <w:vAlign w:val="center"/>
          </w:tcPr>
          <w:p>
            <w:pPr>
              <w:jc w:val="left"/>
              <w:rPr>
                <w:rFonts w:hint="eastAsia"/>
              </w:rPr>
            </w:pPr>
            <w:r>
              <w:rPr>
                <w:rFonts w:hint="eastAsia"/>
              </w:rPr>
              <w:t>投标时须携带：1、营业执照；2、法定代表人亲自到场递交投标文件并参与开标会议的应携带1份法定代表人身份证明书并加盖公章及有效的身份证原件；委托代理人到场递交投标文件并参与开标会议的应携带1份授权委托书并加盖公章及有效的身份证原件。未通过原件审核的供应商，予以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pPr>
              <w:jc w:val="center"/>
              <w:rPr>
                <w:rFonts w:hint="default" w:eastAsia="宋体"/>
                <w:lang w:val="en-US" w:eastAsia="zh-CN"/>
              </w:rPr>
            </w:pPr>
            <w:r>
              <w:rPr>
                <w:rFonts w:hint="eastAsia"/>
                <w:lang w:val="en-US" w:eastAsia="zh-CN"/>
              </w:rPr>
              <w:t>25</w:t>
            </w:r>
          </w:p>
        </w:tc>
        <w:tc>
          <w:tcPr>
            <w:tcW w:w="1090" w:type="pct"/>
            <w:vAlign w:val="center"/>
          </w:tcPr>
          <w:p>
            <w:pPr>
              <w:jc w:val="center"/>
              <w:rPr>
                <w:rFonts w:hint="eastAsia" w:eastAsia="宋体"/>
                <w:lang w:val="en-US" w:eastAsia="zh-CN"/>
              </w:rPr>
            </w:pPr>
            <w:r>
              <w:rPr>
                <w:rFonts w:hint="eastAsia"/>
                <w:lang w:val="en-US" w:eastAsia="zh-CN"/>
              </w:rPr>
              <w:t>备注</w:t>
            </w:r>
          </w:p>
        </w:tc>
        <w:tc>
          <w:tcPr>
            <w:tcW w:w="3517" w:type="pct"/>
            <w:vAlign w:val="center"/>
          </w:tcPr>
          <w:p>
            <w:pPr>
              <w:numPr>
                <w:ilvl w:val="0"/>
                <w:numId w:val="3"/>
              </w:numPr>
              <w:jc w:val="left"/>
              <w:rPr>
                <w:rFonts w:hint="eastAsia" w:eastAsia="仿宋_GB2312"/>
                <w:lang w:val="en-US" w:eastAsia="zh-CN"/>
              </w:rPr>
            </w:pPr>
            <w:r>
              <w:rPr>
                <w:rFonts w:hint="eastAsia"/>
                <w:b/>
                <w:bCs/>
              </w:rPr>
              <w:t>供应商须缴纳开标场地费，场地服务费:暂按1000元/一个标段，投标文件递交截止时间后，供应商少于6家（含6家）的按1000元收取，投标人超过6家的，按6000元由所有投标人平均分摊，具体缴纳金额和方式以昌吉州公共资源交易中心通知的为准</w:t>
            </w:r>
            <w:r>
              <w:rPr>
                <w:rFonts w:hint="eastAsia"/>
                <w:b/>
                <w:bCs/>
                <w:lang w:eastAsia="zh-CN"/>
              </w:rPr>
              <w:t>；</w:t>
            </w:r>
          </w:p>
          <w:p>
            <w:pPr>
              <w:numPr>
                <w:ilvl w:val="0"/>
                <w:numId w:val="3"/>
              </w:numPr>
              <w:jc w:val="left"/>
              <w:rPr>
                <w:rFonts w:hint="eastAsia" w:eastAsia="仿宋_GB2312"/>
                <w:lang w:val="en-US" w:eastAsia="zh-CN"/>
              </w:rPr>
            </w:pPr>
            <w:r>
              <w:rPr>
                <w:rFonts w:hint="eastAsia" w:ascii="Calibri" w:hAnsi="Calibri" w:eastAsia="宋体" w:cs="Times New Roman"/>
                <w:b/>
                <w:bCs/>
                <w:kern w:val="2"/>
                <w:sz w:val="21"/>
                <w:szCs w:val="22"/>
                <w:lang w:val="en-US" w:eastAsia="zh-CN" w:bidi="ar-SA"/>
              </w:rPr>
              <w:t>部分功能模块需提供功能截图或需在开标现场提供功能演示，演示视频为软件实操界面</w:t>
            </w:r>
            <w:r>
              <w:rPr>
                <w:rFonts w:hint="eastAsia" w:cs="Times New Roman"/>
                <w:b/>
                <w:bCs/>
                <w:kern w:val="2"/>
                <w:sz w:val="21"/>
                <w:szCs w:val="22"/>
                <w:lang w:val="en-US" w:eastAsia="zh-CN" w:bidi="ar-SA"/>
              </w:rPr>
              <w:t>，</w:t>
            </w:r>
            <w:r>
              <w:rPr>
                <w:rFonts w:hint="eastAsia" w:ascii="Calibri" w:hAnsi="Calibri" w:eastAsia="宋体" w:cs="Times New Roman"/>
                <w:b/>
                <w:bCs/>
                <w:kern w:val="2"/>
                <w:sz w:val="21"/>
                <w:szCs w:val="22"/>
                <w:lang w:val="en-US" w:eastAsia="zh-CN" w:bidi="ar-SA"/>
              </w:rPr>
              <w:t>请做好相关准备工作。</w:t>
            </w:r>
          </w:p>
        </w:tc>
      </w:tr>
    </w:tbl>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2"/>
        <w:ind w:firstLine="440"/>
        <w:rPr>
          <w:szCs w:val="21"/>
        </w:rPr>
      </w:pPr>
      <w:r>
        <w:br w:type="page"/>
      </w:r>
    </w:p>
    <w:p>
      <w:pPr>
        <w:pStyle w:val="6"/>
        <w:numPr>
          <w:ilvl w:val="0"/>
          <w:numId w:val="2"/>
        </w:numPr>
      </w:pPr>
      <w:bookmarkStart w:id="16" w:name="_Toc83402834"/>
      <w:bookmarkStart w:id="17" w:name="_Toc83402734"/>
      <w:bookmarkStart w:id="18" w:name="_Toc83402719"/>
      <w:bookmarkStart w:id="19" w:name="_Toc83402767"/>
      <w:r>
        <w:rPr>
          <w:rFonts w:hint="eastAsia"/>
        </w:rPr>
        <w:t>供应商须知正文</w:t>
      </w:r>
      <w:bookmarkEnd w:id="16"/>
      <w:bookmarkEnd w:id="17"/>
      <w:bookmarkEnd w:id="18"/>
      <w:bookmarkEnd w:id="19"/>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一、总则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定义</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“采购人”是指依法进行政府采购的国家机关、事业单位、团体组织。本次政府采购的采购人名称、地址、电话、联系人见供应商须知前附表。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“采购代理机构”是指集中采购机构和集中采购机构以外的采购代理机构。本次政府采购的采购代理机构名称、地址、电话、联系人见供应商须知前附表。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“投标人”是响应招标文件并且符合招标文件规定资格条件和参加投标竞争的法人、其他组织或者自然人。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1.4</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“供应商”是指向采购人提供货物、工程或者服务的法人、其他组织或者自然人。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“评标委员会”是依据《政府采购货物和服务招标投标管理办法》有关规定组建，依法履行评审采购活动职责的评审成员。</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　“货物”是指各种形态和种类的物品，包括原材料、燃料、设备、产品等。</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采购项目预算</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2.1</w:t>
      </w:r>
      <w:r>
        <w:rPr>
          <w:rFonts w:hint="eastAsia" w:cs="Times New Roman" w:asciiTheme="minorEastAsia" w:hAnsiTheme="minorEastAsia" w:eastAsiaTheme="minorEastAsia"/>
          <w:color w:val="000000" w:themeColor="text1"/>
          <w:sz w:val="24"/>
          <w:szCs w:val="24"/>
          <w14:textFill>
            <w14:solidFill>
              <w14:schemeClr w14:val="tx1"/>
            </w14:solidFill>
          </w14:textFill>
        </w:rPr>
        <w:t>　预算金额见供应商须知前附表。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供应商的资格要求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3.1.满足《中华人民共和国政府采购法》第二十二条规定；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（一）具有独立承担民事责任的能力；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（二）具有良好的商业信誉和健全的财务会计制度；</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（三）具有履行合同所必需的设备和专业技术能力；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（四）有依法缴纳税收和社会保障资金的良好记录；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（五）参加政府采购活动前三年内，在经营活动中没有重大违法记录；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（六）法律、行政法规规定的其他条件；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3.2.落实政府采购政策需满足的资格要求：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3.3.本项目的特定资格要求：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（1）供应商须具备独立法人资格，且具有经营范围内有效的企业法人营业执照；</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凡拟参加本次招标项目的供应商，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4　供应商存在下列情形之一的不得参加投标：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单位负责人为同一人或者存在直接控股、管理关系的不同制造商，不得参加同一合同项下的政府采购活动。为采购项目提供整体设计、规范编制或者项目管理、监理、检测等服务的供应商，不得再参加该采购项目的其他采购活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因违法经营受到刑事处罚或者责令停产停业、吊销许可证或者执照、较大数额罚款等行政处罚，或者存在财政部门认定的其他重大违法记录，以及在财政部门禁止参加政府采购活动期限以内的。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投标费用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4.1</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供应商应自行承担所有参与投标的相关费用，不论投标的结果如何，采购人或者采购代理机构均无义务和责任承担这些费用。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授权委托</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供应商代表不是供应商的法定代表人的，应当持有法定代表人的授权委托书，同时提供供应商代表身份证明。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联合体投标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　本项目是否接受联合体形式参与详见供应商须知前附表。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项目现场考察</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7.1</w:t>
      </w:r>
      <w:r>
        <w:rPr>
          <w:rFonts w:hint="eastAsia" w:cs="Times New Roman" w:asciiTheme="minorEastAsia" w:hAnsiTheme="minorEastAsia" w:eastAsiaTheme="minorEastAsia"/>
          <w:color w:val="000000" w:themeColor="text1"/>
          <w:sz w:val="24"/>
          <w:szCs w:val="24"/>
          <w14:textFill>
            <w14:solidFill>
              <w14:schemeClr w14:val="tx1"/>
            </w14:solidFill>
          </w14:textFill>
        </w:rPr>
        <w:t>　本项目是否组织现场考察详见供应商须知前附表。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供应商应按供应商须知前附表中规定的时间及地点，对采购项目现场和周围环境进行考察。供应商未在指定时间进行考察的，采购人不再另行组织。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7.3</w:t>
      </w:r>
      <w:r>
        <w:rPr>
          <w:rFonts w:hint="eastAsia" w:cs="Times New Roman" w:asciiTheme="minorEastAsia" w:hAnsiTheme="minorEastAsia" w:eastAsiaTheme="minorEastAsia"/>
          <w:color w:val="000000" w:themeColor="text1"/>
          <w:sz w:val="24"/>
          <w:szCs w:val="24"/>
          <w14:textFill>
            <w14:solidFill>
              <w14:schemeClr w14:val="tx1"/>
            </w14:solidFill>
          </w14:textFill>
        </w:rPr>
        <w:t>　考察现场的费用由供应商自己承担，考察期间所发生的人身伤害及财产损失由供应商自己负责。</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7.4</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采购人不对供应商据此而做出的推论、理解和结论负责。一旦中标，供应商不得以任何借口，提出额外补偿，或延长合同期限的要求。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二、招标文件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招标文件的构成</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招标文件各章节的内容如下：</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第一部分　商务部分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第一章　投标邀请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第二章　供应商须知</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第三章　评标方法及标准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第四章　拟签订的合同文本</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第五章　投标文件格式</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第二部分　技术部分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第六章　项目需求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供应商应仔细阅读招标文件的全部内容，按照招标文件要求编制投标文件。任何对招标文件的忽略或误解，不能作为投标文件存在缺陷或瑕疵的理由，其风险由供应商承担。</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招标文件的澄清与修改</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采购人或采购代理机构对已发出的招标文件进行必要澄清或者修改的，应当在供应商须知前附表规定的提交投标文件截止时间</w:t>
      </w:r>
      <w:r>
        <w:rPr>
          <w:rFonts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日前，在原刊登招标公告的媒体上发布更正公告，并以书面形式通知所有招标文件收受人。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如果澄清或者修改时间距本章供应商须知前附表规定的投标截止时间不足</w:t>
      </w:r>
      <w:r>
        <w:rPr>
          <w:rFonts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日，将相应顺延提交投标文件的截止时间，澄清或者修改时间具体见供应商须知前附表。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澄清或者修改内容为招标文件的组成部分，对所有领取了招标文件的潜在供应商均具有约束力。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偏离</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本条所称偏离为投标文件对招标文件的偏离，即不满足或不响应招标文件的要求。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除法律、法规和规章规定外，招标文件中用“拒绝”“不接受”“无效”“不得”“必须”“应当”等文字规定或标注“★”符号的条款为实质性要求条款</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即重要条款</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，对其中任何一条的偏离，在评标时将其视为无效投标。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三、投标文件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　一般要求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供应商应仔细阅读招标文件的所有内容，按招标文件的要求编制投标文件，并保证所提供的全部资料的真实性，以使其投标文件对招标文件做出实质性的响应。</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供应商提交的投标文件及供应商与采购人或采购代理机构、评标委员会就有关投标的所有来往函电必须使用中文。供应商可以提交其他语言的资料，但应附有中文注释，有差异时以中文为准。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除技术要求另有规定外，本文件所要求使用的计量单位均采用国家法定的度、量、衡标准单位计量。未列明时亦默认为我国法定计量单位。</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供应商应按招标文件中提供的投标文件格式填写。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投标文件应采用书面形式，招标文件中要求提供电子版的，必须按要求提供。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投标文件的组成</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投标文件包括但不限于下列内容</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　价格及商务部分：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投标函</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含法定代表人身份证明或授权委托书</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开标一览表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分项价格表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商务条款偏离表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投标保证金</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供应商符合供应商资格条件的证明文件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供应商认为需提供的其他资料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　技术部分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货物说明一览表及技术方案</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技术条款偏离表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供应商售后服务承诺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投标标的物符合招标文件规定的其他证明材料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其他资料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在投标过程中，供应商根据评标委员会书面形式要求提供的澄清文件是投标文件的有效组成部分。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供应商无论中标与否，其投标文件不予退还。</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14.投标报价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　供应商应按招标文件规定的供货及服务要求、责任范围和合同条件以人民币形式进行报价。投标报价应为完税价。供应商应在投标报价表中标明其提供的所有货物及其完成本项目相关工作范围内所有费用的总价，招标人不接受有任何选择性报价。供应商漏报的单价或单价中漏报、少报的费用，均视为此项费用已隐含在其他报价中，中标后不予调整。</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必须按开标一览表和分项价格表的内容和格式要求填写各项货物及服务的分项价格和总价。供应商在供应商须知前附表规定的投标文件截止之日前修改开标一览表中的报价的，应同时修改其分项价格表中的报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供应商对每种货物及服务只允许有一个报价，不接受可变动性报价、赠送及“零”报价，否则，在评标时将其视为无效投标。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项目有特殊要求的见供应商须知前附表。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投标保证金</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本项目是否交纳投标保证金见供应商须知前附表。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3　未中标的供应商的投标保证金，将在中标通知书发出后</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个工作日内退还，但因供应商自身原因导致无法及时退还的除外。</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4　中标的供应商的投标保证金，将在政府采购合同签订后</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个工作日内退还或者转为中标人的履约保证金。</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5　供应商有以下情形之一的，投标保证金可以不予退还：</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在供应商须知前附表规定的投标有效期内撤销投标文件。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中标后无正当理由不与采购人签订合同的。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投标有效期</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投标文件的签署和规定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供应商应根据供应商须知前附表规定提交投标文件。纸质文件的正本和副本应装订成册。正本和副本的封面应注明“正本”或“副本”的字样，当正本和副本、电子版不一致时，以正本为准。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应用不褪色的材料打印或书写，并按招标文件要求在签字盖章处盖单位章和由法定代表人或其授权代表签字或盖章。投标文件中的任何行间插字、涂改和增删，应加盖单位章或由供应商的法定代表人或其授权的代理人签字或盖章确认。否则，在评标时将其视为无效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投标文件的密封和标记</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投标文件按正本和副本分别包装，注明“正本”或“副本”，加贴封条，并在封套的封口处加盖供应商单位公章或由法定代表人或其授权的代理人签字或盖章。</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投标文件封套或外包装上应载明的内容见供应商须知前附表。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投标文件如果未按上述规定密封和标记，采购人或采购代理机构应当拒绝接收。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投标文件的递交</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投标文件应在本章供应商须知前附表规定的投标截止时间之前密封送到供应商须知前附表指定的地点。采购人或者采购代理机构收到投标文件后，应当如实记载投标文件的送达时间和密封情况，签收保存，并向供应商出具签收回执。任何单位和个人不得在开标前开启投标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逾期送达或者未按照招标文件要求密封的投标文件，采购人、采购代理机构应当拒收。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投标文件的修改和撤回</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在供应商须知前附表规定的投标截止时间前，供应商可以书面形式修改、补充或撤回已递交的投标文件，但应以书面形式通知采购人或采购代理机构。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修改、补充的内容为投标文件的组成部分。修改、补充的投标文件应按本章第</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8、19项规定编制、签署、密封、标记和递交，并标明“修改、补充”字样。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供应商按本章</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款撤回投标文件的，采购人或采购代理机构自收到供应商书面撤回通知之日起</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个工作日内，退还已收取的投标保证金，但因供应商自身原因导致无法及时退还的除外。</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供应商在投标有效期内不得修改、撤销其投标文件。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四、开标和评标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开标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采购人或采购代理机构在供应商须知前附表规定的开标时间和开标地点组织公开开标，邀请供应商参加。评标委员会成员不得参加开标活动。供应商不足</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家的，不得开标。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开标时，公布在投标截止时间前递交投标文件的供应商名称；由供应商或其推选的代表检查投标文件的密封情况；经确认无误后，由采购人或采购代理机构当众拆封投标文件，宣读供应商名称、投标价格和供应商须知前附表规定的投标文件的其他主要内容，并记录在案。供应商若有报价和优惠未被唱出，应在开标时及时声明或提请注意，否则采购代理机构和采购人对此不承担任何责任。</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未宣读的投标价格等实质性内容，评标时不予承认。</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供应商代表及有关人员在开标记录上签字确认。</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资格审查</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公开招标采购项目开标结束后，采购人或者采购代理机构应当依法对供应商的资格进行审查。合格供应商不足</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家的，不得评标。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有下列情形之一的，应在资格审查时按照无效投标处理：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1、不满足《中华人民共和国政府采购法》第二十二条规定；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（一）具有独立承担民事责任的能力；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（二）具有良好的商业信誉和健全的财务会计制度；</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（三）具有履行合同所必需的设备和专业技术能力；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（四）有依法缴纳税收和社会保障资金的良好记录；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（五）参加政府采购活动前三年内，在经营活动中没有重大违法记录；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（六）法律、行政法规规定的其他条件；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2、供应商须具备独立法人资格，且具有经营范围内有效的企业法人营业执照；</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3、供应商存在失信记录的。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4、供应商不具有良好的商业信誉的：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良好的商业信誉是指，经查询“信用中国”网站（WWW.creditchina.gov.cn）有近三年政府采购合同履约过程中及其他经营活动履约过程中因围标串标、偷税漏税、提供假冒伪劣商品等行为被有关行政部门处罚（处理）记录的。 </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5、供应商未按照招标文件规定提交投标保证金的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评标委员会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评标由采购人或采购代理机构依法组建的评标委员会负责。评标委员会由政府采购评审专家和采购人代表组成。</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评标方法和标准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本项目评标方法和标准见招标文件第三章。</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评标程序</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投标文件的符合性审查。</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评标委员会应当对符合资格的供应商的投标文件进行符合性审查，以确定其是否满足招标文件的实质性要求。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　有下列情形之一的，应在符合性审查时按照无效投标处理：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（1）投标文件未按照招标文件规定要求密封、签署、盖章的；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（2）技术参数、技术性能不满足招标文件要求的；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（3）投标有效期不足的；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（4）交货时间</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质保期</w:t>
      </w:r>
      <w:r>
        <w:rPr>
          <w:rFonts w:hint="eastAsia" w:cs="Times New Roman" w:asciiTheme="minorEastAsia" w:hAnsiTheme="minorEastAsia" w:eastAsiaTheme="minorEastAsia"/>
          <w:color w:val="000000" w:themeColor="text1"/>
          <w:sz w:val="24"/>
          <w:szCs w:val="24"/>
          <w14:textFill>
            <w14:solidFill>
              <w14:schemeClr w14:val="tx1"/>
            </w14:solidFill>
          </w14:textFill>
        </w:rPr>
        <w:t>不满足招标文件规定的；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（5）供应商递交两份或两份以上内容不同的投标书，未声明哪一份有效的；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（6）售后服务承诺未提供的；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（7）投标报价超过招标文件中规定的预算金额或者最高限价的、各分项投标价格超过分项限定单价的；；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（8）投标文件不符合招标文件实质性要求的；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（9）不符合法律、法规和招标文件规定的其他无效情形的。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核价原则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投标文件报价出现前后不一致的，除招标文件另有规定外，按照下列规定修正：</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投标文件中开标一览表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报价表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内容与投标文件中相应内容不一致的，以开标一览表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报价表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为准；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大写金额和小写金额不一致的，以大写金额为准；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单价金额小数点或者百分比有明显错位的，以开标一览表的总价为准，并修改单价；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总价金额与按单价汇总金额不一致的，以单价金额计算结果为准。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★同时出现两种以上不一致的，按照前款规定的顺序修正。修正后的报价按照上述规定经供应商确认后产生约束力，供应商不确认的，其投标无效。</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投标文件澄清</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.3.1</w:t>
      </w:r>
      <w:r>
        <w:rPr>
          <w:rFonts w:hint="eastAsia" w:cs="Times New Roman" w:asciiTheme="minorEastAsia" w:hAnsiTheme="minorEastAsia" w:eastAsiaTheme="minorEastAsia"/>
          <w:color w:val="000000" w:themeColor="text1"/>
          <w:sz w:val="24"/>
          <w:szCs w:val="24"/>
          <w14:textFill>
            <w14:solidFill>
              <w14:schemeClr w14:val="tx1"/>
            </w14:solidFill>
          </w14:textFill>
        </w:rPr>
        <w:t>　对于投标文件中含义不明确、同类问题表述不一致或者有明显文字和计算错误的内容，评标委员会应当以书面形式要求供应商作出必要的澄清、说明或者补正。</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.3.2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供应商的澄清、说明或者补正应当采用书面形式，并加盖公章，或者由法定代表人或其授权的代表签字。供应商的澄清、说明或者补正不得超出投标文件的范围或者改变投标文件的实质性内容。</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.3.3</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评标委员会不接受供应商主动提出的澄清、说明。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.3.4</w:t>
      </w:r>
      <w:r>
        <w:rPr>
          <w:rFonts w:hint="eastAsia" w:cs="Times New Roman" w:asciiTheme="minorEastAsia" w:hAnsiTheme="minorEastAsia" w:eastAsiaTheme="minorEastAsia"/>
          <w:color w:val="000000" w:themeColor="text1"/>
          <w:sz w:val="24"/>
          <w:szCs w:val="24"/>
          <w14:textFill>
            <w14:solidFill>
              <w14:schemeClr w14:val="tx1"/>
            </w14:solidFill>
          </w14:textFill>
        </w:rPr>
        <w:t>　有效的书面澄清材料，是投标文件的补充材料，成为投标文件的组成部分。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同品牌多家供应商处理原则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比较与评价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.5.1</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评标委员会应当按照招标文件中规定的评标方法和标准，对符合性审查合格的投标文件进行商务和技术评估，综合比较与评价。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.5.2</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　推荐中标候选人名单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确定中标供应商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采购代理机构应当在评标结束之日起</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个工作日内将评标报告送采购人。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采购人应当在收到评标报告之日起</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个工作日内，在评标报告确定的中标候选人名单中按顺序确定中标人。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采购人自行组织招标的，应当在评标结束后</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个工作日内确定中标人。中标候选人并列的，由采购人或者采购人委托评标委员会按照供应商须知前附表规定的方式确定中标人。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废标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有下列情形之一时，招标采购单位应予废标，并将废标理由通知所有供应商：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符合专业条件的供应商或者对招标文件作实质性响应的供应商不足三家的；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出现影响采购公正的违法、违规行为的；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供应商的报价均超过了采购预算，采购人不能支付的；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因重大变故，采购任务取消的。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保密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评标委员会成员以及与评标工作有关的人员不得泄露评标情况以及评标过程中获悉的国家秘密、商业秘密。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禁止行为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29</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不得与采购人、采购代理机构恶意串通；不得向采购人、采购代理机构或者评标委员会成员行贿或者提供其他不正当利益；不得提供虚假材料谋取中标；不得以任何方式干扰、影响采购工作。供应商违反政府采购法律法规相关规定的，依法追究法律责任。</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29</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供应商应当遵循公平竞争的原则，不得恶意串通，不得妨碍其他供应商的竞争行为，不得损害采购人或者其他供应商的合法权益。</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有下列情形之一的，视为供应商串通投标，其投标无效：</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不同供应商的投标文件由同一单位或者个人编制；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不同供应商委托同一单位或者个人办理投标事宜；</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不同供应商的投标文件载明的项目管理成员或者联系人员为同一人；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不同供应商的投标文件异常一致或者投标报价呈规律性差异；</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不同供应商的投标文件相互混装；</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不同供应商的投标保证金从同一单位或者个人的账户转出。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五、中标信息公告与签订合同</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中标信息公告</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中标人确定之日起</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个工作日内，采购人或者采购代理机构应将中标结果在供应商须知前附表中规定的公告媒体上公布。</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招标文件随中标结果同时公告。但中标结果公告前招标文件已公告的，不再重复公告。</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中标通知</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采购人或者采购代理机构应当自发布中标公告的同时，发出中标通知书，中标通知书对采购人和中标人具有同等法律效力。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中标通知书发出后，中标人无正当理由不得放弃中标。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履约保证金</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本项目是否缴纳履约保证金见供应商须知前附表。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中标人没有按照供应商须知前附表的规定提交履约保证金的，视为放弃中标，其投标保证金不予退还。</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签订合同</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招标文件和中标供应商的投标文件均为签订政府采购合同的依据。</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中标供应商应当在中标通知书发出之日起</w:t>
      </w:r>
      <w:r>
        <w:rPr>
          <w:rFonts w:cs="Times New Roman" w:asciiTheme="minorEastAsia" w:hAnsiTheme="minorEastAsia" w:eastAsiaTheme="minorEastAsia"/>
          <w:color w:val="000000" w:themeColor="text1"/>
          <w:sz w:val="24"/>
          <w:szCs w:val="24"/>
          <w14:textFill>
            <w14:solidFill>
              <w14:schemeClr w14:val="tx1"/>
            </w14:solidFill>
          </w14:textFill>
        </w:rPr>
        <w:t>30</w:t>
      </w:r>
      <w:r>
        <w:rPr>
          <w:rFonts w:hint="eastAsia" w:cs="Times New Roman" w:asciiTheme="minorEastAsia" w:hAnsiTheme="minorEastAsia" w:eastAsiaTheme="minorEastAsia"/>
          <w:color w:val="000000" w:themeColor="text1"/>
          <w:sz w:val="24"/>
          <w:szCs w:val="24"/>
          <w14:textFill>
            <w14:solidFill>
              <w14:schemeClr w14:val="tx1"/>
            </w14:solidFill>
          </w14:textFill>
        </w:rPr>
        <w:t>日内，与采购人签订政府采购合同。</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自政府采购合同签订之日起</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个工作日内，本项目政府采购合同在供应商须知前附表规定的媒体上公告，但政府采购合同中涉及国家秘密、商业秘密的内容除外。</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六、其他规定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招标代理服务费。</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中标人是否交纳投招标代理服务费及相关要求见供应商须知前附表。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询问、质疑、投诉</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供应商对政府采购活动事项有疑问的，可以向采购人或采购代理机构提出询问</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供应商认为招标文件、招标过程和中标结果使自己的权益受到损害的，可以在知道或者应知其权益受到损害之日起</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个工作日内，以书面形式向采购人或采购代理机构提出质疑。</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供应商提出质疑的，应提供质疑书原件。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供应商对采购人或采购代理机构的答复不满意，或采购人或采购代理机构未在规定的期限作出答复的，可在答复期满后</w:t>
      </w:r>
      <w:r>
        <w:rPr>
          <w:rFonts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个工作日内，按政府采购法律法规规定及程序，向财政部提出投诉。</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发生下列情况之一，供应商将被列入不良记录名单，在</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年内禁止参加政府采购活动，并予以公告：</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开标后在投标有效期内，供应商撤回其投标；</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中标后无正当理由不与采购人签订政府采购合同；</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中标后未按照招标文件和中标供应商的投标文件订立政府采购合同，或者与采购人另行订立背离合同实质性内容的协议的；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将中标项目转让给他人，或者在投标文件中未说明，且未经采购招标机构同意，将中标项目分包给他人；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拒绝履行合同义务的；</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《政府采购法》第七十七条和《政府采购法实施条例》第七十二条规定的其他情形；</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其他违反法律法规相关规定的情形。</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其他规定。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投标文件的其他规定见供应商须知前附表。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未尽事宜</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其他未尽事宜按政府采购法律法规的规定执行。</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文件解释权</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39</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本招标文件的解释权归采购人</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或采购代理机构</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所有。</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p>
    <w:p>
      <w:pPr>
        <w:widowControl/>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pStyle w:val="5"/>
        <w:numPr>
          <w:ilvl w:val="0"/>
          <w:numId w:val="1"/>
        </w:numPr>
      </w:pPr>
      <w:bookmarkStart w:id="20" w:name="_Toc83402735"/>
      <w:bookmarkStart w:id="21" w:name="_Toc83402720"/>
      <w:bookmarkStart w:id="22" w:name="_Toc83402768"/>
      <w:bookmarkStart w:id="23" w:name="_Toc83402835"/>
      <w:r>
        <w:rPr>
          <w:rFonts w:hint="eastAsia"/>
        </w:rPr>
        <w:t>评标办法及标准</w:t>
      </w:r>
      <w:bookmarkEnd w:id="20"/>
      <w:bookmarkEnd w:id="21"/>
      <w:bookmarkEnd w:id="22"/>
      <w:bookmarkEnd w:id="23"/>
    </w:p>
    <w:p>
      <w:pPr>
        <w:pStyle w:val="17"/>
        <w:spacing w:line="360" w:lineRule="auto"/>
        <w:ind w:left="-420" w:leftChars="-200" w:right="-420" w:rightChars="-200"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评审方法</w:t>
      </w:r>
    </w:p>
    <w:p>
      <w:pPr>
        <w:pStyle w:val="17"/>
        <w:spacing w:line="360" w:lineRule="auto"/>
        <w:ind w:left="-420" w:leftChars="-200" w:right="-420" w:rightChars="-200"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　评审方法：综合评分法，是指投标文件满足招标文件全部实质性要求，且按评审因素的量化指标评审得分最高的供应商为中标候选人的评审方法。</w:t>
      </w:r>
    </w:p>
    <w:p>
      <w:pPr>
        <w:ind w:left="-420" w:leftChars="-200" w:right="-420" w:rightChars="-20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2.资格审查</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序号</w:t>
            </w:r>
          </w:p>
        </w:tc>
        <w:tc>
          <w:tcPr>
            <w:tcW w:w="7853" w:type="dxa"/>
            <w:gridSpan w:val="2"/>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评审项目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1</w:t>
            </w:r>
          </w:p>
        </w:tc>
        <w:tc>
          <w:tcPr>
            <w:tcW w:w="1560" w:type="dxa"/>
            <w:vMerge w:val="restart"/>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不满足《中华人民共和国政府采购法》第二十二条规定</w:t>
            </w:r>
          </w:p>
        </w:tc>
        <w:tc>
          <w:tcPr>
            <w:tcW w:w="6293" w:type="dxa"/>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1560"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6293" w:type="dxa"/>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（二）具有良好的商业信誉和健全的财务会计制度；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1560"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6293" w:type="dxa"/>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1560"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6293" w:type="dxa"/>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（四）有依法缴纳税收和社会保障资金的良好记录；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1560"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6293" w:type="dxa"/>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1560" w:type="dxa"/>
            <w:vMerge w:val="continue"/>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p>
        </w:tc>
        <w:tc>
          <w:tcPr>
            <w:tcW w:w="6293" w:type="dxa"/>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（六）法律、行政法规规定的其他条件；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2</w:t>
            </w:r>
          </w:p>
        </w:tc>
        <w:tc>
          <w:tcPr>
            <w:tcW w:w="7853" w:type="dxa"/>
            <w:gridSpan w:val="2"/>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供应商须是否具备独立法人资格，且是否具有经营范围内有效的企业法人营业执照；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3</w:t>
            </w:r>
          </w:p>
        </w:tc>
        <w:tc>
          <w:tcPr>
            <w:tcW w:w="7853" w:type="dxa"/>
            <w:gridSpan w:val="2"/>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供应商存在失信记录的。</w:t>
            </w:r>
          </w:p>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4</w:t>
            </w:r>
          </w:p>
        </w:tc>
        <w:tc>
          <w:tcPr>
            <w:tcW w:w="7853" w:type="dxa"/>
            <w:gridSpan w:val="2"/>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供应商不具有良好的商业信誉的：</w:t>
            </w:r>
          </w:p>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 xml:space="preserve">良好的商业信誉是指，经查询“信用中国”网站（WWW.creditchina.gov.cn）有近三年政府采购合同履约过程中及其他经营活动履约过程中因围标串标、偷税漏税、提供假冒伪劣商品等行为被有关行政部门处罚（处理）记录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ind w:firstLine="0" w:firstLineChars="0"/>
              <w:jc w:val="center"/>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5</w:t>
            </w:r>
          </w:p>
        </w:tc>
        <w:tc>
          <w:tcPr>
            <w:tcW w:w="7853" w:type="dxa"/>
            <w:gridSpan w:val="2"/>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供应商未按照招标文件规定提交投标保证金的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3"/>
            <w:vAlign w:val="center"/>
          </w:tcPr>
          <w:p>
            <w:pPr>
              <w:pStyle w:val="2"/>
              <w:ind w:firstLine="0" w:firstLineChars="0"/>
              <w:jc w:val="left"/>
              <w:rPr>
                <w:rFonts w:asciiTheme="minorEastAsia" w:hAnsiTheme="minorEastAsia" w:eastAsiaTheme="minorEastAsia"/>
                <w:bCs w:val="0"/>
                <w:color w:val="000000" w:themeColor="text1"/>
                <w:spacing w:val="0"/>
                <w:sz w:val="22"/>
                <w14:textFill>
                  <w14:solidFill>
                    <w14:schemeClr w14:val="tx1"/>
                  </w14:solidFill>
                </w14:textFill>
              </w:rPr>
            </w:pPr>
            <w:r>
              <w:rPr>
                <w:rFonts w:hint="eastAsia" w:asciiTheme="minorEastAsia" w:hAnsiTheme="minorEastAsia" w:eastAsiaTheme="minorEastAsia"/>
                <w:bCs w:val="0"/>
                <w:color w:val="000000" w:themeColor="text1"/>
                <w:spacing w:val="0"/>
                <w:sz w:val="22"/>
                <w14:textFill>
                  <w14:solidFill>
                    <w14:schemeClr w14:val="tx1"/>
                  </w14:solidFill>
                </w14:textFill>
              </w:rPr>
              <w:t>备注：采购人或招标代理机构依据法律法规和招标文件中规定的内容，对供应商的资格进行审查。未通过资格审查的供应商不进入评标；通过资格审查的供应商少于三家的，不进行评标。再次重申：供应商请认真阅读和理解上述内容，避免投标文件中有违背上述审查标准之一的情况发生而造成废标。</w:t>
            </w:r>
          </w:p>
        </w:tc>
      </w:tr>
    </w:tbl>
    <w:p>
      <w:pPr>
        <w:widowControl/>
        <w:jc w:val="left"/>
        <w:rPr>
          <w:rFonts w:ascii="仿宋_GB2312" w:hAnsi="华文中宋" w:eastAsia="仿宋_GB2312"/>
          <w:bCs/>
          <w:color w:val="000000"/>
          <w:spacing w:val="-10"/>
          <w:sz w:val="24"/>
          <w:szCs w:val="24"/>
        </w:rPr>
      </w:pPr>
      <w:r>
        <w:br w:type="page"/>
      </w:r>
    </w:p>
    <w:p>
      <w:pPr>
        <w:spacing w:line="360" w:lineRule="auto"/>
        <w:ind w:left="-420" w:leftChars="-200" w:right="-420" w:rightChars="-20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3.投标文件的符合性审查</w:t>
      </w:r>
    </w:p>
    <w:tbl>
      <w:tblPr>
        <w:tblStyle w:val="29"/>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77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序号</w:t>
            </w:r>
          </w:p>
        </w:tc>
        <w:tc>
          <w:tcPr>
            <w:tcW w:w="77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评审项目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themeColor="text1"/>
                <w14:textFill>
                  <w14:solidFill>
                    <w14:schemeClr w14:val="tx1"/>
                  </w14:solidFill>
                </w14:textFill>
              </w:rPr>
            </w:pPr>
          </w:p>
        </w:tc>
        <w:tc>
          <w:tcPr>
            <w:tcW w:w="7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p>
        </w:tc>
        <w:tc>
          <w:tcPr>
            <w:tcW w:w="7705" w:type="dxa"/>
            <w:tcBorders>
              <w:top w:val="single" w:color="auto" w:sz="4" w:space="0"/>
              <w:left w:val="single" w:color="auto" w:sz="4" w:space="0"/>
              <w:bottom w:val="nil"/>
              <w:right w:val="single" w:color="auto" w:sz="4" w:space="0"/>
            </w:tcBorders>
            <w:vAlign w:val="center"/>
          </w:tcPr>
          <w:p>
            <w:pPr>
              <w:jc w:val="left"/>
              <w:rPr>
                <w:rFonts w:asciiTheme="minorEastAsia" w:hAnsiTheme="minorEastAsia" w:eastAsiaTheme="minorEastAsia"/>
                <w:color w:val="000000" w:themeColor="text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投标文件未按照招标文件规定要求密封、签署、盖章的；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7705" w:type="dxa"/>
            <w:tcBorders>
              <w:top w:val="single" w:color="auto" w:sz="4" w:space="0"/>
              <w:left w:val="single" w:color="auto" w:sz="4" w:space="0"/>
              <w:bottom w:val="nil"/>
              <w:right w:val="single" w:color="auto" w:sz="4" w:space="0"/>
            </w:tcBorders>
            <w:vAlign w:val="center"/>
          </w:tcPr>
          <w:p>
            <w:pPr>
              <w:jc w:val="left"/>
              <w:rPr>
                <w:rFonts w:asciiTheme="minorEastAsia" w:hAnsiTheme="minorEastAsia" w:eastAsiaTheme="minorEastAsia"/>
                <w:color w:val="000000" w:themeColor="text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技术参数、技术性能不满足招标文件要求的；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77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投标有效期不足的；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7705" w:type="dxa"/>
            <w:tcBorders>
              <w:top w:val="single" w:color="auto" w:sz="4" w:space="0"/>
              <w:left w:val="single" w:color="auto" w:sz="4" w:space="0"/>
              <w:bottom w:val="nil"/>
              <w:right w:val="single" w:color="auto" w:sz="4" w:space="0"/>
            </w:tcBorders>
            <w:vAlign w:val="center"/>
          </w:tcPr>
          <w:p>
            <w:pPr>
              <w:jc w:val="left"/>
              <w:rPr>
                <w:rFonts w:asciiTheme="minorEastAsia" w:hAnsiTheme="minorEastAsia" w:eastAsiaTheme="minorEastAsia"/>
                <w:color w:val="000000" w:themeColor="text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交货时间、质保期不满足招标文件规定的；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p>
        </w:tc>
        <w:tc>
          <w:tcPr>
            <w:tcW w:w="7705" w:type="dxa"/>
            <w:tcBorders>
              <w:top w:val="single" w:color="auto" w:sz="4" w:space="0"/>
              <w:left w:val="single" w:color="auto" w:sz="4" w:space="0"/>
              <w:bottom w:val="nil"/>
              <w:right w:val="single" w:color="auto" w:sz="4" w:space="0"/>
            </w:tcBorders>
            <w:vAlign w:val="center"/>
          </w:tcPr>
          <w:p>
            <w:pPr>
              <w:jc w:val="lef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供应商递交两份或两份以上内容不同的投标书，未声明哪一份有效的；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w:t>
            </w:r>
          </w:p>
        </w:tc>
        <w:tc>
          <w:tcPr>
            <w:tcW w:w="7705" w:type="dxa"/>
            <w:tcBorders>
              <w:top w:val="single" w:color="auto" w:sz="4" w:space="0"/>
              <w:left w:val="single" w:color="auto" w:sz="4" w:space="0"/>
              <w:bottom w:val="nil"/>
              <w:right w:val="single" w:color="auto" w:sz="4" w:space="0"/>
            </w:tcBorders>
            <w:vAlign w:val="center"/>
          </w:tcPr>
          <w:p>
            <w:pPr>
              <w:jc w:val="lef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售后服务承诺未提供的；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w:t>
            </w:r>
          </w:p>
        </w:tc>
        <w:tc>
          <w:tcPr>
            <w:tcW w:w="7705" w:type="dxa"/>
            <w:tcBorders>
              <w:top w:val="single" w:color="auto" w:sz="4" w:space="0"/>
              <w:left w:val="single" w:color="auto" w:sz="4" w:space="0"/>
              <w:bottom w:val="nil"/>
              <w:right w:val="single" w:color="auto" w:sz="4" w:space="0"/>
            </w:tcBorders>
            <w:vAlign w:val="center"/>
          </w:tcPr>
          <w:p>
            <w:pPr>
              <w:jc w:val="lef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投标报价超过招标文件中规定的预算金额或者最高限价的、各分项投标价格超过分项限定单价的；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w:t>
            </w:r>
          </w:p>
        </w:tc>
        <w:tc>
          <w:tcPr>
            <w:tcW w:w="7705" w:type="dxa"/>
            <w:tcBorders>
              <w:top w:val="single" w:color="auto" w:sz="4" w:space="0"/>
              <w:left w:val="single" w:color="auto" w:sz="4" w:space="0"/>
              <w:bottom w:val="nil"/>
              <w:right w:val="single" w:color="auto" w:sz="4" w:space="0"/>
            </w:tcBorders>
            <w:vAlign w:val="center"/>
          </w:tcPr>
          <w:p>
            <w:pPr>
              <w:jc w:val="lef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投标文件不符合招标文件实质性要求的；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817" w:type="dxa"/>
            <w:tcBorders>
              <w:top w:val="single" w:color="auto" w:sz="4" w:space="0"/>
              <w:left w:val="single" w:color="auto" w:sz="4" w:space="0"/>
              <w:bottom w:val="nil"/>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w:t>
            </w:r>
          </w:p>
        </w:tc>
        <w:tc>
          <w:tcPr>
            <w:tcW w:w="7705" w:type="dxa"/>
            <w:tcBorders>
              <w:top w:val="single" w:color="auto" w:sz="4" w:space="0"/>
              <w:left w:val="single" w:color="auto" w:sz="4" w:space="0"/>
              <w:bottom w:val="nil"/>
              <w:right w:val="single" w:color="auto" w:sz="4" w:space="0"/>
            </w:tcBorders>
            <w:vAlign w:val="center"/>
          </w:tcPr>
          <w:p>
            <w:pPr>
              <w:jc w:val="left"/>
              <w:rPr>
                <w:rFonts w:asciiTheme="minorEastAsia" w:hAnsiTheme="minorEastAsia" w:eastAsiaTheme="minorEastAsia"/>
                <w:color w:val="000000" w:themeColor="text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不符合法律、法规和招标文件规定的其他无效情形的。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312"/>
              </w:tabs>
              <w:jc w:val="center"/>
              <w:rPr>
                <w:rFonts w:cs="??Regular"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最终结论（通过</w:t>
            </w:r>
            <w:r>
              <w:rPr>
                <w:rFonts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不通过）</w:t>
            </w:r>
          </w:p>
        </w:tc>
      </w:tr>
    </w:tbl>
    <w:p>
      <w:pPr>
        <w:spacing w:line="440" w:lineRule="exact"/>
        <w:ind w:firstLine="480" w:firstLineChars="200"/>
        <w:rPr>
          <w:rFonts w:asciiTheme="minorEastAsia" w:hAnsiTheme="minorEastAsia" w:eastAsiaTheme="minorEastAsia"/>
          <w:color w:val="000000" w:themeColor="text1"/>
          <w:sz w:val="24"/>
          <w14:textFill>
            <w14:solidFill>
              <w14:schemeClr w14:val="tx1"/>
            </w14:solidFill>
          </w14:textFill>
        </w:rPr>
      </w:pPr>
    </w:p>
    <w:p>
      <w:pPr>
        <w:pStyle w:val="17"/>
        <w:spacing w:line="300" w:lineRule="exact"/>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3.评分标准</w:t>
      </w:r>
    </w:p>
    <w:p>
      <w:pPr>
        <w:pStyle w:val="17"/>
        <w:rPr>
          <w:rFonts w:cs="Times New Roman" w:asciiTheme="minorEastAsia" w:hAnsiTheme="minorEastAsia" w:eastAsiaTheme="minorEastAsia"/>
          <w:color w:val="000000" w:themeColor="text1"/>
          <w14:textFill>
            <w14:solidFill>
              <w14:schemeClr w14:val="tx1"/>
            </w14:solidFill>
          </w14:textFill>
        </w:rPr>
      </w:pP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8897" w:type="dxa"/>
            <w:gridSpan w:val="3"/>
            <w:vAlign w:val="center"/>
          </w:tcPr>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A：投标价格评分30分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84"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项目</w:t>
            </w:r>
          </w:p>
        </w:tc>
        <w:tc>
          <w:tcPr>
            <w:tcW w:w="6095"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评标内容</w:t>
            </w:r>
          </w:p>
        </w:tc>
        <w:tc>
          <w:tcPr>
            <w:tcW w:w="1418"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384"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价格</w:t>
            </w:r>
          </w:p>
        </w:tc>
        <w:tc>
          <w:tcPr>
            <w:tcW w:w="6095" w:type="dxa"/>
            <w:vAlign w:val="center"/>
          </w:tcPr>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投标报价得分=（评标基准价／修正后投标报价）×30%×100</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备注：</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1.投标价格评分采用低价优先法计算；</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2.评标基准价：满足招标文件要求且经修正，依据政府采购政策进行价格扣除后的最低报价为评标基准价；</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3.修正后投标报价：评标委员会以开标一览表中投标报价为基础，对其进行修正，依据政府采购政策进行价格扣除后，作为投标报价计算的依据。</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30分</w:t>
            </w:r>
          </w:p>
        </w:tc>
      </w:tr>
    </w:tbl>
    <w:p>
      <w:pPr>
        <w:pStyle w:val="2"/>
        <w:ind w:firstLine="0" w:firstLineChars="0"/>
      </w:pPr>
    </w:p>
    <w:p>
      <w:pPr>
        <w:pStyle w:val="2"/>
        <w:ind w:firstLine="440"/>
      </w:pPr>
      <w:r>
        <w:br w:type="page"/>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97" w:type="dxa"/>
            <w:gridSpan w:val="3"/>
            <w:vAlign w:val="center"/>
          </w:tcPr>
          <w:p>
            <w:pPr>
              <w:pStyle w:val="50"/>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B：技术部分评分60分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84"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项目</w:t>
            </w:r>
          </w:p>
        </w:tc>
        <w:tc>
          <w:tcPr>
            <w:tcW w:w="6095"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评标内容</w:t>
            </w:r>
          </w:p>
        </w:tc>
        <w:tc>
          <w:tcPr>
            <w:tcW w:w="1418"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4" w:type="dxa"/>
            <w:vAlign w:val="center"/>
          </w:tcPr>
          <w:p>
            <w:pPr>
              <w:pStyle w:val="5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产品性能</w:t>
            </w:r>
          </w:p>
          <w:p>
            <w:pPr>
              <w:pStyle w:val="5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参数</w:t>
            </w:r>
          </w:p>
        </w:tc>
        <w:tc>
          <w:tcPr>
            <w:tcW w:w="6095" w:type="dxa"/>
            <w:vAlign w:val="center"/>
          </w:tcPr>
          <w:p>
            <w:pPr>
              <w:pStyle w:val="5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根据所投产品的质量、性能、特点等描述，以满足招标文件的技术要求情况进行打分。完全满足招标技术要求并有主要技术参数高于招标技术要求的，得 10-15 分；完全满足招标技术要求的，得 5-10 分，有部分技术参数偏离招标文件的，根据偏离情况得 0-5 分。</w:t>
            </w:r>
          </w:p>
        </w:tc>
        <w:tc>
          <w:tcPr>
            <w:tcW w:w="1418" w:type="dxa"/>
            <w:vAlign w:val="center"/>
          </w:tcPr>
          <w:p>
            <w:pPr>
              <w:pStyle w:val="50"/>
              <w:jc w:val="center"/>
              <w:rPr>
                <w:rFonts w:cs="仿宋" w:asciiTheme="minorEastAsia" w:hAnsiTheme="minorEastAsia" w:eastAsiaTheme="minorEastAsia"/>
                <w:bCs/>
                <w:color w:val="000000" w:themeColor="text1"/>
                <w:sz w:val="21"/>
                <w:szCs w:val="21"/>
                <w14:textFill>
                  <w14:solidFill>
                    <w14:schemeClr w14:val="tx1"/>
                  </w14:solidFill>
                </w14:textFill>
              </w:rPr>
            </w:pPr>
            <w:r>
              <w:rPr>
                <w:rFonts w:hint="eastAsia" w:cs="仿宋" w:asciiTheme="minorEastAsia" w:hAnsiTheme="minorEastAsia" w:eastAsiaTheme="minorEastAsia"/>
                <w:bCs/>
                <w:color w:val="000000" w:themeColor="text1"/>
                <w:sz w:val="21"/>
                <w:szCs w:val="21"/>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4" w:type="dxa"/>
            <w:vAlign w:val="center"/>
          </w:tcPr>
          <w:p>
            <w:pPr>
              <w:pStyle w:val="5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技术实施方</w:t>
            </w:r>
          </w:p>
          <w:p>
            <w:pPr>
              <w:pStyle w:val="5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案</w:t>
            </w:r>
          </w:p>
        </w:tc>
        <w:tc>
          <w:tcPr>
            <w:tcW w:w="6095" w:type="dxa"/>
            <w:vAlign w:val="center"/>
          </w:tcPr>
          <w:p>
            <w:pPr>
              <w:pStyle w:val="5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响应并满足招标文件的各项业务功能需求，用户基础情况清楚，提供的完整解决方案有科学的依据和方法，具有持续的扩展能力，优秀计 7-10 分，良好计 4-6 分，一般计2-3 分，差计 1 分</w:t>
            </w:r>
          </w:p>
        </w:tc>
        <w:tc>
          <w:tcPr>
            <w:tcW w:w="1418" w:type="dxa"/>
            <w:vAlign w:val="center"/>
          </w:tcPr>
          <w:p>
            <w:pPr>
              <w:pStyle w:val="50"/>
              <w:jc w:val="center"/>
              <w:rPr>
                <w:rFonts w:cs="仿宋" w:asciiTheme="minorEastAsia" w:hAnsiTheme="minorEastAsia" w:eastAsiaTheme="minorEastAsia"/>
                <w:bCs/>
                <w:color w:val="000000" w:themeColor="text1"/>
                <w:sz w:val="21"/>
                <w:szCs w:val="21"/>
                <w14:textFill>
                  <w14:solidFill>
                    <w14:schemeClr w14:val="tx1"/>
                  </w14:solidFill>
                </w14:textFill>
              </w:rPr>
            </w:pPr>
            <w:r>
              <w:rPr>
                <w:rFonts w:hint="eastAsia" w:cs="仿宋" w:asciiTheme="minorEastAsia" w:hAnsiTheme="minorEastAsia" w:eastAsiaTheme="minorEastAsia"/>
                <w:bCs/>
                <w:color w:val="000000" w:themeColor="text1"/>
                <w:sz w:val="2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84"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供货及安装方案</w:t>
            </w:r>
          </w:p>
        </w:tc>
        <w:tc>
          <w:tcPr>
            <w:tcW w:w="6095" w:type="dxa"/>
            <w:vAlign w:val="center"/>
          </w:tcPr>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货物的供货、安装、调试计划（包括主要设备的供货、运输、安装、调试、辅材的安装），货物进场计划，货物配送进度计划，质量保证措施清晰完整，能够保证供应货物质量的计10-7分；</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货物的供货、安装、调试计划（包括主要设备的供货、运输、安装、调试、辅材的安装），货物进场计划，货物配送进度计划，质量保证措施一般，计6-4分；</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货物的供货、安装、调试计划（包括主要设备的供货、运输、安装、调试、辅材的安装），货物进场计划，货物配送进度计划，质量保证措施有缺漏项，欠合理的，计3-1分。</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未提供不得分。</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384"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售后服务保障</w:t>
            </w:r>
          </w:p>
        </w:tc>
        <w:tc>
          <w:tcPr>
            <w:tcW w:w="6095" w:type="dxa"/>
            <w:vAlign w:val="center"/>
          </w:tcPr>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售后服务说明，保修、售后服务方案,</w:t>
            </w:r>
            <w:r>
              <w:rPr>
                <w:rFonts w:hint="eastAsia" w:asciiTheme="minorEastAsia" w:hAnsiTheme="minorEastAsia" w:eastAsiaTheme="minorEastAsia"/>
                <w:color w:val="000000" w:themeColor="text1"/>
                <w:sz w:val="21"/>
                <w:szCs w:val="21"/>
                <w14:textFill>
                  <w14:solidFill>
                    <w14:schemeClr w14:val="tx1"/>
                  </w14:solidFill>
                </w14:textFill>
              </w:rPr>
              <w:t xml:space="preserve"> 在本项目所在地有无常设机构，备品备件库（提供证明材料），驻场维修、培训人员安排计划，</w:t>
            </w:r>
            <w:r>
              <w:rPr>
                <w:rFonts w:hint="eastAsia" w:cs="仿宋" w:asciiTheme="minorEastAsia" w:hAnsiTheme="minorEastAsia" w:eastAsiaTheme="minorEastAsia"/>
                <w:color w:val="000000" w:themeColor="text1"/>
                <w:sz w:val="21"/>
                <w:szCs w:val="21"/>
                <w14:textFill>
                  <w14:solidFill>
                    <w14:schemeClr w14:val="tx1"/>
                  </w14:solidFill>
                </w14:textFill>
              </w:rPr>
              <w:t>维修服务响应时间、修复时间、应急处理等售后计划措施完整、内容齐全得10-6分。</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售后服务说明，保修、售后服务方案,</w:t>
            </w:r>
            <w:r>
              <w:rPr>
                <w:rFonts w:hint="eastAsia" w:asciiTheme="minorEastAsia" w:hAnsiTheme="minorEastAsia" w:eastAsiaTheme="minorEastAsia"/>
                <w:color w:val="000000" w:themeColor="text1"/>
                <w:sz w:val="21"/>
                <w:szCs w:val="21"/>
                <w14:textFill>
                  <w14:solidFill>
                    <w14:schemeClr w14:val="tx1"/>
                  </w14:solidFill>
                </w14:textFill>
              </w:rPr>
              <w:t xml:space="preserve"> 在本项目所在地有无常设机构，备品备件库（提供证明材料），驻场维修、培训人员安排计划，</w:t>
            </w:r>
            <w:r>
              <w:rPr>
                <w:rFonts w:hint="eastAsia" w:cs="仿宋" w:asciiTheme="minorEastAsia" w:hAnsiTheme="minorEastAsia" w:eastAsiaTheme="minorEastAsia"/>
                <w:color w:val="000000" w:themeColor="text1"/>
                <w:sz w:val="21"/>
                <w:szCs w:val="21"/>
                <w14:textFill>
                  <w14:solidFill>
                    <w14:schemeClr w14:val="tx1"/>
                  </w14:solidFill>
                </w14:textFill>
              </w:rPr>
              <w:t>维修服务响应时间、修复时间、应急处理等售后计划、方案措施一般、内容不够完整得5-3分</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售后服务说明，保修、售后服务方案,</w:t>
            </w:r>
            <w:r>
              <w:rPr>
                <w:rFonts w:hint="eastAsia" w:asciiTheme="minorEastAsia" w:hAnsiTheme="minorEastAsia" w:eastAsiaTheme="minorEastAsia"/>
                <w:color w:val="000000" w:themeColor="text1"/>
                <w:sz w:val="21"/>
                <w:szCs w:val="21"/>
                <w14:textFill>
                  <w14:solidFill>
                    <w14:schemeClr w14:val="tx1"/>
                  </w14:solidFill>
                </w14:textFill>
              </w:rPr>
              <w:t xml:space="preserve"> 在本项目所在地有无常设机构，备品备件库（提供证明材料），驻场维修、培训人员安排计划，</w:t>
            </w:r>
            <w:r>
              <w:rPr>
                <w:rFonts w:hint="eastAsia" w:cs="仿宋" w:asciiTheme="minorEastAsia" w:hAnsiTheme="minorEastAsia" w:eastAsiaTheme="minorEastAsia"/>
                <w:color w:val="000000" w:themeColor="text1"/>
                <w:sz w:val="21"/>
                <w:szCs w:val="21"/>
                <w14:textFill>
                  <w14:solidFill>
                    <w14:schemeClr w14:val="tx1"/>
                  </w14:solidFill>
                </w14:textFill>
              </w:rPr>
              <w:t>维修服务响应时间、修复时间、应急处理等售后计划、方案措施较差，不能满足本次采购需求的得2-0分</w:t>
            </w:r>
          </w:p>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未提供的不得分。</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384" w:type="dxa"/>
            <w:vMerge w:val="restart"/>
            <w:vAlign w:val="center"/>
          </w:tcPr>
          <w:p>
            <w:pPr>
              <w:pStyle w:val="51"/>
              <w:adjustRightInd w:val="0"/>
              <w:snapToGrid w:val="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质保期服务能力</w:t>
            </w:r>
          </w:p>
        </w:tc>
        <w:tc>
          <w:tcPr>
            <w:tcW w:w="6095" w:type="dxa"/>
            <w:vAlign w:val="center"/>
          </w:tcPr>
          <w:p>
            <w:pPr>
              <w:pStyle w:val="51"/>
              <w:adjustRightInd w:val="0"/>
              <w:snapToGrid w:val="0"/>
              <w:jc w:val="both"/>
              <w:rPr>
                <w:rFonts w:cs="仿宋"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根据供应商的质保期服务能力和质保期方案、维护保养期服务（包括费用）承诺评审，好6－4分，较好4－2分，一般2-1分，差1-0分</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84" w:type="dxa"/>
            <w:vMerge w:val="continue"/>
            <w:vAlign w:val="center"/>
          </w:tcPr>
          <w:p>
            <w:pPr>
              <w:pStyle w:val="51"/>
              <w:adjustRightInd w:val="0"/>
              <w:snapToGrid w:val="0"/>
              <w:jc w:val="center"/>
              <w:rPr>
                <w:rFonts w:asciiTheme="minorEastAsia" w:hAnsiTheme="minorEastAsia" w:eastAsiaTheme="minorEastAsia"/>
                <w:color w:val="000000" w:themeColor="text1"/>
                <w:sz w:val="21"/>
                <w:szCs w:val="21"/>
                <w:lang w:eastAsia="zh-CN"/>
                <w14:textFill>
                  <w14:solidFill>
                    <w14:schemeClr w14:val="tx1"/>
                  </w14:solidFill>
                </w14:textFill>
              </w:rPr>
            </w:pPr>
          </w:p>
        </w:tc>
        <w:tc>
          <w:tcPr>
            <w:tcW w:w="6095" w:type="dxa"/>
            <w:vAlign w:val="center"/>
          </w:tcPr>
          <w:p>
            <w:pPr>
              <w:pStyle w:val="51"/>
              <w:adjustRightInd w:val="0"/>
              <w:snapToGrid w:val="0"/>
              <w:jc w:val="both"/>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质保期3年，每增加一年，加两分，本项最高的6分。</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84" w:type="dxa"/>
            <w:vAlign w:val="center"/>
          </w:tcPr>
          <w:p>
            <w:pPr>
              <w:pStyle w:val="5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企业的承诺、优惠性条件、合理化建议</w:t>
            </w:r>
          </w:p>
        </w:tc>
        <w:tc>
          <w:tcPr>
            <w:tcW w:w="6095" w:type="dxa"/>
            <w:vAlign w:val="center"/>
          </w:tcPr>
          <w:p>
            <w:pPr>
              <w:pStyle w:val="5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有非常满意的承诺和优惠条件，现场服务到位，对缩短工期、提高质量、节省投资方面的建议合理，得3分；</w:t>
            </w:r>
          </w:p>
          <w:p>
            <w:pPr>
              <w:pStyle w:val="5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有较好的承诺和优惠条件，现场服务较到位，对缩短工期、提高质量、节省投资方面的建议较合理，得2分；</w:t>
            </w:r>
          </w:p>
          <w:p>
            <w:pPr>
              <w:pStyle w:val="5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承诺较差、优惠条件一般，现场服务一般，对缩短工期、提高质量、节省投资方面无合理建议，得1分。</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3分</w:t>
            </w:r>
          </w:p>
        </w:tc>
      </w:tr>
    </w:tbl>
    <w:p>
      <w:pPr>
        <w:pStyle w:val="2"/>
        <w:ind w:firstLine="440"/>
      </w:pP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97" w:type="dxa"/>
            <w:gridSpan w:val="3"/>
            <w:vAlign w:val="center"/>
          </w:tcPr>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C：商务部分评分10分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84"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项目</w:t>
            </w:r>
          </w:p>
        </w:tc>
        <w:tc>
          <w:tcPr>
            <w:tcW w:w="6095"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评标内容</w:t>
            </w:r>
          </w:p>
        </w:tc>
        <w:tc>
          <w:tcPr>
            <w:tcW w:w="1418" w:type="dxa"/>
            <w:vAlign w:val="center"/>
          </w:tcPr>
          <w:p>
            <w:pPr>
              <w:pStyle w:val="50"/>
              <w:jc w:val="center"/>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384" w:type="dxa"/>
            <w:vAlign w:val="center"/>
          </w:tcPr>
          <w:p>
            <w:pPr>
              <w:pStyle w:val="51"/>
              <w:adjustRightInd w:val="0"/>
              <w:snapToGrid w:val="0"/>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近三年类似业绩</w:t>
            </w:r>
          </w:p>
        </w:tc>
        <w:tc>
          <w:tcPr>
            <w:tcW w:w="6095" w:type="dxa"/>
            <w:vAlign w:val="center"/>
          </w:tcPr>
          <w:p>
            <w:pPr>
              <w:pStyle w:val="51"/>
              <w:adjustRightInd w:val="0"/>
              <w:snapToGrid w:val="0"/>
              <w:jc w:val="both"/>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提供自2018年1月1日至今（以合同签订日期为准）已完成的类似业绩（需提供供货合同作为评判依据，未提供不得分），每提供一项得1分；最多得4分。</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384" w:type="dxa"/>
            <w:vAlign w:val="center"/>
          </w:tcPr>
          <w:p>
            <w:pPr>
              <w:pStyle w:val="51"/>
              <w:adjustRightInd w:val="0"/>
              <w:snapToGrid w:val="0"/>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现场演示</w:t>
            </w:r>
          </w:p>
        </w:tc>
        <w:tc>
          <w:tcPr>
            <w:tcW w:w="6095" w:type="dxa"/>
            <w:vAlign w:val="center"/>
          </w:tcPr>
          <w:p>
            <w:pPr>
              <w:pStyle w:val="51"/>
              <w:adjustRightInd w:val="0"/>
              <w:snapToGrid w:val="0"/>
              <w:jc w:val="both"/>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供应商提供PPT或其他形式的介绍，对本项目相关产品进行介绍及阐述，</w:t>
            </w:r>
            <w:r>
              <w:rPr>
                <w:rFonts w:hint="eastAsia" w:asciiTheme="minorEastAsia" w:hAnsiTheme="minorEastAsia" w:eastAsiaTheme="minorEastAsia"/>
                <w:b/>
                <w:bCs/>
                <w:color w:val="000000" w:themeColor="text1"/>
                <w:sz w:val="21"/>
                <w:szCs w:val="21"/>
                <w:lang w:val="en-US" w:eastAsia="zh-CN"/>
                <w14:textFill>
                  <w14:solidFill>
                    <w14:schemeClr w14:val="tx1"/>
                  </w14:solidFill>
                </w14:textFill>
              </w:rPr>
              <w:t>演示视频为软件实操界面，</w:t>
            </w:r>
            <w:r>
              <w:rPr>
                <w:rFonts w:hint="eastAsia" w:asciiTheme="minorEastAsia" w:hAnsiTheme="minorEastAsia" w:eastAsiaTheme="minorEastAsia"/>
                <w:color w:val="000000" w:themeColor="text1"/>
                <w:sz w:val="21"/>
                <w:szCs w:val="21"/>
                <w:lang w:eastAsia="zh-CN"/>
                <w14:textFill>
                  <w14:solidFill>
                    <w14:schemeClr w14:val="tx1"/>
                  </w14:solidFill>
                </w14:textFill>
              </w:rPr>
              <w:t>现场演示时间不超过5分钟；对所有供应商的现场演示横向比较，现场演示、介绍优得4分；良得3-2分；差得1-</w:t>
            </w:r>
            <w:r>
              <w:rPr>
                <w:rFonts w:asciiTheme="minorEastAsia" w:hAnsiTheme="minorEastAsia" w:eastAsiaTheme="minorEastAsia"/>
                <w:color w:val="000000" w:themeColor="text1"/>
                <w:sz w:val="21"/>
                <w:szCs w:val="21"/>
                <w:lang w:eastAsia="zh-CN"/>
                <w14:textFill>
                  <w14:solidFill>
                    <w14:schemeClr w14:val="tx1"/>
                  </w14:solidFill>
                </w14:textFill>
              </w:rPr>
              <w:t>0</w:t>
            </w:r>
            <w:r>
              <w:rPr>
                <w:rFonts w:hint="eastAsia" w:asciiTheme="minorEastAsia" w:hAnsiTheme="minorEastAsia" w:eastAsiaTheme="minorEastAsia"/>
                <w:color w:val="000000" w:themeColor="text1"/>
                <w:sz w:val="21"/>
                <w:szCs w:val="21"/>
                <w:lang w:eastAsia="zh-CN"/>
                <w14:textFill>
                  <w14:solidFill>
                    <w14:schemeClr w14:val="tx1"/>
                  </w14:solidFill>
                </w14:textFill>
              </w:rPr>
              <w:t>分。</w:t>
            </w:r>
            <w:r>
              <w:rPr>
                <w:rFonts w:hint="eastAsia" w:asciiTheme="minorEastAsia" w:hAnsiTheme="minorEastAsia" w:eastAsia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b/>
                <w:bCs/>
                <w:color w:val="000000" w:themeColor="text1"/>
                <w:sz w:val="21"/>
                <w:szCs w:val="21"/>
                <w:lang w:val="en-US" w:eastAsia="zh-CN"/>
                <w14:textFill>
                  <w14:solidFill>
                    <w14:schemeClr w14:val="tx1"/>
                  </w14:solidFill>
                </w14:textFill>
              </w:rPr>
              <w:t>须单独提供U盘并单独密封</w:t>
            </w:r>
            <w:r>
              <w:rPr>
                <w:rFonts w:hint="eastAsia" w:asciiTheme="minorEastAsia" w:hAnsiTheme="minorEastAsia" w:eastAsiaTheme="minorEastAsia"/>
                <w:b/>
                <w:bCs/>
                <w:color w:val="000000" w:themeColor="text1"/>
                <w:sz w:val="21"/>
                <w:szCs w:val="21"/>
                <w:lang w:eastAsia="zh-CN"/>
                <w14:textFill>
                  <w14:solidFill>
                    <w14:schemeClr w14:val="tx1"/>
                  </w14:solidFill>
                </w14:textFill>
              </w:rPr>
              <w:t>）。</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384"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投标文件编制质量</w:t>
            </w:r>
          </w:p>
        </w:tc>
        <w:tc>
          <w:tcPr>
            <w:tcW w:w="6095" w:type="dxa"/>
            <w:vAlign w:val="center"/>
          </w:tcPr>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投标文件编制内容完整、工整，目录清晰，投标文件编制中有个别漏项，不完整的予以扣分。</w:t>
            </w:r>
          </w:p>
        </w:tc>
        <w:tc>
          <w:tcPr>
            <w:tcW w:w="1418" w:type="dxa"/>
            <w:vAlign w:val="center"/>
          </w:tcPr>
          <w:p>
            <w:pPr>
              <w:pStyle w:val="5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897" w:type="dxa"/>
            <w:gridSpan w:val="3"/>
            <w:vAlign w:val="center"/>
          </w:tcPr>
          <w:p>
            <w:pPr>
              <w:pStyle w:val="50"/>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属于中小企业评标优惠内容及价格扣除幅度，本项目的价格扣除为6%。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97" w:type="dxa"/>
            <w:gridSpan w:val="3"/>
            <w:vAlign w:val="center"/>
          </w:tcPr>
          <w:p>
            <w:pPr>
              <w:pStyle w:val="50"/>
              <w:spacing w:line="300" w:lineRule="exac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根据中华人民共和国财政部、中华人民共和国工业和信息化部《政府采购促进中小企业发展管理办法》（财库[2020]46号）文件的规定，属于中小企业评标优惠内容及幅度如下：</w:t>
            </w:r>
          </w:p>
          <w:p>
            <w:pPr>
              <w:pStyle w:val="50"/>
              <w:spacing w:line="300" w:lineRule="exac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pStyle w:val="50"/>
              <w:spacing w:line="300" w:lineRule="exac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产品符合促进中小企业（监狱企业、残疾人福利性单位）发展政策的，对小型和微型企业（监狱企业、残疾人福利性单位）产品的价格给予6%的扣除，用扣除后的价格参与评审打分。若供应商和小微企业的产品/服务制造商有一个符合小微企业条件，并且提供了《中小企业声明函》及加盖单位公章的声明函附件（须说明供应商和产品/服务制造商的从业人员、营业收入、资产总额、应纳税所得额等相关情况）的，则其评标价=供应商报价中属于小型和微型企业产品/服务的价格部分×（100%-6%）+供应商报价中不属于小型和微型企业产品/服务的价格部分；否则，其评标价=供应商报价。注:小型、微型企业提供中型（或大型）企业制造的货物的，视同为中型（或大型）企业，不享受本项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897" w:type="dxa"/>
            <w:gridSpan w:val="3"/>
            <w:vAlign w:val="center"/>
          </w:tcPr>
          <w:p>
            <w:pPr>
              <w:pStyle w:val="50"/>
              <w:spacing w:line="340" w:lineRule="exact"/>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属于享受政府采购支持政策的残疾人福利性单位评标优惠内容及价格扣除幅度按小型、微型企业评标中价格扣除,残疾人福利性单位属于小型、微型企业的，不重复享受政策。本项目的价格扣除为6%。</w:t>
            </w:r>
          </w:p>
        </w:tc>
      </w:tr>
    </w:tbl>
    <w:p>
      <w:pPr>
        <w:pStyle w:val="2"/>
        <w:ind w:firstLine="440"/>
      </w:pPr>
      <w:r>
        <w:br w:type="page"/>
      </w:r>
    </w:p>
    <w:p>
      <w:pPr>
        <w:pStyle w:val="5"/>
        <w:numPr>
          <w:ilvl w:val="0"/>
          <w:numId w:val="1"/>
        </w:numPr>
      </w:pPr>
      <w:bookmarkStart w:id="24" w:name="_Toc83402736"/>
      <w:bookmarkStart w:id="25" w:name="_Toc83402769"/>
      <w:bookmarkStart w:id="26" w:name="_Toc83402836"/>
      <w:bookmarkStart w:id="27" w:name="_Toc83402721"/>
      <w:r>
        <w:rPr>
          <w:rFonts w:hint="eastAsia"/>
        </w:rPr>
        <w:t>拟签订的合同文本</w:t>
      </w:r>
      <w:bookmarkEnd w:id="24"/>
      <w:bookmarkEnd w:id="25"/>
      <w:bookmarkEnd w:id="26"/>
      <w:bookmarkEnd w:id="27"/>
    </w:p>
    <w:p>
      <w:pPr>
        <w:jc w:val="center"/>
        <w:rPr>
          <w:rFonts w:ascii="仿宋" w:hAnsi="仿宋" w:eastAsia="仿宋" w:cs="仿宋"/>
          <w:sz w:val="52"/>
          <w:szCs w:val="52"/>
        </w:rPr>
      </w:pPr>
      <w:bookmarkStart w:id="28" w:name="OLE_LINK4"/>
      <w:bookmarkStart w:id="29" w:name="OLE_LINK1"/>
    </w:p>
    <w:p>
      <w:pPr>
        <w:jc w:val="center"/>
        <w:rPr>
          <w:rFonts w:ascii="仿宋" w:hAnsi="仿宋" w:eastAsia="仿宋" w:cs="仿宋"/>
          <w:sz w:val="52"/>
          <w:szCs w:val="52"/>
        </w:rPr>
      </w:pPr>
      <w:r>
        <w:rPr>
          <w:rFonts w:hint="eastAsia" w:ascii="仿宋" w:hAnsi="仿宋" w:eastAsia="仿宋" w:cs="仿宋"/>
          <w:sz w:val="52"/>
          <w:szCs w:val="52"/>
        </w:rPr>
        <w:t>新疆准东经济技术开发区人力资源</w:t>
      </w:r>
    </w:p>
    <w:p>
      <w:pPr>
        <w:jc w:val="center"/>
        <w:rPr>
          <w:rFonts w:ascii="仿宋" w:hAnsi="仿宋" w:eastAsia="仿宋" w:cs="仿宋"/>
          <w:sz w:val="52"/>
          <w:szCs w:val="52"/>
        </w:rPr>
      </w:pPr>
      <w:r>
        <w:rPr>
          <w:rFonts w:hint="eastAsia" w:ascii="仿宋" w:hAnsi="仿宋" w:eastAsia="仿宋" w:cs="仿宋"/>
          <w:sz w:val="52"/>
          <w:szCs w:val="52"/>
        </w:rPr>
        <w:t>和社会保障局</w:t>
      </w:r>
    </w:p>
    <w:p>
      <w:pPr>
        <w:jc w:val="center"/>
        <w:rPr>
          <w:rFonts w:ascii="仿宋" w:hAnsi="仿宋" w:eastAsia="仿宋" w:cs="仿宋"/>
          <w:sz w:val="44"/>
          <w:szCs w:val="44"/>
        </w:rPr>
      </w:pPr>
    </w:p>
    <w:p>
      <w:pPr>
        <w:jc w:val="center"/>
        <w:rPr>
          <w:rFonts w:ascii="仿宋" w:hAnsi="仿宋" w:eastAsia="仿宋" w:cs="仿宋"/>
          <w:sz w:val="84"/>
          <w:szCs w:val="84"/>
        </w:rPr>
      </w:pPr>
      <w:r>
        <w:rPr>
          <w:rFonts w:hint="eastAsia" w:ascii="仿宋" w:hAnsi="仿宋" w:eastAsia="仿宋" w:cs="仿宋"/>
          <w:sz w:val="84"/>
          <w:szCs w:val="84"/>
        </w:rPr>
        <w:t>供</w:t>
      </w:r>
    </w:p>
    <w:p>
      <w:pPr>
        <w:jc w:val="center"/>
        <w:rPr>
          <w:rFonts w:ascii="仿宋" w:hAnsi="仿宋" w:eastAsia="仿宋" w:cs="仿宋"/>
          <w:sz w:val="84"/>
          <w:szCs w:val="84"/>
        </w:rPr>
      </w:pPr>
      <w:r>
        <w:rPr>
          <w:rFonts w:hint="eastAsia" w:ascii="仿宋" w:hAnsi="仿宋" w:eastAsia="仿宋" w:cs="仿宋"/>
          <w:sz w:val="84"/>
          <w:szCs w:val="84"/>
        </w:rPr>
        <w:t>货</w:t>
      </w:r>
    </w:p>
    <w:p>
      <w:pPr>
        <w:jc w:val="center"/>
        <w:rPr>
          <w:rFonts w:ascii="仿宋" w:hAnsi="仿宋" w:eastAsia="仿宋" w:cs="仿宋"/>
          <w:sz w:val="84"/>
          <w:szCs w:val="84"/>
        </w:rPr>
      </w:pPr>
      <w:r>
        <w:rPr>
          <w:rFonts w:hint="eastAsia" w:ascii="仿宋" w:hAnsi="仿宋" w:eastAsia="仿宋" w:cs="仿宋"/>
          <w:sz w:val="84"/>
          <w:szCs w:val="84"/>
        </w:rPr>
        <w:t>合</w:t>
      </w:r>
    </w:p>
    <w:p>
      <w:pPr>
        <w:jc w:val="center"/>
        <w:rPr>
          <w:rFonts w:ascii="仿宋" w:hAnsi="仿宋" w:eastAsia="仿宋" w:cs="仿宋"/>
          <w:sz w:val="84"/>
          <w:szCs w:val="84"/>
        </w:rPr>
      </w:pPr>
      <w:r>
        <w:rPr>
          <w:rFonts w:hint="eastAsia" w:ascii="仿宋" w:hAnsi="仿宋" w:eastAsia="仿宋" w:cs="仿宋"/>
          <w:sz w:val="84"/>
          <w:szCs w:val="84"/>
        </w:rPr>
        <w:t>同</w:t>
      </w:r>
    </w:p>
    <w:p>
      <w:pPr>
        <w:rPr>
          <w:rFonts w:ascii="仿宋" w:hAnsi="仿宋" w:eastAsia="仿宋" w:cs="仿宋"/>
          <w:sz w:val="36"/>
          <w:szCs w:val="36"/>
        </w:rPr>
      </w:pPr>
    </w:p>
    <w:p>
      <w:pPr>
        <w:rPr>
          <w:rFonts w:ascii="仿宋" w:hAnsi="仿宋" w:eastAsia="仿宋" w:cs="仿宋"/>
          <w:sz w:val="36"/>
          <w:szCs w:val="36"/>
        </w:rPr>
      </w:pPr>
    </w:p>
    <w:p>
      <w:pPr>
        <w:ind w:left="3516" w:leftChars="608" w:hanging="2240" w:hangingChars="700"/>
        <w:jc w:val="left"/>
        <w:rPr>
          <w:rFonts w:ascii="仿宋" w:hAnsi="仿宋" w:eastAsia="仿宋" w:cs="仿宋"/>
          <w:sz w:val="32"/>
          <w:szCs w:val="32"/>
        </w:rPr>
      </w:pPr>
      <w:r>
        <w:rPr>
          <w:rFonts w:hint="eastAsia" w:ascii="仿宋" w:hAnsi="仿宋" w:eastAsia="仿宋" w:cs="仿宋"/>
          <w:sz w:val="32"/>
          <w:szCs w:val="32"/>
        </w:rPr>
        <w:t>招标项目名称：准东产教融合科技创新园智慧教室多媒体系统项目采购</w:t>
      </w:r>
    </w:p>
    <w:p>
      <w:pPr>
        <w:ind w:left="3516" w:leftChars="608" w:hanging="2240" w:hangingChars="700"/>
        <w:jc w:val="left"/>
        <w:rPr>
          <w:rFonts w:ascii="仿宋" w:hAnsi="仿宋" w:eastAsia="仿宋" w:cs="仿宋"/>
          <w:sz w:val="32"/>
          <w:szCs w:val="32"/>
        </w:rPr>
      </w:pPr>
      <w:r>
        <w:rPr>
          <w:rFonts w:hint="eastAsia" w:ascii="仿宋" w:hAnsi="仿宋" w:eastAsia="仿宋" w:cs="仿宋"/>
          <w:sz w:val="32"/>
          <w:szCs w:val="32"/>
        </w:rPr>
        <w:t>招标文件编号：金采招字[2021]XJJZC-071</w:t>
      </w:r>
    </w:p>
    <w:p>
      <w:pPr>
        <w:pStyle w:val="2"/>
        <w:ind w:firstLine="380"/>
        <w:rPr>
          <w:rFonts w:ascii="Times New Roman" w:hAnsi="Times New Roman" w:eastAsiaTheme="minorEastAsia" w:cstheme="minorBidi"/>
          <w:sz w:val="21"/>
        </w:rPr>
      </w:pPr>
    </w:p>
    <w:p>
      <w:pPr>
        <w:widowControl/>
        <w:jc w:val="left"/>
        <w:rPr>
          <w:rFonts w:ascii="仿宋" w:hAnsi="仿宋" w:eastAsia="仿宋" w:cs="仿宋"/>
          <w:sz w:val="32"/>
          <w:szCs w:val="32"/>
        </w:rPr>
      </w:pPr>
      <w:r>
        <w:rPr>
          <w:rFonts w:ascii="仿宋" w:hAnsi="仿宋" w:eastAsia="仿宋" w:cs="仿宋"/>
          <w:sz w:val="32"/>
          <w:szCs w:val="32"/>
        </w:rPr>
        <w:br w:type="page"/>
      </w:r>
    </w:p>
    <w:p>
      <w:pPr>
        <w:jc w:val="center"/>
        <w:rPr>
          <w:rFonts w:ascii="仿宋" w:hAnsi="仿宋" w:eastAsia="仿宋" w:cs="仿宋"/>
          <w:b/>
          <w:bCs/>
          <w:sz w:val="36"/>
          <w:szCs w:val="36"/>
        </w:rPr>
      </w:pPr>
      <w:r>
        <w:rPr>
          <w:rFonts w:hint="eastAsia" w:ascii="仿宋" w:hAnsi="仿宋" w:eastAsia="仿宋" w:cs="仿宋"/>
          <w:b/>
          <w:bCs/>
          <w:sz w:val="36"/>
          <w:szCs w:val="36"/>
        </w:rPr>
        <w:t>新疆准东经济技术开发区</w:t>
      </w:r>
    </w:p>
    <w:p>
      <w:pPr>
        <w:jc w:val="center"/>
        <w:rPr>
          <w:rFonts w:ascii="仿宋" w:hAnsi="仿宋" w:eastAsia="仿宋" w:cs="仿宋"/>
          <w:b/>
          <w:bCs/>
          <w:sz w:val="36"/>
          <w:szCs w:val="36"/>
        </w:rPr>
      </w:pPr>
      <w:r>
        <w:rPr>
          <w:rFonts w:hint="eastAsia" w:ascii="仿宋" w:hAnsi="仿宋" w:eastAsia="仿宋" w:cs="仿宋"/>
          <w:b/>
          <w:bCs/>
          <w:sz w:val="36"/>
          <w:szCs w:val="36"/>
        </w:rPr>
        <w:t>采购项目供货合同</w:t>
      </w:r>
    </w:p>
    <w:p>
      <w:pPr>
        <w:pStyle w:val="2"/>
        <w:ind w:firstLine="440"/>
        <w:rPr>
          <w:rFonts w:ascii="Times New Roman" w:hAnsi="Times New Roman" w:eastAsiaTheme="minorEastAsia" w:cstheme="minorBidi"/>
          <w:bCs w:val="0"/>
        </w:rPr>
      </w:pPr>
    </w:p>
    <w:p>
      <w:pPr>
        <w:spacing w:line="360" w:lineRule="auto"/>
        <w:rPr>
          <w:rFonts w:ascii="仿宋" w:hAnsi="仿宋" w:eastAsia="仿宋" w:cs="仿宋"/>
          <w:b/>
          <w:bCs/>
          <w:kern w:val="0"/>
          <w:sz w:val="24"/>
        </w:rPr>
      </w:pPr>
      <w:r>
        <w:rPr>
          <w:rFonts w:hint="eastAsia" w:ascii="仿宋" w:hAnsi="仿宋" w:eastAsia="仿宋" w:cs="仿宋"/>
          <w:b/>
          <w:bCs/>
          <w:sz w:val="24"/>
        </w:rPr>
        <w:t>甲   方：</w:t>
      </w:r>
      <w:r>
        <w:rPr>
          <w:rFonts w:hint="eastAsia" w:ascii="仿宋" w:hAnsi="仿宋" w:eastAsia="仿宋" w:cs="仿宋"/>
          <w:b/>
          <w:bCs/>
          <w:kern w:val="0"/>
          <w:sz w:val="24"/>
        </w:rPr>
        <w:t>新疆准东经济技术开发区人力资源和社会保障局</w:t>
      </w:r>
    </w:p>
    <w:p>
      <w:pPr>
        <w:spacing w:line="360" w:lineRule="auto"/>
        <w:rPr>
          <w:rFonts w:ascii="仿宋" w:hAnsi="仿宋" w:eastAsia="仿宋" w:cs="仿宋"/>
          <w:b/>
          <w:bCs/>
          <w:sz w:val="24"/>
        </w:rPr>
      </w:pPr>
      <w:r>
        <w:rPr>
          <w:rFonts w:hint="eastAsia" w:ascii="仿宋" w:hAnsi="仿宋" w:eastAsia="仿宋" w:cs="仿宋"/>
          <w:b/>
          <w:bCs/>
          <w:sz w:val="24"/>
        </w:rPr>
        <w:t xml:space="preserve">乙   方： </w:t>
      </w:r>
    </w:p>
    <w:p>
      <w:pPr>
        <w:spacing w:line="360" w:lineRule="auto"/>
        <w:ind w:firstLine="424" w:firstLineChars="177"/>
        <w:jc w:val="left"/>
        <w:rPr>
          <w:rFonts w:ascii="仿宋" w:hAnsi="仿宋" w:eastAsia="仿宋" w:cs="仿宋"/>
          <w:sz w:val="24"/>
          <w:u w:val="single"/>
        </w:rPr>
      </w:pPr>
      <w:r>
        <w:rPr>
          <w:rFonts w:hint="eastAsia" w:ascii="仿宋" w:hAnsi="仿宋" w:eastAsia="仿宋" w:cs="仿宋"/>
          <w:sz w:val="24"/>
        </w:rPr>
        <w:t>按照2021年  月 日组织的招标文件编号为</w:t>
      </w:r>
      <w:r>
        <w:rPr>
          <w:rFonts w:hint="eastAsia" w:ascii="仿宋" w:hAnsi="仿宋" w:eastAsia="仿宋" w:cs="仿宋"/>
          <w:sz w:val="24"/>
          <w:u w:val="single"/>
        </w:rPr>
        <w:t xml:space="preserve"> 金采招字[2021]XJJZC-071 </w:t>
      </w:r>
      <w:r>
        <w:rPr>
          <w:rFonts w:hint="eastAsia" w:ascii="仿宋" w:hAnsi="仿宋" w:eastAsia="仿宋" w:cs="仿宋"/>
          <w:sz w:val="24"/>
        </w:rPr>
        <w:t>的</w:t>
      </w:r>
      <w:r>
        <w:rPr>
          <w:rFonts w:hint="eastAsia" w:ascii="仿宋" w:hAnsi="仿宋" w:eastAsia="仿宋" w:cs="仿宋"/>
          <w:sz w:val="24"/>
          <w:u w:val="single"/>
        </w:rPr>
        <w:t>准东产教融合科技创新园智慧教室多媒体系统项目采购</w:t>
      </w:r>
      <w:r>
        <w:rPr>
          <w:rFonts w:hint="eastAsia" w:ascii="仿宋" w:hAnsi="仿宋" w:eastAsia="仿宋" w:cs="仿宋"/>
          <w:sz w:val="24"/>
        </w:rPr>
        <w:t>，经评定，乙方</w:t>
      </w:r>
      <w:r>
        <w:rPr>
          <w:rFonts w:hint="eastAsia" w:ascii="仿宋" w:hAnsi="仿宋" w:eastAsia="仿宋" w:cs="仿宋"/>
          <w:sz w:val="24"/>
          <w:u w:val="single"/>
        </w:rPr>
        <w:t xml:space="preserve">                         </w:t>
      </w:r>
      <w:r>
        <w:rPr>
          <w:rFonts w:hint="eastAsia" w:ascii="仿宋" w:hAnsi="仿宋" w:eastAsia="仿宋" w:cs="仿宋"/>
          <w:sz w:val="24"/>
        </w:rPr>
        <w:t>为中标方。根据《中华人民共和国政府采购法》和《中华人民共和国民法典》的规定，按照公平、公正、平等自愿和诚实信用、协商一致的原则，甲、乙双方授权代表就所供设备的购销、安装、调试和售后服务等事宜达成如下条款。</w:t>
      </w:r>
    </w:p>
    <w:p>
      <w:pPr>
        <w:spacing w:line="360" w:lineRule="auto"/>
        <w:rPr>
          <w:rFonts w:ascii="仿宋" w:hAnsi="仿宋" w:eastAsia="仿宋" w:cs="仿宋"/>
          <w:b/>
          <w:sz w:val="11"/>
          <w:szCs w:val="11"/>
        </w:rPr>
      </w:pPr>
      <w:r>
        <w:rPr>
          <w:rFonts w:hint="eastAsia" w:ascii="仿宋" w:hAnsi="仿宋" w:eastAsia="仿宋" w:cs="仿宋"/>
          <w:b/>
          <w:sz w:val="28"/>
          <w:szCs w:val="28"/>
        </w:rPr>
        <w:t>一、设备名称、型号、数量及价格</w:t>
      </w:r>
    </w:p>
    <w:tbl>
      <w:tblPr>
        <w:tblStyle w:val="29"/>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08"/>
        <w:gridCol w:w="804"/>
        <w:gridCol w:w="4776"/>
        <w:gridCol w:w="480"/>
        <w:gridCol w:w="645"/>
        <w:gridCol w:w="735"/>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仿宋"/>
                <w:kern w:val="0"/>
                <w:sz w:val="24"/>
                <w:szCs w:val="24"/>
                <w:lang w:eastAsia="zh-Hans"/>
              </w:rPr>
            </w:pPr>
            <w:r>
              <w:rPr>
                <w:rFonts w:hint="eastAsia" w:ascii="仿宋" w:hAnsi="仿宋" w:eastAsia="仿宋" w:cs="仿宋"/>
                <w:kern w:val="0"/>
                <w:sz w:val="24"/>
                <w:lang w:eastAsia="zh-Hans"/>
              </w:rPr>
              <w:t>序号</w:t>
            </w:r>
          </w:p>
        </w:tc>
        <w:tc>
          <w:tcPr>
            <w:tcW w:w="70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仿宋"/>
                <w:kern w:val="0"/>
                <w:sz w:val="24"/>
                <w:szCs w:val="24"/>
              </w:rPr>
            </w:pPr>
            <w:r>
              <w:rPr>
                <w:rFonts w:hint="eastAsia" w:ascii="仿宋" w:hAnsi="仿宋" w:eastAsia="仿宋" w:cs="仿宋"/>
                <w:kern w:val="0"/>
                <w:sz w:val="24"/>
              </w:rPr>
              <w:t>名称</w:t>
            </w:r>
          </w:p>
        </w:tc>
        <w:tc>
          <w:tcPr>
            <w:tcW w:w="80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仿宋"/>
                <w:kern w:val="0"/>
                <w:sz w:val="24"/>
                <w:szCs w:val="24"/>
              </w:rPr>
            </w:pPr>
            <w:r>
              <w:rPr>
                <w:rFonts w:hint="eastAsia" w:ascii="仿宋" w:hAnsi="仿宋" w:eastAsia="仿宋" w:cs="仿宋"/>
                <w:kern w:val="0"/>
                <w:sz w:val="24"/>
              </w:rPr>
              <w:t>品牌</w:t>
            </w:r>
          </w:p>
        </w:tc>
        <w:tc>
          <w:tcPr>
            <w:tcW w:w="477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仿宋"/>
                <w:kern w:val="0"/>
                <w:sz w:val="24"/>
                <w:szCs w:val="24"/>
              </w:rPr>
            </w:pPr>
            <w:r>
              <w:rPr>
                <w:rFonts w:hint="eastAsia" w:ascii="仿宋" w:hAnsi="仿宋" w:eastAsia="仿宋" w:cs="仿宋"/>
                <w:kern w:val="0"/>
                <w:sz w:val="24"/>
              </w:rPr>
              <w:t>参数</w:t>
            </w:r>
          </w:p>
        </w:tc>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单位</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数量</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单价</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80" w:firstLineChars="200"/>
              <w:rPr>
                <w:rFonts w:ascii="仿宋" w:hAnsi="仿宋" w:eastAsia="仿宋" w:cs="仿宋"/>
                <w:kern w:val="0"/>
                <w:sz w:val="24"/>
                <w:szCs w:val="24"/>
              </w:rPr>
            </w:pPr>
            <w:r>
              <w:rPr>
                <w:rFonts w:hint="eastAsia" w:ascii="仿宋" w:hAnsi="仿宋" w:eastAsia="仿宋" w:cs="仿宋"/>
                <w:kern w:val="0"/>
                <w:sz w:val="24"/>
              </w:rPr>
              <w:t>1</w:t>
            </w:r>
          </w:p>
        </w:tc>
        <w:tc>
          <w:tcPr>
            <w:tcW w:w="70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仿宋"/>
                <w:kern w:val="0"/>
                <w:sz w:val="24"/>
                <w:szCs w:val="24"/>
              </w:rPr>
            </w:pPr>
            <w:r>
              <w:rPr>
                <w:rFonts w:hint="eastAsia" w:ascii="仿宋" w:hAnsi="仿宋" w:eastAsia="仿宋" w:cs="仿宋"/>
                <w:kern w:val="0"/>
                <w:sz w:val="24"/>
              </w:rPr>
              <w:t xml:space="preserve"> </w:t>
            </w:r>
          </w:p>
        </w:tc>
        <w:tc>
          <w:tcPr>
            <w:tcW w:w="80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s="仿宋"/>
                <w:kern w:val="0"/>
                <w:sz w:val="24"/>
                <w:szCs w:val="24"/>
              </w:rPr>
            </w:pPr>
            <w:r>
              <w:rPr>
                <w:rFonts w:hint="eastAsia" w:ascii="仿宋" w:hAnsi="仿宋" w:eastAsia="仿宋" w:cs="仿宋"/>
                <w:kern w:val="0"/>
                <w:sz w:val="24"/>
              </w:rPr>
              <w:t xml:space="preserve"> </w:t>
            </w:r>
          </w:p>
        </w:tc>
        <w:tc>
          <w:tcPr>
            <w:tcW w:w="477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s="仿宋"/>
                <w:kern w:val="0"/>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80" w:firstLineChars="200"/>
              <w:rPr>
                <w:rFonts w:ascii="仿宋" w:hAnsi="仿宋" w:eastAsia="仿宋" w:cs="仿宋"/>
                <w:kern w:val="0"/>
                <w:sz w:val="24"/>
                <w:szCs w:val="24"/>
              </w:rPr>
            </w:pPr>
            <w:r>
              <w:rPr>
                <w:rFonts w:hint="eastAsia" w:ascii="仿宋" w:hAnsi="仿宋" w:eastAsia="仿宋" w:cs="仿宋"/>
                <w:kern w:val="0"/>
                <w:sz w:val="24"/>
              </w:rPr>
              <w:t>2</w:t>
            </w:r>
          </w:p>
        </w:tc>
        <w:tc>
          <w:tcPr>
            <w:tcW w:w="70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仿宋"/>
                <w:kern w:val="0"/>
                <w:sz w:val="24"/>
                <w:szCs w:val="24"/>
              </w:rPr>
            </w:pPr>
            <w:r>
              <w:rPr>
                <w:rFonts w:hint="eastAsia" w:ascii="仿宋" w:hAnsi="仿宋" w:eastAsia="仿宋" w:cs="仿宋"/>
                <w:kern w:val="0"/>
                <w:sz w:val="24"/>
              </w:rPr>
              <w:t xml:space="preserve"> </w:t>
            </w:r>
          </w:p>
        </w:tc>
        <w:tc>
          <w:tcPr>
            <w:tcW w:w="80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s="仿宋"/>
                <w:kern w:val="0"/>
                <w:sz w:val="24"/>
                <w:szCs w:val="24"/>
              </w:rPr>
            </w:pPr>
            <w:r>
              <w:rPr>
                <w:rFonts w:hint="eastAsia" w:ascii="仿宋" w:hAnsi="仿宋" w:eastAsia="仿宋" w:cs="仿宋"/>
                <w:kern w:val="0"/>
                <w:sz w:val="24"/>
              </w:rPr>
              <w:t xml:space="preserve"> </w:t>
            </w:r>
          </w:p>
        </w:tc>
        <w:tc>
          <w:tcPr>
            <w:tcW w:w="477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s="仿宋"/>
                <w:kern w:val="0"/>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80" w:firstLineChars="200"/>
              <w:rPr>
                <w:rFonts w:ascii="仿宋" w:hAnsi="仿宋" w:eastAsia="仿宋" w:cs="仿宋"/>
                <w:kern w:val="0"/>
                <w:sz w:val="24"/>
                <w:szCs w:val="24"/>
              </w:rPr>
            </w:pPr>
            <w:r>
              <w:rPr>
                <w:rFonts w:hint="eastAsia" w:ascii="仿宋" w:hAnsi="仿宋" w:eastAsia="仿宋" w:cs="仿宋"/>
                <w:kern w:val="0"/>
                <w:sz w:val="24"/>
              </w:rPr>
              <w:t>3</w:t>
            </w:r>
          </w:p>
        </w:tc>
        <w:tc>
          <w:tcPr>
            <w:tcW w:w="70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仿宋"/>
                <w:kern w:val="0"/>
                <w:sz w:val="24"/>
                <w:szCs w:val="24"/>
              </w:rPr>
            </w:pPr>
            <w:r>
              <w:rPr>
                <w:rFonts w:hint="eastAsia" w:ascii="仿宋" w:hAnsi="仿宋" w:eastAsia="仿宋" w:cs="仿宋"/>
                <w:kern w:val="0"/>
                <w:sz w:val="24"/>
              </w:rPr>
              <w:t xml:space="preserve"> </w:t>
            </w:r>
          </w:p>
        </w:tc>
        <w:tc>
          <w:tcPr>
            <w:tcW w:w="80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kern w:val="0"/>
                <w:sz w:val="24"/>
                <w:szCs w:val="24"/>
              </w:rPr>
            </w:pPr>
            <w:r>
              <w:rPr>
                <w:rFonts w:hint="eastAsia" w:ascii="仿宋" w:hAnsi="仿宋" w:eastAsia="仿宋" w:cs="仿宋"/>
                <w:kern w:val="0"/>
                <w:sz w:val="24"/>
              </w:rPr>
              <w:t xml:space="preserve"> </w:t>
            </w:r>
          </w:p>
        </w:tc>
        <w:tc>
          <w:tcPr>
            <w:tcW w:w="477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kern w:val="0"/>
                <w:sz w:val="24"/>
                <w:szCs w:val="24"/>
              </w:rPr>
            </w:pPr>
          </w:p>
        </w:tc>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7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合计：</w:t>
            </w:r>
          </w:p>
        </w:tc>
        <w:tc>
          <w:tcPr>
            <w:tcW w:w="24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745"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firstLine="960" w:firstLineChars="400"/>
              <w:rPr>
                <w:rFonts w:ascii="仿宋" w:hAnsi="仿宋" w:eastAsia="仿宋" w:cs="仿宋"/>
                <w:b/>
                <w:bCs/>
                <w:sz w:val="24"/>
                <w:szCs w:val="24"/>
                <w:u w:val="single"/>
              </w:rPr>
            </w:pPr>
            <w:r>
              <w:rPr>
                <w:rFonts w:hint="eastAsia" w:ascii="仿宋" w:hAnsi="仿宋" w:eastAsia="仿宋" w:cs="仿宋"/>
                <w:b/>
                <w:bCs/>
                <w:sz w:val="24"/>
                <w:u w:val="single"/>
              </w:rPr>
              <w:t>总价：</w:t>
            </w:r>
            <w:r>
              <w:rPr>
                <w:rFonts w:hint="eastAsia" w:ascii="宋体" w:hAnsi="宋体" w:cs="宋体"/>
                <w:b/>
                <w:bCs/>
                <w:sz w:val="24"/>
                <w:u w:val="single"/>
              </w:rPr>
              <w:t>¥</w:t>
            </w:r>
            <w:r>
              <w:rPr>
                <w:rFonts w:hint="eastAsia" w:ascii="仿宋" w:hAnsi="仿宋" w:eastAsia="仿宋"/>
                <w:b/>
                <w:bCs/>
                <w:color w:val="000000"/>
                <w:sz w:val="24"/>
                <w:u w:val="single"/>
              </w:rPr>
              <w:t xml:space="preserve">   </w:t>
            </w:r>
            <w:r>
              <w:rPr>
                <w:rFonts w:hint="eastAsia" w:ascii="仿宋" w:hAnsi="仿宋" w:eastAsia="仿宋" w:cs="仿宋"/>
                <w:sz w:val="24"/>
                <w:u w:val="single"/>
              </w:rPr>
              <w:t>元（</w:t>
            </w:r>
            <w:r>
              <w:rPr>
                <w:rFonts w:hint="eastAsia" w:ascii="仿宋" w:hAnsi="仿宋" w:eastAsia="仿宋" w:cs="仿宋"/>
                <w:b/>
                <w:bCs/>
                <w:kern w:val="0"/>
                <w:sz w:val="24"/>
                <w:u w:val="single"/>
              </w:rPr>
              <w:t>大写：</w:t>
            </w:r>
            <w:r>
              <w:rPr>
                <w:rFonts w:hint="eastAsia" w:ascii="仿宋" w:hAnsi="仿宋" w:eastAsia="仿宋"/>
                <w:b/>
                <w:bCs/>
                <w:color w:val="000000"/>
                <w:sz w:val="24"/>
                <w:u w:val="single"/>
              </w:rPr>
              <w:t xml:space="preserve">    </w:t>
            </w:r>
            <w:r>
              <w:rPr>
                <w:rFonts w:hint="eastAsia" w:ascii="仿宋" w:hAnsi="仿宋" w:eastAsia="仿宋" w:cs="仿宋"/>
                <w:kern w:val="0"/>
                <w:sz w:val="24"/>
                <w:u w:val="single"/>
              </w:rPr>
              <w:t>）</w:t>
            </w:r>
          </w:p>
          <w:p>
            <w:pPr>
              <w:ind w:firstLine="960" w:firstLineChars="400"/>
              <w:rPr>
                <w:rFonts w:ascii="仿宋" w:hAnsi="仿宋" w:eastAsia="仿宋" w:cs="仿宋"/>
                <w:b/>
                <w:bCs/>
                <w:sz w:val="24"/>
                <w:szCs w:val="24"/>
              </w:rPr>
            </w:pPr>
            <w:r>
              <w:rPr>
                <w:rFonts w:hint="eastAsia" w:ascii="仿宋" w:hAnsi="仿宋" w:eastAsia="仿宋" w:cs="仿宋"/>
                <w:b/>
                <w:bCs/>
                <w:sz w:val="24"/>
              </w:rPr>
              <w:t>质量免费保修期：</w:t>
            </w:r>
            <w:r>
              <w:rPr>
                <w:rFonts w:hint="eastAsia" w:ascii="仿宋" w:hAnsi="仿宋" w:eastAsia="仿宋" w:cs="仿宋"/>
                <w:b/>
                <w:bCs/>
                <w:sz w:val="24"/>
                <w:u w:val="single"/>
              </w:rPr>
              <w:t xml:space="preserve">  三  </w:t>
            </w:r>
            <w:r>
              <w:rPr>
                <w:rFonts w:hint="eastAsia" w:ascii="仿宋" w:hAnsi="仿宋" w:eastAsia="仿宋" w:cs="仿宋"/>
                <w:b/>
                <w:bCs/>
                <w:sz w:val="24"/>
              </w:rPr>
              <w:t>年</w:t>
            </w:r>
          </w:p>
        </w:tc>
      </w:tr>
    </w:tbl>
    <w:p>
      <w:pPr>
        <w:spacing w:line="360" w:lineRule="auto"/>
        <w:ind w:firstLine="560" w:firstLineChars="200"/>
        <w:rPr>
          <w:rFonts w:ascii="仿宋" w:hAnsi="仿宋" w:eastAsia="仿宋" w:cs="仿宋"/>
          <w:b/>
          <w:sz w:val="28"/>
          <w:szCs w:val="28"/>
        </w:rPr>
      </w:pPr>
      <w:r>
        <w:rPr>
          <w:rFonts w:hint="eastAsia" w:ascii="仿宋" w:hAnsi="仿宋" w:eastAsia="仿宋" w:cs="仿宋"/>
          <w:b/>
          <w:sz w:val="28"/>
          <w:szCs w:val="28"/>
        </w:rPr>
        <w:t>二、合同价款</w:t>
      </w:r>
    </w:p>
    <w:p>
      <w:pPr>
        <w:spacing w:line="360" w:lineRule="auto"/>
        <w:ind w:firstLine="480" w:firstLineChars="200"/>
        <w:rPr>
          <w:rFonts w:ascii="仿宋" w:hAnsi="仿宋" w:eastAsia="仿宋" w:cs="仿宋"/>
          <w:kern w:val="0"/>
          <w:sz w:val="24"/>
          <w:szCs w:val="24"/>
          <w:lang w:eastAsia="zh-Hans"/>
        </w:rPr>
      </w:pPr>
      <w:r>
        <w:rPr>
          <w:rFonts w:hint="eastAsia" w:ascii="仿宋" w:hAnsi="仿宋" w:eastAsia="仿宋" w:cs="仿宋"/>
          <w:kern w:val="0"/>
          <w:sz w:val="24"/>
        </w:rPr>
        <w:t>1、</w:t>
      </w:r>
      <w:r>
        <w:rPr>
          <w:rFonts w:hint="eastAsia" w:ascii="仿宋" w:hAnsi="仿宋" w:eastAsia="仿宋" w:cs="仿宋"/>
          <w:sz w:val="24"/>
        </w:rPr>
        <w:t>本合同总金额为</w:t>
      </w:r>
      <w:r>
        <w:rPr>
          <w:rFonts w:hint="eastAsia" w:ascii="宋体" w:hAnsi="宋体" w:cs="宋体"/>
          <w:sz w:val="24"/>
          <w:u w:val="single"/>
        </w:rPr>
        <w:t>¥</w:t>
      </w:r>
      <w:r>
        <w:rPr>
          <w:rFonts w:hint="eastAsia" w:ascii="仿宋" w:hAnsi="仿宋" w:eastAsia="仿宋"/>
          <w:color w:val="000000"/>
          <w:sz w:val="24"/>
          <w:u w:val="single"/>
        </w:rPr>
        <w:t xml:space="preserve">   </w:t>
      </w:r>
      <w:r>
        <w:rPr>
          <w:rFonts w:hint="eastAsia" w:ascii="仿宋" w:hAnsi="仿宋" w:eastAsia="仿宋" w:cs="仿宋"/>
          <w:sz w:val="24"/>
          <w:u w:val="single"/>
        </w:rPr>
        <w:t>元（</w:t>
      </w:r>
      <w:r>
        <w:rPr>
          <w:rFonts w:hint="eastAsia" w:ascii="仿宋" w:hAnsi="仿宋" w:eastAsia="仿宋" w:cs="仿宋"/>
          <w:kern w:val="0"/>
          <w:sz w:val="24"/>
          <w:u w:val="single"/>
        </w:rPr>
        <w:t>大写：</w:t>
      </w:r>
      <w:r>
        <w:rPr>
          <w:rFonts w:hint="eastAsia" w:ascii="仿宋" w:hAnsi="仿宋" w:eastAsia="仿宋"/>
          <w:color w:val="000000"/>
          <w:sz w:val="24"/>
          <w:u w:val="single"/>
        </w:rPr>
        <w:t xml:space="preserve">     </w:t>
      </w:r>
      <w:r>
        <w:rPr>
          <w:rFonts w:hint="eastAsia" w:ascii="仿宋" w:hAnsi="仿宋" w:eastAsia="仿宋" w:cs="仿宋"/>
          <w:kern w:val="0"/>
          <w:sz w:val="24"/>
          <w:u w:val="single"/>
        </w:rPr>
        <w:t>）</w:t>
      </w:r>
      <w:r>
        <w:rPr>
          <w:rFonts w:hint="eastAsia" w:ascii="仿宋" w:hAnsi="仿宋" w:eastAsia="仿宋" w:cs="仿宋"/>
          <w:kern w:val="0"/>
          <w:sz w:val="24"/>
        </w:rPr>
        <w:t>。</w:t>
      </w:r>
    </w:p>
    <w:p>
      <w:pPr>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2、价格包括但不限于：技术指导、税金费用、随产品备品备件费、专用工具费、随产品资料费、技术服务费、技术考察费、培训费、安装费、调试费、自检费及验收合格前和质保期内发生的一切费用、应当提供的伴随服务/售后服务费用、配合相关监管部门的验收费等。</w:t>
      </w:r>
    </w:p>
    <w:p>
      <w:pPr>
        <w:spacing w:line="420" w:lineRule="exact"/>
        <w:ind w:firstLine="480" w:firstLineChars="200"/>
        <w:rPr>
          <w:rFonts w:ascii="仿宋" w:hAnsi="仿宋" w:eastAsia="仿宋" w:cs="仿宋"/>
          <w:kern w:val="0"/>
          <w:sz w:val="24"/>
          <w:lang w:eastAsia="zh-Hans"/>
        </w:rPr>
      </w:pPr>
      <w:r>
        <w:rPr>
          <w:rFonts w:hint="eastAsia" w:ascii="仿宋" w:hAnsi="仿宋" w:eastAsia="仿宋" w:cs="仿宋"/>
          <w:kern w:val="0"/>
          <w:sz w:val="24"/>
        </w:rPr>
        <w:t>3、</w:t>
      </w:r>
      <w:r>
        <w:rPr>
          <w:rFonts w:hint="eastAsia" w:ascii="仿宋" w:hAnsi="仿宋" w:eastAsia="仿宋" w:cs="仿宋"/>
          <w:kern w:val="0"/>
          <w:sz w:val="24"/>
          <w:lang w:eastAsia="zh-Hans"/>
        </w:rPr>
        <w:t>本合同价款为含税价，乙方应在甲方付款前提供符合甲方财务做账需求的等</w:t>
      </w:r>
      <w:r>
        <w:rPr>
          <w:rFonts w:hint="eastAsia" w:ascii="仿宋" w:hAnsi="仿宋" w:eastAsia="仿宋" w:cs="仿宋"/>
          <w:kern w:val="0"/>
          <w:sz w:val="24"/>
        </w:rPr>
        <w:t>普通</w:t>
      </w:r>
      <w:r>
        <w:rPr>
          <w:rFonts w:hint="eastAsia" w:ascii="仿宋" w:hAnsi="仿宋" w:eastAsia="仿宋" w:cs="仿宋"/>
          <w:kern w:val="0"/>
          <w:sz w:val="24"/>
          <w:lang w:eastAsia="zh-Hans"/>
        </w:rPr>
        <w:t>发票，否则甲方有权拒付款项且不承担违约责任。</w:t>
      </w:r>
    </w:p>
    <w:p>
      <w:pPr>
        <w:spacing w:line="360" w:lineRule="auto"/>
        <w:ind w:firstLine="480" w:firstLineChars="200"/>
        <w:rPr>
          <w:rFonts w:ascii="仿宋" w:hAnsi="仿宋" w:eastAsia="仿宋" w:cs="仿宋"/>
          <w:b/>
          <w:sz w:val="24"/>
        </w:rPr>
      </w:pPr>
    </w:p>
    <w:p>
      <w:pPr>
        <w:spacing w:line="420" w:lineRule="exact"/>
        <w:ind w:firstLine="560" w:firstLineChars="200"/>
        <w:rPr>
          <w:rFonts w:ascii="仿宋" w:hAnsi="仿宋" w:eastAsia="仿宋" w:cs="仿宋"/>
          <w:b/>
          <w:sz w:val="28"/>
          <w:szCs w:val="28"/>
        </w:rPr>
      </w:pPr>
      <w:r>
        <w:rPr>
          <w:rFonts w:hint="eastAsia" w:ascii="仿宋" w:hAnsi="仿宋" w:eastAsia="仿宋" w:cs="仿宋"/>
          <w:b/>
          <w:sz w:val="28"/>
          <w:szCs w:val="28"/>
        </w:rPr>
        <w:t>三、款项结算</w:t>
      </w:r>
    </w:p>
    <w:p>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rPr>
        <w:t>1、设</w:t>
      </w:r>
      <w:r>
        <w:rPr>
          <w:rFonts w:hint="eastAsia" w:ascii="仿宋" w:hAnsi="仿宋" w:eastAsia="仿宋" w:cs="仿宋"/>
          <w:sz w:val="24"/>
        </w:rPr>
        <w:t>备到场并经甲方书面验收合格后，支付合同总额的30%</w:t>
      </w:r>
      <w:r>
        <w:rPr>
          <w:rFonts w:hint="eastAsia" w:ascii="仿宋" w:hAnsi="仿宋" w:eastAsia="仿宋" w:cs="仿宋"/>
          <w:kern w:val="0"/>
          <w:sz w:val="24"/>
          <w:lang w:eastAsia="zh-Hans"/>
        </w:rPr>
        <w:t>，即</w:t>
      </w:r>
      <w:r>
        <w:rPr>
          <w:rFonts w:hint="eastAsia" w:ascii="宋体" w:hAnsi="宋体" w:cs="宋体"/>
          <w:kern w:val="0"/>
          <w:sz w:val="24"/>
          <w:u w:val="single"/>
          <w:lang w:eastAsia="zh-Hans"/>
        </w:rPr>
        <w:t>¥</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Hans"/>
        </w:rPr>
        <w:t>元</w:t>
      </w:r>
      <w:r>
        <w:rPr>
          <w:rFonts w:hint="eastAsia" w:ascii="仿宋" w:hAnsi="仿宋" w:eastAsia="仿宋" w:cs="仿宋"/>
          <w:kern w:val="0"/>
          <w:sz w:val="24"/>
          <w:u w:val="single"/>
        </w:rPr>
        <w:t>（</w:t>
      </w:r>
      <w:r>
        <w:rPr>
          <w:rFonts w:hint="eastAsia" w:ascii="仿宋" w:hAnsi="仿宋" w:eastAsia="仿宋" w:cs="仿宋"/>
          <w:kern w:val="0"/>
          <w:sz w:val="24"/>
          <w:u w:val="single"/>
          <w:lang w:eastAsia="zh-Hans"/>
        </w:rPr>
        <w:t>大写：</w:t>
      </w:r>
      <w:r>
        <w:rPr>
          <w:rFonts w:hint="eastAsia" w:ascii="仿宋" w:hAnsi="仿宋" w:eastAsia="仿宋" w:cs="仿宋"/>
          <w:kern w:val="0"/>
          <w:sz w:val="24"/>
          <w:u w:val="single"/>
        </w:rPr>
        <w:t xml:space="preserve">   ）；</w:t>
      </w:r>
    </w:p>
    <w:p>
      <w:pPr>
        <w:spacing w:line="420" w:lineRule="exact"/>
        <w:ind w:firstLine="480" w:firstLineChars="200"/>
        <w:rPr>
          <w:rFonts w:ascii="仿宋" w:hAnsi="仿宋" w:eastAsia="仿宋" w:cs="仿宋"/>
          <w:kern w:val="0"/>
          <w:sz w:val="24"/>
          <w:lang w:eastAsia="zh-Hans"/>
        </w:rPr>
      </w:pPr>
      <w:r>
        <w:rPr>
          <w:rFonts w:hint="eastAsia" w:ascii="仿宋" w:hAnsi="仿宋" w:eastAsia="仿宋" w:cs="仿宋"/>
          <w:kern w:val="0"/>
          <w:sz w:val="24"/>
        </w:rPr>
        <w:t>2、</w:t>
      </w:r>
      <w:r>
        <w:rPr>
          <w:rFonts w:hint="eastAsia" w:ascii="仿宋" w:hAnsi="仿宋" w:eastAsia="仿宋" w:cs="仿宋"/>
          <w:sz w:val="24"/>
        </w:rPr>
        <w:t>设备安装完毕且能够达到合同约定的功能要求，调试正常运行并验收合格后支付合同总额的30%</w:t>
      </w:r>
      <w:r>
        <w:rPr>
          <w:rFonts w:hint="eastAsia" w:ascii="仿宋" w:hAnsi="仿宋" w:eastAsia="仿宋" w:cs="仿宋"/>
          <w:kern w:val="0"/>
          <w:sz w:val="24"/>
          <w:lang w:eastAsia="zh-Hans"/>
        </w:rPr>
        <w:t>，即</w:t>
      </w:r>
      <w:r>
        <w:rPr>
          <w:rFonts w:hint="eastAsia" w:ascii="宋体" w:hAnsi="宋体" w:cs="宋体"/>
          <w:kern w:val="0"/>
          <w:sz w:val="24"/>
          <w:u w:val="single"/>
          <w:lang w:eastAsia="zh-Hans"/>
        </w:rPr>
        <w:t>¥</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Hans"/>
        </w:rPr>
        <w:t>元</w:t>
      </w:r>
      <w:r>
        <w:rPr>
          <w:rFonts w:hint="eastAsia" w:ascii="仿宋" w:hAnsi="仿宋" w:eastAsia="仿宋" w:cs="仿宋"/>
          <w:kern w:val="0"/>
          <w:sz w:val="24"/>
          <w:u w:val="single"/>
        </w:rPr>
        <w:t>（</w:t>
      </w:r>
      <w:r>
        <w:rPr>
          <w:rFonts w:hint="eastAsia" w:ascii="仿宋" w:hAnsi="仿宋" w:eastAsia="仿宋" w:cs="仿宋"/>
          <w:kern w:val="0"/>
          <w:sz w:val="24"/>
          <w:u w:val="single"/>
          <w:lang w:eastAsia="zh-Hans"/>
        </w:rPr>
        <w:t>大写：</w:t>
      </w:r>
      <w:r>
        <w:rPr>
          <w:rFonts w:hint="eastAsia" w:ascii="仿宋" w:hAnsi="仿宋" w:eastAsia="仿宋" w:cs="仿宋"/>
          <w:kern w:val="0"/>
          <w:sz w:val="24"/>
          <w:u w:val="single"/>
        </w:rPr>
        <w:t xml:space="preserve">        ）</w:t>
      </w:r>
      <w:r>
        <w:rPr>
          <w:rFonts w:hint="eastAsia" w:ascii="仿宋" w:hAnsi="仿宋" w:eastAsia="仿宋" w:cs="仿宋"/>
          <w:kern w:val="0"/>
          <w:sz w:val="24"/>
        </w:rPr>
        <w:t>，并从验收合格之日起</w:t>
      </w:r>
      <w:r>
        <w:rPr>
          <w:rFonts w:hint="eastAsia" w:ascii="仿宋" w:hAnsi="仿宋" w:eastAsia="仿宋" w:cs="仿宋"/>
          <w:kern w:val="0"/>
          <w:sz w:val="24"/>
          <w:lang w:eastAsia="zh-Hans"/>
        </w:rPr>
        <w:t>进入质保期</w:t>
      </w:r>
      <w:r>
        <w:rPr>
          <w:rFonts w:hint="eastAsia" w:ascii="仿宋" w:hAnsi="仿宋" w:eastAsia="仿宋" w:cs="仿宋"/>
          <w:kern w:val="0"/>
          <w:sz w:val="24"/>
        </w:rPr>
        <w:t>【36】</w:t>
      </w:r>
      <w:r>
        <w:rPr>
          <w:rFonts w:hint="eastAsia" w:ascii="仿宋" w:hAnsi="仿宋" w:eastAsia="仿宋" w:cs="仿宋"/>
          <w:kern w:val="0"/>
          <w:sz w:val="24"/>
          <w:lang w:eastAsia="zh-Hans"/>
        </w:rPr>
        <w:t>个月</w:t>
      </w:r>
      <w:r>
        <w:rPr>
          <w:rFonts w:hint="eastAsia" w:ascii="仿宋" w:hAnsi="仿宋" w:eastAsia="仿宋" w:cs="仿宋"/>
          <w:kern w:val="0"/>
          <w:sz w:val="24"/>
        </w:rPr>
        <w:t>）</w:t>
      </w:r>
      <w:r>
        <w:rPr>
          <w:rFonts w:hint="eastAsia" w:ascii="仿宋" w:hAnsi="仿宋" w:eastAsia="仿宋" w:cs="仿宋"/>
          <w:kern w:val="0"/>
          <w:sz w:val="24"/>
          <w:lang w:eastAsia="zh-Hans"/>
        </w:rPr>
        <w:t>。</w:t>
      </w:r>
    </w:p>
    <w:p>
      <w:pPr>
        <w:spacing w:line="420" w:lineRule="exact"/>
        <w:ind w:firstLine="480" w:firstLineChars="200"/>
        <w:rPr>
          <w:rFonts w:ascii="仿宋" w:hAnsi="仿宋" w:eastAsia="仿宋" w:cs="仿宋"/>
          <w:kern w:val="0"/>
          <w:sz w:val="24"/>
          <w:lang w:eastAsia="zh-Hans"/>
        </w:rPr>
      </w:pPr>
      <w:r>
        <w:rPr>
          <w:rFonts w:hint="eastAsia" w:ascii="仿宋" w:hAnsi="仿宋" w:eastAsia="仿宋" w:cs="仿宋"/>
          <w:kern w:val="0"/>
          <w:sz w:val="24"/>
        </w:rPr>
        <w:t>3、质保</w:t>
      </w:r>
      <w:r>
        <w:rPr>
          <w:rFonts w:hint="eastAsia" w:ascii="仿宋" w:hAnsi="仿宋" w:eastAsia="仿宋" w:cs="仿宋"/>
          <w:sz w:val="24"/>
        </w:rPr>
        <w:t>运行满【12】个月后，进行二次验收，各项功能能够正常使用且供应商能按照合同约定及时维护，验收合格后付合同总额的30%</w:t>
      </w:r>
      <w:r>
        <w:rPr>
          <w:rFonts w:hint="eastAsia" w:ascii="仿宋" w:hAnsi="仿宋" w:eastAsia="仿宋" w:cs="仿宋"/>
          <w:kern w:val="0"/>
          <w:sz w:val="24"/>
        </w:rPr>
        <w:t>，</w:t>
      </w:r>
      <w:r>
        <w:rPr>
          <w:rFonts w:hint="eastAsia" w:ascii="仿宋" w:hAnsi="仿宋" w:eastAsia="仿宋" w:cs="仿宋"/>
          <w:kern w:val="0"/>
          <w:sz w:val="24"/>
          <w:lang w:eastAsia="zh-Hans"/>
        </w:rPr>
        <w:t>即</w:t>
      </w:r>
      <w:r>
        <w:rPr>
          <w:rFonts w:hint="eastAsia" w:ascii="宋体" w:hAnsi="宋体" w:cs="宋体"/>
          <w:kern w:val="0"/>
          <w:sz w:val="24"/>
          <w:u w:val="single"/>
          <w:lang w:eastAsia="zh-Hans"/>
        </w:rPr>
        <w:t>¥</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Hans"/>
        </w:rPr>
        <w:t>元</w:t>
      </w:r>
      <w:r>
        <w:rPr>
          <w:rFonts w:hint="eastAsia" w:ascii="仿宋" w:hAnsi="仿宋" w:eastAsia="仿宋" w:cs="仿宋"/>
          <w:kern w:val="0"/>
          <w:sz w:val="24"/>
          <w:u w:val="single"/>
        </w:rPr>
        <w:t>（</w:t>
      </w:r>
      <w:r>
        <w:rPr>
          <w:rFonts w:hint="eastAsia" w:ascii="仿宋" w:hAnsi="仿宋" w:eastAsia="仿宋" w:cs="仿宋"/>
          <w:kern w:val="0"/>
          <w:sz w:val="24"/>
          <w:u w:val="single"/>
          <w:lang w:eastAsia="zh-Hans"/>
        </w:rPr>
        <w:t xml:space="preserve">大写： </w:t>
      </w:r>
      <w:r>
        <w:rPr>
          <w:rFonts w:hint="eastAsia" w:ascii="仿宋" w:hAnsi="仿宋" w:eastAsia="仿宋" w:cs="仿宋"/>
          <w:kern w:val="0"/>
          <w:sz w:val="24"/>
          <w:u w:val="single"/>
        </w:rPr>
        <w:t>）</w:t>
      </w:r>
      <w:r>
        <w:rPr>
          <w:rFonts w:hint="eastAsia" w:ascii="仿宋" w:hAnsi="仿宋" w:eastAsia="仿宋" w:cs="仿宋"/>
          <w:kern w:val="0"/>
          <w:sz w:val="24"/>
          <w:lang w:eastAsia="zh-Hans"/>
        </w:rPr>
        <w:t>；</w:t>
      </w:r>
    </w:p>
    <w:p>
      <w:pPr>
        <w:spacing w:line="420" w:lineRule="exact"/>
        <w:ind w:firstLine="480" w:firstLineChars="200"/>
        <w:rPr>
          <w:rFonts w:ascii="仿宋" w:hAnsi="仿宋" w:eastAsia="仿宋" w:cs="仿宋"/>
          <w:kern w:val="0"/>
          <w:sz w:val="24"/>
          <w:lang w:eastAsia="zh-Hans"/>
        </w:rPr>
      </w:pPr>
      <w:r>
        <w:rPr>
          <w:rFonts w:hint="eastAsia" w:ascii="仿宋" w:hAnsi="仿宋" w:eastAsia="仿宋" w:cs="仿宋"/>
          <w:kern w:val="0"/>
          <w:sz w:val="24"/>
        </w:rPr>
        <w:t>4、</w:t>
      </w:r>
      <w:r>
        <w:rPr>
          <w:rFonts w:hint="eastAsia" w:ascii="仿宋" w:hAnsi="仿宋" w:eastAsia="仿宋" w:cs="仿宋"/>
          <w:sz w:val="24"/>
        </w:rPr>
        <w:t>质保运行满【36】个月后，进行终验，终验合格后，支付合同总额10%</w:t>
      </w:r>
      <w:r>
        <w:rPr>
          <w:rFonts w:hint="eastAsia" w:ascii="仿宋" w:hAnsi="仿宋" w:eastAsia="仿宋" w:cs="仿宋"/>
          <w:kern w:val="0"/>
          <w:sz w:val="24"/>
        </w:rPr>
        <w:t>，</w:t>
      </w:r>
      <w:r>
        <w:rPr>
          <w:rFonts w:hint="eastAsia" w:ascii="仿宋" w:hAnsi="仿宋" w:eastAsia="仿宋" w:cs="仿宋"/>
          <w:kern w:val="0"/>
          <w:sz w:val="24"/>
          <w:lang w:eastAsia="zh-Hans"/>
        </w:rPr>
        <w:t>即</w:t>
      </w:r>
      <w:r>
        <w:rPr>
          <w:rFonts w:hint="eastAsia" w:ascii="宋体" w:hAnsi="宋体" w:cs="宋体"/>
          <w:kern w:val="0"/>
          <w:sz w:val="24"/>
          <w:u w:val="single"/>
          <w:lang w:eastAsia="zh-Hans"/>
        </w:rPr>
        <w:t>¥</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eastAsia="zh-Hans"/>
        </w:rPr>
        <w:t>元</w:t>
      </w:r>
      <w:r>
        <w:rPr>
          <w:rFonts w:hint="eastAsia" w:ascii="仿宋" w:hAnsi="仿宋" w:eastAsia="仿宋" w:cs="仿宋"/>
          <w:kern w:val="0"/>
          <w:sz w:val="24"/>
          <w:u w:val="single"/>
        </w:rPr>
        <w:t>（</w:t>
      </w:r>
      <w:r>
        <w:rPr>
          <w:rFonts w:hint="eastAsia" w:ascii="仿宋" w:hAnsi="仿宋" w:eastAsia="仿宋" w:cs="仿宋"/>
          <w:kern w:val="0"/>
          <w:sz w:val="24"/>
          <w:u w:val="single"/>
          <w:lang w:eastAsia="zh-Hans"/>
        </w:rPr>
        <w:t>大写：</w:t>
      </w:r>
      <w:r>
        <w:rPr>
          <w:rFonts w:hint="eastAsia" w:ascii="仿宋" w:hAnsi="仿宋" w:eastAsia="仿宋" w:cs="仿宋"/>
          <w:sz w:val="24"/>
          <w:u w:val="single"/>
          <w:lang w:eastAsia="zh-Hans"/>
        </w:rPr>
        <w:t xml:space="preserve"> </w:t>
      </w:r>
      <w:r>
        <w:rPr>
          <w:rFonts w:hint="eastAsia" w:ascii="仿宋" w:hAnsi="仿宋" w:eastAsia="仿宋" w:cs="仿宋"/>
          <w:kern w:val="0"/>
          <w:sz w:val="24"/>
          <w:u w:val="single"/>
        </w:rPr>
        <w:t>）</w:t>
      </w:r>
      <w:r>
        <w:rPr>
          <w:rFonts w:hint="eastAsia" w:ascii="仿宋" w:hAnsi="仿宋" w:eastAsia="仿宋" w:cs="仿宋"/>
          <w:kern w:val="0"/>
          <w:sz w:val="24"/>
          <w:lang w:eastAsia="zh-Hans"/>
        </w:rPr>
        <w:t>；</w:t>
      </w:r>
    </w:p>
    <w:p>
      <w:pPr>
        <w:spacing w:line="420" w:lineRule="exact"/>
        <w:ind w:firstLine="480" w:firstLineChars="200"/>
        <w:rPr>
          <w:rFonts w:ascii="仿宋" w:hAnsi="仿宋" w:eastAsia="仿宋" w:cs="仿宋"/>
          <w:kern w:val="0"/>
          <w:sz w:val="24"/>
        </w:rPr>
      </w:pPr>
      <w:r>
        <w:rPr>
          <w:rFonts w:hint="eastAsia" w:ascii="仿宋" w:hAnsi="仿宋" w:eastAsia="仿宋" w:cs="仿宋"/>
          <w:kern w:val="0"/>
          <w:sz w:val="24"/>
        </w:rPr>
        <w:t>5、甲方开票信息</w:t>
      </w:r>
    </w:p>
    <w:p>
      <w:pPr>
        <w:spacing w:line="420" w:lineRule="exact"/>
        <w:ind w:firstLine="420" w:firstLineChars="200"/>
        <w:rPr>
          <w:rFonts w:ascii="仿宋" w:hAnsi="仿宋" w:eastAsia="仿宋" w:cs="仿宋"/>
          <w:b/>
          <w:kern w:val="0"/>
          <w:sz w:val="24"/>
        </w:rPr>
      </w:pPr>
      <w:r>
        <w:t xml:space="preserve"> </w:t>
      </w:r>
      <w:r>
        <w:rPr>
          <w:rFonts w:hint="eastAsia" w:ascii="仿宋" w:hAnsi="仿宋" w:eastAsia="仿宋" w:cs="仿宋"/>
          <w:b/>
          <w:kern w:val="0"/>
          <w:sz w:val="24"/>
        </w:rPr>
        <w:t>开户名称：新疆准东经济技术开发区管理委员会</w:t>
      </w:r>
    </w:p>
    <w:p>
      <w:pPr>
        <w:spacing w:line="420" w:lineRule="exact"/>
        <w:ind w:firstLine="480" w:firstLineChars="200"/>
        <w:rPr>
          <w:rFonts w:ascii="仿宋" w:hAnsi="仿宋" w:eastAsia="仿宋" w:cs="仿宋"/>
          <w:b/>
          <w:kern w:val="0"/>
          <w:sz w:val="24"/>
        </w:rPr>
      </w:pPr>
      <w:r>
        <w:rPr>
          <w:rFonts w:hint="eastAsia" w:ascii="仿宋" w:hAnsi="仿宋" w:eastAsia="仿宋" w:cs="仿宋"/>
          <w:b/>
          <w:kern w:val="0"/>
          <w:sz w:val="24"/>
        </w:rPr>
        <w:t>账号：3004025509100037932</w:t>
      </w:r>
    </w:p>
    <w:p>
      <w:pPr>
        <w:spacing w:line="420" w:lineRule="exact"/>
        <w:ind w:firstLine="480" w:firstLineChars="200"/>
        <w:rPr>
          <w:rFonts w:ascii="仿宋" w:hAnsi="仿宋" w:eastAsia="仿宋" w:cs="仿宋"/>
          <w:b/>
          <w:kern w:val="0"/>
          <w:sz w:val="24"/>
        </w:rPr>
      </w:pPr>
      <w:r>
        <w:rPr>
          <w:rFonts w:hint="eastAsia" w:ascii="仿宋" w:hAnsi="仿宋" w:eastAsia="仿宋" w:cs="仿宋"/>
          <w:b/>
          <w:kern w:val="0"/>
          <w:sz w:val="24"/>
        </w:rPr>
        <w:t>开户行：中国工商银行股份有限公司准东支行</w:t>
      </w:r>
    </w:p>
    <w:p>
      <w:pPr>
        <w:spacing w:line="420" w:lineRule="exact"/>
        <w:ind w:firstLine="480" w:firstLineChars="200"/>
        <w:rPr>
          <w:rFonts w:ascii="仿宋" w:hAnsi="仿宋" w:eastAsia="仿宋" w:cs="仿宋"/>
          <w:b/>
          <w:kern w:val="0"/>
          <w:sz w:val="24"/>
        </w:rPr>
      </w:pPr>
      <w:r>
        <w:rPr>
          <w:rFonts w:hint="eastAsia" w:ascii="仿宋" w:hAnsi="仿宋" w:eastAsia="仿宋" w:cs="仿宋"/>
          <w:b/>
          <w:kern w:val="0"/>
          <w:sz w:val="24"/>
        </w:rPr>
        <w:t>统一信用代码证号：12652300564396645A</w:t>
      </w:r>
    </w:p>
    <w:p>
      <w:pPr>
        <w:spacing w:line="420" w:lineRule="exact"/>
        <w:ind w:firstLine="480" w:firstLineChars="200"/>
        <w:rPr>
          <w:rFonts w:ascii="仿宋" w:hAnsi="仿宋" w:eastAsia="仿宋" w:cs="仿宋"/>
          <w:b/>
          <w:kern w:val="0"/>
          <w:sz w:val="24"/>
        </w:rPr>
      </w:pPr>
      <w:r>
        <w:rPr>
          <w:rFonts w:hint="eastAsia" w:ascii="仿宋" w:hAnsi="仿宋" w:eastAsia="仿宋" w:cs="仿宋"/>
          <w:b/>
          <w:kern w:val="0"/>
          <w:sz w:val="24"/>
        </w:rPr>
        <w:t>单位地址：新疆准东经济技术开发区五彩湾新城五彩路51号</w:t>
      </w:r>
    </w:p>
    <w:p>
      <w:pPr>
        <w:spacing w:line="420" w:lineRule="exact"/>
        <w:ind w:firstLine="480" w:firstLineChars="200"/>
        <w:rPr>
          <w:rFonts w:ascii="仿宋" w:hAnsi="仿宋" w:eastAsia="仿宋" w:cs="仿宋"/>
          <w:kern w:val="0"/>
          <w:sz w:val="24"/>
        </w:rPr>
      </w:pPr>
      <w:r>
        <w:rPr>
          <w:rFonts w:hint="eastAsia" w:ascii="仿宋" w:hAnsi="仿宋" w:eastAsia="仿宋" w:cs="仿宋"/>
          <w:kern w:val="0"/>
          <w:sz w:val="24"/>
        </w:rPr>
        <w:t>6、支付方式：银行转帐。</w:t>
      </w:r>
    </w:p>
    <w:p>
      <w:pPr>
        <w:spacing w:line="420" w:lineRule="exact"/>
        <w:ind w:firstLine="480" w:firstLineChars="200"/>
        <w:rPr>
          <w:rFonts w:ascii="仿宋" w:hAnsi="仿宋" w:eastAsia="仿宋" w:cs="仿宋"/>
          <w:b/>
          <w:kern w:val="0"/>
          <w:sz w:val="24"/>
        </w:rPr>
      </w:pPr>
      <w:r>
        <w:rPr>
          <w:rFonts w:hint="eastAsia" w:ascii="仿宋" w:hAnsi="仿宋" w:eastAsia="仿宋" w:cs="仿宋"/>
          <w:b/>
          <w:kern w:val="0"/>
          <w:sz w:val="24"/>
        </w:rPr>
        <w:t>乙方账户信息如下：</w:t>
      </w:r>
    </w:p>
    <w:p>
      <w:pPr>
        <w:spacing w:line="420" w:lineRule="exact"/>
        <w:ind w:firstLine="480" w:firstLineChars="200"/>
        <w:rPr>
          <w:rFonts w:ascii="仿宋" w:hAnsi="仿宋" w:eastAsia="仿宋" w:cs="仿宋"/>
          <w:b/>
          <w:kern w:val="0"/>
          <w:sz w:val="24"/>
        </w:rPr>
      </w:pPr>
      <w:r>
        <w:rPr>
          <w:rFonts w:hint="eastAsia" w:ascii="仿宋" w:hAnsi="仿宋" w:eastAsia="仿宋" w:cs="仿宋"/>
          <w:b/>
          <w:kern w:val="0"/>
          <w:sz w:val="24"/>
        </w:rPr>
        <w:t xml:space="preserve">开户名称：  </w:t>
      </w:r>
    </w:p>
    <w:p>
      <w:pPr>
        <w:spacing w:line="420" w:lineRule="exact"/>
        <w:ind w:firstLine="480" w:firstLineChars="200"/>
        <w:rPr>
          <w:rFonts w:ascii="仿宋" w:hAnsi="仿宋" w:eastAsia="仿宋" w:cs="仿宋"/>
          <w:b/>
          <w:kern w:val="0"/>
          <w:sz w:val="24"/>
        </w:rPr>
      </w:pPr>
      <w:r>
        <w:rPr>
          <w:rFonts w:hint="eastAsia" w:ascii="仿宋" w:hAnsi="仿宋" w:eastAsia="仿宋" w:cs="仿宋"/>
          <w:b/>
          <w:kern w:val="0"/>
          <w:sz w:val="24"/>
        </w:rPr>
        <w:t xml:space="preserve">账    号：   </w:t>
      </w:r>
    </w:p>
    <w:p>
      <w:pPr>
        <w:ind w:firstLine="480" w:firstLineChars="200"/>
        <w:rPr>
          <w:rFonts w:ascii="仿宋" w:hAnsi="仿宋" w:eastAsia="仿宋" w:cs="仿宋"/>
          <w:b/>
          <w:kern w:val="0"/>
          <w:sz w:val="24"/>
        </w:rPr>
      </w:pPr>
      <w:r>
        <w:rPr>
          <w:rFonts w:hint="eastAsia" w:ascii="仿宋" w:hAnsi="仿宋" w:eastAsia="仿宋" w:cs="仿宋"/>
          <w:b/>
          <w:kern w:val="0"/>
          <w:sz w:val="24"/>
        </w:rPr>
        <w:t xml:space="preserve">开 户 行：  </w:t>
      </w:r>
    </w:p>
    <w:p>
      <w:pPr>
        <w:pStyle w:val="2"/>
        <w:ind w:firstLine="440"/>
        <w:rPr>
          <w:rFonts w:ascii="Times New Roman" w:hAnsi="Times New Roman" w:eastAsiaTheme="minorEastAsia" w:cstheme="minorBidi"/>
        </w:rPr>
      </w:pPr>
    </w:p>
    <w:p>
      <w:pPr>
        <w:ind w:firstLine="560" w:firstLineChars="200"/>
        <w:rPr>
          <w:rFonts w:ascii="仿宋" w:hAnsi="仿宋" w:eastAsia="仿宋" w:cs="仿宋"/>
          <w:b/>
          <w:sz w:val="28"/>
          <w:szCs w:val="28"/>
        </w:rPr>
      </w:pPr>
      <w:r>
        <w:rPr>
          <w:rFonts w:hint="eastAsia" w:ascii="仿宋" w:hAnsi="仿宋" w:eastAsia="仿宋" w:cs="仿宋"/>
          <w:b/>
          <w:sz w:val="28"/>
          <w:szCs w:val="28"/>
        </w:rPr>
        <w:t>四、交货条件</w:t>
      </w:r>
    </w:p>
    <w:p>
      <w:pPr>
        <w:ind w:firstLine="480" w:firstLineChars="200"/>
        <w:rPr>
          <w:rFonts w:ascii="仿宋" w:hAnsi="仿宋" w:eastAsia="仿宋" w:cs="仿宋"/>
          <w:kern w:val="0"/>
          <w:sz w:val="24"/>
          <w:lang w:eastAsia="zh-Hans"/>
        </w:rPr>
      </w:pPr>
      <w:r>
        <w:rPr>
          <w:rFonts w:hint="eastAsia" w:ascii="仿宋" w:hAnsi="仿宋" w:eastAsia="仿宋" w:cs="仿宋"/>
          <w:kern w:val="0"/>
          <w:sz w:val="24"/>
          <w:lang w:eastAsia="zh-Hans"/>
        </w:rPr>
        <w:t xml:space="preserve">1、交货地点：新疆准东经济技术开发区产教融合科技创新园，具体以甲方通知时指定交货地点为准。 </w:t>
      </w:r>
    </w:p>
    <w:p>
      <w:pPr>
        <w:ind w:firstLine="480" w:firstLineChars="200"/>
        <w:rPr>
          <w:rFonts w:ascii="仿宋" w:hAnsi="仿宋" w:eastAsia="仿宋" w:cs="仿宋"/>
          <w:kern w:val="0"/>
          <w:sz w:val="24"/>
        </w:rPr>
      </w:pPr>
      <w:r>
        <w:rPr>
          <w:rFonts w:hint="eastAsia" w:ascii="仿宋" w:hAnsi="仿宋" w:eastAsia="仿宋" w:cs="仿宋"/>
          <w:kern w:val="0"/>
          <w:sz w:val="24"/>
        </w:rPr>
        <w:t>2、交货时间： 2021年 月  日完成交货，并在使用方（准东教育投资公司）要求时间内完成安装调试并通过甲方及使用方（准东教育投资公司）联合书面验收。</w:t>
      </w:r>
    </w:p>
    <w:p>
      <w:pPr>
        <w:pStyle w:val="2"/>
        <w:ind w:firstLine="380"/>
        <w:rPr>
          <w:rFonts w:ascii="Times New Roman" w:hAnsi="Times New Roman" w:eastAsiaTheme="minorEastAsia" w:cstheme="minorBidi"/>
          <w:sz w:val="21"/>
          <w:szCs w:val="21"/>
        </w:rPr>
      </w:pPr>
    </w:p>
    <w:p>
      <w:pPr>
        <w:numPr>
          <w:ilvl w:val="0"/>
          <w:numId w:val="4"/>
        </w:numPr>
        <w:spacing w:line="420" w:lineRule="exact"/>
        <w:ind w:firstLine="560" w:firstLineChars="200"/>
        <w:rPr>
          <w:rFonts w:ascii="仿宋" w:hAnsi="仿宋" w:eastAsia="仿宋" w:cs="仿宋"/>
          <w:b/>
          <w:sz w:val="28"/>
          <w:szCs w:val="28"/>
        </w:rPr>
      </w:pPr>
      <w:r>
        <w:rPr>
          <w:rFonts w:hint="eastAsia" w:ascii="仿宋" w:hAnsi="仿宋" w:eastAsia="仿宋" w:cs="仿宋"/>
          <w:b/>
          <w:sz w:val="28"/>
          <w:szCs w:val="28"/>
        </w:rPr>
        <w:t>质量保证</w:t>
      </w:r>
    </w:p>
    <w:p>
      <w:pPr>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乙方所供设备必须执行下列条款：</w:t>
      </w:r>
    </w:p>
    <w:p>
      <w:pPr>
        <w:spacing w:line="360" w:lineRule="auto"/>
        <w:ind w:firstLine="200"/>
        <w:rPr>
          <w:rFonts w:ascii="仿宋" w:hAnsi="仿宋" w:eastAsia="仿宋"/>
          <w:sz w:val="24"/>
          <w:szCs w:val="24"/>
        </w:rPr>
      </w:pPr>
      <w:r>
        <w:rPr>
          <w:rFonts w:hint="eastAsia" w:ascii="仿宋" w:hAnsi="仿宋" w:eastAsia="仿宋"/>
          <w:sz w:val="24"/>
          <w:szCs w:val="24"/>
        </w:rPr>
        <w:t>1、选用的设备保证为技术指标先进、质量性能可靠、进货渠道正规，包括零部件在内的全新原装正品产品，全面满足招标文件要求。</w:t>
      </w:r>
    </w:p>
    <w:p>
      <w:pPr>
        <w:spacing w:line="360" w:lineRule="auto"/>
        <w:ind w:firstLine="200"/>
        <w:rPr>
          <w:rFonts w:ascii="仿宋" w:hAnsi="仿宋" w:eastAsia="仿宋"/>
          <w:sz w:val="24"/>
          <w:szCs w:val="24"/>
        </w:rPr>
      </w:pPr>
      <w:r>
        <w:rPr>
          <w:rFonts w:hint="eastAsia" w:ascii="仿宋" w:hAnsi="仿宋" w:eastAsia="仿宋"/>
          <w:sz w:val="24"/>
          <w:szCs w:val="24"/>
        </w:rPr>
        <w:t>2、设备符合国家有关规范要求，质量完全符合国家质量检测标准和产品出厂标准并全面满足用户使用需求。</w:t>
      </w:r>
    </w:p>
    <w:p>
      <w:pPr>
        <w:spacing w:line="420" w:lineRule="exact"/>
        <w:ind w:firstLine="480" w:firstLineChars="200"/>
        <w:rPr>
          <w:rFonts w:ascii="仿宋" w:hAnsi="仿宋" w:eastAsia="仿宋" w:cs="仿宋"/>
          <w:sz w:val="24"/>
        </w:rPr>
      </w:pPr>
      <w:r>
        <w:rPr>
          <w:rFonts w:hint="eastAsia" w:ascii="仿宋" w:hAnsi="仿宋" w:eastAsia="仿宋" w:cs="仿宋"/>
          <w:sz w:val="24"/>
        </w:rPr>
        <w:t>3、设备自安装、调试正常运行并验收合格之日起，质保</w:t>
      </w:r>
      <w:r>
        <w:rPr>
          <w:rFonts w:hint="eastAsia" w:ascii="仿宋" w:hAnsi="仿宋" w:eastAsia="仿宋" w:cs="仿宋"/>
          <w:b/>
          <w:bCs/>
          <w:sz w:val="24"/>
          <w:u w:val="single"/>
        </w:rPr>
        <w:t xml:space="preserve">   年 </w:t>
      </w:r>
      <w:r>
        <w:rPr>
          <w:rFonts w:hint="eastAsia" w:ascii="仿宋" w:hAnsi="仿宋" w:eastAsia="仿宋" w:cs="仿宋"/>
          <w:sz w:val="24"/>
        </w:rPr>
        <w:t>（含产品软件免费升级）。设备自安装、调试正常运行并验收合格之日起【</w:t>
      </w:r>
      <w:r>
        <w:rPr>
          <w:rFonts w:hint="eastAsia" w:ascii="仿宋" w:hAnsi="仿宋" w:eastAsia="仿宋" w:cs="仿宋"/>
          <w:b/>
          <w:bCs/>
          <w:sz w:val="24"/>
          <w:u w:val="single"/>
        </w:rPr>
        <w:t>90</w:t>
      </w:r>
      <w:r>
        <w:rPr>
          <w:rFonts w:hint="eastAsia" w:ascii="仿宋" w:hAnsi="仿宋" w:eastAsia="仿宋" w:cs="仿宋"/>
          <w:sz w:val="24"/>
        </w:rPr>
        <w:t>】天内，如出现质量问题，可以选择换货或退货；设备自安装、调试正常运行并验收合格之日起至</w:t>
      </w:r>
      <w:r>
        <w:rPr>
          <w:rFonts w:hint="eastAsia" w:ascii="仿宋" w:hAnsi="仿宋" w:eastAsia="仿宋" w:cs="仿宋"/>
          <w:b/>
          <w:bCs/>
          <w:sz w:val="24"/>
          <w:u w:val="single"/>
        </w:rPr>
        <w:t>【180】</w:t>
      </w:r>
      <w:r>
        <w:rPr>
          <w:rFonts w:hint="eastAsia" w:ascii="仿宋" w:hAnsi="仿宋" w:eastAsia="仿宋" w:cs="仿宋"/>
          <w:sz w:val="24"/>
        </w:rPr>
        <w:t>天内，如出现质量问题，可选择换货。免费保修期内，同一主要部件出现质量问题经过两次维修后仍无法正常使用，可以更换同型号、同规格的产品，服务响应时间不超过</w:t>
      </w:r>
      <w:r>
        <w:rPr>
          <w:rFonts w:hint="eastAsia" w:ascii="仿宋" w:hAnsi="仿宋" w:eastAsia="仿宋" w:cs="仿宋"/>
          <w:b/>
          <w:bCs/>
          <w:sz w:val="24"/>
          <w:u w:val="single"/>
        </w:rPr>
        <w:t xml:space="preserve"> 【2】</w:t>
      </w:r>
      <w:r>
        <w:rPr>
          <w:rFonts w:hint="eastAsia" w:ascii="仿宋" w:hAnsi="仿宋" w:eastAsia="仿宋" w:cs="仿宋"/>
          <w:sz w:val="24"/>
        </w:rPr>
        <w:t>小时，解决问题不超过</w:t>
      </w:r>
      <w:r>
        <w:rPr>
          <w:rFonts w:hint="eastAsia" w:ascii="仿宋" w:hAnsi="仿宋" w:eastAsia="仿宋" w:cs="仿宋"/>
          <w:b/>
          <w:bCs/>
          <w:sz w:val="24"/>
          <w:u w:val="single"/>
        </w:rPr>
        <w:t xml:space="preserve"> 【24 】 </w:t>
      </w:r>
      <w:r>
        <w:rPr>
          <w:rFonts w:hint="eastAsia" w:ascii="仿宋" w:hAnsi="仿宋" w:eastAsia="仿宋" w:cs="仿宋"/>
          <w:sz w:val="24"/>
        </w:rPr>
        <w:t>小时，对问题较大短期内暂不能解决的，为不影响甲方正常工作，乙方在</w:t>
      </w:r>
      <w:r>
        <w:rPr>
          <w:rFonts w:hint="eastAsia" w:ascii="仿宋" w:hAnsi="仿宋" w:eastAsia="仿宋" w:cs="仿宋"/>
          <w:b/>
          <w:bCs/>
          <w:sz w:val="24"/>
          <w:u w:val="single"/>
        </w:rPr>
        <w:t xml:space="preserve"> 【2】</w:t>
      </w:r>
      <w:r>
        <w:rPr>
          <w:rFonts w:hint="eastAsia" w:ascii="仿宋" w:hAnsi="仿宋" w:eastAsia="仿宋" w:cs="仿宋"/>
          <w:sz w:val="24"/>
        </w:rPr>
        <w:t>日内免费提供替代产品，确保设备正常运行。</w:t>
      </w:r>
    </w:p>
    <w:p>
      <w:pPr>
        <w:ind w:firstLine="480" w:firstLineChars="200"/>
        <w:rPr>
          <w:rFonts w:ascii="仿宋" w:hAnsi="仿宋" w:eastAsia="仿宋" w:cs="仿宋"/>
          <w:kern w:val="0"/>
          <w:sz w:val="24"/>
        </w:rPr>
      </w:pPr>
      <w:r>
        <w:rPr>
          <w:rFonts w:hint="eastAsia" w:ascii="仿宋" w:hAnsi="仿宋" w:eastAsia="仿宋" w:cs="仿宋"/>
          <w:kern w:val="0"/>
          <w:sz w:val="24"/>
        </w:rPr>
        <w:t>4、提供的产品无知识产权瑕疵或纠纷。</w:t>
      </w:r>
    </w:p>
    <w:p>
      <w:pPr>
        <w:pStyle w:val="2"/>
        <w:ind w:firstLine="380"/>
        <w:rPr>
          <w:rFonts w:ascii="Times New Roman" w:hAnsi="Times New Roman" w:eastAsiaTheme="minorEastAsia" w:cstheme="minorBidi"/>
          <w:sz w:val="21"/>
        </w:rPr>
      </w:pPr>
    </w:p>
    <w:p>
      <w:pPr>
        <w:spacing w:line="420" w:lineRule="exact"/>
        <w:ind w:firstLine="560" w:firstLineChars="200"/>
        <w:rPr>
          <w:rFonts w:ascii="仿宋" w:hAnsi="仿宋" w:eastAsia="仿宋" w:cs="仿宋"/>
          <w:b/>
          <w:sz w:val="28"/>
          <w:szCs w:val="28"/>
        </w:rPr>
      </w:pPr>
      <w:r>
        <w:rPr>
          <w:rFonts w:hint="eastAsia" w:ascii="仿宋" w:hAnsi="仿宋" w:eastAsia="仿宋" w:cs="仿宋"/>
          <w:b/>
          <w:sz w:val="28"/>
          <w:szCs w:val="28"/>
        </w:rPr>
        <w:t>六、售后服务</w:t>
      </w:r>
    </w:p>
    <w:p>
      <w:pPr>
        <w:spacing w:line="420" w:lineRule="exact"/>
        <w:ind w:firstLine="480" w:firstLineChars="200"/>
        <w:jc w:val="left"/>
        <w:rPr>
          <w:rFonts w:ascii="仿宋" w:hAnsi="仿宋" w:eastAsia="仿宋" w:cs="仿宋"/>
          <w:sz w:val="24"/>
          <w:szCs w:val="24"/>
        </w:rPr>
      </w:pPr>
      <w:r>
        <w:rPr>
          <w:rFonts w:hint="eastAsia" w:ascii="仿宋" w:hAnsi="仿宋" w:eastAsia="仿宋" w:cs="仿宋"/>
          <w:sz w:val="24"/>
        </w:rPr>
        <w:t>乙方提供以下售后服务：</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1、质保期内，乙方所供设备发生质量问题，接到甲方通知后，应于当日派出合格的维修人员到设备现场进行检测维修，发生的全部费用由乙方承担，若需将产品送回生产厂，乙方承担往返费用。</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2、质保期内，乙方定期派技术人员到设备现场走访（至少每季度一次），对设备给予全面检查维护。</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3、质保期内，乙方排除设备故障的期限不得超过【2】个工作日。否则甲方有权指定第三方维修，维修费用由乙方承担或从尾款中扣除。</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4、质保期结束前，乙方应对所供设备进行检测，全面保养维护，确保设备正常运行。</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5、在质保期结束后，乙方对所供设备提供终身维护，只收取材料成本费。</w:t>
      </w:r>
    </w:p>
    <w:p>
      <w:pPr>
        <w:spacing w:line="420" w:lineRule="exact"/>
        <w:jc w:val="left"/>
        <w:rPr>
          <w:rFonts w:ascii="Times New Roman" w:hAnsi="Times New Roman" w:eastAsiaTheme="minorEastAsia" w:cstheme="minorBidi"/>
        </w:rPr>
      </w:pPr>
      <w:r>
        <w:rPr>
          <w:rFonts w:hint="eastAsia" w:ascii="仿宋" w:hAnsi="仿宋" w:eastAsia="仿宋" w:cs="仿宋"/>
          <w:sz w:val="24"/>
        </w:rPr>
        <w:t xml:space="preserve">    6、乙方按照投标承诺提供易损备品备件。</w:t>
      </w:r>
    </w:p>
    <w:p/>
    <w:p>
      <w:pPr>
        <w:spacing w:line="420" w:lineRule="exact"/>
        <w:ind w:firstLine="840" w:firstLineChars="300"/>
        <w:rPr>
          <w:rFonts w:ascii="仿宋" w:hAnsi="仿宋" w:eastAsia="仿宋" w:cs="仿宋"/>
          <w:b/>
          <w:sz w:val="28"/>
          <w:szCs w:val="28"/>
        </w:rPr>
      </w:pPr>
      <w:r>
        <w:rPr>
          <w:rFonts w:hint="eastAsia" w:ascii="仿宋" w:hAnsi="仿宋" w:eastAsia="仿宋" w:cs="仿宋"/>
          <w:b/>
          <w:sz w:val="28"/>
          <w:szCs w:val="28"/>
        </w:rPr>
        <w:t>七、技术与服务</w:t>
      </w:r>
    </w:p>
    <w:p>
      <w:pPr>
        <w:spacing w:line="420" w:lineRule="exact"/>
        <w:ind w:firstLine="480" w:firstLineChars="200"/>
        <w:jc w:val="left"/>
        <w:rPr>
          <w:rFonts w:ascii="仿宋" w:hAnsi="仿宋" w:eastAsia="仿宋" w:cs="仿宋"/>
          <w:sz w:val="24"/>
          <w:szCs w:val="24"/>
        </w:rPr>
      </w:pPr>
      <w:r>
        <w:rPr>
          <w:rFonts w:hint="eastAsia" w:ascii="仿宋" w:hAnsi="仿宋" w:eastAsia="仿宋" w:cs="仿宋"/>
          <w:sz w:val="24"/>
        </w:rPr>
        <w:t>（一）乙方向甲方提供下述资料</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1、技术资料：</w:t>
      </w:r>
    </w:p>
    <w:p>
      <w:pPr>
        <w:spacing w:line="420" w:lineRule="exact"/>
        <w:ind w:firstLine="720" w:firstLineChars="300"/>
        <w:jc w:val="left"/>
        <w:rPr>
          <w:rFonts w:ascii="仿宋" w:hAnsi="仿宋" w:eastAsia="仿宋" w:cs="仿宋"/>
          <w:sz w:val="24"/>
        </w:rPr>
      </w:pPr>
      <w:r>
        <w:rPr>
          <w:rFonts w:hint="eastAsia" w:ascii="仿宋" w:hAnsi="仿宋" w:eastAsia="仿宋" w:cs="仿宋"/>
          <w:sz w:val="24"/>
        </w:rPr>
        <w:t>1.1、产品合格证；</w:t>
      </w:r>
    </w:p>
    <w:p>
      <w:pPr>
        <w:spacing w:line="420" w:lineRule="exact"/>
        <w:ind w:firstLine="720" w:firstLineChars="300"/>
        <w:jc w:val="left"/>
        <w:rPr>
          <w:rFonts w:ascii="仿宋" w:hAnsi="仿宋" w:eastAsia="仿宋" w:cs="仿宋"/>
          <w:sz w:val="24"/>
        </w:rPr>
      </w:pPr>
      <w:r>
        <w:rPr>
          <w:rFonts w:hint="eastAsia" w:ascii="仿宋" w:hAnsi="仿宋" w:eastAsia="仿宋" w:cs="仿宋"/>
          <w:sz w:val="24"/>
        </w:rPr>
        <w:t>1.2、产品使用说明书；</w:t>
      </w:r>
    </w:p>
    <w:p>
      <w:pPr>
        <w:spacing w:line="420" w:lineRule="exact"/>
        <w:ind w:firstLine="720" w:firstLineChars="300"/>
        <w:jc w:val="left"/>
        <w:rPr>
          <w:rFonts w:ascii="仿宋" w:hAnsi="仿宋" w:eastAsia="仿宋" w:cs="仿宋"/>
          <w:sz w:val="24"/>
        </w:rPr>
      </w:pPr>
      <w:r>
        <w:rPr>
          <w:rFonts w:hint="eastAsia" w:ascii="仿宋" w:hAnsi="仿宋" w:eastAsia="仿宋" w:cs="仿宋"/>
          <w:sz w:val="24"/>
        </w:rPr>
        <w:t>1.3、检验测试报告；</w:t>
      </w:r>
    </w:p>
    <w:p>
      <w:pPr>
        <w:spacing w:line="420" w:lineRule="exact"/>
        <w:ind w:firstLine="720" w:firstLineChars="300"/>
        <w:jc w:val="left"/>
        <w:rPr>
          <w:rFonts w:ascii="Times New Roman" w:hAnsi="Times New Roman" w:eastAsiaTheme="minorEastAsia" w:cstheme="minorBidi"/>
        </w:rPr>
      </w:pPr>
      <w:r>
        <w:rPr>
          <w:rFonts w:hint="eastAsia" w:ascii="仿宋" w:hAnsi="仿宋" w:eastAsia="仿宋" w:cs="仿宋"/>
          <w:sz w:val="24"/>
        </w:rPr>
        <w:t>1.4、其它招标文件要求资料。</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（二）乙方技术培训服务</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乙方派遣具有操作维修经验的专业人员免费给予甲方专业人员设备安装、调试、使用操作、维护保养、故障排除等方面技术交底和指导培训,确保甲方受训人员能完全独立地操作和使用设备。培训内容包括但不限于:设备系统结构、工作原理及各功能阐述；设备性能、质量、技术参数；使用操作、运行管理方法；常见故障的排除及日常维护、保养方法；设备配套工具的使用方法。</w:t>
      </w:r>
    </w:p>
    <w:p>
      <w:pPr>
        <w:pStyle w:val="2"/>
        <w:ind w:firstLine="380"/>
        <w:rPr>
          <w:rFonts w:ascii="Times New Roman" w:hAnsi="Times New Roman" w:eastAsiaTheme="minorEastAsia" w:cstheme="minorBidi"/>
          <w:sz w:val="21"/>
        </w:rPr>
      </w:pPr>
    </w:p>
    <w:p>
      <w:pPr>
        <w:spacing w:line="420" w:lineRule="exact"/>
        <w:ind w:firstLine="840" w:firstLineChars="300"/>
        <w:rPr>
          <w:rFonts w:ascii="仿宋" w:hAnsi="仿宋" w:eastAsia="仿宋" w:cs="仿宋"/>
          <w:b/>
          <w:sz w:val="28"/>
          <w:szCs w:val="28"/>
        </w:rPr>
      </w:pPr>
      <w:r>
        <w:rPr>
          <w:rFonts w:hint="eastAsia" w:ascii="仿宋" w:hAnsi="仿宋" w:eastAsia="仿宋" w:cs="仿宋"/>
          <w:b/>
          <w:sz w:val="28"/>
          <w:szCs w:val="28"/>
        </w:rPr>
        <w:t>八、包装及验收</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rPr>
        <w:t>1、乙方承担标的物运输及运输过程中保护责任，所提供设备必须进行包装，免收包装费，包装物不回收，合同标的物在运输过程中损坏、损毁、灭失等全部由乙方承担责任。</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2、设备到达甲方指定地点后，甲方根据合同要求，对设备进行外观验收、确认设备的产地、规格、型号和数量。</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3、设备安装、调试并正常运行后，由乙方进行自检，合格后，准备验收文件，并书面通知甲方。</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4、甲方确认乙方的自检内容后，组织使用方（准东教育投资公司，必要时请有关专家，验收期间所产生的费用由乙方承担）进行系统验收，验收合格后，填写验收单作为对供货产品的最终认可。</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5、乙方向甲方提交设备实施过程中的所有资料。以便甲方日后管理和维护。</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6、验收依据：</w:t>
      </w:r>
    </w:p>
    <w:p>
      <w:pPr>
        <w:spacing w:line="420" w:lineRule="exact"/>
        <w:ind w:firstLine="720" w:firstLineChars="300"/>
        <w:jc w:val="left"/>
        <w:rPr>
          <w:rFonts w:ascii="仿宋" w:hAnsi="仿宋" w:eastAsia="仿宋" w:cs="仿宋"/>
          <w:sz w:val="24"/>
        </w:rPr>
      </w:pPr>
      <w:r>
        <w:rPr>
          <w:rFonts w:hint="eastAsia" w:ascii="仿宋" w:hAnsi="仿宋" w:eastAsia="仿宋" w:cs="仿宋"/>
          <w:sz w:val="24"/>
        </w:rPr>
        <w:t>6.1、招标文件、投标文件、澄清表（函）；</w:t>
      </w:r>
    </w:p>
    <w:p>
      <w:pPr>
        <w:spacing w:line="420" w:lineRule="exact"/>
        <w:ind w:firstLine="720" w:firstLineChars="300"/>
        <w:jc w:val="left"/>
        <w:rPr>
          <w:rFonts w:ascii="仿宋" w:hAnsi="仿宋" w:eastAsia="仿宋" w:cs="仿宋"/>
          <w:sz w:val="24"/>
        </w:rPr>
      </w:pPr>
      <w:r>
        <w:rPr>
          <w:rFonts w:hint="eastAsia" w:ascii="仿宋" w:hAnsi="仿宋" w:eastAsia="仿宋" w:cs="仿宋"/>
          <w:sz w:val="24"/>
        </w:rPr>
        <w:t>6.2、本合同及附件文本；</w:t>
      </w:r>
    </w:p>
    <w:p>
      <w:pPr>
        <w:spacing w:line="420" w:lineRule="exact"/>
        <w:ind w:firstLine="720" w:firstLineChars="300"/>
        <w:jc w:val="left"/>
        <w:rPr>
          <w:rFonts w:ascii="仿宋" w:hAnsi="仿宋" w:eastAsia="仿宋" w:cs="仿宋"/>
          <w:sz w:val="24"/>
        </w:rPr>
      </w:pPr>
      <w:r>
        <w:rPr>
          <w:rFonts w:hint="eastAsia" w:ascii="仿宋" w:hAnsi="仿宋" w:eastAsia="仿宋" w:cs="仿宋"/>
          <w:sz w:val="24"/>
        </w:rPr>
        <w:t>6.3、国家相应的标准、规范。</w:t>
      </w:r>
    </w:p>
    <w:p>
      <w:pPr>
        <w:spacing w:line="420" w:lineRule="exact"/>
        <w:ind w:firstLine="720" w:firstLineChars="300"/>
        <w:jc w:val="left"/>
        <w:rPr>
          <w:rFonts w:ascii="仿宋" w:hAnsi="仿宋" w:eastAsia="仿宋" w:cs="仿宋"/>
          <w:sz w:val="24"/>
        </w:rPr>
      </w:pPr>
      <w:r>
        <w:rPr>
          <w:rFonts w:hint="eastAsia" w:ascii="仿宋" w:hAnsi="仿宋" w:eastAsia="仿宋" w:cs="仿宋"/>
          <w:sz w:val="24"/>
        </w:rPr>
        <w:t>6.4、使用方现场实际要求。</w:t>
      </w:r>
    </w:p>
    <w:p>
      <w:pPr>
        <w:spacing w:line="420" w:lineRule="exact"/>
        <w:ind w:firstLine="720" w:firstLineChars="300"/>
        <w:jc w:val="left"/>
        <w:rPr>
          <w:rFonts w:ascii="仿宋" w:hAnsi="仿宋" w:eastAsia="仿宋" w:cs="仿宋"/>
          <w:sz w:val="24"/>
        </w:rPr>
      </w:pPr>
    </w:p>
    <w:p>
      <w:pPr>
        <w:ind w:firstLine="840" w:firstLineChars="300"/>
        <w:rPr>
          <w:rFonts w:ascii="仿宋" w:hAnsi="仿宋" w:eastAsia="仿宋" w:cs="仿宋"/>
          <w:b/>
          <w:sz w:val="28"/>
          <w:szCs w:val="28"/>
        </w:rPr>
      </w:pPr>
      <w:r>
        <w:rPr>
          <w:rFonts w:hint="eastAsia" w:ascii="仿宋" w:hAnsi="仿宋" w:eastAsia="仿宋" w:cs="仿宋"/>
          <w:b/>
          <w:sz w:val="28"/>
          <w:szCs w:val="28"/>
        </w:rPr>
        <w:t>九、违约责任</w:t>
      </w:r>
    </w:p>
    <w:p>
      <w:pPr>
        <w:spacing w:line="420" w:lineRule="exact"/>
        <w:ind w:firstLine="480" w:firstLineChars="200"/>
        <w:jc w:val="left"/>
        <w:rPr>
          <w:rFonts w:ascii="仿宋" w:hAnsi="仿宋" w:eastAsia="仿宋" w:cs="仿宋"/>
          <w:sz w:val="24"/>
          <w:szCs w:val="24"/>
        </w:rPr>
      </w:pPr>
      <w:r>
        <w:rPr>
          <w:rFonts w:hint="eastAsia" w:ascii="仿宋" w:hAnsi="仿宋" w:eastAsia="仿宋" w:cs="仿宋"/>
          <w:sz w:val="24"/>
        </w:rPr>
        <w:t>1、乙方未按合同要求提供产品或设备质量不能满足招标技术要求，乙方必须无条件更换产品或设备，提高技术，完善质量，否则，甲方有权终止合同，要求乙方承担合同总额10%的违约金，同时按《中华人民共和国政府采购法》进行相应的处理。</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2、乙方在本合同规定时间内按时交货，否则由乙方承担全部责任。乙方逾期交货的，按日承担合同总额1%的违约金；逾期交货超过【15】天的，甲方有权单方解除合同，乙方除退还货款外还应当另行承担合同总额10%的违约金。乙方违约，甲方有权将相应违约金从应给乙方支付的货款中直接予以扣除。</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3、甲方没有按照合同约定付款方式付款，经乙方书面催缴15日后仍未付款，自仍未付款之日起甲方向乙方支付违约金，每延付一日按应付未付款全国银行间同业拆借中心公布的贷款市场报价利率核计，合计违约金数额不得超过应付未付金额的10%。</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4、一方违约赔偿守约方因此遭受的其他损失，包括为主张权益所支付的律师费、交通费、公证费、鉴定费、评估费等全部费用。</w:t>
      </w:r>
    </w:p>
    <w:p>
      <w:pPr>
        <w:pStyle w:val="2"/>
        <w:ind w:firstLine="380"/>
        <w:rPr>
          <w:rFonts w:ascii="Times New Roman" w:hAnsi="Times New Roman" w:eastAsiaTheme="minorEastAsia" w:cstheme="minorBidi"/>
          <w:sz w:val="21"/>
        </w:rPr>
      </w:pPr>
    </w:p>
    <w:p>
      <w:pPr>
        <w:spacing w:line="420" w:lineRule="exact"/>
        <w:ind w:firstLine="1120" w:firstLineChars="400"/>
        <w:rPr>
          <w:rFonts w:ascii="仿宋" w:hAnsi="仿宋" w:eastAsia="仿宋" w:cs="仿宋"/>
          <w:b/>
          <w:sz w:val="28"/>
          <w:szCs w:val="28"/>
        </w:rPr>
      </w:pPr>
      <w:r>
        <w:rPr>
          <w:rFonts w:hint="eastAsia" w:ascii="仿宋" w:hAnsi="仿宋" w:eastAsia="仿宋" w:cs="仿宋"/>
          <w:b/>
          <w:sz w:val="28"/>
          <w:szCs w:val="28"/>
        </w:rPr>
        <w:t>十、合同争议解决的方式</w:t>
      </w:r>
    </w:p>
    <w:p>
      <w:pPr>
        <w:ind w:firstLine="480" w:firstLineChars="200"/>
        <w:rPr>
          <w:rFonts w:ascii="仿宋" w:hAnsi="仿宋" w:eastAsia="仿宋" w:cs="仿宋"/>
          <w:sz w:val="24"/>
          <w:szCs w:val="24"/>
        </w:rPr>
      </w:pPr>
      <w:r>
        <w:rPr>
          <w:rFonts w:hint="eastAsia" w:ascii="仿宋" w:hAnsi="仿宋" w:eastAsia="仿宋" w:cs="仿宋"/>
          <w:sz w:val="24"/>
        </w:rPr>
        <w:t>合同在履行过程中发生争议，由甲、乙、用户（准东教育投资公司）协商解决，经协商不能达成协议，甲乙双方均可向甲方所在地人民法院提起诉讼。</w:t>
      </w:r>
    </w:p>
    <w:p>
      <w:pPr>
        <w:pStyle w:val="2"/>
        <w:ind w:firstLine="380"/>
        <w:rPr>
          <w:rFonts w:ascii="Times New Roman" w:hAnsi="Times New Roman" w:eastAsiaTheme="minorEastAsia" w:cstheme="minorBidi"/>
          <w:sz w:val="21"/>
        </w:rPr>
      </w:pPr>
    </w:p>
    <w:p>
      <w:pPr>
        <w:ind w:firstLine="1120" w:firstLineChars="400"/>
        <w:rPr>
          <w:rFonts w:ascii="仿宋" w:hAnsi="仿宋" w:eastAsia="仿宋" w:cs="仿宋"/>
          <w:b/>
          <w:sz w:val="28"/>
          <w:szCs w:val="28"/>
        </w:rPr>
      </w:pPr>
      <w:r>
        <w:rPr>
          <w:rFonts w:hint="eastAsia" w:ascii="仿宋" w:hAnsi="仿宋" w:eastAsia="仿宋" w:cs="仿宋"/>
          <w:b/>
          <w:sz w:val="28"/>
          <w:szCs w:val="28"/>
        </w:rPr>
        <w:t>十一、其他事项</w:t>
      </w:r>
    </w:p>
    <w:p>
      <w:pPr>
        <w:ind w:firstLine="480" w:firstLineChars="200"/>
        <w:jc w:val="left"/>
        <w:rPr>
          <w:rFonts w:ascii="仿宋" w:hAnsi="仿宋" w:eastAsia="仿宋" w:cs="仿宋"/>
          <w:sz w:val="24"/>
          <w:szCs w:val="24"/>
        </w:rPr>
      </w:pPr>
      <w:r>
        <w:rPr>
          <w:rFonts w:hint="eastAsia" w:ascii="仿宋" w:hAnsi="仿宋" w:eastAsia="仿宋" w:cs="仿宋"/>
          <w:sz w:val="24"/>
        </w:rPr>
        <w:t>1、招标文件、投标文件、澄清表（函）、合同附件均成为合同不可分割部分。</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2、合同未尽事宜，由甲、乙双方协商并签订补充协议，作为合同补充，与原合同具有同等法律效力。</w:t>
      </w:r>
    </w:p>
    <w:p>
      <w:pPr>
        <w:spacing w:line="420" w:lineRule="exact"/>
        <w:ind w:firstLine="480" w:firstLineChars="200"/>
        <w:rPr>
          <w:rFonts w:ascii="仿宋" w:hAnsi="仿宋" w:eastAsia="仿宋" w:cs="仿宋"/>
          <w:sz w:val="24"/>
        </w:rPr>
      </w:pPr>
      <w:r>
        <w:rPr>
          <w:rFonts w:hint="eastAsia" w:ascii="仿宋" w:hAnsi="仿宋" w:eastAsia="仿宋" w:cs="仿宋"/>
          <w:sz w:val="24"/>
        </w:rPr>
        <w:t>3、甲方对订购的产品的型号、品种、规格、数量、颜色、交货期等事项更改，应书面通知乙方，交货期从变更之日起顺延。若乙方接到通知后不予更改，由此造成甲方损失，由乙方承担。</w:t>
      </w:r>
    </w:p>
    <w:p>
      <w:pPr>
        <w:spacing w:line="420" w:lineRule="exact"/>
        <w:ind w:firstLine="480" w:firstLineChars="200"/>
        <w:rPr>
          <w:rFonts w:ascii="Times New Roman" w:hAnsi="Times New Roman" w:eastAsiaTheme="minorEastAsia" w:cstheme="minorBidi"/>
        </w:rPr>
      </w:pPr>
      <w:r>
        <w:rPr>
          <w:rFonts w:hint="eastAsia" w:ascii="仿宋" w:hAnsi="仿宋" w:eastAsia="仿宋" w:cs="仿宋"/>
          <w:sz w:val="24"/>
        </w:rPr>
        <w:t>4、若乙方在交货时，由于甲方的原因或要求，不能及时将设备送达指定地点和验收时，乙方可按甲方要求延期交货，由甲方向乙方出具书面确认书免除乙方交货延期责任。</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5、本合同一式伍份，甲方叁份，乙方两份，经甲、乙双方法定代表人或授权代理人签字（盖章）并加盖公章后立即生效，合同执行完毕后，自动失效，但合同的服务承诺则长期有效。</w:t>
      </w:r>
    </w:p>
    <w:p>
      <w:pPr>
        <w:pStyle w:val="2"/>
        <w:ind w:firstLine="440"/>
        <w:rPr>
          <w:rFonts w:ascii="Times New Roman" w:hAnsi="Times New Roman" w:eastAsia="仿宋" w:cstheme="minorBidi"/>
          <w:sz w:val="21"/>
        </w:rPr>
      </w:pPr>
      <w:r>
        <w:rPr>
          <w:rFonts w:hint="eastAsia" w:ascii="仿宋" w:hAnsi="仿宋" w:eastAsia="仿宋" w:cs="仿宋"/>
        </w:rPr>
        <w:t>6、甲方将款项直接支付到乙方本合同第三条的账户，若乙方账户有变更应由乙方出具书面变更文件，并征得甲方同意，否则甲方将款项打入现合同中乙方指定账户即视为完成付款义务。</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7、本合同尾部载明的双方地址、电话等信息，系双方有效联系方式，如发生变更，应提前书面通知另一方，否则依该联系方式送达相关文书的，视为送达成功。</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8、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420" w:lineRule="exact"/>
        <w:ind w:firstLine="480" w:firstLineChars="200"/>
        <w:jc w:val="left"/>
        <w:rPr>
          <w:rFonts w:ascii="仿宋" w:hAnsi="仿宋" w:eastAsia="仿宋" w:cs="仿宋"/>
          <w:sz w:val="24"/>
        </w:rPr>
      </w:pPr>
      <w:r>
        <w:rPr>
          <w:rFonts w:hint="eastAsia" w:ascii="仿宋" w:hAnsi="仿宋" w:eastAsia="仿宋" w:cs="仿宋"/>
          <w:sz w:val="24"/>
        </w:rPr>
        <w:t>9、未经另外一方的事先书面同意，任何一方均不得向第三方或其关联企业转让本协议项下的权利义务。</w:t>
      </w:r>
    </w:p>
    <w:p>
      <w:pPr>
        <w:pStyle w:val="115"/>
        <w:spacing w:line="420" w:lineRule="exact"/>
        <w:ind w:firstLine="0" w:firstLineChars="0"/>
        <w:rPr>
          <w:color w:val="auto"/>
        </w:rPr>
      </w:pPr>
    </w:p>
    <w:tbl>
      <w:tblPr>
        <w:tblStyle w:val="29"/>
        <w:tblW w:w="9915" w:type="dxa"/>
        <w:tblInd w:w="0" w:type="dxa"/>
        <w:tblLayout w:type="fixed"/>
        <w:tblCellMar>
          <w:top w:w="0" w:type="dxa"/>
          <w:left w:w="108" w:type="dxa"/>
          <w:bottom w:w="0" w:type="dxa"/>
          <w:right w:w="108" w:type="dxa"/>
        </w:tblCellMar>
      </w:tblPr>
      <w:tblGrid>
        <w:gridCol w:w="1357"/>
        <w:gridCol w:w="3560"/>
        <w:gridCol w:w="1345"/>
        <w:gridCol w:w="3653"/>
      </w:tblGrid>
      <w:tr>
        <w:tblPrEx>
          <w:tblCellMar>
            <w:top w:w="0" w:type="dxa"/>
            <w:left w:w="108" w:type="dxa"/>
            <w:bottom w:w="0" w:type="dxa"/>
            <w:right w:w="108" w:type="dxa"/>
          </w:tblCellMar>
        </w:tblPrEx>
        <w:trPr>
          <w:trHeight w:val="646" w:hRule="atLeast"/>
        </w:trPr>
        <w:tc>
          <w:tcPr>
            <w:tcW w:w="1356" w:type="dxa"/>
            <w:vAlign w:val="center"/>
          </w:tcPr>
          <w:p>
            <w:pPr>
              <w:pStyle w:val="52"/>
              <w:spacing w:line="360" w:lineRule="auto"/>
              <w:rPr>
                <w:rFonts w:ascii="仿宋" w:hAnsi="仿宋" w:eastAsia="仿宋" w:cs="仿宋"/>
                <w:color w:val="auto"/>
                <w:sz w:val="24"/>
              </w:rPr>
            </w:pPr>
            <w:r>
              <w:rPr>
                <w:rFonts w:hint="eastAsia" w:ascii="仿宋" w:hAnsi="仿宋" w:eastAsia="仿宋" w:cs="仿宋"/>
                <w:color w:val="auto"/>
                <w:sz w:val="24"/>
              </w:rPr>
              <w:t>甲方：</w:t>
            </w:r>
          </w:p>
        </w:tc>
        <w:tc>
          <w:tcPr>
            <w:tcW w:w="3560" w:type="dxa"/>
            <w:vAlign w:val="center"/>
          </w:tcPr>
          <w:p>
            <w:pPr>
              <w:spacing w:line="360" w:lineRule="auto"/>
              <w:rPr>
                <w:rFonts w:ascii="仿宋" w:hAnsi="仿宋" w:eastAsia="仿宋" w:cs="仿宋"/>
                <w:sz w:val="24"/>
                <w:szCs w:val="24"/>
              </w:rPr>
            </w:pPr>
            <w:r>
              <w:rPr>
                <w:rFonts w:hint="eastAsia" w:ascii="仿宋" w:hAnsi="仿宋" w:eastAsia="仿宋" w:cs="宋体"/>
                <w:kern w:val="24"/>
                <w:sz w:val="24"/>
              </w:rPr>
              <w:t>新疆准东经济技术开发区人力资源和社会保障局</w:t>
            </w:r>
          </w:p>
        </w:tc>
        <w:tc>
          <w:tcPr>
            <w:tcW w:w="1345" w:type="dxa"/>
            <w:vAlign w:val="center"/>
          </w:tcPr>
          <w:p>
            <w:pPr>
              <w:pStyle w:val="52"/>
              <w:spacing w:line="360" w:lineRule="auto"/>
              <w:jc w:val="distribute"/>
              <w:rPr>
                <w:rFonts w:ascii="仿宋" w:hAnsi="仿宋" w:eastAsia="仿宋" w:cs="仿宋"/>
                <w:color w:val="auto"/>
                <w:sz w:val="24"/>
              </w:rPr>
            </w:pPr>
            <w:r>
              <w:rPr>
                <w:rFonts w:hint="eastAsia" w:ascii="仿宋" w:hAnsi="仿宋" w:eastAsia="仿宋" w:cs="仿宋"/>
                <w:color w:val="auto"/>
                <w:sz w:val="24"/>
              </w:rPr>
              <w:t>乙方:</w:t>
            </w:r>
          </w:p>
        </w:tc>
        <w:tc>
          <w:tcPr>
            <w:tcW w:w="3653" w:type="dxa"/>
            <w:vAlign w:val="center"/>
          </w:tcPr>
          <w:p>
            <w:pPr>
              <w:pStyle w:val="52"/>
              <w:spacing w:line="360" w:lineRule="auto"/>
              <w:rPr>
                <w:rFonts w:ascii="仿宋" w:hAnsi="仿宋" w:eastAsia="仿宋" w:cs="宋体"/>
                <w:color w:val="auto"/>
                <w:kern w:val="24"/>
                <w:sz w:val="24"/>
              </w:rPr>
            </w:pPr>
            <w:r>
              <w:rPr>
                <w:rFonts w:hint="eastAsia" w:ascii="仿宋" w:hAnsi="仿宋" w:eastAsia="仿宋" w:cs="宋体"/>
                <w:color w:val="auto"/>
                <w:kern w:val="24"/>
                <w:sz w:val="24"/>
              </w:rPr>
              <w:t xml:space="preserve"> </w:t>
            </w:r>
          </w:p>
        </w:tc>
      </w:tr>
      <w:tr>
        <w:tblPrEx>
          <w:tblCellMar>
            <w:top w:w="0" w:type="dxa"/>
            <w:left w:w="108" w:type="dxa"/>
            <w:bottom w:w="0" w:type="dxa"/>
            <w:right w:w="108" w:type="dxa"/>
          </w:tblCellMar>
        </w:tblPrEx>
        <w:tc>
          <w:tcPr>
            <w:tcW w:w="1356" w:type="dxa"/>
            <w:vAlign w:val="center"/>
          </w:tcPr>
          <w:p>
            <w:pPr>
              <w:pStyle w:val="52"/>
              <w:spacing w:line="360" w:lineRule="auto"/>
              <w:jc w:val="distribute"/>
              <w:rPr>
                <w:rFonts w:ascii="仿宋" w:hAnsi="仿宋" w:eastAsia="仿宋" w:cs="仿宋"/>
                <w:color w:val="auto"/>
                <w:sz w:val="24"/>
              </w:rPr>
            </w:pPr>
            <w:r>
              <w:rPr>
                <w:rFonts w:hint="eastAsia" w:ascii="仿宋" w:hAnsi="仿宋" w:eastAsia="仿宋" w:cs="仿宋"/>
                <w:color w:val="auto"/>
                <w:sz w:val="24"/>
              </w:rPr>
              <w:t>单位名称：</w:t>
            </w:r>
          </w:p>
        </w:tc>
        <w:tc>
          <w:tcPr>
            <w:tcW w:w="3560" w:type="dxa"/>
            <w:vAlign w:val="center"/>
          </w:tcPr>
          <w:p>
            <w:pPr>
              <w:spacing w:line="360" w:lineRule="auto"/>
              <w:rPr>
                <w:rFonts w:ascii="仿宋" w:hAnsi="仿宋" w:eastAsia="仿宋" w:cs="仿宋"/>
                <w:sz w:val="24"/>
                <w:szCs w:val="24"/>
              </w:rPr>
            </w:pPr>
            <w:r>
              <w:rPr>
                <w:rFonts w:hint="eastAsia" w:ascii="仿宋" w:hAnsi="仿宋" w:eastAsia="仿宋" w:cs="宋体"/>
                <w:kern w:val="24"/>
                <w:sz w:val="24"/>
              </w:rPr>
              <w:t>新疆准东经济技术开发区管理委员会</w:t>
            </w:r>
          </w:p>
        </w:tc>
        <w:tc>
          <w:tcPr>
            <w:tcW w:w="1345" w:type="dxa"/>
            <w:vAlign w:val="center"/>
          </w:tcPr>
          <w:p>
            <w:pPr>
              <w:pStyle w:val="52"/>
              <w:spacing w:line="360" w:lineRule="auto"/>
              <w:jc w:val="distribute"/>
              <w:rPr>
                <w:rFonts w:ascii="仿宋" w:hAnsi="仿宋" w:eastAsia="仿宋" w:cs="仿宋"/>
                <w:color w:val="auto"/>
                <w:sz w:val="24"/>
              </w:rPr>
            </w:pPr>
            <w:r>
              <w:rPr>
                <w:rFonts w:hint="eastAsia" w:ascii="仿宋" w:hAnsi="仿宋" w:eastAsia="仿宋" w:cs="仿宋"/>
                <w:color w:val="auto"/>
                <w:sz w:val="24"/>
              </w:rPr>
              <w:t xml:space="preserve">单位名称: </w:t>
            </w:r>
          </w:p>
        </w:tc>
        <w:tc>
          <w:tcPr>
            <w:tcW w:w="3653" w:type="dxa"/>
            <w:vAlign w:val="center"/>
          </w:tcPr>
          <w:p>
            <w:pPr>
              <w:pStyle w:val="52"/>
              <w:spacing w:line="360" w:lineRule="auto"/>
              <w:ind w:right="-260" w:rightChars="-124"/>
              <w:rPr>
                <w:rFonts w:ascii="仿宋" w:hAnsi="仿宋" w:eastAsia="仿宋" w:cs="宋体"/>
                <w:color w:val="auto"/>
                <w:kern w:val="24"/>
                <w:sz w:val="24"/>
              </w:rPr>
            </w:pPr>
            <w:r>
              <w:rPr>
                <w:rFonts w:hint="eastAsia" w:ascii="仿宋" w:hAnsi="仿宋" w:eastAsia="仿宋" w:cs="宋体"/>
                <w:color w:val="auto"/>
                <w:kern w:val="24"/>
                <w:sz w:val="24"/>
              </w:rPr>
              <w:t xml:space="preserve"> </w:t>
            </w:r>
          </w:p>
        </w:tc>
      </w:tr>
      <w:tr>
        <w:tblPrEx>
          <w:tblCellMar>
            <w:top w:w="0" w:type="dxa"/>
            <w:left w:w="108" w:type="dxa"/>
            <w:bottom w:w="0" w:type="dxa"/>
            <w:right w:w="108" w:type="dxa"/>
          </w:tblCellMar>
        </w:tblPrEx>
        <w:tc>
          <w:tcPr>
            <w:tcW w:w="1356" w:type="dxa"/>
            <w:vAlign w:val="center"/>
          </w:tcPr>
          <w:p>
            <w:pPr>
              <w:pStyle w:val="52"/>
              <w:spacing w:line="360" w:lineRule="auto"/>
              <w:jc w:val="distribute"/>
              <w:rPr>
                <w:rFonts w:ascii="仿宋" w:hAnsi="仿宋" w:eastAsia="仿宋" w:cs="仿宋"/>
                <w:color w:val="auto"/>
                <w:sz w:val="24"/>
              </w:rPr>
            </w:pPr>
            <w:r>
              <w:rPr>
                <w:rFonts w:hint="eastAsia" w:ascii="仿宋" w:hAnsi="仿宋" w:eastAsia="仿宋" w:cs="仿宋"/>
                <w:color w:val="auto"/>
                <w:sz w:val="24"/>
              </w:rPr>
              <w:t>公章：</w:t>
            </w:r>
          </w:p>
        </w:tc>
        <w:tc>
          <w:tcPr>
            <w:tcW w:w="3560" w:type="dxa"/>
            <w:vAlign w:val="center"/>
          </w:tcPr>
          <w:p>
            <w:pPr>
              <w:pStyle w:val="52"/>
              <w:spacing w:line="360" w:lineRule="auto"/>
              <w:rPr>
                <w:rFonts w:ascii="仿宋" w:hAnsi="仿宋" w:eastAsia="仿宋" w:cs="仿宋"/>
                <w:color w:val="auto"/>
                <w:sz w:val="24"/>
              </w:rPr>
            </w:pPr>
          </w:p>
        </w:tc>
        <w:tc>
          <w:tcPr>
            <w:tcW w:w="1345" w:type="dxa"/>
            <w:vAlign w:val="center"/>
          </w:tcPr>
          <w:p>
            <w:pPr>
              <w:pStyle w:val="52"/>
              <w:spacing w:line="360" w:lineRule="auto"/>
              <w:jc w:val="distribute"/>
              <w:rPr>
                <w:rFonts w:ascii="仿宋" w:hAnsi="仿宋" w:eastAsia="仿宋" w:cs="仿宋"/>
                <w:color w:val="auto"/>
                <w:sz w:val="24"/>
              </w:rPr>
            </w:pPr>
            <w:r>
              <w:rPr>
                <w:rFonts w:hint="eastAsia" w:ascii="仿宋" w:hAnsi="仿宋" w:eastAsia="仿宋" w:cs="仿宋"/>
                <w:color w:val="auto"/>
                <w:sz w:val="24"/>
              </w:rPr>
              <w:t>公章:</w:t>
            </w:r>
          </w:p>
        </w:tc>
        <w:tc>
          <w:tcPr>
            <w:tcW w:w="3653" w:type="dxa"/>
            <w:vAlign w:val="center"/>
          </w:tcPr>
          <w:p>
            <w:pPr>
              <w:pStyle w:val="52"/>
              <w:spacing w:line="360" w:lineRule="auto"/>
              <w:rPr>
                <w:rFonts w:ascii="仿宋" w:hAnsi="仿宋" w:eastAsia="仿宋" w:cs="仿宋"/>
                <w:color w:val="auto"/>
                <w:sz w:val="24"/>
              </w:rPr>
            </w:pPr>
          </w:p>
        </w:tc>
      </w:tr>
      <w:tr>
        <w:tblPrEx>
          <w:tblCellMar>
            <w:top w:w="0" w:type="dxa"/>
            <w:left w:w="108" w:type="dxa"/>
            <w:bottom w:w="0" w:type="dxa"/>
            <w:right w:w="108" w:type="dxa"/>
          </w:tblCellMar>
        </w:tblPrEx>
        <w:tc>
          <w:tcPr>
            <w:tcW w:w="4916" w:type="dxa"/>
            <w:gridSpan w:val="2"/>
            <w:vAlign w:val="center"/>
          </w:tcPr>
          <w:p>
            <w:pPr>
              <w:pStyle w:val="52"/>
              <w:spacing w:line="360" w:lineRule="auto"/>
              <w:rPr>
                <w:rFonts w:ascii="仿宋" w:hAnsi="仿宋" w:eastAsia="仿宋" w:cs="仿宋"/>
                <w:color w:val="auto"/>
                <w:sz w:val="24"/>
              </w:rPr>
            </w:pPr>
            <w:r>
              <w:rPr>
                <w:rFonts w:hint="eastAsia" w:ascii="仿宋" w:hAnsi="仿宋" w:eastAsia="仿宋" w:cs="仿宋"/>
                <w:color w:val="auto"/>
                <w:sz w:val="24"/>
              </w:rPr>
              <w:t>法定代表人或授权代理人签字：</w:t>
            </w:r>
          </w:p>
        </w:tc>
        <w:tc>
          <w:tcPr>
            <w:tcW w:w="4998" w:type="dxa"/>
            <w:gridSpan w:val="2"/>
            <w:vAlign w:val="center"/>
          </w:tcPr>
          <w:p>
            <w:pPr>
              <w:pStyle w:val="52"/>
              <w:spacing w:line="360" w:lineRule="auto"/>
              <w:rPr>
                <w:rFonts w:ascii="仿宋" w:hAnsi="仿宋" w:eastAsia="仿宋" w:cs="仿宋"/>
                <w:color w:val="auto"/>
                <w:sz w:val="24"/>
              </w:rPr>
            </w:pPr>
            <w:r>
              <w:rPr>
                <w:rFonts w:hint="eastAsia" w:ascii="仿宋" w:hAnsi="仿宋" w:eastAsia="仿宋" w:cs="仿宋"/>
                <w:color w:val="auto"/>
                <w:sz w:val="24"/>
              </w:rPr>
              <w:t xml:space="preserve">法定代表人或授权代理人签字：    </w:t>
            </w:r>
          </w:p>
        </w:tc>
      </w:tr>
      <w:tr>
        <w:tblPrEx>
          <w:tblCellMar>
            <w:top w:w="0" w:type="dxa"/>
            <w:left w:w="108" w:type="dxa"/>
            <w:bottom w:w="0" w:type="dxa"/>
            <w:right w:w="108" w:type="dxa"/>
          </w:tblCellMar>
        </w:tblPrEx>
        <w:tc>
          <w:tcPr>
            <w:tcW w:w="1356" w:type="dxa"/>
            <w:vAlign w:val="center"/>
          </w:tcPr>
          <w:p>
            <w:pPr>
              <w:pStyle w:val="55"/>
              <w:spacing w:line="360" w:lineRule="auto"/>
              <w:jc w:val="distribute"/>
              <w:rPr>
                <w:rFonts w:ascii="仿宋" w:hAnsi="仿宋" w:eastAsia="仿宋" w:cs="仿宋"/>
                <w:color w:val="auto"/>
              </w:rPr>
            </w:pPr>
            <w:r>
              <w:rPr>
                <w:rFonts w:hint="eastAsia" w:ascii="仿宋" w:hAnsi="仿宋" w:eastAsia="仿宋" w:cs="仿宋"/>
                <w:color w:val="auto"/>
              </w:rPr>
              <w:t>电话：</w:t>
            </w:r>
          </w:p>
        </w:tc>
        <w:tc>
          <w:tcPr>
            <w:tcW w:w="3560" w:type="dxa"/>
            <w:vAlign w:val="center"/>
          </w:tcPr>
          <w:p>
            <w:pPr>
              <w:pStyle w:val="55"/>
              <w:spacing w:line="520" w:lineRule="exact"/>
              <w:rPr>
                <w:rFonts w:ascii="仿宋" w:hAnsi="仿宋" w:eastAsia="仿宋" w:cs="仿宋"/>
                <w:color w:val="auto"/>
              </w:rPr>
            </w:pPr>
            <w:r>
              <w:rPr>
                <w:rFonts w:hint="eastAsia" w:ascii="仿宋" w:hAnsi="仿宋" w:eastAsia="仿宋"/>
                <w:color w:val="auto"/>
                <w:kern w:val="24"/>
              </w:rPr>
              <w:t>13995017970</w:t>
            </w:r>
          </w:p>
        </w:tc>
        <w:tc>
          <w:tcPr>
            <w:tcW w:w="1345" w:type="dxa"/>
            <w:vAlign w:val="center"/>
          </w:tcPr>
          <w:p>
            <w:pPr>
              <w:pStyle w:val="55"/>
              <w:spacing w:line="360" w:lineRule="auto"/>
              <w:jc w:val="distribute"/>
              <w:rPr>
                <w:rFonts w:ascii="仿宋" w:hAnsi="仿宋" w:eastAsia="仿宋" w:cs="仿宋"/>
                <w:color w:val="auto"/>
              </w:rPr>
            </w:pPr>
            <w:r>
              <w:rPr>
                <w:rFonts w:hint="eastAsia" w:ascii="仿宋" w:hAnsi="仿宋" w:eastAsia="仿宋" w:cs="仿宋"/>
                <w:color w:val="auto"/>
              </w:rPr>
              <w:t>电话:</w:t>
            </w:r>
          </w:p>
        </w:tc>
        <w:tc>
          <w:tcPr>
            <w:tcW w:w="3653" w:type="dxa"/>
          </w:tcPr>
          <w:p>
            <w:pPr>
              <w:pStyle w:val="52"/>
              <w:spacing w:line="520" w:lineRule="exact"/>
              <w:rPr>
                <w:rFonts w:ascii="仿宋" w:hAnsi="仿宋" w:eastAsia="仿宋" w:cs="宋体"/>
                <w:color w:val="auto"/>
                <w:kern w:val="24"/>
                <w:sz w:val="24"/>
              </w:rPr>
            </w:pPr>
            <w:r>
              <w:rPr>
                <w:rFonts w:hint="eastAsia" w:ascii="仿宋" w:hAnsi="仿宋" w:eastAsia="仿宋" w:cs="宋体"/>
                <w:color w:val="auto"/>
                <w:kern w:val="24"/>
                <w:sz w:val="24"/>
              </w:rPr>
              <w:t xml:space="preserve"> </w:t>
            </w:r>
          </w:p>
        </w:tc>
      </w:tr>
      <w:tr>
        <w:tblPrEx>
          <w:tblCellMar>
            <w:top w:w="0" w:type="dxa"/>
            <w:left w:w="108" w:type="dxa"/>
            <w:bottom w:w="0" w:type="dxa"/>
            <w:right w:w="108" w:type="dxa"/>
          </w:tblCellMar>
        </w:tblPrEx>
        <w:tc>
          <w:tcPr>
            <w:tcW w:w="1356" w:type="dxa"/>
            <w:vAlign w:val="center"/>
          </w:tcPr>
          <w:p>
            <w:pPr>
              <w:pStyle w:val="55"/>
              <w:spacing w:line="360" w:lineRule="auto"/>
              <w:jc w:val="distribute"/>
              <w:rPr>
                <w:rFonts w:ascii="仿宋" w:hAnsi="仿宋" w:eastAsia="仿宋" w:cs="仿宋"/>
                <w:color w:val="auto"/>
              </w:rPr>
            </w:pPr>
            <w:r>
              <w:rPr>
                <w:rFonts w:hint="eastAsia" w:ascii="仿宋" w:hAnsi="仿宋" w:eastAsia="仿宋" w:cs="仿宋"/>
                <w:color w:val="auto"/>
              </w:rPr>
              <w:t>联系人：</w:t>
            </w:r>
          </w:p>
        </w:tc>
        <w:tc>
          <w:tcPr>
            <w:tcW w:w="3560" w:type="dxa"/>
            <w:vAlign w:val="center"/>
          </w:tcPr>
          <w:p>
            <w:pPr>
              <w:pStyle w:val="55"/>
              <w:spacing w:line="520" w:lineRule="exact"/>
              <w:rPr>
                <w:rFonts w:ascii="仿宋" w:hAnsi="仿宋" w:eastAsia="仿宋" w:cs="仿宋"/>
                <w:color w:val="auto"/>
              </w:rPr>
            </w:pPr>
            <w:r>
              <w:rPr>
                <w:rFonts w:hint="eastAsia" w:ascii="仿宋" w:hAnsi="仿宋" w:eastAsia="仿宋"/>
                <w:color w:val="auto"/>
                <w:kern w:val="24"/>
              </w:rPr>
              <w:t xml:space="preserve"> 白文祥</w:t>
            </w:r>
          </w:p>
        </w:tc>
        <w:tc>
          <w:tcPr>
            <w:tcW w:w="1345" w:type="dxa"/>
            <w:vAlign w:val="center"/>
          </w:tcPr>
          <w:p>
            <w:pPr>
              <w:pStyle w:val="55"/>
              <w:spacing w:line="360" w:lineRule="auto"/>
              <w:jc w:val="distribute"/>
              <w:rPr>
                <w:rFonts w:ascii="仿宋" w:hAnsi="仿宋" w:eastAsia="仿宋" w:cs="仿宋"/>
                <w:color w:val="auto"/>
              </w:rPr>
            </w:pPr>
            <w:r>
              <w:rPr>
                <w:rFonts w:hint="eastAsia" w:ascii="仿宋" w:hAnsi="仿宋" w:eastAsia="仿宋" w:cs="仿宋"/>
                <w:color w:val="auto"/>
              </w:rPr>
              <w:t xml:space="preserve">联系人: </w:t>
            </w:r>
          </w:p>
        </w:tc>
        <w:tc>
          <w:tcPr>
            <w:tcW w:w="3653" w:type="dxa"/>
            <w:vAlign w:val="center"/>
          </w:tcPr>
          <w:p>
            <w:pPr>
              <w:pStyle w:val="52"/>
              <w:spacing w:line="520" w:lineRule="exact"/>
              <w:rPr>
                <w:rFonts w:ascii="仿宋" w:hAnsi="仿宋" w:eastAsia="仿宋" w:cs="宋体"/>
                <w:color w:val="auto"/>
                <w:kern w:val="24"/>
                <w:sz w:val="24"/>
              </w:rPr>
            </w:pPr>
            <w:r>
              <w:rPr>
                <w:rFonts w:hint="eastAsia" w:ascii="仿宋" w:hAnsi="仿宋" w:eastAsia="仿宋" w:cs="宋体"/>
                <w:color w:val="auto"/>
                <w:kern w:val="24"/>
                <w:sz w:val="24"/>
              </w:rPr>
              <w:t xml:space="preserve"> </w:t>
            </w:r>
          </w:p>
        </w:tc>
      </w:tr>
      <w:tr>
        <w:tblPrEx>
          <w:tblCellMar>
            <w:top w:w="0" w:type="dxa"/>
            <w:left w:w="108" w:type="dxa"/>
            <w:bottom w:w="0" w:type="dxa"/>
            <w:right w:w="108" w:type="dxa"/>
          </w:tblCellMar>
        </w:tblPrEx>
        <w:tc>
          <w:tcPr>
            <w:tcW w:w="1356" w:type="dxa"/>
            <w:vAlign w:val="center"/>
          </w:tcPr>
          <w:p>
            <w:pPr>
              <w:pStyle w:val="55"/>
              <w:spacing w:line="360" w:lineRule="auto"/>
              <w:rPr>
                <w:rFonts w:ascii="仿宋" w:hAnsi="仿宋" w:eastAsia="仿宋" w:cs="仿宋"/>
                <w:color w:val="auto"/>
              </w:rPr>
            </w:pPr>
            <w:r>
              <w:rPr>
                <w:rFonts w:hint="eastAsia" w:ascii="仿宋" w:hAnsi="仿宋" w:eastAsia="仿宋" w:cs="仿宋"/>
                <w:color w:val="auto"/>
              </w:rPr>
              <w:t xml:space="preserve">通讯地址:    </w:t>
            </w:r>
          </w:p>
        </w:tc>
        <w:tc>
          <w:tcPr>
            <w:tcW w:w="3560" w:type="dxa"/>
            <w:vAlign w:val="center"/>
          </w:tcPr>
          <w:p>
            <w:pPr>
              <w:pStyle w:val="52"/>
              <w:spacing w:line="520" w:lineRule="exact"/>
              <w:rPr>
                <w:rFonts w:ascii="仿宋" w:hAnsi="仿宋" w:eastAsia="仿宋" w:cs="仿宋"/>
                <w:color w:val="auto"/>
                <w:sz w:val="24"/>
              </w:rPr>
            </w:pPr>
            <w:r>
              <w:rPr>
                <w:rFonts w:hint="eastAsia" w:ascii="仿宋" w:hAnsi="仿宋" w:eastAsia="仿宋" w:cs="宋体"/>
                <w:color w:val="auto"/>
                <w:kern w:val="24"/>
                <w:sz w:val="24"/>
              </w:rPr>
              <w:t>新疆准东经济技术开发区五彩湾新城五彩路51号</w:t>
            </w:r>
          </w:p>
        </w:tc>
        <w:tc>
          <w:tcPr>
            <w:tcW w:w="1345" w:type="dxa"/>
            <w:vAlign w:val="center"/>
          </w:tcPr>
          <w:p>
            <w:pPr>
              <w:pStyle w:val="55"/>
              <w:spacing w:line="360" w:lineRule="auto"/>
              <w:rPr>
                <w:rFonts w:ascii="仿宋" w:hAnsi="仿宋" w:eastAsia="仿宋" w:cs="仿宋"/>
                <w:color w:val="auto"/>
              </w:rPr>
            </w:pPr>
            <w:r>
              <w:rPr>
                <w:rFonts w:hint="eastAsia" w:ascii="仿宋" w:hAnsi="仿宋" w:eastAsia="仿宋" w:cs="仿宋"/>
                <w:color w:val="auto"/>
              </w:rPr>
              <w:t>通讯地址:</w:t>
            </w:r>
          </w:p>
        </w:tc>
        <w:tc>
          <w:tcPr>
            <w:tcW w:w="3653" w:type="dxa"/>
          </w:tcPr>
          <w:p>
            <w:pPr>
              <w:pStyle w:val="52"/>
              <w:spacing w:line="520" w:lineRule="exact"/>
              <w:rPr>
                <w:rFonts w:ascii="仿宋" w:hAnsi="仿宋" w:eastAsia="仿宋" w:cs="宋体"/>
                <w:color w:val="auto"/>
                <w:kern w:val="24"/>
                <w:sz w:val="24"/>
              </w:rPr>
            </w:pPr>
            <w:r>
              <w:rPr>
                <w:rFonts w:hint="eastAsia" w:ascii="仿宋" w:hAnsi="仿宋" w:eastAsia="仿宋" w:cs="宋体"/>
                <w:color w:val="auto"/>
                <w:kern w:val="24"/>
                <w:sz w:val="24"/>
              </w:rPr>
              <w:t xml:space="preserve"> </w:t>
            </w:r>
          </w:p>
        </w:tc>
      </w:tr>
      <w:tr>
        <w:tblPrEx>
          <w:tblCellMar>
            <w:top w:w="0" w:type="dxa"/>
            <w:left w:w="108" w:type="dxa"/>
            <w:bottom w:w="0" w:type="dxa"/>
            <w:right w:w="108" w:type="dxa"/>
          </w:tblCellMar>
        </w:tblPrEx>
        <w:tc>
          <w:tcPr>
            <w:tcW w:w="1356" w:type="dxa"/>
            <w:vAlign w:val="center"/>
          </w:tcPr>
          <w:p>
            <w:pPr>
              <w:pStyle w:val="55"/>
              <w:spacing w:line="360" w:lineRule="auto"/>
              <w:jc w:val="distribute"/>
              <w:rPr>
                <w:rFonts w:ascii="仿宋" w:hAnsi="仿宋" w:eastAsia="仿宋" w:cs="仿宋"/>
                <w:color w:val="auto"/>
              </w:rPr>
            </w:pPr>
            <w:r>
              <w:rPr>
                <w:rFonts w:hint="eastAsia" w:ascii="仿宋" w:hAnsi="仿宋" w:eastAsia="仿宋" w:cs="仿宋"/>
                <w:color w:val="auto"/>
              </w:rPr>
              <w:t>日 期：</w:t>
            </w:r>
          </w:p>
        </w:tc>
        <w:tc>
          <w:tcPr>
            <w:tcW w:w="3560" w:type="dxa"/>
            <w:vAlign w:val="center"/>
          </w:tcPr>
          <w:p>
            <w:pPr>
              <w:pStyle w:val="52"/>
              <w:spacing w:line="520" w:lineRule="exact"/>
              <w:rPr>
                <w:rFonts w:ascii="仿宋" w:hAnsi="仿宋" w:eastAsia="仿宋" w:cs="宋体"/>
                <w:color w:val="auto"/>
                <w:kern w:val="24"/>
                <w:sz w:val="24"/>
              </w:rPr>
            </w:pPr>
            <w:r>
              <w:rPr>
                <w:rFonts w:hint="eastAsia" w:ascii="仿宋" w:hAnsi="仿宋" w:eastAsia="仿宋" w:cs="宋体"/>
                <w:color w:val="auto"/>
                <w:kern w:val="24"/>
                <w:sz w:val="24"/>
              </w:rPr>
              <w:t xml:space="preserve"> 2021 年  月  日</w:t>
            </w:r>
          </w:p>
        </w:tc>
        <w:tc>
          <w:tcPr>
            <w:tcW w:w="1345" w:type="dxa"/>
            <w:vAlign w:val="center"/>
          </w:tcPr>
          <w:p>
            <w:pPr>
              <w:pStyle w:val="55"/>
              <w:spacing w:line="360" w:lineRule="auto"/>
              <w:rPr>
                <w:rFonts w:ascii="仿宋" w:hAnsi="仿宋" w:eastAsia="仿宋" w:cs="仿宋"/>
                <w:color w:val="auto"/>
              </w:rPr>
            </w:pPr>
            <w:r>
              <w:rPr>
                <w:rFonts w:hint="eastAsia" w:ascii="仿宋" w:hAnsi="仿宋" w:eastAsia="仿宋" w:cs="仿宋"/>
                <w:color w:val="auto"/>
              </w:rPr>
              <w:t>日    期：</w:t>
            </w:r>
          </w:p>
        </w:tc>
        <w:tc>
          <w:tcPr>
            <w:tcW w:w="3653" w:type="dxa"/>
            <w:vAlign w:val="center"/>
          </w:tcPr>
          <w:p>
            <w:pPr>
              <w:pStyle w:val="52"/>
              <w:spacing w:line="520" w:lineRule="exact"/>
              <w:rPr>
                <w:rFonts w:ascii="仿宋" w:hAnsi="仿宋" w:eastAsia="仿宋" w:cs="宋体"/>
                <w:color w:val="auto"/>
                <w:kern w:val="24"/>
                <w:sz w:val="24"/>
              </w:rPr>
            </w:pPr>
            <w:r>
              <w:rPr>
                <w:rFonts w:hint="eastAsia" w:ascii="仿宋" w:hAnsi="仿宋" w:eastAsia="仿宋" w:cs="宋体"/>
                <w:color w:val="auto"/>
                <w:kern w:val="24"/>
                <w:sz w:val="24"/>
              </w:rPr>
              <w:t xml:space="preserve">   2021 年   月  日</w:t>
            </w:r>
          </w:p>
        </w:tc>
      </w:tr>
    </w:tbl>
    <w:p>
      <w:pPr>
        <w:rPr>
          <w:rFonts w:ascii="Times New Roman" w:hAnsi="Times New Roman" w:eastAsiaTheme="minorEastAsia" w:cstheme="minorBidi"/>
        </w:rPr>
      </w:pPr>
    </w:p>
    <w:p/>
    <w:p>
      <w:pPr>
        <w:widowControl/>
        <w:jc w:val="left"/>
        <w:rPr>
          <w:rFonts w:asciiTheme="minorEastAsia" w:hAnsiTheme="minorEastAsia" w:eastAsiaTheme="minorEastAsia"/>
          <w:b/>
          <w:bCs/>
          <w:color w:val="000000" w:themeColor="text1"/>
          <w:sz w:val="32"/>
          <w:szCs w:val="32"/>
          <w14:textFill>
            <w14:solidFill>
              <w14:schemeClr w14:val="tx1"/>
            </w14:solidFill>
          </w14:textFill>
        </w:rPr>
      </w:pPr>
    </w:p>
    <w:p>
      <w:pPr>
        <w:jc w:val="center"/>
        <w:rPr>
          <w:color w:val="000000" w:themeColor="text1"/>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（合同文本仅供参考，实际签订以甲方提供合同文本为准）</w:t>
      </w:r>
      <w:bookmarkEnd w:id="28"/>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p>
    <w:bookmarkEnd w:id="29"/>
    <w:p>
      <w:pPr>
        <w:pStyle w:val="5"/>
        <w:numPr>
          <w:ilvl w:val="0"/>
          <w:numId w:val="1"/>
        </w:numPr>
      </w:pPr>
      <w:bookmarkStart w:id="30" w:name="_Toc83402737"/>
      <w:bookmarkStart w:id="31" w:name="_Toc83402770"/>
      <w:bookmarkStart w:id="32" w:name="_Toc83402837"/>
      <w:bookmarkStart w:id="33" w:name="_Toc83402722"/>
      <w:r>
        <w:rPr>
          <w:rFonts w:hint="eastAsia"/>
        </w:rPr>
        <w:t>投标文件组成</w:t>
      </w:r>
      <w:bookmarkEnd w:id="30"/>
      <w:bookmarkEnd w:id="31"/>
      <w:bookmarkEnd w:id="32"/>
      <w:bookmarkEnd w:id="33"/>
    </w:p>
    <w:p>
      <w:pPr>
        <w:jc w:val="center"/>
        <w:rPr>
          <w:b/>
          <w:sz w:val="32"/>
        </w:rPr>
      </w:pPr>
      <w:r>
        <w:rPr>
          <w:rFonts w:hint="eastAsia"/>
          <w:b/>
          <w:sz w:val="32"/>
        </w:rPr>
        <w:t>第一部分 商务部分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★一、投标函</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格式附后</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法定代表人身份证明复印件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法定代表人参加投标</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法定代表人授权书</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授权代表参加投标</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授权委托书</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格式二</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适用于自然人委托投标</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★二、开标一览表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格式附后</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★三、分项价格表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格式附后</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四、商务条款偏离表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格式附后</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五、投标保证金</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★六、供应商的资格证明材料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一</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供应商基本情况表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二</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参加政府采购活动的供应商应当具备《政府采购法》第二十二条第一款规定的条件，提供下列材料：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法人或者其他组织的营业执照副本复印件或自然人的身份证明复印件；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法人或者其他组织的税务登记证副本复印件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按规定可不进行税务登记的不提供</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供应商2018年度、2019年度、2020年度财务状况报告复印件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如供应商为新成立公司的，应提供公司成立之日后的财务状况报告</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、近三个月依法缴纳税收和社会保障资金的相关材料；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具备履行合同所必需的设备和专业技术能力的证明材料</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由供应商根据项目需求提供说明材料</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参加政府采购活动近三年内在经营活动中没有重大违法记录的书面声明；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　无不良信用记录承诺函</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招标文件要求由供应商查询信用记录的提供</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七、供应商近三年（2018年1月1日-至今）类似项目业绩</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八、供应商认为需提供的其他资料</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九、供应商企业类型声明函</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十、中小企业声明函</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十一、中小企业生产或销售的产品优惠明细表</w:t>
      </w:r>
    </w:p>
    <w:p>
      <w:pPr>
        <w:pStyle w:val="17"/>
        <w:spacing w:line="360" w:lineRule="auto"/>
        <w:ind w:firstLine="360" w:firstLineChars="15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十二、监狱企业声明函</w:t>
      </w:r>
    </w:p>
    <w:p>
      <w:pPr>
        <w:pStyle w:val="17"/>
        <w:spacing w:line="360" w:lineRule="auto"/>
        <w:ind w:firstLine="360" w:firstLineChars="15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十三、残疾人福利性单位声明函</w:t>
      </w:r>
    </w:p>
    <w:p>
      <w:pPr>
        <w:pStyle w:val="17"/>
        <w:spacing w:line="360" w:lineRule="auto"/>
        <w:ind w:firstLine="360" w:firstLineChars="15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em w:val="dot"/>
          <w14:textFill>
            <w14:solidFill>
              <w14:schemeClr w14:val="tx1"/>
            </w14:solidFill>
          </w14:textFill>
        </w:rPr>
        <w:t>注：(9-13)项供应商根据情况自行选择，不享受相关政策的供应商无需提供。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jc w:val="center"/>
        <w:rPr>
          <w:b/>
          <w:sz w:val="32"/>
        </w:rPr>
      </w:pPr>
      <w:r>
        <w:rPr>
          <w:rFonts w:hint="eastAsia"/>
          <w:b/>
          <w:sz w:val="32"/>
        </w:rPr>
        <w:t>第二部分 技术部分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一、货物说明一览表及技术方案</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二、技术响应与偏离表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三、供应商售后服务承诺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四、投标标的物符合招标文件规定的证明文件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br w:type="page"/>
      </w:r>
    </w:p>
    <w:p>
      <w:pPr>
        <w:pStyle w:val="6"/>
      </w:pPr>
      <w:bookmarkStart w:id="34" w:name="_Toc83402771"/>
      <w:bookmarkStart w:id="35" w:name="_Toc83402838"/>
      <w:bookmarkStart w:id="36" w:name="_Toc83402738"/>
      <w:bookmarkStart w:id="37" w:name="_Toc83402723"/>
      <w:r>
        <w:rPr>
          <w:rFonts w:hint="eastAsia"/>
        </w:rPr>
        <w:t>第一部分 投标文件（商务部分）</w:t>
      </w:r>
      <w:bookmarkEnd w:id="34"/>
      <w:bookmarkEnd w:id="35"/>
      <w:bookmarkEnd w:id="36"/>
      <w:bookmarkEnd w:id="37"/>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t>(</w:t>
      </w:r>
      <w:r>
        <w:rPr>
          <w:rFonts w:hint="eastAsia" w:cs="Times New Roman" w:asciiTheme="minorEastAsia" w:hAnsiTheme="minorEastAsia" w:eastAsiaTheme="minorEastAsia"/>
          <w:color w:val="000000" w:themeColor="text1"/>
          <w14:textFill>
            <w14:solidFill>
              <w14:schemeClr w14:val="tx1"/>
            </w14:solidFill>
          </w14:textFill>
        </w:rPr>
        <w:t>商务部分</w:t>
      </w:r>
      <w:r>
        <w:rPr>
          <w:rFonts w:cs="Times New Roman" w:asciiTheme="minorEastAsia" w:hAnsiTheme="minorEastAsia" w:eastAsiaTheme="minorEastAsia"/>
          <w:color w:val="000000" w:themeColor="text1"/>
          <w14:textFill>
            <w14:solidFill>
              <w14:schemeClr w14:val="tx1"/>
            </w14:solidFill>
          </w14:textFill>
        </w:rPr>
        <w:t>)</w:t>
      </w: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项目名称：</w:t>
      </w:r>
      <w:r>
        <w:rPr>
          <w:rFonts w:cs="Times New Roman" w:asciiTheme="minorEastAsia" w:hAnsiTheme="minorEastAsia" w:eastAsiaTheme="minorEastAsia"/>
          <w:color w:val="000000" w:themeColor="text1"/>
          <w14:textFill>
            <w14:solidFill>
              <w14:schemeClr w14:val="tx1"/>
            </w14:solidFill>
          </w14:textFill>
        </w:rPr>
        <w:t>____________________</w:t>
      </w: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项目编号：</w:t>
      </w:r>
      <w:r>
        <w:rPr>
          <w:rFonts w:cs="Times New Roman" w:asciiTheme="minorEastAsia" w:hAnsiTheme="minorEastAsia" w:eastAsiaTheme="minorEastAsia"/>
          <w:color w:val="000000" w:themeColor="text1"/>
          <w14:textFill>
            <w14:solidFill>
              <w14:schemeClr w14:val="tx1"/>
            </w14:solidFill>
          </w14:textFill>
        </w:rPr>
        <w:t>____________________</w:t>
      </w: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供应商名称：</w:t>
      </w:r>
      <w:r>
        <w:rPr>
          <w:rFonts w:cs="Times New Roman" w:asciiTheme="minorEastAsia" w:hAnsiTheme="minorEastAsia" w:eastAsiaTheme="minorEastAsia"/>
          <w:color w:val="000000" w:themeColor="text1"/>
          <w14:textFill>
            <w14:solidFill>
              <w14:schemeClr w14:val="tx1"/>
            </w14:solidFill>
          </w14:textFill>
        </w:rPr>
        <w:t>__________________</w:t>
      </w: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t>______</w:t>
      </w:r>
      <w:r>
        <w:rPr>
          <w:rFonts w:hint="eastAsia" w:cs="Times New Roman" w:asciiTheme="minorEastAsia" w:hAnsiTheme="minorEastAsia" w:eastAsiaTheme="minorEastAsia"/>
          <w:color w:val="000000" w:themeColor="text1"/>
          <w14:textFill>
            <w14:solidFill>
              <w14:schemeClr w14:val="tx1"/>
            </w14:solidFill>
          </w14:textFill>
        </w:rPr>
        <w:t>年</w:t>
      </w:r>
      <w:r>
        <w:rPr>
          <w:rFonts w:cs="Times New Roman" w:asciiTheme="minorEastAsia" w:hAnsiTheme="minorEastAsia" w:eastAsiaTheme="minorEastAsia"/>
          <w:color w:val="000000" w:themeColor="text1"/>
          <w14:textFill>
            <w14:solidFill>
              <w14:schemeClr w14:val="tx1"/>
            </w14:solidFill>
          </w14:textFill>
        </w:rPr>
        <w:t>____</w:t>
      </w:r>
      <w:r>
        <w:rPr>
          <w:rFonts w:hint="eastAsia" w:cs="Times New Roman" w:asciiTheme="minorEastAsia" w:hAnsiTheme="minorEastAsia" w:eastAsiaTheme="minorEastAsia"/>
          <w:color w:val="000000" w:themeColor="text1"/>
          <w14:textFill>
            <w14:solidFill>
              <w14:schemeClr w14:val="tx1"/>
            </w14:solidFill>
          </w14:textFill>
        </w:rPr>
        <w:t>月</w:t>
      </w:r>
      <w:r>
        <w:rPr>
          <w:rFonts w:cs="Times New Roman" w:asciiTheme="minorEastAsia" w:hAnsiTheme="minorEastAsia" w:eastAsiaTheme="minorEastAsia"/>
          <w:color w:val="000000" w:themeColor="text1"/>
          <w14:textFill>
            <w14:solidFill>
              <w14:schemeClr w14:val="tx1"/>
            </w14:solidFill>
          </w14:textFill>
        </w:rPr>
        <w:t>____</w:t>
      </w:r>
      <w:r>
        <w:rPr>
          <w:rFonts w:hint="eastAsia" w:cs="Times New Roman" w:asciiTheme="minorEastAsia" w:hAnsiTheme="minorEastAsia" w:eastAsiaTheme="minorEastAsia"/>
          <w:color w:val="000000" w:themeColor="text1"/>
          <w14:textFill>
            <w14:solidFill>
              <w14:schemeClr w14:val="tx1"/>
            </w14:solidFill>
          </w14:textFill>
        </w:rPr>
        <w:t>日</w:t>
      </w:r>
    </w:p>
    <w:p>
      <w:pPr>
        <w:pStyle w:val="2"/>
        <w:ind w:firstLine="440"/>
        <w:rPr>
          <w:szCs w:val="21"/>
        </w:rPr>
      </w:pPr>
      <w:r>
        <w:br w:type="page"/>
      </w:r>
    </w:p>
    <w:p>
      <w:pPr>
        <w:pStyle w:val="7"/>
      </w:pPr>
      <w:bookmarkStart w:id="38" w:name="_Toc83402839"/>
      <w:bookmarkStart w:id="39" w:name="_Toc83402772"/>
      <w:r>
        <w:rPr>
          <w:rFonts w:hint="eastAsia"/>
        </w:rPr>
        <w:t>一、投标函</w:t>
      </w:r>
      <w:bookmarkEnd w:id="38"/>
      <w:bookmarkEnd w:id="39"/>
    </w:p>
    <w:p>
      <w:pPr>
        <w:jc w:val="center"/>
        <w:rPr>
          <w:b/>
          <w:sz w:val="28"/>
        </w:rPr>
      </w:pPr>
      <w:r>
        <w:rPr>
          <w:rFonts w:hint="eastAsia"/>
          <w:b/>
          <w:sz w:val="28"/>
        </w:rPr>
        <w:t>投标函</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致</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采购人或采购代理机构</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根据</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的投标邀请，</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姓名、职务</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代表供应商</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供应商名称、地址</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参加本项目招标的有关活动。据此函，作如下承诺：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同意在本项目招标文件中规定的开标日起</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天遵守本投标文件中的承诺，且在期满之前均具有约束力。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具备政府采购相关法律法规规定的参加政府采购活动的供应商应当具备的条件：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具有独立承担民事责任的能力；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具有良好的商业信誉和健全的财务会计制度；</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具有履行合同所必需的设备和专业技术能力；</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有依法缴纳税收和社会保障资金的良好记录；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参加此项采购活动前</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年内，在经营活动中没有重大违法记录。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具备本项目招标文件中规定的其他资格条件。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提供供应商须知规定的全部投标文件，包括投标文件正本</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份，副本</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份，电子版投标文件</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份。</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已详细审阅全部招标文件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包括招标文件澄清函</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，理解供应商须知的所有条款。</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完全理解贵方“最低报价不能作为中标的保证”的规定。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接受招标文件中全部合同条款，且无任何异议；保证忠实地执行双方所签订的合同，并承担合同规定的责任和义务。</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完全满足和响应招标文件中的各项商务和技术要求，若有偏差，已在投标文件中明确说明。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如果在开标后规定的投标有效期内撤回投标，贵方可不予退还我方的投标保证金。</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愿意提供任何与投标有关的数据、情况和技术资料等。</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我方已详细审核全部投标文件、参考资料及有关附件，确认无误。</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对本次招标内容及与本项目有关的知识产权、技术资料、商业秘密及相关信息保密。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与采购人和采购代理机构无任何的隶属关系或者其他利害关系。</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：法定代表人身份证明复印件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法定代表人参加投标</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：法定代表人授权书</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授权代表参加投标</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：授权委托书</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自然人提供</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供应商公章：</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供应商地址：</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邮编：</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电话：</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传真：</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法定代表人或供应商代表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联系电话：</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2"/>
        <w:ind w:firstLine="440"/>
        <w:rPr>
          <w:szCs w:val="21"/>
        </w:rPr>
      </w:pPr>
      <w:r>
        <w:br w:type="page"/>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法定代表人身份证明复印件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法定代表人参加投标的</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tbl>
      <w:tblPr>
        <w:tblStyle w:val="29"/>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法定代表人身份证明复印件</w:t>
            </w:r>
          </w:p>
        </w:tc>
      </w:tr>
    </w:tbl>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法定代表人授权委托书</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授权代表参加投标的</w:t>
      </w:r>
      <w:r>
        <w:rPr>
          <w:rFonts w:cs="Times New Roman" w:asciiTheme="minorEastAsia" w:hAnsiTheme="minorEastAsia" w:eastAsiaTheme="minorEastAsia"/>
          <w:color w:val="000000" w:themeColor="text1"/>
          <w:sz w:val="24"/>
          <w:szCs w:val="24"/>
          <w14:textFill>
            <w14:solidFill>
              <w14:schemeClr w14:val="tx1"/>
            </w14:solidFill>
          </w14:textFill>
        </w:rPr>
        <w:t>)</w:t>
      </w:r>
    </w:p>
    <w:p>
      <w:pPr>
        <w:jc w:val="center"/>
        <w:rPr>
          <w:b/>
          <w:sz w:val="28"/>
        </w:rPr>
      </w:pPr>
    </w:p>
    <w:p>
      <w:pPr>
        <w:jc w:val="center"/>
        <w:rPr>
          <w:b/>
          <w:sz w:val="28"/>
        </w:rPr>
      </w:pPr>
      <w:r>
        <w:rPr>
          <w:rFonts w:hint="eastAsia"/>
          <w:b/>
          <w:sz w:val="28"/>
        </w:rPr>
        <w:t>法定代表人授权委托书</w:t>
      </w:r>
      <w:r>
        <w:rPr>
          <w:b/>
          <w:sz w:val="28"/>
        </w:rPr>
        <w:t>(</w:t>
      </w:r>
      <w:r>
        <w:rPr>
          <w:rFonts w:hint="eastAsia"/>
          <w:b/>
          <w:sz w:val="28"/>
        </w:rPr>
        <w:t>格式一</w:t>
      </w:r>
      <w:r>
        <w:rPr>
          <w:b/>
          <w:sz w:val="28"/>
        </w:rPr>
        <w:t>)(</w:t>
      </w:r>
      <w:r>
        <w:rPr>
          <w:rFonts w:hint="eastAsia"/>
          <w:b/>
          <w:sz w:val="28"/>
        </w:rPr>
        <w:t>适用于法人投标</w:t>
      </w:r>
      <w:r>
        <w:rPr>
          <w:b/>
          <w:sz w:val="28"/>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的法定代表人</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姓名、职务</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授权</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供应商代表姓名、职务</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为本公司的供应商代表，就</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投标及相关事务代表本公司处理与之有关的一切事务。</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委托期限：</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代理人无转委托权。</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本授权书于</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日签字生效，特此声明。</w:t>
      </w:r>
    </w:p>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tbl>
      <w:tblPr>
        <w:tblStyle w:val="2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授权代表身份证明复印件</w:t>
            </w:r>
          </w:p>
        </w:tc>
      </w:tr>
    </w:tbl>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jc w:val="righ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p>
    <w:p>
      <w:pPr>
        <w:jc w:val="center"/>
        <w:rPr>
          <w:b/>
          <w:sz w:val="28"/>
        </w:rPr>
      </w:pPr>
      <w:r>
        <w:rPr>
          <w:rFonts w:hint="eastAsia"/>
          <w:b/>
          <w:sz w:val="28"/>
        </w:rPr>
        <w:t>授权委托书</w:t>
      </w:r>
      <w:r>
        <w:rPr>
          <w:b/>
          <w:sz w:val="28"/>
        </w:rPr>
        <w:t>(</w:t>
      </w:r>
      <w:r>
        <w:rPr>
          <w:rFonts w:hint="eastAsia"/>
          <w:b/>
          <w:sz w:val="28"/>
        </w:rPr>
        <w:t>格式二</w:t>
      </w:r>
      <w:r>
        <w:rPr>
          <w:b/>
          <w:sz w:val="28"/>
        </w:rPr>
        <w:t>)(</w:t>
      </w:r>
      <w:r>
        <w:rPr>
          <w:rFonts w:hint="eastAsia"/>
          <w:b/>
          <w:sz w:val="28"/>
        </w:rPr>
        <w:t>适用于自然人投标</w:t>
      </w:r>
      <w:r>
        <w:rPr>
          <w:b/>
          <w:sz w:val="28"/>
        </w:rPr>
        <w:t>)</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致：</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采购人或采购代理机构</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我</w:t>
      </w:r>
      <w:r>
        <w:rPr>
          <w:rFonts w:cs="Times New Roman" w:asciiTheme="minorEastAsia" w:hAnsiTheme="minorEastAsia" w:eastAsiaTheme="minorEastAsia"/>
          <w:color w:val="000000" w:themeColor="text1"/>
          <w:sz w:val="24"/>
          <w:szCs w:val="24"/>
          <w14:textFill>
            <w14:solidFill>
              <w14:schemeClr w14:val="tx1"/>
            </w14:solidFill>
          </w14:textFill>
        </w:rPr>
        <w:t>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姓名</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系自然人，现授权委托</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姓名</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以本人名义参加</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的投标活动，并代表本人全权办理针对上述项目的投标、签约等具体事务和签署相关文件。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本人对被授权人的签字事项负全部责任。</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授权委托代理期限：从　　　年　　月　　日起至　　　年　　月　　日止。</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代理人无转委托权，特此委托。</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我已在下面签字，以资证明。</w:t>
      </w:r>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自然人签字并在签名处加盖食指指印：　　　　年　　月　　日</w:t>
      </w: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7"/>
      </w:pPr>
      <w:bookmarkStart w:id="40" w:name="_Toc83402773"/>
      <w:bookmarkStart w:id="41" w:name="_Toc83402840"/>
      <w:r>
        <w:rPr>
          <w:rFonts w:hint="eastAsia"/>
        </w:rPr>
        <w:t>二、开标一览表</w:t>
      </w:r>
      <w:bookmarkEnd w:id="40"/>
      <w:bookmarkEnd w:id="41"/>
    </w:p>
    <w:p>
      <w:pPr>
        <w:pStyle w:val="17"/>
        <w:spacing w:line="360" w:lineRule="auto"/>
        <w:ind w:firstLine="560" w:firstLineChars="200"/>
        <w:jc w:val="center"/>
        <w:rPr>
          <w:rFonts w:cs="MingLiU_HKSCS"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开标一览表</w:t>
      </w:r>
    </w:p>
    <w:tbl>
      <w:tblPr>
        <w:tblStyle w:val="29"/>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序号</w:t>
            </w:r>
          </w:p>
        </w:tc>
        <w:tc>
          <w:tcPr>
            <w:tcW w:w="256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p>
        </w:tc>
        <w:tc>
          <w:tcPr>
            <w:tcW w:w="249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p>
        </w:tc>
        <w:tc>
          <w:tcPr>
            <w:tcW w:w="1362" w:type="dxa"/>
            <w:vAlign w:val="center"/>
          </w:tcPr>
          <w:p>
            <w:pPr>
              <w:pStyle w:val="17"/>
              <w:spacing w:line="360" w:lineRule="auto"/>
              <w:jc w:val="center"/>
              <w:rPr>
                <w:rFonts w:cs="MingLiU_HKSC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p>
        </w:tc>
        <w:tc>
          <w:tcPr>
            <w:tcW w:w="256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包号</w:t>
            </w:r>
          </w:p>
        </w:tc>
        <w:tc>
          <w:tcPr>
            <w:tcW w:w="5094" w:type="dxa"/>
            <w:gridSpan w:val="3"/>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p>
        </w:tc>
        <w:tc>
          <w:tcPr>
            <w:tcW w:w="256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总报价人民币</w:t>
            </w:r>
          </w:p>
        </w:tc>
        <w:tc>
          <w:tcPr>
            <w:tcW w:w="5094" w:type="dxa"/>
            <w:gridSpan w:val="3"/>
            <w:vAlign w:val="center"/>
          </w:tcPr>
          <w:p>
            <w:pPr>
              <w:pStyle w:val="17"/>
              <w:spacing w:line="360" w:lineRule="auto"/>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p>
          <w:p>
            <w:pPr>
              <w:pStyle w:val="17"/>
              <w:spacing w:line="360" w:lineRule="auto"/>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小写：￥</w:t>
            </w:r>
            <w:r>
              <w:rPr>
                <w:rFonts w:cs="Times New Roman" w:asciiTheme="minorEastAsia" w:hAnsiTheme="minorEastAsia" w:eastAsiaTheme="minorEastAsia"/>
                <w:color w:val="000000" w:themeColor="text1"/>
                <w:sz w:val="24"/>
                <w:szCs w:val="24"/>
                <w14:textFill>
                  <w14:solidFill>
                    <w14:schemeClr w14:val="tx1"/>
                  </w14:solidFill>
                </w14:textFill>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p>
        </w:tc>
        <w:tc>
          <w:tcPr>
            <w:tcW w:w="256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交货时间</w:t>
            </w:r>
          </w:p>
        </w:tc>
        <w:tc>
          <w:tcPr>
            <w:tcW w:w="5094" w:type="dxa"/>
            <w:gridSpan w:val="3"/>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p>
        </w:tc>
        <w:tc>
          <w:tcPr>
            <w:tcW w:w="256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交货地点</w:t>
            </w:r>
          </w:p>
        </w:tc>
        <w:tc>
          <w:tcPr>
            <w:tcW w:w="5094" w:type="dxa"/>
            <w:gridSpan w:val="3"/>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p>
        </w:tc>
        <w:tc>
          <w:tcPr>
            <w:tcW w:w="256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质保期</w:t>
            </w:r>
          </w:p>
        </w:tc>
        <w:tc>
          <w:tcPr>
            <w:tcW w:w="5094" w:type="dxa"/>
            <w:gridSpan w:val="3"/>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56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备注</w:t>
            </w:r>
          </w:p>
        </w:tc>
        <w:tc>
          <w:tcPr>
            <w:tcW w:w="5094" w:type="dxa"/>
            <w:gridSpan w:val="3"/>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价格包括但不限于：技术指导、税金费用、随产品备品备件费、专用工具费、随产品资料费、技术服务费、技术考察费、培训费、安装费、调试费、自检费及验收合格前和质保期内发生的一切费用、应当提供的伴随服务/售后服务费用、配合相关监管部门的验收费等。</w:t>
            </w:r>
          </w:p>
        </w:tc>
      </w:tr>
    </w:tbl>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法定代表人或其授权代表（签字或盖章）：</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pStyle w:val="17"/>
        <w:spacing w:line="360" w:lineRule="auto"/>
        <w:ind w:firstLine="420" w:firstLineChars="200"/>
        <w:rPr>
          <w:rFonts w:cs="Times New Roman" w:asciiTheme="minorEastAsia" w:hAnsiTheme="minorEastAsia" w:eastAsiaTheme="minorEastAsia"/>
          <w:color w:val="000000" w:themeColor="text1"/>
          <w14:textFill>
            <w14:solidFill>
              <w14:schemeClr w14:val="tx1"/>
            </w14:solidFill>
          </w14:textFill>
        </w:rPr>
      </w:pPr>
    </w:p>
    <w:p>
      <w:pPr>
        <w:widowControl/>
        <w:jc w:val="left"/>
        <w:rPr>
          <w:rFonts w:asciiTheme="minorEastAsia" w:hAnsiTheme="minorEastAsia" w:eastAsiaTheme="minorEastAsia"/>
          <w:color w:val="000000" w:themeColor="text1"/>
          <w:szCs w:val="21"/>
          <w14:textFill>
            <w14:solidFill>
              <w14:schemeClr w14:val="tx1"/>
            </w14:solidFill>
          </w14:textFill>
        </w:rPr>
      </w:pPr>
      <w:bookmarkStart w:id="42" w:name="_Toc83402841"/>
      <w:bookmarkStart w:id="43" w:name="_Toc83402774"/>
      <w:r>
        <w:rPr>
          <w:rFonts w:asciiTheme="minorEastAsia" w:hAnsiTheme="minorEastAsia" w:eastAsiaTheme="minorEastAsia"/>
          <w:b/>
          <w:bCs/>
          <w:color w:val="000000" w:themeColor="text1"/>
          <w:szCs w:val="21"/>
          <w14:textFill>
            <w14:solidFill>
              <w14:schemeClr w14:val="tx1"/>
            </w14:solidFill>
          </w14:textFill>
        </w:rPr>
        <w:br w:type="page"/>
      </w:r>
    </w:p>
    <w:p>
      <w:pPr>
        <w:pStyle w:val="7"/>
      </w:pPr>
      <w:r>
        <w:rPr>
          <w:rFonts w:hint="eastAsia"/>
        </w:rPr>
        <w:t>三、分项价格表</w:t>
      </w:r>
      <w:bookmarkEnd w:id="42"/>
      <w:bookmarkEnd w:id="43"/>
    </w:p>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ind w:firstLine="480" w:firstLineChars="200"/>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分项价格表</w:t>
      </w:r>
    </w:p>
    <w:p>
      <w:pPr>
        <w:pStyle w:val="17"/>
        <w:ind w:firstLine="480" w:firstLineChars="200"/>
        <w:jc w:val="center"/>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项目名称：</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　</w:t>
      </w:r>
    </w:p>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包号：</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金额单位：元</w:t>
      </w:r>
    </w:p>
    <w:tbl>
      <w:tblPr>
        <w:tblStyle w:val="29"/>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1"/>
        <w:gridCol w:w="864"/>
        <w:gridCol w:w="863"/>
        <w:gridCol w:w="1727"/>
        <w:gridCol w:w="1144"/>
        <w:gridCol w:w="1323"/>
        <w:gridCol w:w="741"/>
        <w:gridCol w:w="7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序号</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w:t>
            </w:r>
          </w:p>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名称</w:t>
            </w: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品牌</w:t>
            </w: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生产厂家</w:t>
            </w:r>
          </w:p>
        </w:tc>
        <w:tc>
          <w:tcPr>
            <w:tcW w:w="1144" w:type="dxa"/>
            <w:vAlign w:val="center"/>
          </w:tcPr>
          <w:p>
            <w:pPr>
              <w:pStyle w:val="17"/>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规格型号</w:t>
            </w: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限定单价</w:t>
            </w: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单价</w:t>
            </w: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数量</w:t>
            </w: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gridSpan w:val="2"/>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6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727"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4"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323"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1"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0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40"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16" w:type="dxa"/>
            <w:gridSpan w:val="5"/>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合计</w:t>
            </w:r>
          </w:p>
        </w:tc>
        <w:tc>
          <w:tcPr>
            <w:tcW w:w="5057" w:type="dxa"/>
            <w:gridSpan w:val="5"/>
            <w:vAlign w:val="center"/>
          </w:tcPr>
          <w:p>
            <w:pPr>
              <w:pStyle w:val="17"/>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cs="MingLiU_HKSCS" w:asciiTheme="minorEastAsia" w:hAnsiTheme="minorEastAsia" w:eastAsiaTheme="minorEastAsia"/>
                <w:color w:val="000000" w:themeColor="text1"/>
                <w:sz w:val="24"/>
                <w:szCs w:val="24"/>
                <w14:textFill>
                  <w14:solidFill>
                    <w14:schemeClr w14:val="tx1"/>
                  </w14:solidFill>
                </w14:textFill>
              </w:rPr>
              <w:t>小写</w:t>
            </w:r>
            <w:r>
              <w:rPr>
                <w:rFonts w:hint="eastAsia" w:cs="MingLiU_HKSCS" w:asciiTheme="minorEastAsia" w:hAnsiTheme="minorEastAsia" w:eastAsiaTheme="minorEastAsia"/>
                <w:color w:val="000000" w:themeColor="text1"/>
                <w:sz w:val="24"/>
                <w:szCs w:val="24"/>
                <w14:textFill>
                  <w14:solidFill>
                    <w14:schemeClr w14:val="tx1"/>
                  </w14:solidFill>
                </w14:textFill>
              </w:rPr>
              <w:t>：</w:t>
            </w:r>
          </w:p>
          <w:p>
            <w:pPr>
              <w:pStyle w:val="17"/>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MingLiU_HKSCS" w:asciiTheme="minorEastAsia" w:hAnsiTheme="minorEastAsia" w:eastAsiaTheme="minorEastAsia"/>
                <w:color w:val="000000" w:themeColor="text1"/>
                <w:sz w:val="24"/>
                <w:szCs w:val="24"/>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1" w:type="dxa"/>
            <w:vAlign w:val="center"/>
          </w:tcPr>
          <w:p>
            <w:pPr>
              <w:pStyle w:val="17"/>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备注</w:t>
            </w:r>
          </w:p>
        </w:tc>
        <w:tc>
          <w:tcPr>
            <w:tcW w:w="8632" w:type="dxa"/>
            <w:gridSpan w:val="9"/>
            <w:vAlign w:val="center"/>
          </w:tcPr>
          <w:p>
            <w:pPr>
              <w:pStyle w:val="17"/>
              <w:jc w:val="left"/>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MingLiU_HKSCS" w:asciiTheme="minorEastAsia" w:hAnsiTheme="minorEastAsia" w:eastAsiaTheme="minorEastAsia"/>
                <w:color w:val="000000" w:themeColor="text1"/>
                <w:sz w:val="24"/>
                <w:szCs w:val="24"/>
                <w14:textFill>
                  <w14:solidFill>
                    <w14:schemeClr w14:val="tx1"/>
                  </w14:solidFill>
                </w14:textFill>
              </w:rPr>
              <w:t>价格包括但不限于：技术指导、税金费用、随产品备品备件费、专用工具费、随产品资料费、技术服务费、技术考察费、培训费、安装费、调试费、自检费及验收合格前和质保期内发生的一切费用、应当提供的伴随服务/售后服务费用、配合相关监管部门的验收费等。</w:t>
            </w:r>
          </w:p>
        </w:tc>
      </w:tr>
    </w:tbl>
    <w:p>
      <w:pPr>
        <w:pStyle w:val="17"/>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盖公章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7"/>
      </w:pPr>
      <w:bookmarkStart w:id="44" w:name="_Toc83402775"/>
      <w:bookmarkStart w:id="45" w:name="_Toc83402842"/>
      <w:r>
        <w:rPr>
          <w:rFonts w:hint="eastAsia"/>
        </w:rPr>
        <w:t>四、商务条款偏离表</w:t>
      </w:r>
      <w:bookmarkEnd w:id="44"/>
      <w:bookmarkEnd w:id="45"/>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商务条款偏离表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项目名称：</w:t>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包号：</w:t>
      </w:r>
    </w:p>
    <w:tbl>
      <w:tblPr>
        <w:tblStyle w:val="29"/>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序号</w:t>
            </w:r>
          </w:p>
        </w:tc>
        <w:tc>
          <w:tcPr>
            <w:tcW w:w="184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招标文件条目号</w:t>
            </w:r>
          </w:p>
        </w:tc>
        <w:tc>
          <w:tcPr>
            <w:tcW w:w="226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招标文件的商务条款</w:t>
            </w:r>
          </w:p>
        </w:tc>
        <w:tc>
          <w:tcPr>
            <w:tcW w:w="212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投标文件的商务条款</w:t>
            </w:r>
          </w:p>
        </w:tc>
        <w:tc>
          <w:tcPr>
            <w:tcW w:w="74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偏离</w:t>
            </w:r>
          </w:p>
        </w:tc>
        <w:tc>
          <w:tcPr>
            <w:tcW w:w="816" w:type="dxa"/>
            <w:vAlign w:val="center"/>
          </w:tcPr>
          <w:p>
            <w:pPr>
              <w:pStyle w:val="17"/>
              <w:spacing w:line="360" w:lineRule="auto"/>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84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26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2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84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26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2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84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26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2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84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26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2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84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26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2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84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26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2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74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说明：如有偏离，则必须注明“偏离”；未注明偏离的，视为完全响应。</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法定代表人或其授权代表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br w:type="page"/>
      </w:r>
    </w:p>
    <w:p>
      <w:pPr>
        <w:pStyle w:val="7"/>
      </w:pPr>
      <w:bookmarkStart w:id="46" w:name="_Toc83402776"/>
      <w:bookmarkStart w:id="47" w:name="_Toc83402843"/>
      <w:r>
        <w:rPr>
          <w:rFonts w:hint="eastAsia"/>
        </w:rPr>
        <w:t>五、投标保证金</w:t>
      </w:r>
      <w:bookmarkEnd w:id="46"/>
      <w:bookmarkEnd w:id="47"/>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说明：须提供汇款单或转账凭证复印件。</w:t>
      </w: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7"/>
        <w:spacing w:before="0" w:after="0"/>
      </w:pPr>
      <w:bookmarkStart w:id="48" w:name="_Toc83402777"/>
      <w:bookmarkStart w:id="49" w:name="_Toc83402844"/>
      <w:r>
        <w:rPr>
          <w:rFonts w:hint="eastAsia"/>
        </w:rPr>
        <w:t>六、供应商具备投标资格的证明文件</w:t>
      </w:r>
      <w:bookmarkEnd w:id="48"/>
      <w:bookmarkEnd w:id="49"/>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p>
    <w:p>
      <w:pPr>
        <w:pStyle w:val="17"/>
        <w:spacing w:line="360" w:lineRule="auto"/>
        <w:ind w:firstLine="480" w:firstLineChars="200"/>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供应商基本情况表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供应商：</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421"/>
        <w:gridCol w:w="1548"/>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p>
        </w:tc>
        <w:tc>
          <w:tcPr>
            <w:tcW w:w="1969"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w:t>
            </w:r>
          </w:p>
        </w:tc>
        <w:tc>
          <w:tcPr>
            <w:tcW w:w="1512" w:type="dxa"/>
            <w:vAlign w:val="center"/>
          </w:tcPr>
          <w:p>
            <w:pPr>
              <w:pStyle w:val="17"/>
              <w:spacing w:line="360" w:lineRule="auto"/>
              <w:jc w:val="center"/>
              <w:rPr>
                <w:rFonts w:cs="MingLiU_HKSC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统一社会信用代码</w:t>
            </w:r>
          </w:p>
        </w:tc>
        <w:tc>
          <w:tcPr>
            <w:tcW w:w="1969"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邮政编码</w:t>
            </w:r>
          </w:p>
        </w:tc>
        <w:tc>
          <w:tcPr>
            <w:tcW w:w="151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授权代表</w:t>
            </w:r>
          </w:p>
        </w:tc>
        <w:tc>
          <w:tcPr>
            <w:tcW w:w="1969"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联系电话</w:t>
            </w:r>
          </w:p>
        </w:tc>
        <w:tc>
          <w:tcPr>
            <w:tcW w:w="151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电子邮箱</w:t>
            </w:r>
          </w:p>
        </w:tc>
        <w:tc>
          <w:tcPr>
            <w:tcW w:w="1969"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传真</w:t>
            </w:r>
          </w:p>
        </w:tc>
        <w:tc>
          <w:tcPr>
            <w:tcW w:w="151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上年营业收入</w:t>
            </w:r>
          </w:p>
        </w:tc>
        <w:tc>
          <w:tcPr>
            <w:tcW w:w="1969"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员工总人数</w:t>
            </w:r>
          </w:p>
        </w:tc>
        <w:tc>
          <w:tcPr>
            <w:tcW w:w="1512" w:type="dxa"/>
            <w:vAlign w:val="center"/>
          </w:tcPr>
          <w:p>
            <w:pPr>
              <w:pStyle w:val="17"/>
              <w:spacing w:line="360" w:lineRule="auto"/>
              <w:jc w:val="center"/>
              <w:rPr>
                <w:rFonts w:cs="MingLiU_HKSC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基本账户开户行及账号</w:t>
            </w:r>
          </w:p>
        </w:tc>
        <w:tc>
          <w:tcPr>
            <w:tcW w:w="154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1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税务登记机关</w:t>
            </w:r>
          </w:p>
        </w:tc>
        <w:tc>
          <w:tcPr>
            <w:tcW w:w="1548" w:type="dxa"/>
            <w:vAlign w:val="center"/>
          </w:tcPr>
          <w:p>
            <w:pPr>
              <w:pStyle w:val="17"/>
              <w:spacing w:line="360" w:lineRule="auto"/>
              <w:jc w:val="center"/>
              <w:rPr>
                <w:rFonts w:cs="MingLiU_HKSCS"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MingLiU_HKSCS" w:asciiTheme="minorEastAsia" w:hAnsiTheme="minorEastAsia" w:eastAsiaTheme="minorEastAsia"/>
                <w:color w:val="000000" w:themeColor="text1"/>
                <w:sz w:val="24"/>
                <w:szCs w:val="24"/>
                <w14:textFill>
                  <w14:solidFill>
                    <w14:schemeClr w14:val="tx1"/>
                  </w14:solidFill>
                </w14:textFill>
              </w:rPr>
            </w:pPr>
          </w:p>
        </w:tc>
        <w:tc>
          <w:tcPr>
            <w:tcW w:w="1512" w:type="dxa"/>
            <w:vAlign w:val="center"/>
          </w:tcPr>
          <w:p>
            <w:pPr>
              <w:pStyle w:val="17"/>
              <w:spacing w:line="360" w:lineRule="auto"/>
              <w:jc w:val="center"/>
              <w:rPr>
                <w:rFonts w:cs="MingLiU_HKSC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资质名称</w:t>
            </w:r>
          </w:p>
        </w:tc>
        <w:tc>
          <w:tcPr>
            <w:tcW w:w="154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等级</w:t>
            </w: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发证机关</w:t>
            </w:r>
          </w:p>
        </w:tc>
        <w:tc>
          <w:tcPr>
            <w:tcW w:w="151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4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1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备注</w:t>
            </w:r>
          </w:p>
        </w:tc>
        <w:tc>
          <w:tcPr>
            <w:tcW w:w="1969" w:type="dxa"/>
            <w:gridSpan w:val="2"/>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131"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1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法人或者其他组织的营业执照副本复印件或自然人的身份证明复印件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示例略</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法人或者其他组织的税务登记证副本复印件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按规定可不进行税务登记的不提供</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示例略</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财务状况报告、依法缴纳税收和社会保障资金的相关证明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示例略</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备注：</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供应商提供的2018年度、2019年度、2020年度财务状况报告，包括资产负债表、损益表等复印件。</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如供应商为新成立公司的，应提供公司成立之日后的财务报表</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提供近三个月依法缴纳税收和社会保障资金证明材料的复印件。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具备履行合同所必需的设备和专业技术能力的证明材料</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由供应商根据项目需求提供说明材料</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示例略</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2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br w:type="page"/>
      </w: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5</w:t>
      </w:r>
    </w:p>
    <w:p>
      <w:pPr>
        <w:pStyle w:val="17"/>
        <w:spacing w:line="360" w:lineRule="auto"/>
        <w:ind w:firstLine="480" w:firstLineChars="200"/>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hint="eastAsia" w:cs="Times New Roman" w:asciiTheme="minorEastAsia" w:hAnsiTheme="minorEastAsia" w:eastAsiaTheme="minorEastAsia"/>
          <w:b/>
          <w:color w:val="000000" w:themeColor="text1"/>
          <w:sz w:val="24"/>
          <w:szCs w:val="24"/>
          <w14:textFill>
            <w14:solidFill>
              <w14:schemeClr w14:val="tx1"/>
            </w14:solidFill>
          </w14:textFill>
        </w:rPr>
        <w:t>参加政府采购活动近三年内在经营活动中</w:t>
      </w:r>
    </w:p>
    <w:p>
      <w:pPr>
        <w:pStyle w:val="17"/>
        <w:spacing w:line="360" w:lineRule="auto"/>
        <w:ind w:firstLine="480" w:firstLineChars="200"/>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hint="eastAsia" w:cs="Times New Roman" w:asciiTheme="minorEastAsia" w:hAnsiTheme="minorEastAsia" w:eastAsiaTheme="minorEastAsia"/>
          <w:b/>
          <w:color w:val="000000" w:themeColor="text1"/>
          <w:sz w:val="24"/>
          <w:szCs w:val="24"/>
          <w14:textFill>
            <w14:solidFill>
              <w14:schemeClr w14:val="tx1"/>
            </w14:solidFill>
          </w14:textFill>
        </w:rPr>
        <w:t>没有重大违法记录的书面声明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本单位郑重声明：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我单位在参加采购活动前三年内在经营活动中没有《政府采购法》第二十二条第一款第</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五</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项所称重大违法记录，包括：</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特此声明！</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法定代表人或其授权代表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6</w:t>
      </w:r>
    </w:p>
    <w:p>
      <w:pPr>
        <w:pStyle w:val="17"/>
        <w:spacing w:line="360" w:lineRule="auto"/>
        <w:ind w:firstLine="480" w:firstLineChars="200"/>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hint="eastAsia" w:cs="Times New Roman" w:asciiTheme="minorEastAsia" w:hAnsiTheme="minorEastAsia" w:eastAsiaTheme="minorEastAsia"/>
          <w:b/>
          <w:color w:val="000000" w:themeColor="text1"/>
          <w:sz w:val="24"/>
          <w:szCs w:val="24"/>
          <w14:textFill>
            <w14:solidFill>
              <w14:schemeClr w14:val="tx1"/>
            </w14:solidFill>
          </w14:textFill>
        </w:rPr>
        <w:t>无不良信用记录承诺函</w:t>
      </w:r>
      <w:r>
        <w:rPr>
          <w:rFonts w:cs="Times New Roman" w:asciiTheme="minorEastAsia" w:hAnsiTheme="minorEastAsia" w:eastAsiaTheme="minorEastAsia"/>
          <w:b/>
          <w:color w:val="000000" w:themeColor="text1"/>
          <w:sz w:val="24"/>
          <w:szCs w:val="24"/>
          <w14:textFill>
            <w14:solidFill>
              <w14:schemeClr w14:val="tx1"/>
            </w14:solidFill>
          </w14:textFill>
        </w:rPr>
        <w:t>(</w:t>
      </w:r>
      <w:r>
        <w:rPr>
          <w:rFonts w:hint="eastAsia" w:cs="Times New Roman" w:asciiTheme="minorEastAsia" w:hAnsiTheme="minorEastAsia" w:eastAsiaTheme="minorEastAsia"/>
          <w:b/>
          <w:color w:val="000000" w:themeColor="text1"/>
          <w:sz w:val="24"/>
          <w:szCs w:val="24"/>
          <w14:textFill>
            <w14:solidFill>
              <w14:schemeClr w14:val="tx1"/>
            </w14:solidFill>
          </w14:textFill>
        </w:rPr>
        <w:t>供应商自行查询适用</w:t>
      </w:r>
      <w:r>
        <w:rPr>
          <w:rFonts w:cs="Times New Roman" w:asciiTheme="minorEastAsia" w:hAnsiTheme="minorEastAsia" w:eastAsiaTheme="minorEastAsia"/>
          <w:b/>
          <w:color w:val="000000" w:themeColor="text1"/>
          <w:sz w:val="24"/>
          <w:szCs w:val="24"/>
          <w14:textFill>
            <w14:solidFill>
              <w14:schemeClr w14:val="tx1"/>
            </w14:solidFill>
          </w14:textFill>
        </w:rPr>
        <w:t>)</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致</w:t>
      </w:r>
      <w:r>
        <w:rPr>
          <w:rFonts w:cs="Times New Roman" w:asciiTheme="minorEastAsia" w:hAnsiTheme="minorEastAsia" w:eastAsiaTheme="minorEastAsia"/>
          <w:color w:val="000000" w:themeColor="text1"/>
          <w:sz w:val="24"/>
          <w:szCs w:val="24"/>
          <w14:textFill>
            <w14:solidFill>
              <w14:schemeClr w14:val="tx1"/>
            </w14:solidFill>
          </w14:textFill>
        </w:rPr>
        <w:t>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采购人或采购代理机构</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本单位郑重承诺，我单位无以下不良信用记录情形：</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被人民法院列入失信被执行人；</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被税务部门列入重大税收违法案件当事人名单；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被政府采购监管部门列入政府采购严重违法失信行为记录名单；</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不符合《政府采购法》第二十二条规定的条件。</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盖公章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法定代表人或其授权代表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br w:type="page"/>
      </w:r>
    </w:p>
    <w:p>
      <w:pPr>
        <w:pStyle w:val="7"/>
      </w:pPr>
      <w:bookmarkStart w:id="50" w:name="_Toc83402778"/>
      <w:bookmarkStart w:id="51" w:name="_Toc83402845"/>
      <w:r>
        <w:rPr>
          <w:rFonts w:hint="eastAsia"/>
        </w:rPr>
        <w:t>七、供应商近三年（2018年1月1日-至今）类似项目业绩</w:t>
      </w:r>
      <w:bookmarkEnd w:id="50"/>
      <w:bookmarkEnd w:id="51"/>
    </w:p>
    <w:tbl>
      <w:tblPr>
        <w:tblStyle w:val="29"/>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序号</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业主名称</w:t>
            </w:r>
          </w:p>
        </w:tc>
        <w:tc>
          <w:tcPr>
            <w:tcW w:w="1530"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项目名称</w:t>
            </w: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合同总价</w:t>
            </w: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签约及完成时间</w:t>
            </w: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rPr>
                <w:rFonts w:asciiTheme="minorEastAsia" w:hAnsiTheme="minorEastAsia" w:eastAsiaTheme="minorEastAsia"/>
                <w:color w:val="000000" w:themeColor="text1"/>
                <w:szCs w:val="21"/>
                <w14:textFill>
                  <w14:solidFill>
                    <w14:schemeClr w14:val="tx1"/>
                  </w14:solidFill>
                </w14:textFill>
              </w:rPr>
            </w:pPr>
          </w:p>
          <w:p>
            <w:pPr>
              <w:spacing w:line="440" w:lineRule="exact"/>
              <w:ind w:firstLine="210" w:firstLineChars="1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tabs>
                <w:tab w:val="center" w:pos="767"/>
                <w:tab w:val="right" w:pos="1415"/>
              </w:tabs>
              <w:spacing w:line="44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p>
        </w:tc>
        <w:tc>
          <w:tcPr>
            <w:tcW w:w="1485"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30"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23"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391"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276"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bl>
    <w:p>
      <w:pPr>
        <w:pStyle w:val="17"/>
        <w:spacing w:line="360" w:lineRule="auto"/>
        <w:ind w:left="720" w:hanging="720" w:hangingChars="3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备注：1、类似项目业绩为：2018年1月1日-至今类似业绩，以合同签订时间为准。</w:t>
      </w:r>
    </w:p>
    <w:p>
      <w:pPr>
        <w:pStyle w:val="17"/>
        <w:spacing w:line="360" w:lineRule="auto"/>
        <w:ind w:left="735" w:leftChars="35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2、本表后附合同复印件。</w:t>
      </w:r>
    </w:p>
    <w:p>
      <w:pPr>
        <w:pStyle w:val="17"/>
        <w:ind w:firstLine="420" w:firstLineChars="200"/>
        <w:rPr>
          <w:rFonts w:cs="宋体" w:asciiTheme="minorEastAsia" w:hAnsiTheme="minorEastAsia" w:eastAsiaTheme="minorEastAsia"/>
          <w:b/>
          <w:bCs/>
          <w:color w:val="000000" w:themeColor="text1"/>
          <w:szCs w:val="22"/>
          <w14:textFill>
            <w14:solidFill>
              <w14:schemeClr w14:val="tx1"/>
            </w14:solidFill>
          </w14:textFill>
        </w:rPr>
      </w:pPr>
    </w:p>
    <w:p>
      <w:pPr>
        <w:pStyle w:val="17"/>
        <w:ind w:firstLine="420" w:firstLineChars="200"/>
        <w:rPr>
          <w:rFonts w:cs="宋体" w:asciiTheme="minorEastAsia" w:hAnsiTheme="minorEastAsia" w:eastAsiaTheme="minorEastAsia"/>
          <w:b/>
          <w:bCs/>
          <w:color w:val="000000" w:themeColor="text1"/>
          <w:szCs w:val="22"/>
          <w14:textFill>
            <w14:solidFill>
              <w14:schemeClr w14:val="tx1"/>
            </w14:solidFill>
          </w14:textFill>
        </w:rPr>
      </w:pP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法定代表人或其授权代表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widowControl/>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pStyle w:val="7"/>
      </w:pPr>
      <w:bookmarkStart w:id="52" w:name="_Toc83402779"/>
      <w:bookmarkStart w:id="53" w:name="_Toc83402846"/>
      <w:r>
        <w:rPr>
          <w:rFonts w:hint="eastAsia"/>
        </w:rPr>
        <w:t>八、供应商认为需提供的其他资料</w:t>
      </w:r>
      <w:bookmarkEnd w:id="52"/>
      <w:bookmarkEnd w:id="53"/>
    </w:p>
    <w:p>
      <w:pPr>
        <w:pStyle w:val="17"/>
        <w:spacing w:line="360" w:lineRule="auto"/>
        <w:ind w:firstLine="480" w:firstLineChars="200"/>
        <w:rPr>
          <w:rFonts w:cs="Times New Roman" w:asciiTheme="minorEastAsia" w:hAnsiTheme="minorEastAsia" w:eastAsiaTheme="minorEastAsia"/>
          <w:b/>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附件8－1　</w:t>
      </w:r>
      <w:r>
        <w:rPr>
          <w:rFonts w:hint="eastAsia" w:cs="宋体" w:asciiTheme="minorEastAsia" w:hAnsiTheme="minorEastAsia" w:eastAsiaTheme="minorEastAsia"/>
          <w:b/>
          <w:color w:val="000000" w:themeColor="text1"/>
          <w:sz w:val="24"/>
          <w14:textFill>
            <w14:solidFill>
              <w14:schemeClr w14:val="tx1"/>
            </w14:solidFill>
          </w14:textFill>
        </w:rPr>
        <w:t>设备具体说明（可提供对外发布的的彩页、第三方检测报告、技术白皮书等说明设备的具体性能以便专家能清楚的了解所投设备的具体情况）（自行提供）；</w:t>
      </w:r>
    </w:p>
    <w:p>
      <w:pPr>
        <w:pStyle w:val="17"/>
        <w:spacing w:line="360" w:lineRule="auto"/>
        <w:ind w:firstLine="480" w:firstLineChars="200"/>
        <w:rPr>
          <w:rFonts w:cs="Times New Roman" w:asciiTheme="minorEastAsia" w:hAnsiTheme="minorEastAsia" w:eastAsiaTheme="minorEastAsia"/>
          <w:b/>
          <w:color w:val="000000" w:themeColor="text1"/>
          <w:sz w:val="24"/>
          <w:szCs w:val="24"/>
          <w14:textFill>
            <w14:solidFill>
              <w14:schemeClr w14:val="tx1"/>
            </w14:solidFill>
          </w14:textFill>
        </w:rPr>
      </w:pPr>
    </w:p>
    <w:p>
      <w:pPr>
        <w:widowControl/>
        <w:jc w:val="left"/>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p>
    <w:p>
      <w:pPr>
        <w:pStyle w:val="7"/>
      </w:pPr>
      <w:bookmarkStart w:id="54" w:name="_Toc83402780"/>
      <w:bookmarkStart w:id="55" w:name="_Toc83402847"/>
      <w:r>
        <w:rPr>
          <w:rFonts w:hint="eastAsia"/>
        </w:rPr>
        <w:t>九、供应商企业类型声明函</w:t>
      </w:r>
      <w:bookmarkEnd w:id="54"/>
      <w:bookmarkEnd w:id="55"/>
    </w:p>
    <w:p>
      <w:pPr>
        <w:pStyle w:val="8"/>
        <w:numPr>
          <w:ilvl w:val="0"/>
          <w:numId w:val="5"/>
        </w:numPr>
      </w:pPr>
      <w:bookmarkStart w:id="56" w:name="_Toc83402848"/>
      <w:r>
        <w:rPr>
          <w:rFonts w:hint="eastAsia"/>
        </w:rPr>
        <w:t>中小微企业声明函</w:t>
      </w:r>
      <w:bookmarkEnd w:id="56"/>
    </w:p>
    <w:p>
      <w:pPr>
        <w:spacing w:line="360" w:lineRule="auto"/>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中小企业声明函</w:t>
      </w:r>
    </w:p>
    <w:p>
      <w:pPr>
        <w:spacing w:line="360" w:lineRule="auto"/>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本公司（联合体）郑重声明，根据《政府采购促进中小企业发展管理办法》（财库</w:t>
      </w:r>
      <w:r>
        <w:rPr>
          <w:rFonts w:asciiTheme="minorEastAsia" w:hAnsiTheme="minorEastAsia" w:eastAsiaTheme="minorEastAsia"/>
          <w:color w:val="000000" w:themeColor="text1"/>
          <w:kern w:val="0"/>
          <w:sz w:val="24"/>
          <w14:textFill>
            <w14:solidFill>
              <w14:schemeClr w14:val="tx1"/>
            </w14:solidFill>
          </w14:textFill>
        </w:rPr>
        <w:t>[20</w:t>
      </w:r>
      <w:r>
        <w:rPr>
          <w:rFonts w:hint="eastAsia" w:asciiTheme="minorEastAsia" w:hAnsiTheme="minorEastAsia" w:eastAsiaTheme="minorEastAsia"/>
          <w:color w:val="000000" w:themeColor="text1"/>
          <w:kern w:val="0"/>
          <w:sz w:val="24"/>
          <w14:textFill>
            <w14:solidFill>
              <w14:schemeClr w14:val="tx1"/>
            </w14:solidFill>
          </w14:textFill>
        </w:rPr>
        <w:t>20</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46号）的规定，本公司（联合体）参加</w:t>
      </w:r>
      <w:r>
        <w:rPr>
          <w:rFonts w:hint="eastAsia" w:asciiTheme="minorEastAsia" w:hAnsiTheme="minorEastAsia" w:eastAsiaTheme="minorEastAsia"/>
          <w:color w:val="000000" w:themeColor="text1"/>
          <w:kern w:val="0"/>
          <w:sz w:val="24"/>
          <w:u w:val="single"/>
          <w14:textFill>
            <w14:solidFill>
              <w14:schemeClr w14:val="tx1"/>
            </w14:solidFill>
          </w14:textFill>
        </w:rPr>
        <w:t>（单位名称）</w:t>
      </w:r>
      <w:r>
        <w:rPr>
          <w:rFonts w:hint="eastAsia" w:asciiTheme="minorEastAsia" w:hAnsiTheme="minorEastAsia" w:eastAsiaTheme="minorEastAsia"/>
          <w:color w:val="000000" w:themeColor="text1"/>
          <w:kern w:val="0"/>
          <w:sz w:val="24"/>
          <w14:textFill>
            <w14:solidFill>
              <w14:schemeClr w14:val="tx1"/>
            </w14:solidFill>
          </w14:textFill>
        </w:rPr>
        <w:t>的</w:t>
      </w:r>
      <w:r>
        <w:rPr>
          <w:rFonts w:hint="eastAsia" w:asciiTheme="minorEastAsia" w:hAnsiTheme="minorEastAsia" w:eastAsiaTheme="minorEastAsia"/>
          <w:color w:val="000000" w:themeColor="text1"/>
          <w:kern w:val="0"/>
          <w:sz w:val="24"/>
          <w:u w:val="single"/>
          <w14:textFill>
            <w14:solidFill>
              <w14:schemeClr w14:val="tx1"/>
            </w14:solidFill>
          </w14:textFill>
        </w:rPr>
        <w:t>（项目名称）</w:t>
      </w:r>
      <w:r>
        <w:rPr>
          <w:rFonts w:hint="eastAsia" w:asciiTheme="minorEastAsia" w:hAnsiTheme="minorEastAsia" w:eastAsiaTheme="minorEastAsia"/>
          <w:color w:val="000000" w:themeColor="text1"/>
          <w:kern w:val="0"/>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u w:val="single"/>
          <w14:textFill>
            <w14:solidFill>
              <w14:schemeClr w14:val="tx1"/>
            </w14:solidFill>
          </w14:textFill>
        </w:rPr>
        <w:t>（标的名称）</w:t>
      </w:r>
      <w:r>
        <w:rPr>
          <w:rFonts w:hint="eastAsia" w:asciiTheme="minorEastAsia" w:hAnsiTheme="minorEastAsia" w:eastAsiaTheme="minorEastAsia"/>
          <w:color w:val="000000" w:themeColor="text1"/>
          <w:kern w:val="0"/>
          <w:sz w:val="24"/>
          <w14:textFill>
            <w14:solidFill>
              <w14:schemeClr w14:val="tx1"/>
            </w14:solidFill>
          </w14:textFill>
        </w:rPr>
        <w:t>，属于</w:t>
      </w:r>
      <w:r>
        <w:rPr>
          <w:rFonts w:hint="eastAsia" w:asciiTheme="minorEastAsia" w:hAnsiTheme="minorEastAsia" w:eastAsiaTheme="minorEastAsia"/>
          <w:color w:val="000000" w:themeColor="text1"/>
          <w:kern w:val="0"/>
          <w:sz w:val="24"/>
          <w:u w:val="single"/>
          <w14:textFill>
            <w14:solidFill>
              <w14:schemeClr w14:val="tx1"/>
            </w14:solidFill>
          </w14:textFill>
        </w:rPr>
        <w:t>（采购文件中明确的所属行业）行业</w:t>
      </w:r>
      <w:r>
        <w:rPr>
          <w:rFonts w:hint="eastAsia" w:asciiTheme="minorEastAsia" w:hAnsiTheme="minorEastAsia" w:eastAsiaTheme="minorEastAsia"/>
          <w:color w:val="000000" w:themeColor="text1"/>
          <w:kern w:val="0"/>
          <w:sz w:val="24"/>
          <w14:textFill>
            <w14:solidFill>
              <w14:schemeClr w14:val="tx1"/>
            </w14:solidFill>
          </w14:textFill>
        </w:rPr>
        <w:t>；制造商为</w:t>
      </w:r>
      <w:r>
        <w:rPr>
          <w:rFonts w:hint="eastAsia" w:asciiTheme="minorEastAsia" w:hAnsiTheme="minorEastAsia" w:eastAsiaTheme="minorEastAsia"/>
          <w:color w:val="000000" w:themeColor="text1"/>
          <w:kern w:val="0"/>
          <w:sz w:val="24"/>
          <w:u w:val="single"/>
          <w14:textFill>
            <w14:solidFill>
              <w14:schemeClr w14:val="tx1"/>
            </w14:solidFill>
          </w14:textFill>
        </w:rPr>
        <w:t>（企业名称）</w:t>
      </w:r>
      <w:r>
        <w:rPr>
          <w:rFonts w:hint="eastAsia" w:asciiTheme="minorEastAsia" w:hAnsiTheme="minorEastAsia" w:eastAsiaTheme="minorEastAsia"/>
          <w:color w:val="000000" w:themeColor="text1"/>
          <w:kern w:val="0"/>
          <w:sz w:val="24"/>
          <w14:textFill>
            <w14:solidFill>
              <w14:schemeClr w14:val="tx1"/>
            </w14:solidFill>
          </w14:textFill>
        </w:rPr>
        <w:t>，从业人员人，营业收入为万元，资产总额为万元，属于（中型企业、小型企业、微型企业）；</w:t>
      </w:r>
    </w:p>
    <w:p>
      <w:pPr>
        <w:spacing w:line="360" w:lineRule="auto"/>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u w:val="single"/>
          <w14:textFill>
            <w14:solidFill>
              <w14:schemeClr w14:val="tx1"/>
            </w14:solidFill>
          </w14:textFill>
        </w:rPr>
        <w:t>（标的名称）</w:t>
      </w:r>
      <w:r>
        <w:rPr>
          <w:rFonts w:hint="eastAsia" w:asciiTheme="minorEastAsia" w:hAnsiTheme="minorEastAsia" w:eastAsiaTheme="minorEastAsia"/>
          <w:color w:val="000000" w:themeColor="text1"/>
          <w:kern w:val="0"/>
          <w:sz w:val="24"/>
          <w14:textFill>
            <w14:solidFill>
              <w14:schemeClr w14:val="tx1"/>
            </w14:solidFill>
          </w14:textFill>
        </w:rPr>
        <w:t>，属于</w:t>
      </w:r>
      <w:r>
        <w:rPr>
          <w:rFonts w:hint="eastAsia" w:asciiTheme="minorEastAsia" w:hAnsiTheme="minorEastAsia" w:eastAsiaTheme="minorEastAsia"/>
          <w:color w:val="000000" w:themeColor="text1"/>
          <w:kern w:val="0"/>
          <w:sz w:val="24"/>
          <w:u w:val="single"/>
          <w14:textFill>
            <w14:solidFill>
              <w14:schemeClr w14:val="tx1"/>
            </w14:solidFill>
          </w14:textFill>
        </w:rPr>
        <w:t>（采购文件中明确的所属行业）行业</w:t>
      </w:r>
      <w:r>
        <w:rPr>
          <w:rFonts w:hint="eastAsia" w:asciiTheme="minorEastAsia" w:hAnsiTheme="minorEastAsia" w:eastAsiaTheme="minorEastAsia"/>
          <w:color w:val="000000" w:themeColor="text1"/>
          <w:kern w:val="0"/>
          <w:sz w:val="24"/>
          <w14:textFill>
            <w14:solidFill>
              <w14:schemeClr w14:val="tx1"/>
            </w14:solidFill>
          </w14:textFill>
        </w:rPr>
        <w:t>；制造商为</w:t>
      </w:r>
      <w:r>
        <w:rPr>
          <w:rFonts w:hint="eastAsia" w:asciiTheme="minorEastAsia" w:hAnsiTheme="minorEastAsia" w:eastAsiaTheme="minorEastAsia"/>
          <w:color w:val="000000" w:themeColor="text1"/>
          <w:kern w:val="0"/>
          <w:sz w:val="24"/>
          <w:u w:val="single"/>
          <w14:textFill>
            <w14:solidFill>
              <w14:schemeClr w14:val="tx1"/>
            </w14:solidFill>
          </w14:textFill>
        </w:rPr>
        <w:t>（企业名称）</w:t>
      </w:r>
      <w:r>
        <w:rPr>
          <w:rFonts w:hint="eastAsia" w:asciiTheme="minorEastAsia" w:hAnsiTheme="minorEastAsia" w:eastAsiaTheme="minorEastAsia"/>
          <w:color w:val="000000" w:themeColor="text1"/>
          <w:kern w:val="0"/>
          <w:sz w:val="24"/>
          <w14:textFill>
            <w14:solidFill>
              <w14:schemeClr w14:val="tx1"/>
            </w14:solidFill>
          </w14:textFill>
        </w:rPr>
        <w:t>，从业人员人，营业收入为万元，资产总额为万元，属于（中型企业、小型企业、微型企业）；</w:t>
      </w:r>
    </w:p>
    <w:p>
      <w:pPr>
        <w:spacing w:line="360" w:lineRule="auto"/>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本企业对上述声明内容的真实性负责。如有虚假，将依法承担相应责任。</w:t>
      </w:r>
    </w:p>
    <w:p>
      <w:pPr>
        <w:spacing w:line="360" w:lineRule="auto"/>
        <w:jc w:val="righ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供应商（盖章）：</w:t>
      </w:r>
    </w:p>
    <w:p>
      <w:pPr>
        <w:spacing w:line="360" w:lineRule="auto"/>
        <w:jc w:val="righ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日期：</w:t>
      </w:r>
    </w:p>
    <w:p>
      <w:pPr>
        <w:pStyle w:val="2"/>
        <w:ind w:firstLine="440"/>
      </w:pPr>
    </w:p>
    <w:p>
      <w:pPr>
        <w:widowControl/>
        <w:jc w:val="left"/>
        <w:rPr>
          <w:rFonts w:ascii="仿宋_GB2312" w:hAnsi="华文中宋" w:eastAsia="仿宋_GB2312"/>
          <w:bCs/>
          <w:color w:val="000000"/>
          <w:spacing w:val="-10"/>
          <w:sz w:val="24"/>
          <w:szCs w:val="24"/>
        </w:rPr>
      </w:pPr>
      <w:r>
        <w:br w:type="page"/>
      </w:r>
    </w:p>
    <w:p>
      <w:pPr>
        <w:pStyle w:val="8"/>
        <w:numPr>
          <w:ilvl w:val="0"/>
          <w:numId w:val="5"/>
        </w:numPr>
      </w:pPr>
      <w:bookmarkStart w:id="57" w:name="_Toc83402849"/>
      <w:r>
        <w:rPr>
          <w:rFonts w:hint="eastAsia"/>
        </w:rPr>
        <w:t>中小企业生产或销售的产品优惠明细表</w:t>
      </w:r>
      <w:bookmarkEnd w:id="57"/>
    </w:p>
    <w:p>
      <w:pPr>
        <w:jc w:val="center"/>
        <w:rPr>
          <w:rFonts w:asciiTheme="minorEastAsia" w:hAnsiTheme="minorEastAsia" w:eastAsiaTheme="minorEastAsia"/>
          <w:b/>
          <w:bCs/>
          <w:color w:val="000000" w:themeColor="text1"/>
          <w:sz w:val="24"/>
          <w14:textFill>
            <w14:solidFill>
              <w14:schemeClr w14:val="tx1"/>
            </w14:solidFill>
          </w14:textFill>
        </w:rPr>
      </w:pPr>
      <w:bookmarkStart w:id="58" w:name="_Toc439149569"/>
      <w:r>
        <w:rPr>
          <w:rFonts w:hint="eastAsia" w:asciiTheme="minorEastAsia" w:hAnsiTheme="minorEastAsia" w:eastAsiaTheme="minorEastAsia"/>
          <w:b/>
          <w:bCs/>
          <w:color w:val="000000" w:themeColor="text1"/>
          <w:sz w:val="24"/>
          <w14:textFill>
            <w14:solidFill>
              <w14:schemeClr w14:val="tx1"/>
            </w14:solidFill>
          </w14:textFill>
        </w:rPr>
        <w:t>（若有，请如实填写）</w:t>
      </w:r>
      <w:bookmarkEnd w:id="58"/>
    </w:p>
    <w:p>
      <w:pPr>
        <w:tabs>
          <w:tab w:val="left" w:pos="480"/>
        </w:tabs>
        <w:adjustRightInd w:val="0"/>
        <w:spacing w:line="440" w:lineRule="exact"/>
        <w:ind w:left="1680" w:leftChars="800" w:firstLine="4320" w:firstLineChars="1800"/>
        <w:textAlignment w:val="baseline"/>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报价货币种类：</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p>
        </w:tc>
        <w:tc>
          <w:tcPr>
            <w:tcW w:w="2012"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p>
        </w:tc>
        <w:tc>
          <w:tcPr>
            <w:tcW w:w="1123"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p>
        </w:tc>
        <w:tc>
          <w:tcPr>
            <w:tcW w:w="1050"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6</w:t>
            </w:r>
          </w:p>
        </w:tc>
        <w:tc>
          <w:tcPr>
            <w:tcW w:w="1766"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标段（包）</w:t>
            </w:r>
          </w:p>
        </w:tc>
        <w:tc>
          <w:tcPr>
            <w:tcW w:w="2012"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小型和微型企业产品名称</w:t>
            </w:r>
          </w:p>
        </w:tc>
        <w:tc>
          <w:tcPr>
            <w:tcW w:w="1123"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1050"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报价（元）</w:t>
            </w: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价格评审扣除金额（元）</w:t>
            </w: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品牌型号规格</w:t>
            </w:r>
          </w:p>
        </w:tc>
        <w:tc>
          <w:tcPr>
            <w:tcW w:w="1766"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制造商</w:t>
            </w:r>
          </w:p>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2012" w:type="dxa"/>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123"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050"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766"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2012" w:type="dxa"/>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123"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050"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1766" w:type="dxa"/>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8647" w:type="dxa"/>
            <w:gridSpan w:val="6"/>
            <w:vAlign w:val="center"/>
          </w:tcPr>
          <w:p>
            <w:pPr>
              <w:tabs>
                <w:tab w:val="left" w:pos="5355"/>
              </w:tabs>
              <w:spacing w:line="38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Theme="minorEastAsia" w:hAnsiTheme="minorEastAsia" w:eastAsiaTheme="minorEastAsia"/>
                <w:color w:val="000000" w:themeColor="text1"/>
                <w:sz w:val="24"/>
                <w14:textFill>
                  <w14:solidFill>
                    <w14:schemeClr w14:val="tx1"/>
                  </w14:solidFill>
                </w14:textFill>
              </w:rPr>
            </w:pPr>
          </w:p>
        </w:tc>
        <w:tc>
          <w:tcPr>
            <w:tcW w:w="8647" w:type="dxa"/>
            <w:gridSpan w:val="6"/>
            <w:vAlign w:val="center"/>
          </w:tcPr>
          <w:p>
            <w:pPr>
              <w:tabs>
                <w:tab w:val="left" w:pos="5355"/>
              </w:tabs>
              <w:spacing w:line="38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本标段（包）价格评审扣除金额总计：（元）</w:t>
            </w:r>
          </w:p>
        </w:tc>
      </w:tr>
    </w:tbl>
    <w:p>
      <w:pPr>
        <w:tabs>
          <w:tab w:val="left" w:pos="480"/>
        </w:tabs>
        <w:adjustRightInd w:val="0"/>
        <w:spacing w:line="440" w:lineRule="exact"/>
        <w:textAlignment w:val="baseline"/>
        <w:rPr>
          <w:rFonts w:asciiTheme="minorEastAsia" w:hAnsiTheme="minorEastAsia" w:eastAsiaTheme="minorEastAsia"/>
          <w:bCs/>
          <w:color w:val="000000" w:themeColor="text1"/>
          <w:kern w:val="0"/>
          <w:sz w:val="24"/>
          <w:szCs w:val="24"/>
          <w14:textFill>
            <w14:solidFill>
              <w14:schemeClr w14:val="tx1"/>
            </w14:solidFill>
          </w14:textFill>
        </w:rPr>
      </w:pPr>
    </w:p>
    <w:p>
      <w:pPr>
        <w:tabs>
          <w:tab w:val="left" w:pos="13000"/>
        </w:tabs>
        <w:spacing w:line="44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w:t>
      </w: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、当一个标段（包）内有多个属于小型和微型企业的产品时，服务商应按序号详细填写。</w:t>
      </w: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、栏目</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栏目</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×招标文件规定的价格扣除比率的优惠幅度。</w:t>
      </w: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、若所供应的产品不具备此类评审优惠条件，本“中小价格扣除明细表”不必填写。</w:t>
      </w:r>
    </w:p>
    <w:p>
      <w:pPr>
        <w:spacing w:line="440" w:lineRule="exact"/>
        <w:ind w:firstLine="600"/>
        <w:rPr>
          <w:rFonts w:asciiTheme="minorEastAsia" w:hAnsiTheme="minorEastAsia" w:eastAsiaTheme="minorEastAsia"/>
          <w:color w:val="000000" w:themeColor="text1"/>
          <w:sz w:val="24"/>
          <w14:textFill>
            <w14:solidFill>
              <w14:schemeClr w14:val="tx1"/>
            </w14:solidFill>
          </w14:textFill>
        </w:rPr>
      </w:pP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供应商（盖章）：</w:t>
      </w: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法定代表人或其授权代表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签字或盖章</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____________</w:t>
      </w: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日期：年月日</w:t>
      </w: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br w:type="page"/>
      </w:r>
    </w:p>
    <w:p>
      <w:pPr>
        <w:pStyle w:val="8"/>
        <w:numPr>
          <w:ilvl w:val="0"/>
          <w:numId w:val="5"/>
        </w:numPr>
      </w:pPr>
      <w:bookmarkStart w:id="59" w:name="_Toc83402850"/>
      <w:r>
        <w:rPr>
          <w:rFonts w:hint="eastAsia"/>
        </w:rPr>
        <w:t>监狱企业声明函</w:t>
      </w:r>
      <w:bookmarkEnd w:id="59"/>
    </w:p>
    <w:p>
      <w:pPr>
        <w:spacing w:line="360" w:lineRule="auto"/>
        <w:jc w:val="center"/>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（监狱企业适用）</w:t>
      </w:r>
    </w:p>
    <w:p>
      <w:pPr>
        <w:spacing w:line="360" w:lineRule="auto"/>
        <w:ind w:firstLine="567" w:firstLineChars="225"/>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本公司郑重声明，根据《关于政府采购支持监狱企业发展有关问题的通知》（财库</w:t>
      </w:r>
      <w:r>
        <w:rPr>
          <w:rFonts w:cs="宋体" w:asciiTheme="minorEastAsia" w:hAnsiTheme="minorEastAsia" w:eastAsiaTheme="minorEastAsia"/>
          <w:color w:val="000000" w:themeColor="text1"/>
          <w:spacing w:val="6"/>
          <w:kern w:val="0"/>
          <w:sz w:val="24"/>
          <w14:textFill>
            <w14:solidFill>
              <w14:schemeClr w14:val="tx1"/>
            </w14:solidFill>
          </w14:textFill>
        </w:rPr>
        <w:t>[2014]68</w:t>
      </w:r>
      <w:r>
        <w:rPr>
          <w:rFonts w:hint="eastAsia" w:cs="宋体" w:asciiTheme="minorEastAsia" w:hAnsiTheme="minorEastAsia" w:eastAsiaTheme="minorEastAsia"/>
          <w:color w:val="000000" w:themeColor="text1"/>
          <w:spacing w:val="6"/>
          <w:kern w:val="0"/>
          <w:sz w:val="24"/>
          <w14:textFill>
            <w14:solidFill>
              <w14:schemeClr w14:val="tx1"/>
            </w14:solidFill>
          </w14:textFill>
        </w:rPr>
        <w:t>号）的规定，本公司为监狱企业。</w:t>
      </w:r>
    </w:p>
    <w:p>
      <w:pPr>
        <w:spacing w:line="360" w:lineRule="auto"/>
        <w:ind w:firstLine="567" w:firstLineChars="225"/>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本公司参加</w:t>
      </w:r>
      <w:r>
        <w:rPr>
          <w:rFonts w:cs="宋体" w:asciiTheme="minorEastAsia" w:hAnsiTheme="minorEastAsia" w:eastAsiaTheme="minorEastAsia"/>
          <w:color w:val="000000" w:themeColor="text1"/>
          <w:spacing w:val="6"/>
          <w:kern w:val="0"/>
          <w:sz w:val="24"/>
          <w14:textFill>
            <w14:solidFill>
              <w14:schemeClr w14:val="tx1"/>
            </w14:solidFill>
          </w14:textFill>
        </w:rPr>
        <w:t>______</w:t>
      </w:r>
      <w:r>
        <w:rPr>
          <w:rFonts w:hint="eastAsia" w:cs="宋体" w:asciiTheme="minorEastAsia" w:hAnsiTheme="minorEastAsia" w:eastAsiaTheme="minorEastAsia"/>
          <w:color w:val="000000" w:themeColor="text1"/>
          <w:spacing w:val="6"/>
          <w:kern w:val="0"/>
          <w:sz w:val="24"/>
          <w14:textFill>
            <w14:solidFill>
              <w14:schemeClr w14:val="tx1"/>
            </w14:solidFill>
          </w14:textFill>
        </w:rPr>
        <w:t>单位的</w:t>
      </w:r>
      <w:r>
        <w:rPr>
          <w:rFonts w:cs="宋体" w:asciiTheme="minorEastAsia" w:hAnsiTheme="minorEastAsia" w:eastAsiaTheme="minorEastAsia"/>
          <w:color w:val="000000" w:themeColor="text1"/>
          <w:spacing w:val="6"/>
          <w:kern w:val="0"/>
          <w:sz w:val="24"/>
          <w14:textFill>
            <w14:solidFill>
              <w14:schemeClr w14:val="tx1"/>
            </w14:solidFill>
          </w14:textFill>
        </w:rPr>
        <w:t>______</w:t>
      </w:r>
      <w:r>
        <w:rPr>
          <w:rFonts w:hint="eastAsia" w:cs="宋体" w:asciiTheme="minorEastAsia" w:hAnsiTheme="minorEastAsia" w:eastAsiaTheme="minorEastAsia"/>
          <w:color w:val="000000" w:themeColor="text1"/>
          <w:spacing w:val="6"/>
          <w:kern w:val="0"/>
          <w:sz w:val="24"/>
          <w14:textFill>
            <w14:solidFill>
              <w14:schemeClr w14:val="tx1"/>
            </w14:solidFill>
          </w14:textFill>
        </w:rPr>
        <w:t>项目采购活动，采购活动提供本企业（填写制造的货物，由本企业承担工程、提供服务）。</w:t>
      </w:r>
    </w:p>
    <w:p>
      <w:pPr>
        <w:spacing w:line="360" w:lineRule="auto"/>
        <w:ind w:firstLine="567" w:firstLineChars="225"/>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本条所称货物不包括使用大型企业注册商标的货物和服务。</w:t>
      </w:r>
    </w:p>
    <w:p>
      <w:pPr>
        <w:spacing w:line="360" w:lineRule="auto"/>
        <w:ind w:firstLine="567" w:firstLineChars="225"/>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本公司对上述声明的真实性负责。如有虚假，将依法承担相应责任。</w:t>
      </w:r>
    </w:p>
    <w:p>
      <w:pPr>
        <w:spacing w:line="360" w:lineRule="auto"/>
        <w:ind w:firstLine="5103" w:firstLineChars="2025"/>
        <w:rPr>
          <w:rFonts w:cs="宋体" w:asciiTheme="minorEastAsia" w:hAnsiTheme="minorEastAsia" w:eastAsiaTheme="minorEastAsia"/>
          <w:color w:val="000000" w:themeColor="text1"/>
          <w:spacing w:val="6"/>
          <w:kern w:val="0"/>
          <w:sz w:val="24"/>
          <w14:textFill>
            <w14:solidFill>
              <w14:schemeClr w14:val="tx1"/>
            </w14:solidFill>
          </w14:textFill>
        </w:rPr>
      </w:pP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供应商（盖章）：</w:t>
      </w: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法定代表人或其授权代表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签字或盖章</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____________</w:t>
      </w:r>
    </w:p>
    <w:p>
      <w:pPr>
        <w:spacing w:line="440" w:lineRule="exact"/>
        <w:ind w:firstLine="42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日期：年月日</w:t>
      </w:r>
    </w:p>
    <w:p>
      <w:pPr>
        <w:pStyle w:val="2"/>
        <w:ind w:firstLine="440"/>
      </w:pPr>
      <w:r>
        <w:br w:type="page"/>
      </w:r>
    </w:p>
    <w:p>
      <w:pPr>
        <w:pStyle w:val="8"/>
        <w:numPr>
          <w:ilvl w:val="0"/>
          <w:numId w:val="5"/>
        </w:numPr>
      </w:pPr>
      <w:bookmarkStart w:id="60" w:name="_Toc83402851"/>
      <w:r>
        <w:rPr>
          <w:rFonts w:hint="eastAsia"/>
        </w:rPr>
        <w:t>残疾人福利性单位声明函</w:t>
      </w:r>
      <w:bookmarkEnd w:id="60"/>
    </w:p>
    <w:p>
      <w:pPr>
        <w:autoSpaceDE w:val="0"/>
        <w:autoSpaceDN w:val="0"/>
        <w:adjustRightInd w:val="0"/>
        <w:spacing w:line="440" w:lineRule="exact"/>
        <w:rPr>
          <w:rFonts w:cs="??_GB2312" w:asciiTheme="minorEastAsia" w:hAnsiTheme="minorEastAsia" w:eastAsiaTheme="minorEastAsia"/>
          <w:b/>
          <w:bCs/>
          <w:color w:val="000000" w:themeColor="text1"/>
          <w:spacing w:val="6"/>
          <w:kern w:val="0"/>
          <w:sz w:val="24"/>
          <w14:textFill>
            <w14:solidFill>
              <w14:schemeClr w14:val="tx1"/>
            </w14:solidFill>
          </w14:textFill>
        </w:rPr>
      </w:pPr>
    </w:p>
    <w:p>
      <w:pPr>
        <w:widowControl/>
        <w:adjustRightInd w:val="0"/>
        <w:snapToGrid w:val="0"/>
        <w:spacing w:line="440" w:lineRule="exact"/>
        <w:ind w:firstLine="504" w:firstLineChars="200"/>
        <w:jc w:val="left"/>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本单位郑重声明，根据《财政部民政部中国残疾人联合会关于促进残疾人就业政府采购政策的通知》（财库〔</w:t>
      </w:r>
      <w:r>
        <w:rPr>
          <w:rFonts w:cs="宋体" w:asciiTheme="minorEastAsia" w:hAnsiTheme="minorEastAsia" w:eastAsiaTheme="minorEastAsia"/>
          <w:color w:val="000000" w:themeColor="text1"/>
          <w:spacing w:val="6"/>
          <w:kern w:val="0"/>
          <w:sz w:val="24"/>
          <w14:textFill>
            <w14:solidFill>
              <w14:schemeClr w14:val="tx1"/>
            </w14:solidFill>
          </w14:textFill>
        </w:rPr>
        <w:t>2017</w:t>
      </w:r>
      <w:r>
        <w:rPr>
          <w:rFonts w:hint="eastAsia" w:cs="宋体" w:asciiTheme="minorEastAsia" w:hAnsiTheme="minorEastAsia" w:eastAsiaTheme="minorEastAsia"/>
          <w:color w:val="000000" w:themeColor="text1"/>
          <w:spacing w:val="6"/>
          <w:kern w:val="0"/>
          <w:sz w:val="24"/>
          <w14:textFill>
            <w14:solidFill>
              <w14:schemeClr w14:val="tx1"/>
            </w14:solidFill>
          </w14:textFill>
        </w:rPr>
        <w:t>〕</w:t>
      </w:r>
      <w:r>
        <w:rPr>
          <w:rFonts w:cs="宋体" w:asciiTheme="minorEastAsia" w:hAnsiTheme="minorEastAsia" w:eastAsiaTheme="minorEastAsia"/>
          <w:color w:val="000000" w:themeColor="text1"/>
          <w:spacing w:val="6"/>
          <w:kern w:val="0"/>
          <w:sz w:val="24"/>
          <w14:textFill>
            <w14:solidFill>
              <w14:schemeClr w14:val="tx1"/>
            </w14:solidFill>
          </w14:textFill>
        </w:rPr>
        <w:t>141</w:t>
      </w:r>
      <w:r>
        <w:rPr>
          <w:rFonts w:hint="eastAsia" w:cs="宋体" w:asciiTheme="minorEastAsia" w:hAnsiTheme="minorEastAsia" w:eastAsiaTheme="minorEastAsia"/>
          <w:color w:val="000000" w:themeColor="text1"/>
          <w:spacing w:val="6"/>
          <w:kern w:val="0"/>
          <w:sz w:val="24"/>
          <w14:textFill>
            <w14:solidFill>
              <w14:schemeClr w14:val="tx1"/>
            </w14:solidFill>
          </w14:textFill>
        </w:rPr>
        <w:t>号）的规定，本单位为符合条件的残疾人福利性单位，且本单位参加</w:t>
      </w:r>
      <w:r>
        <w:rPr>
          <w:rFonts w:cs="宋体" w:asciiTheme="minorEastAsia" w:hAnsiTheme="minorEastAsia" w:eastAsiaTheme="minorEastAsia"/>
          <w:color w:val="000000" w:themeColor="text1"/>
          <w:spacing w:val="6"/>
          <w:kern w:val="0"/>
          <w:sz w:val="24"/>
          <w14:textFill>
            <w14:solidFill>
              <w14:schemeClr w14:val="tx1"/>
            </w14:solidFill>
          </w14:textFill>
        </w:rPr>
        <w:t>______</w:t>
      </w:r>
      <w:r>
        <w:rPr>
          <w:rFonts w:hint="eastAsia" w:cs="宋体" w:asciiTheme="minorEastAsia" w:hAnsiTheme="minorEastAsia" w:eastAsiaTheme="minorEastAsia"/>
          <w:color w:val="000000" w:themeColor="text1"/>
          <w:spacing w:val="6"/>
          <w:kern w:val="0"/>
          <w:sz w:val="24"/>
          <w14:textFill>
            <w14:solidFill>
              <w14:schemeClr w14:val="tx1"/>
            </w14:solidFill>
          </w14:textFill>
        </w:rPr>
        <w:t>单位的</w:t>
      </w:r>
      <w:r>
        <w:rPr>
          <w:rFonts w:cs="宋体" w:asciiTheme="minorEastAsia" w:hAnsiTheme="minorEastAsia" w:eastAsiaTheme="minorEastAsia"/>
          <w:color w:val="000000" w:themeColor="text1"/>
          <w:spacing w:val="6"/>
          <w:kern w:val="0"/>
          <w:sz w:val="24"/>
          <w14:textFill>
            <w14:solidFill>
              <w14:schemeClr w14:val="tx1"/>
            </w14:solidFill>
          </w14:textFill>
        </w:rPr>
        <w:t>______</w:t>
      </w:r>
      <w:r>
        <w:rPr>
          <w:rFonts w:hint="eastAsia" w:cs="宋体" w:asciiTheme="minorEastAsia" w:hAnsiTheme="minorEastAsia" w:eastAsiaTheme="minorEastAsia"/>
          <w:color w:val="000000" w:themeColor="text1"/>
          <w:spacing w:val="6"/>
          <w:kern w:val="0"/>
          <w:sz w:val="24"/>
          <w14:textFill>
            <w14:solidFill>
              <w14:schemeClr w14:val="tx1"/>
            </w14:solidFill>
          </w14:textFill>
        </w:rPr>
        <w:t>项目采购活动提供本单位制造的货物（由本单位承担工程</w:t>
      </w:r>
      <w:r>
        <w:rPr>
          <w:rFonts w:cs="宋体" w:asciiTheme="minorEastAsia" w:hAnsiTheme="minorEastAsia" w:eastAsiaTheme="minorEastAsia"/>
          <w:color w:val="000000" w:themeColor="text1"/>
          <w:spacing w:val="6"/>
          <w:kern w:val="0"/>
          <w:sz w:val="24"/>
          <w14:textFill>
            <w14:solidFill>
              <w14:schemeClr w14:val="tx1"/>
            </w14:solidFill>
          </w14:textFill>
        </w:rPr>
        <w:t>/</w:t>
      </w:r>
      <w:r>
        <w:rPr>
          <w:rFonts w:hint="eastAsia" w:cs="宋体" w:asciiTheme="minorEastAsia" w:hAnsiTheme="minorEastAsia" w:eastAsiaTheme="minorEastAsia"/>
          <w:color w:val="000000" w:themeColor="text1"/>
          <w:spacing w:val="6"/>
          <w:kern w:val="0"/>
          <w:sz w:val="24"/>
          <w14:textFill>
            <w14:solidFill>
              <w14:schemeClr w14:val="tx1"/>
            </w14:solidFill>
          </w14:textFill>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本单位对上述声明的真实性负责。如有虚假，将依法承担相应责任。</w:t>
      </w:r>
    </w:p>
    <w:p>
      <w:pPr>
        <w:widowControl/>
        <w:adjustRightInd w:val="0"/>
        <w:snapToGrid w:val="0"/>
        <w:spacing w:line="440" w:lineRule="exact"/>
        <w:jc w:val="left"/>
        <w:rPr>
          <w:rFonts w:cs="宋体" w:asciiTheme="minorEastAsia" w:hAnsiTheme="minorEastAsia" w:eastAsiaTheme="minorEastAsia"/>
          <w:color w:val="000000" w:themeColor="text1"/>
          <w:spacing w:val="6"/>
          <w:kern w:val="0"/>
          <w:sz w:val="24"/>
          <w14:textFill>
            <w14:solidFill>
              <w14:schemeClr w14:val="tx1"/>
            </w14:solidFill>
          </w14:textFill>
        </w:rPr>
      </w:pPr>
    </w:p>
    <w:p>
      <w:pPr>
        <w:widowControl/>
        <w:adjustRightInd w:val="0"/>
        <w:snapToGrid w:val="0"/>
        <w:spacing w:line="440" w:lineRule="exact"/>
        <w:jc w:val="left"/>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供应商（盖章）：</w:t>
      </w:r>
    </w:p>
    <w:p>
      <w:pPr>
        <w:widowControl/>
        <w:adjustRightInd w:val="0"/>
        <w:snapToGrid w:val="0"/>
        <w:spacing w:line="440" w:lineRule="exact"/>
        <w:ind w:firstLine="504" w:firstLineChars="200"/>
        <w:jc w:val="left"/>
        <w:rPr>
          <w:rFonts w:cs="宋体" w:asciiTheme="minorEastAsia" w:hAnsiTheme="minorEastAsia" w:eastAsiaTheme="minorEastAsia"/>
          <w:color w:val="000000" w:themeColor="text1"/>
          <w:spacing w:val="6"/>
          <w:kern w:val="0"/>
          <w:sz w:val="24"/>
          <w14:textFill>
            <w14:solidFill>
              <w14:schemeClr w14:val="tx1"/>
            </w14:solidFill>
          </w14:textFill>
        </w:rPr>
      </w:pPr>
      <w:r>
        <w:rPr>
          <w:rFonts w:hint="eastAsia" w:cs="宋体" w:asciiTheme="minorEastAsia" w:hAnsiTheme="minorEastAsia" w:eastAsiaTheme="minorEastAsia"/>
          <w:color w:val="000000" w:themeColor="text1"/>
          <w:spacing w:val="6"/>
          <w:kern w:val="0"/>
          <w:sz w:val="24"/>
          <w14:textFill>
            <w14:solidFill>
              <w14:schemeClr w14:val="tx1"/>
            </w14:solidFill>
          </w14:textFill>
        </w:rPr>
        <w:t>日期：</w:t>
      </w:r>
    </w:p>
    <w:p>
      <w:pPr>
        <w:widowControl/>
        <w:adjustRightInd w:val="0"/>
        <w:snapToGrid w:val="0"/>
        <w:spacing w:line="440" w:lineRule="exact"/>
        <w:ind w:firstLine="504" w:firstLineChars="200"/>
        <w:jc w:val="left"/>
        <w:rPr>
          <w:rFonts w:cs="宋体" w:asciiTheme="minorEastAsia" w:hAnsiTheme="minorEastAsia" w:eastAsiaTheme="minorEastAsia"/>
          <w:color w:val="000000" w:themeColor="text1"/>
          <w:spacing w:val="6"/>
          <w:kern w:val="0"/>
          <w:sz w:val="24"/>
          <w14:textFill>
            <w14:solidFill>
              <w14:schemeClr w14:val="tx1"/>
            </w14:solidFill>
          </w14:textFill>
        </w:rPr>
      </w:pPr>
    </w:p>
    <w:p>
      <w:pPr>
        <w:spacing w:line="360" w:lineRule="auto"/>
        <w:ind w:firstLine="360" w:firstLineChars="150"/>
        <w:rPr>
          <w:rFonts w:asciiTheme="minorEastAsia" w:hAnsiTheme="minorEastAsia" w:eastAsiaTheme="minorEastAsia"/>
          <w:color w:val="000000" w:themeColor="text1"/>
          <w14:textFill>
            <w14:solidFill>
              <w14:schemeClr w14:val="tx1"/>
            </w14:solidFill>
          </w14:textFill>
        </w:rPr>
      </w:pPr>
      <w:r>
        <w:rPr>
          <w:rFonts w:hint="eastAsia" w:cs="Courier New" w:asciiTheme="minorEastAsia" w:hAnsiTheme="minorEastAsia" w:eastAsiaTheme="minorEastAsia"/>
          <w:b/>
          <w:bCs/>
          <w:color w:val="000000" w:themeColor="text1"/>
          <w:sz w:val="24"/>
          <w:szCs w:val="21"/>
          <w:em w:val="dot"/>
          <w14:textFill>
            <w14:solidFill>
              <w14:schemeClr w14:val="tx1"/>
            </w14:solidFill>
          </w14:textFill>
        </w:rPr>
        <w:t>注：附件九至十三供应商根据情况自行选择，不享受相关政策的供应商无需提供。</w:t>
      </w:r>
      <w:r>
        <w:rPr>
          <w:rFonts w:asciiTheme="minorEastAsia" w:hAnsiTheme="minorEastAsia" w:eastAsiaTheme="minorEastAsia"/>
          <w:color w:val="000000" w:themeColor="text1"/>
          <w14:textFill>
            <w14:solidFill>
              <w14:schemeClr w14:val="tx1"/>
            </w14:solidFill>
          </w14:textFill>
        </w:rPr>
        <w:br w:type="page"/>
      </w:r>
    </w:p>
    <w:p>
      <w:pPr>
        <w:pStyle w:val="6"/>
      </w:pPr>
      <w:bookmarkStart w:id="61" w:name="_Toc83402739"/>
      <w:bookmarkStart w:id="62" w:name="_Toc83402781"/>
      <w:bookmarkStart w:id="63" w:name="_Toc83402724"/>
      <w:bookmarkStart w:id="64" w:name="_Toc83402852"/>
      <w:r>
        <w:rPr>
          <w:rFonts w:hint="eastAsia"/>
        </w:rPr>
        <w:t>第二部分 投标文件（技术部分）</w:t>
      </w:r>
      <w:bookmarkEnd w:id="61"/>
      <w:bookmarkEnd w:id="62"/>
      <w:bookmarkEnd w:id="63"/>
      <w:bookmarkEnd w:id="64"/>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t>(</w:t>
      </w:r>
      <w:r>
        <w:rPr>
          <w:rFonts w:hint="eastAsia" w:cs="Times New Roman" w:asciiTheme="minorEastAsia" w:hAnsiTheme="minorEastAsia" w:eastAsiaTheme="minorEastAsia"/>
          <w:color w:val="000000" w:themeColor="text1"/>
          <w14:textFill>
            <w14:solidFill>
              <w14:schemeClr w14:val="tx1"/>
            </w14:solidFill>
          </w14:textFill>
        </w:rPr>
        <w:t>技术部分</w:t>
      </w:r>
      <w:r>
        <w:rPr>
          <w:rFonts w:cs="Times New Roman" w:asciiTheme="minorEastAsia" w:hAnsiTheme="minorEastAsia" w:eastAsiaTheme="minorEastAsia"/>
          <w:color w:val="000000" w:themeColor="text1"/>
          <w14:textFill>
            <w14:solidFill>
              <w14:schemeClr w14:val="tx1"/>
            </w14:solidFill>
          </w14:textFill>
        </w:rPr>
        <w:t>)</w:t>
      </w: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项目名称：</w:t>
      </w:r>
      <w:r>
        <w:rPr>
          <w:rFonts w:cs="Times New Roman" w:asciiTheme="minorEastAsia" w:hAnsiTheme="minorEastAsia" w:eastAsiaTheme="minorEastAsia"/>
          <w:color w:val="000000" w:themeColor="text1"/>
          <w14:textFill>
            <w14:solidFill>
              <w14:schemeClr w14:val="tx1"/>
            </w14:solidFill>
          </w14:textFill>
        </w:rPr>
        <w:t>______________________</w:t>
      </w: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项目编号：</w:t>
      </w:r>
      <w:r>
        <w:rPr>
          <w:rFonts w:cs="Times New Roman" w:asciiTheme="minorEastAsia" w:hAnsiTheme="minorEastAsia" w:eastAsiaTheme="minorEastAsia"/>
          <w:color w:val="000000" w:themeColor="text1"/>
          <w14:textFill>
            <w14:solidFill>
              <w14:schemeClr w14:val="tx1"/>
            </w14:solidFill>
          </w14:textFill>
        </w:rPr>
        <w:t>______________________</w:t>
      </w: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供应商名称：</w:t>
      </w:r>
      <w:r>
        <w:rPr>
          <w:rFonts w:cs="Times New Roman" w:asciiTheme="minorEastAsia" w:hAnsiTheme="minorEastAsia" w:eastAsiaTheme="minorEastAsia"/>
          <w:color w:val="000000" w:themeColor="text1"/>
          <w14:textFill>
            <w14:solidFill>
              <w14:schemeClr w14:val="tx1"/>
            </w14:solidFill>
          </w14:textFill>
        </w:rPr>
        <w:t>____________________</w:t>
      </w: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ind w:firstLine="420" w:firstLineChars="200"/>
        <w:jc w:val="center"/>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t>______</w:t>
      </w:r>
      <w:r>
        <w:rPr>
          <w:rFonts w:hint="eastAsia" w:cs="Times New Roman" w:asciiTheme="minorEastAsia" w:hAnsiTheme="minorEastAsia" w:eastAsiaTheme="minorEastAsia"/>
          <w:color w:val="000000" w:themeColor="text1"/>
          <w14:textFill>
            <w14:solidFill>
              <w14:schemeClr w14:val="tx1"/>
            </w14:solidFill>
          </w14:textFill>
        </w:rPr>
        <w:t>年</w:t>
      </w:r>
      <w:r>
        <w:rPr>
          <w:rFonts w:cs="Times New Roman" w:asciiTheme="minorEastAsia" w:hAnsiTheme="minorEastAsia" w:eastAsiaTheme="minorEastAsia"/>
          <w:color w:val="000000" w:themeColor="text1"/>
          <w14:textFill>
            <w14:solidFill>
              <w14:schemeClr w14:val="tx1"/>
            </w14:solidFill>
          </w14:textFill>
        </w:rPr>
        <w:t>____</w:t>
      </w:r>
      <w:r>
        <w:rPr>
          <w:rFonts w:hint="eastAsia" w:cs="Times New Roman" w:asciiTheme="minorEastAsia" w:hAnsiTheme="minorEastAsia" w:eastAsiaTheme="minorEastAsia"/>
          <w:color w:val="000000" w:themeColor="text1"/>
          <w14:textFill>
            <w14:solidFill>
              <w14:schemeClr w14:val="tx1"/>
            </w14:solidFill>
          </w14:textFill>
        </w:rPr>
        <w:t>月</w:t>
      </w:r>
      <w:r>
        <w:rPr>
          <w:rFonts w:cs="Times New Roman" w:asciiTheme="minorEastAsia" w:hAnsiTheme="minorEastAsia" w:eastAsiaTheme="minorEastAsia"/>
          <w:color w:val="000000" w:themeColor="text1"/>
          <w14:textFill>
            <w14:solidFill>
              <w14:schemeClr w14:val="tx1"/>
            </w14:solidFill>
          </w14:textFill>
        </w:rPr>
        <w:t>____</w:t>
      </w:r>
      <w:r>
        <w:rPr>
          <w:rFonts w:hint="eastAsia" w:cs="Times New Roman" w:asciiTheme="minorEastAsia" w:hAnsiTheme="minorEastAsia" w:eastAsiaTheme="minorEastAsia"/>
          <w:color w:val="000000" w:themeColor="text1"/>
          <w14:textFill>
            <w14:solidFill>
              <w14:schemeClr w14:val="tx1"/>
            </w14:solidFill>
          </w14:textFill>
        </w:rPr>
        <w:t>日</w:t>
      </w:r>
      <w:bookmarkStart w:id="65" w:name="_Toc83402782"/>
    </w:p>
    <w:p>
      <w:pPr>
        <w:pStyle w:val="2"/>
        <w:ind w:firstLine="440"/>
        <w:rPr>
          <w:szCs w:val="21"/>
        </w:rPr>
      </w:pPr>
      <w:r>
        <w:br w:type="page"/>
      </w:r>
    </w:p>
    <w:p>
      <w:pPr>
        <w:pStyle w:val="7"/>
        <w:numPr>
          <w:ilvl w:val="0"/>
          <w:numId w:val="6"/>
        </w:numPr>
      </w:pPr>
      <w:bookmarkStart w:id="66" w:name="_Toc83402853"/>
      <w:r>
        <w:rPr>
          <w:rFonts w:hint="eastAsia"/>
        </w:rPr>
        <w:t>货物说明一览表及技术方案</w:t>
      </w:r>
      <w:bookmarkEnd w:id="65"/>
      <w:bookmarkEnd w:id="66"/>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货物说明一览表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项目名称：</w:t>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包号：</w:t>
      </w:r>
    </w:p>
    <w:tbl>
      <w:tblPr>
        <w:tblStyle w:val="29"/>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236"/>
        <w:gridCol w:w="1446"/>
        <w:gridCol w:w="1129"/>
        <w:gridCol w:w="237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序号</w:t>
            </w: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货物名称</w:t>
            </w:r>
          </w:p>
        </w:tc>
        <w:tc>
          <w:tcPr>
            <w:tcW w:w="144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制造商名称</w:t>
            </w:r>
          </w:p>
        </w:tc>
        <w:tc>
          <w:tcPr>
            <w:tcW w:w="112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型号规格</w:t>
            </w:r>
          </w:p>
        </w:tc>
        <w:tc>
          <w:tcPr>
            <w:tcW w:w="237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主要技术参数和技术指标</w:t>
            </w:r>
          </w:p>
        </w:tc>
        <w:tc>
          <w:tcPr>
            <w:tcW w:w="97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4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2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37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7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4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2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37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7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4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2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37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7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4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12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2375"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7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备注：货物的主要技术参数和技术指标可另页描述。</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法定代表人或其授权代表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pStyle w:val="17"/>
        <w:spacing w:line="360" w:lineRule="auto"/>
        <w:ind w:firstLine="480" w:firstLineChars="200"/>
        <w:jc w:val="center"/>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jc w:val="center"/>
        <w:rPr>
          <w:rFonts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jc w:val="center"/>
        <w:rPr>
          <w:rFonts w:cs="Times New Roman" w:asciiTheme="minorEastAsia" w:hAnsiTheme="minorEastAsia" w:eastAsiaTheme="minorEastAsia"/>
          <w:color w:val="000000" w:themeColor="text1"/>
          <w:sz w:val="24"/>
          <w:szCs w:val="24"/>
          <w14:textFill>
            <w14:solidFill>
              <w14:schemeClr w14:val="tx1"/>
            </w14:solidFill>
          </w14:textFill>
        </w:rPr>
      </w:pPr>
    </w:p>
    <w:p>
      <w:pPr>
        <w:widowControl/>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pStyle w:val="7"/>
        <w:numPr>
          <w:ilvl w:val="0"/>
          <w:numId w:val="6"/>
        </w:numPr>
      </w:pPr>
      <w:bookmarkStart w:id="67" w:name="_Toc83402854"/>
      <w:bookmarkStart w:id="68" w:name="_Toc83402783"/>
      <w:r>
        <w:rPr>
          <w:rFonts w:hint="eastAsia"/>
        </w:rPr>
        <w:t>技术方案</w:t>
      </w:r>
      <w:bookmarkEnd w:id="67"/>
      <w:bookmarkEnd w:id="68"/>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供应商须提交拟完成本项目的技术方案，技术方案的格式由供应商根据本项目的具体情况自行拟定，技术方案说明书包含但不限于以下内容：</w:t>
      </w:r>
    </w:p>
    <w:p>
      <w:pPr>
        <w:spacing w:line="360" w:lineRule="auto"/>
        <w:ind w:firstLine="638" w:firstLineChars="266"/>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①</w:t>
      </w:r>
      <w:r>
        <w:rPr>
          <w:rFonts w:hint="eastAsia" w:asciiTheme="minorEastAsia" w:hAnsiTheme="minorEastAsia" w:eastAsiaTheme="minorEastAsia"/>
          <w:color w:val="000000" w:themeColor="text1"/>
          <w:sz w:val="24"/>
          <w:szCs w:val="24"/>
          <w14:textFill>
            <w14:solidFill>
              <w14:schemeClr w14:val="tx1"/>
            </w14:solidFill>
          </w14:textFill>
        </w:rPr>
        <w:t>供货计划安排</w:t>
      </w:r>
    </w:p>
    <w:p>
      <w:pPr>
        <w:spacing w:line="360" w:lineRule="auto"/>
        <w:ind w:firstLine="638" w:firstLineChars="266"/>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②</w:t>
      </w:r>
      <w:r>
        <w:rPr>
          <w:rFonts w:asciiTheme="minorEastAsia" w:hAnsiTheme="minorEastAsia" w:eastAsiaTheme="minorEastAsia"/>
          <w:bCs/>
          <w:color w:val="000000" w:themeColor="text1"/>
          <w:sz w:val="24"/>
          <w:szCs w:val="24"/>
          <w14:textFill>
            <w14:solidFill>
              <w14:schemeClr w14:val="tx1"/>
            </w14:solidFill>
          </w14:textFill>
        </w:rPr>
        <w:t>项目负责人、工程技术等人员的组织构架说明</w:t>
      </w:r>
    </w:p>
    <w:p>
      <w:pPr>
        <w:spacing w:line="360" w:lineRule="auto"/>
        <w:ind w:firstLine="638" w:firstLineChars="266"/>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③</w:t>
      </w:r>
      <w:r>
        <w:rPr>
          <w:rFonts w:hint="eastAsia" w:asciiTheme="minorEastAsia" w:hAnsiTheme="minorEastAsia" w:eastAsiaTheme="minorEastAsia"/>
          <w:color w:val="000000" w:themeColor="text1"/>
          <w:sz w:val="24"/>
          <w:szCs w:val="24"/>
          <w14:textFill>
            <w14:solidFill>
              <w14:schemeClr w14:val="tx1"/>
            </w14:solidFill>
          </w14:textFill>
        </w:rPr>
        <w:t>质量保证措施</w:t>
      </w:r>
    </w:p>
    <w:p>
      <w:pPr>
        <w:spacing w:line="360" w:lineRule="auto"/>
        <w:ind w:firstLine="638" w:firstLineChars="266"/>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④</w:t>
      </w:r>
      <w:r>
        <w:rPr>
          <w:rFonts w:asciiTheme="minorEastAsia" w:hAnsiTheme="minorEastAsia" w:eastAsiaTheme="minorEastAsia"/>
          <w:bCs/>
          <w:color w:val="000000" w:themeColor="text1"/>
          <w:sz w:val="24"/>
          <w:szCs w:val="24"/>
          <w14:textFill>
            <w14:solidFill>
              <w14:schemeClr w14:val="tx1"/>
            </w14:solidFill>
          </w14:textFill>
        </w:rPr>
        <w:t>验收方案</w:t>
      </w:r>
    </w:p>
    <w:p>
      <w:pPr>
        <w:spacing w:line="360" w:lineRule="auto"/>
        <w:ind w:firstLine="600" w:firstLineChars="250"/>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⑤</w:t>
      </w:r>
      <w:r>
        <w:rPr>
          <w:rFonts w:hint="eastAsia" w:asciiTheme="minorEastAsia" w:hAnsiTheme="minorEastAsia" w:eastAsiaTheme="minorEastAsia"/>
          <w:bCs/>
          <w:color w:val="000000" w:themeColor="text1"/>
          <w:sz w:val="24"/>
          <w:szCs w:val="24"/>
          <w14:textFill>
            <w14:solidFill>
              <w14:schemeClr w14:val="tx1"/>
            </w14:solidFill>
          </w14:textFill>
        </w:rPr>
        <w:t>供应商针对本项目的优惠条件及履约措施</w:t>
      </w: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7"/>
        <w:numPr>
          <w:ilvl w:val="0"/>
          <w:numId w:val="6"/>
        </w:numPr>
      </w:pPr>
      <w:bookmarkStart w:id="69" w:name="_Toc83402855"/>
      <w:bookmarkStart w:id="70" w:name="_Toc83402784"/>
      <w:r>
        <w:rPr>
          <w:rFonts w:hint="eastAsia"/>
        </w:rPr>
        <w:t>技术响应与偏离表</w:t>
      </w:r>
      <w:bookmarkEnd w:id="69"/>
      <w:bookmarkEnd w:id="70"/>
    </w:p>
    <w:p>
      <w:pPr>
        <w:pStyle w:val="17"/>
        <w:spacing w:line="360" w:lineRule="auto"/>
        <w:ind w:firstLine="480" w:firstLineChars="200"/>
        <w:jc w:val="center"/>
        <w:rPr>
          <w:rFonts w:cs="MingLiU_HKSCS"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技术响应与偏离表</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项目名称：</w:t>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包号：</w:t>
      </w:r>
    </w:p>
    <w:tbl>
      <w:tblPr>
        <w:tblStyle w:val="2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品目号</w:t>
            </w: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货物名称</w:t>
            </w: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招标规格</w:t>
            </w:r>
          </w:p>
        </w:tc>
        <w:tc>
          <w:tcPr>
            <w:tcW w:w="128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技术指标要求</w:t>
            </w:r>
          </w:p>
        </w:tc>
        <w:tc>
          <w:tcPr>
            <w:tcW w:w="154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投标响应情况</w:t>
            </w:r>
          </w:p>
        </w:tc>
        <w:tc>
          <w:tcPr>
            <w:tcW w:w="99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偏离</w:t>
            </w: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8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4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9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8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4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9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8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4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9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8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4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9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8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4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9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3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283"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542"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999"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816" w:type="dxa"/>
            <w:vAlign w:val="center"/>
          </w:tcPr>
          <w:p>
            <w:pPr>
              <w:pStyle w:val="17"/>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说明：在偏离项必须注明正偏离、负偏离或无偏离。</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供应商名称</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公章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法定代表人或其授权代表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签字或盖章</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____________</w:t>
      </w:r>
    </w:p>
    <w:p>
      <w:pPr>
        <w:pStyle w:val="17"/>
        <w:spacing w:line="360" w:lineRule="auto"/>
        <w:ind w:firstLine="480" w:firstLineChars="200"/>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日期：</w:t>
      </w:r>
      <w:r>
        <w:rPr>
          <w:rFonts w:cs="Times New Roman" w:asciiTheme="minorEastAsia" w:hAnsiTheme="minorEastAsia" w:eastAsiaTheme="minorEastAsia"/>
          <w:color w:val="000000" w:themeColor="text1"/>
          <w:sz w:val="24"/>
          <w:szCs w:val="24"/>
          <w14:textFill>
            <w14:solidFill>
              <w14:schemeClr w14:val="tx1"/>
            </w14:solidFill>
          </w14:textFill>
        </w:rPr>
        <w:t>______</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cs="Times New Roman" w:asciiTheme="minorEastAsia" w:hAnsiTheme="minorEastAsia" w:eastAsiaTheme="minorEastAsia"/>
          <w:color w:val="000000" w:themeColor="text1"/>
          <w:sz w:val="24"/>
          <w:szCs w:val="24"/>
          <w14:textFill>
            <w14:solidFill>
              <w14:schemeClr w14:val="tx1"/>
            </w14:solidFill>
          </w14:textFill>
        </w:rPr>
        <w:t>____</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pStyle w:val="17"/>
        <w:spacing w:line="280" w:lineRule="exact"/>
        <w:ind w:firstLine="420" w:firstLineChars="200"/>
        <w:rPr>
          <w:rFonts w:cs="Times New Roman" w:asciiTheme="minorEastAsia" w:hAnsiTheme="minorEastAsia" w:eastAsiaTheme="minorEastAsia"/>
          <w:color w:val="000000" w:themeColor="text1"/>
          <w14:textFill>
            <w14:solidFill>
              <w14:schemeClr w14:val="tx1"/>
            </w14:solidFill>
          </w14:textFill>
        </w:rPr>
      </w:pPr>
    </w:p>
    <w:p>
      <w:pPr>
        <w:widowControl/>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7"/>
        <w:numPr>
          <w:ilvl w:val="0"/>
          <w:numId w:val="6"/>
        </w:numPr>
      </w:pPr>
      <w:bookmarkStart w:id="71" w:name="_Toc83402856"/>
      <w:bookmarkStart w:id="72" w:name="_Toc83402785"/>
      <w:r>
        <w:rPr>
          <w:rFonts w:hint="eastAsia"/>
        </w:rPr>
        <w:t>供应商售后服务承诺</w:t>
      </w:r>
      <w:bookmarkEnd w:id="71"/>
      <w:bookmarkEnd w:id="72"/>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1.包括对拟提供材料进行售后服务的组织机构和人员名单及其工作经验、工作时间、从事过的工作岗位和相关的证书；</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2.质保及维护承诺计划等；</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3.零配件供应方案；</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4.售后技术服务及现场人员培训安排；</w:t>
      </w:r>
    </w:p>
    <w:p>
      <w:pPr>
        <w:pStyle w:val="17"/>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5.售后服务承诺。</w:t>
      </w:r>
    </w:p>
    <w:p>
      <w:pPr>
        <w:pStyle w:val="17"/>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pStyle w:val="17"/>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widowControl/>
        <w:jc w:val="left"/>
        <w:rPr>
          <w:rFonts w:cs="Courier New"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pStyle w:val="7"/>
        <w:numPr>
          <w:ilvl w:val="0"/>
          <w:numId w:val="6"/>
        </w:numPr>
      </w:pPr>
      <w:bookmarkStart w:id="73" w:name="_Toc83402857"/>
      <w:bookmarkStart w:id="74" w:name="_Toc83402786"/>
      <w:r>
        <w:rPr>
          <w:rFonts w:hint="eastAsia"/>
        </w:rPr>
        <w:t>投标标的物符合招标文件规定的证明文件</w:t>
      </w:r>
      <w:bookmarkEnd w:id="73"/>
      <w:bookmarkEnd w:id="74"/>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示例略</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备注：提供第二章“供应商须知前附表”和第六章“项目需求”规定</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包括投标</w:t>
      </w:r>
      <w:r>
        <w:rPr>
          <w:rFonts w:hint="eastAsia" w:cs="Times New Roman" w:asciiTheme="minorEastAsia" w:hAnsiTheme="minorEastAsia" w:eastAsiaTheme="minorEastAsia"/>
          <w:color w:val="000000" w:themeColor="text1"/>
          <w:sz w:val="24"/>
          <w:szCs w:val="24"/>
          <w:highlight w:val="yellow"/>
          <w14:textFill>
            <w14:solidFill>
              <w14:schemeClr w14:val="tx1"/>
            </w14:solidFill>
          </w14:textFill>
        </w:rPr>
        <w:t>货物的检验报告、检验合格证</w:t>
      </w:r>
      <w:r>
        <w:rPr>
          <w:rFonts w:hint="eastAsia" w:cs="Times New Roman" w:asciiTheme="minorEastAsia" w:hAnsiTheme="minorEastAsia" w:eastAsiaTheme="minorEastAsia"/>
          <w:color w:val="000000" w:themeColor="text1"/>
          <w:sz w:val="24"/>
          <w:szCs w:val="24"/>
          <w14:textFill>
            <w14:solidFill>
              <w14:schemeClr w14:val="tx1"/>
            </w14:solidFill>
          </w14:textFill>
        </w:rPr>
        <w:t>等</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的证明材料复印件。</w:t>
      </w:r>
    </w:p>
    <w:p>
      <w:pPr>
        <w:pStyle w:val="2"/>
        <w:ind w:firstLine="440"/>
      </w:pPr>
      <w:r>
        <w:br w:type="page"/>
      </w:r>
    </w:p>
    <w:p>
      <w:pPr>
        <w:pStyle w:val="4"/>
      </w:pPr>
      <w:bookmarkStart w:id="75" w:name="_Toc83402858"/>
      <w:bookmarkStart w:id="76" w:name="_Toc83402740"/>
      <w:bookmarkStart w:id="77" w:name="_Toc83402725"/>
      <w:bookmarkStart w:id="78" w:name="_Toc83402787"/>
      <w:r>
        <w:rPr>
          <w:rFonts w:hint="eastAsia"/>
        </w:rPr>
        <w:t>第二部分 技术部分</w:t>
      </w:r>
      <w:bookmarkEnd w:id="75"/>
      <w:bookmarkEnd w:id="76"/>
      <w:bookmarkEnd w:id="77"/>
      <w:bookmarkEnd w:id="78"/>
    </w:p>
    <w:p>
      <w:pPr>
        <w:pStyle w:val="5"/>
        <w:numPr>
          <w:ilvl w:val="0"/>
          <w:numId w:val="1"/>
        </w:numPr>
      </w:pPr>
      <w:bookmarkStart w:id="79" w:name="_Toc83402726"/>
      <w:bookmarkStart w:id="80" w:name="_Toc83402788"/>
      <w:bookmarkStart w:id="81" w:name="_Toc83402859"/>
      <w:bookmarkStart w:id="82" w:name="_Toc83402741"/>
      <w:r>
        <w:rPr>
          <w:rFonts w:hint="eastAsia"/>
        </w:rPr>
        <w:t>项目采购需求</w:t>
      </w:r>
      <w:bookmarkEnd w:id="79"/>
      <w:bookmarkEnd w:id="80"/>
      <w:bookmarkEnd w:id="81"/>
      <w:bookmarkEnd w:id="82"/>
    </w:p>
    <w:tbl>
      <w:tblPr>
        <w:tblStyle w:val="29"/>
        <w:tblW w:w="53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580"/>
        <w:gridCol w:w="5340"/>
        <w:gridCol w:w="484"/>
        <w:gridCol w:w="539"/>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b/>
                <w:bCs/>
                <w:kern w:val="0"/>
                <w:szCs w:val="21"/>
              </w:rPr>
            </w:pPr>
            <w:r>
              <w:rPr>
                <w:rFonts w:hint="eastAsia" w:asciiTheme="minorEastAsia" w:hAnsiTheme="minorEastAsia"/>
                <w:b/>
                <w:bCs/>
                <w:kern w:val="0"/>
                <w:szCs w:val="21"/>
              </w:rPr>
              <w:t>序号</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b/>
                <w:bCs/>
                <w:kern w:val="0"/>
                <w:szCs w:val="21"/>
              </w:rPr>
            </w:pPr>
            <w:r>
              <w:rPr>
                <w:rFonts w:hint="eastAsia" w:asciiTheme="minorEastAsia" w:hAnsiTheme="minorEastAsia"/>
                <w:b/>
                <w:bCs/>
                <w:kern w:val="0"/>
                <w:szCs w:val="21"/>
              </w:rPr>
              <w:t>配置</w:t>
            </w:r>
          </w:p>
          <w:p>
            <w:pPr>
              <w:widowControl/>
              <w:spacing w:line="240" w:lineRule="atLeast"/>
              <w:jc w:val="center"/>
              <w:rPr>
                <w:rFonts w:asciiTheme="minorEastAsia" w:hAnsiTheme="minorEastAsia"/>
                <w:b/>
                <w:bCs/>
                <w:kern w:val="0"/>
                <w:szCs w:val="21"/>
              </w:rPr>
            </w:pPr>
            <w:r>
              <w:rPr>
                <w:rFonts w:hint="eastAsia" w:asciiTheme="minorEastAsia" w:hAnsiTheme="minorEastAsia"/>
                <w:b/>
                <w:bCs/>
                <w:kern w:val="0"/>
                <w:szCs w:val="21"/>
              </w:rPr>
              <w:t>设备</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b/>
                <w:bCs/>
                <w:kern w:val="0"/>
                <w:szCs w:val="21"/>
              </w:rPr>
            </w:pPr>
            <w:r>
              <w:rPr>
                <w:rFonts w:hint="eastAsia" w:asciiTheme="minorEastAsia" w:hAnsiTheme="minorEastAsia"/>
                <w:b/>
                <w:bCs/>
                <w:kern w:val="0"/>
                <w:szCs w:val="21"/>
              </w:rPr>
              <w:t>设备参数</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b/>
                <w:bCs/>
                <w:kern w:val="0"/>
                <w:szCs w:val="21"/>
              </w:rPr>
              <w:t>单位</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b/>
                <w:bCs/>
                <w:kern w:val="0"/>
                <w:szCs w:val="21"/>
              </w:rPr>
              <w:t>数量</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b/>
                <w:bCs/>
                <w:kern w:val="0"/>
                <w:szCs w:val="21"/>
              </w:rPr>
            </w:pPr>
            <w:r>
              <w:rPr>
                <w:rFonts w:hint="eastAsia" w:asciiTheme="minorEastAsia" w:hAnsiTheme="minorEastAsia"/>
                <w:b/>
                <w:bCs/>
                <w:kern w:val="0"/>
                <w:szCs w:val="21"/>
              </w:rPr>
              <w:t>限定单价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云课堂管理服务器</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1.要求云服务器为软硬一体化国产品牌设备，不接受软硬拆分方案；</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2.单台服务器可以支持至少1</w:t>
            </w:r>
            <w:r>
              <w:rPr>
                <w:rFonts w:asciiTheme="minorEastAsia" w:hAnsiTheme="minorEastAsia"/>
                <w:szCs w:val="21"/>
              </w:rPr>
              <w:t>000</w:t>
            </w:r>
            <w:r>
              <w:rPr>
                <w:rFonts w:hint="eastAsia" w:asciiTheme="minorEastAsia" w:hAnsiTheme="minorEastAsia"/>
                <w:szCs w:val="21"/>
              </w:rPr>
              <w:t>台终端的统一管控；</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3.工业标准机架式服务器，CPU配置不低于1颗IntelXeon</w:t>
            </w:r>
            <w:r>
              <w:rPr>
                <w:rFonts w:asciiTheme="minorEastAsia" w:hAnsiTheme="minorEastAsia"/>
                <w:szCs w:val="21"/>
              </w:rPr>
              <w:t>S</w:t>
            </w:r>
            <w:r>
              <w:rPr>
                <w:rFonts w:hint="eastAsia" w:asciiTheme="minorEastAsia" w:hAnsiTheme="minorEastAsia"/>
                <w:szCs w:val="21"/>
              </w:rPr>
              <w:t>ilver</w:t>
            </w:r>
            <w:r>
              <w:rPr>
                <w:rFonts w:asciiTheme="minorEastAsia" w:hAnsiTheme="minorEastAsia"/>
                <w:szCs w:val="21"/>
              </w:rPr>
              <w:t>4214</w:t>
            </w:r>
            <w:r>
              <w:rPr>
                <w:rFonts w:hint="eastAsia" w:asciiTheme="minorEastAsia" w:hAnsiTheme="minorEastAsia"/>
                <w:szCs w:val="21"/>
              </w:rPr>
              <w:t>处理器；配置不少于128GB DDR4ECC2933MHz内存，且预留内存扩展槽位≥2个；提供企业级SATA接口 SSD固态硬盘≥960GB，4TB</w:t>
            </w:r>
            <w:r>
              <w:rPr>
                <w:rFonts w:asciiTheme="minorEastAsia" w:hAnsiTheme="minorEastAsia"/>
                <w:szCs w:val="21"/>
              </w:rPr>
              <w:t xml:space="preserve"> </w:t>
            </w:r>
            <w:r>
              <w:rPr>
                <w:rFonts w:hint="eastAsia" w:asciiTheme="minorEastAsia" w:hAnsiTheme="minorEastAsia"/>
                <w:szCs w:val="21"/>
              </w:rPr>
              <w:t>SATA3.0企业级机械硬盘≥3个；内外置硬盘槽位最大可满足8块3.5寸和4块2.5寸硬盘同时使用；配置独立硬件阵列卡1GB以上缓存（网络：配置千兆网口≥2，万兆光网口（带模块）≥2，其中需配置1个千兆网络管理口；USB接口：配置USB接口数≥2个；电源≥5</w:t>
            </w:r>
            <w:r>
              <w:rPr>
                <w:rFonts w:asciiTheme="minorEastAsia" w:hAnsiTheme="minorEastAsia"/>
                <w:szCs w:val="21"/>
              </w:rPr>
              <w:t>50W</w:t>
            </w:r>
            <w:r>
              <w:rPr>
                <w:rFonts w:hint="eastAsia" w:asciiTheme="minorEastAsia" w:hAnsiTheme="minorEastAsia"/>
                <w:szCs w:val="21"/>
              </w:rPr>
              <w:t>；</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4.设备需要具备国家强制性CCC认证以及节能认证并提供证书复印件。</w:t>
            </w:r>
          </w:p>
          <w:p>
            <w:pPr>
              <w:widowControl/>
              <w:spacing w:line="240" w:lineRule="atLeast"/>
              <w:ind w:firstLine="420" w:firstLineChars="200"/>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要求通过智能云服务器能够对教室中学生云终端和教师终端进行统一管理；能够在同一管理界面同时查看到学生云终端和教师终端；能够在云服务器端平台后台界面内实现对所有学生云终端批量配置，桌面批量新建、设置和删除；能对教师终端进行镜像下发、配置。</w:t>
            </w:r>
          </w:p>
          <w:p>
            <w:pPr>
              <w:widowControl/>
              <w:spacing w:line="240" w:lineRule="atLeast"/>
              <w:ind w:firstLine="420" w:firstLineChars="200"/>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.云服务器软件版本须提供统一升级功能。云服务器可以导入升级包，升级包可以对云服务器、云终端、教学管理软件升级。</w:t>
            </w:r>
          </w:p>
          <w:p>
            <w:pPr>
              <w:widowControl/>
              <w:spacing w:line="240" w:lineRule="atLeast"/>
              <w:ind w:firstLine="420" w:firstLineChars="200"/>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.统一提供三年厂商质保，要求云课堂管理服务器、云课堂计算服务器、云终端学生机、云教学管理软件、多媒体教学软件同一品牌。</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1</w:t>
            </w:r>
          </w:p>
        </w:tc>
        <w:tc>
          <w:tcPr>
            <w:tcW w:w="364"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Theme="minorEastAsia" w:hAnsiTheme="minorEastAsia"/>
                <w:szCs w:val="21"/>
              </w:rPr>
            </w:pPr>
            <w:r>
              <w:rPr>
                <w:rFonts w:hint="eastAsia" w:asciiTheme="minorEastAsia" w:hAnsiTheme="minorEastAsia"/>
                <w:szCs w:val="21"/>
              </w:rPr>
              <w:t>43100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云课堂计算服务器</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1.要求云服务器为软硬一体化国产品牌设备，不接受软硬拆分方案；</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2.单台服务器可以同时支持至少40点位终端桌面的连接使用；</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3.工业标准机架式服务器，CPU配置不低于2颗IntelXeon</w:t>
            </w:r>
            <w:r>
              <w:rPr>
                <w:rFonts w:asciiTheme="minorEastAsia" w:hAnsiTheme="minorEastAsia"/>
                <w:szCs w:val="21"/>
              </w:rPr>
              <w:t>S</w:t>
            </w:r>
            <w:r>
              <w:rPr>
                <w:rFonts w:hint="eastAsia" w:asciiTheme="minorEastAsia" w:hAnsiTheme="minorEastAsia"/>
                <w:szCs w:val="21"/>
              </w:rPr>
              <w:t>ilver</w:t>
            </w:r>
            <w:r>
              <w:rPr>
                <w:rFonts w:asciiTheme="minorEastAsia" w:hAnsiTheme="minorEastAsia"/>
                <w:szCs w:val="21"/>
              </w:rPr>
              <w:t>4214R</w:t>
            </w:r>
            <w:r>
              <w:rPr>
                <w:rFonts w:hint="eastAsia" w:asciiTheme="minorEastAsia" w:hAnsiTheme="minorEastAsia"/>
                <w:szCs w:val="21"/>
              </w:rPr>
              <w:t>；配置不少于1</w:t>
            </w:r>
            <w:r>
              <w:rPr>
                <w:rFonts w:asciiTheme="minorEastAsia" w:hAnsiTheme="minorEastAsia"/>
                <w:szCs w:val="21"/>
              </w:rPr>
              <w:t>92</w:t>
            </w:r>
            <w:r>
              <w:rPr>
                <w:rFonts w:hint="eastAsia" w:asciiTheme="minorEastAsia" w:hAnsiTheme="minorEastAsia"/>
                <w:szCs w:val="21"/>
              </w:rPr>
              <w:t>GBDDR4ECC2</w:t>
            </w:r>
            <w:r>
              <w:rPr>
                <w:rFonts w:asciiTheme="minorEastAsia" w:hAnsiTheme="minorEastAsia"/>
                <w:szCs w:val="21"/>
              </w:rPr>
              <w:t>9</w:t>
            </w:r>
            <w:r>
              <w:rPr>
                <w:rFonts w:hint="eastAsia" w:asciiTheme="minorEastAsia" w:hAnsiTheme="minorEastAsia"/>
                <w:szCs w:val="21"/>
              </w:rPr>
              <w:t>33MHz内存，且预留内存扩展槽位≥2个；提供SATA接口企业级SSD硬盘≥</w:t>
            </w:r>
            <w:r>
              <w:rPr>
                <w:rFonts w:asciiTheme="minorEastAsia" w:hAnsiTheme="minorEastAsia"/>
                <w:szCs w:val="21"/>
              </w:rPr>
              <w:t>960</w:t>
            </w:r>
            <w:r>
              <w:rPr>
                <w:rFonts w:hint="eastAsia" w:asciiTheme="minorEastAsia" w:hAnsiTheme="minorEastAsia"/>
                <w:szCs w:val="21"/>
              </w:rPr>
              <w:t>GB，SATA3.0企业级机械硬盘≥4TB；内外置硬盘槽位最大可满足8块3.5寸和4块2.5寸硬盘同时使用；网络：配置千兆网口≥2，万兆光网口（带模块）≥2，其中需配置1个千兆网络管理口；USB接口：配置USB接口数≥2个；电源≥5</w:t>
            </w:r>
            <w:r>
              <w:rPr>
                <w:rFonts w:asciiTheme="minorEastAsia" w:hAnsiTheme="minorEastAsia"/>
                <w:szCs w:val="21"/>
              </w:rPr>
              <w:t>00W</w:t>
            </w:r>
            <w:r>
              <w:rPr>
                <w:rFonts w:hint="eastAsia" w:asciiTheme="minorEastAsia" w:hAnsiTheme="minorEastAsia"/>
                <w:szCs w:val="21"/>
              </w:rPr>
              <w:t>；</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4.所投设备需要具备国家强制性CCC认证以及节能认证并提供证书复印件。</w:t>
            </w:r>
          </w:p>
          <w:p>
            <w:pPr>
              <w:widowControl/>
              <w:spacing w:line="240" w:lineRule="atLeast"/>
              <w:ind w:firstLine="420" w:firstLineChars="200"/>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要求通过智能云服务器能够对教室中学生云终端和教师终端进行统一管理；能够在同一管理界面同时查看到学生云终端和教师终端；能够在云服务器端平台后台界面内实现对所有学生云终端批量配置，桌面批量新建、设置和删除；能对教师终端进行镜像下发、配置。</w:t>
            </w:r>
          </w:p>
          <w:p>
            <w:pPr>
              <w:widowControl/>
              <w:spacing w:line="240" w:lineRule="atLeast"/>
              <w:ind w:firstLine="420" w:firstLineChars="200"/>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.云服务器软件版本须提供统一升级功能。云服务器可以导入升级包，升级包可以对云服务器、云终端、教学管理软件升级。</w:t>
            </w:r>
          </w:p>
          <w:p>
            <w:pPr>
              <w:widowControl/>
              <w:spacing w:line="240" w:lineRule="atLeast"/>
              <w:ind w:firstLine="420" w:firstLineChars="200"/>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.要求云课堂管理服务器、云课堂计算服务器、云终端学生机、云教学管理软件、多媒体教学软件同一品牌。</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5</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教师站主机</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电脑(工程师站/操作员站电脑)：处理器主频≥3.6GHz，六核心，i5处理器，内存8G，512GB固态硬盘，集成显卡，DVD光驱，USB光电鼠标，键盘，1000M网卡，计算机软件包，3年质保。</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4</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4</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云终端学生机（</w:t>
            </w:r>
            <w:r>
              <w:rPr>
                <w:rFonts w:ascii="宋体" w:hAnsi="宋体"/>
                <w:kern w:val="0"/>
                <w:szCs w:val="21"/>
              </w:rPr>
              <w:t>▲</w:t>
            </w:r>
            <w:r>
              <w:rPr>
                <w:rFonts w:hint="eastAsia" w:asciiTheme="minorEastAsia" w:hAnsiTheme="minorEastAsia"/>
                <w:kern w:val="0"/>
                <w:szCs w:val="21"/>
              </w:rPr>
              <w:t>）</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1.本次提供产品必须为X86架构云终端（非PC电脑），且为国内自主品牌。</w:t>
            </w:r>
          </w:p>
          <w:p>
            <w:pPr>
              <w:widowControl/>
              <w:spacing w:line="240" w:lineRule="atLeast"/>
              <w:ind w:firstLine="420" w:firstLineChars="200"/>
              <w:rPr>
                <w:rFonts w:asciiTheme="minorEastAsia" w:hAnsiTheme="minorEastAsia"/>
                <w:color w:val="92D050"/>
                <w:kern w:val="0"/>
                <w:szCs w:val="21"/>
              </w:rPr>
            </w:pPr>
            <w:r>
              <w:rPr>
                <w:rFonts w:hint="eastAsia" w:asciiTheme="minorEastAsia" w:hAnsiTheme="minorEastAsia"/>
                <w:szCs w:val="21"/>
              </w:rPr>
              <w:t>2.电脑配置：CPU主频≥2.0GHz，双核心，内存4G，64GB固态硬盘，1000M网卡，计算机软件包，3</w:t>
            </w:r>
            <w:r>
              <w:rPr>
                <w:rFonts w:hint="eastAsia" w:asciiTheme="minorEastAsia" w:hAnsiTheme="minorEastAsia"/>
                <w:kern w:val="0"/>
                <w:szCs w:val="21"/>
              </w:rPr>
              <w:t>年质保</w:t>
            </w:r>
            <w:r>
              <w:rPr>
                <w:rFonts w:hint="eastAsia" w:asciiTheme="minorEastAsia" w:hAnsiTheme="minorEastAsia"/>
                <w:szCs w:val="21"/>
              </w:rPr>
              <w:t>。</w:t>
            </w:r>
          </w:p>
          <w:p>
            <w:pPr>
              <w:widowControl/>
              <w:spacing w:line="240" w:lineRule="atLeast"/>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所投设备需要具备国家强制性CCC认证以及节能认证并提供证书复印件。</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200</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5</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显示器</w:t>
            </w:r>
          </w:p>
          <w:p>
            <w:pPr>
              <w:widowControl/>
              <w:spacing w:line="240" w:lineRule="atLeast"/>
              <w:jc w:val="left"/>
              <w:rPr>
                <w:rFonts w:asciiTheme="minorEastAsia" w:hAnsiTheme="minorEastAsia"/>
                <w:szCs w:val="21"/>
              </w:rPr>
            </w:pPr>
            <w:r>
              <w:rPr>
                <w:rFonts w:hint="eastAsia" w:asciiTheme="minorEastAsia" w:hAnsiTheme="minorEastAsia"/>
                <w:kern w:val="0"/>
                <w:szCs w:val="21"/>
              </w:rPr>
              <w:t>键鼠</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1.5</w:t>
            </w:r>
            <w:r>
              <w:rPr>
                <w:rFonts w:hint="eastAsia" w:asciiTheme="minorEastAsia" w:hAnsiTheme="minorEastAsia"/>
                <w:szCs w:val="21"/>
              </w:rPr>
              <w:t>寸L</w:t>
            </w:r>
            <w:r>
              <w:rPr>
                <w:rFonts w:asciiTheme="minorEastAsia" w:hAnsiTheme="minorEastAsia"/>
                <w:szCs w:val="21"/>
              </w:rPr>
              <w:t>ED</w:t>
            </w:r>
            <w:r>
              <w:rPr>
                <w:rFonts w:hint="eastAsia" w:asciiTheme="minorEastAsia" w:hAnsiTheme="minorEastAsia"/>
                <w:szCs w:val="21"/>
              </w:rPr>
              <w:t>显示器、U</w:t>
            </w:r>
            <w:r>
              <w:rPr>
                <w:rFonts w:asciiTheme="minorEastAsia" w:hAnsiTheme="minorEastAsia"/>
                <w:szCs w:val="21"/>
              </w:rPr>
              <w:t>SB</w:t>
            </w:r>
            <w:r>
              <w:rPr>
                <w:rFonts w:hint="eastAsia" w:asciiTheme="minorEastAsia" w:hAnsiTheme="minorEastAsia"/>
                <w:szCs w:val="21"/>
              </w:rPr>
              <w:t>有线光电键盘鼠标</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200</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6</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云教学管理软件（</w:t>
            </w:r>
            <w:r>
              <w:rPr>
                <w:rFonts w:ascii="宋体" w:hAnsi="宋体"/>
                <w:kern w:val="0"/>
                <w:szCs w:val="21"/>
              </w:rPr>
              <w:t>▲</w:t>
            </w:r>
            <w:r>
              <w:rPr>
                <w:rFonts w:hint="eastAsia" w:asciiTheme="minorEastAsia" w:hAnsiTheme="minorEastAsia"/>
                <w:kern w:val="0"/>
                <w:szCs w:val="21"/>
              </w:rPr>
              <w:t>）</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1.采用裸金属架构，虚拟化软件可直接安装在物理服务器上，通过一个安装包即可实现VDI/VOI/IDV三种架构云桌面服务端的统一安装，并立即生效使用，无需部署其他组件；</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2.单个平台可交付多种类型桌面，至少包括VDI桌面、VOI桌面、IDV桌面、教学桌面、漫游桌面、个人桌面，满足教学、实训、科研、办公等场景需求；（提供功能截图）</w:t>
            </w:r>
          </w:p>
          <w:p>
            <w:pPr>
              <w:widowControl/>
              <w:spacing w:line="240" w:lineRule="atLeast"/>
              <w:ind w:firstLine="420" w:firstLineChars="200"/>
              <w:rPr>
                <w:rFonts w:asciiTheme="minorEastAsia" w:hAnsiTheme="minorEastAsia"/>
                <w:b/>
                <w:bCs/>
                <w:szCs w:val="21"/>
              </w:rPr>
            </w:pPr>
            <w:r>
              <w:rPr>
                <w:rFonts w:hint="eastAsia" w:asciiTheme="minorEastAsia" w:hAnsiTheme="minorEastAsia"/>
                <w:b/>
                <w:bCs/>
                <w:szCs w:val="21"/>
              </w:rPr>
              <w:t>3.视图页面通过图报表可视化的方式，集中展示桌面云整体建设使用情况，至少包含物理服务器集群资源，VDI/VOI/IDV教室总数、终端总数及在线占比、桌面总数、桌面在线/离线数量、场景总数及激活状态、不同类型的桌面模板数量及总数。</w:t>
            </w:r>
            <w:r>
              <w:rPr>
                <w:rFonts w:hint="eastAsia" w:asciiTheme="minorEastAsia" w:hAnsiTheme="minorEastAsia"/>
                <w:b/>
                <w:bCs/>
                <w:color w:val="000000" w:themeColor="text1"/>
                <w:szCs w:val="21"/>
                <w14:textFill>
                  <w14:solidFill>
                    <w14:schemeClr w14:val="tx1"/>
                  </w14:solidFill>
                </w14:textFill>
              </w:rPr>
              <w:t>（需在开标现场提供功能演示）</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5.支持统一设置终端分辨率，也可以设置自适应显示器最佳分辨率；</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6.</w:t>
            </w:r>
            <w:r>
              <w:rPr>
                <w:rFonts w:hint="eastAsia" w:asciiTheme="minorEastAsia" w:hAnsiTheme="minorEastAsia"/>
                <w:color w:val="000000" w:themeColor="text1"/>
                <w:szCs w:val="21"/>
                <w14:textFill>
                  <w14:solidFill>
                    <w14:schemeClr w14:val="tx1"/>
                  </w14:solidFill>
                </w14:textFill>
              </w:rPr>
              <w:t>可通</w:t>
            </w:r>
            <w:r>
              <w:rPr>
                <w:rFonts w:hint="eastAsia" w:asciiTheme="minorEastAsia" w:hAnsiTheme="minorEastAsia"/>
                <w:szCs w:val="21"/>
              </w:rPr>
              <w:t xml:space="preserve">过WEB管理台上的控制台直接进入服务器底层操作系统，实现底层系统编辑和维护； </w:t>
            </w:r>
          </w:p>
          <w:p>
            <w:pPr>
              <w:widowControl/>
              <w:spacing w:line="240" w:lineRule="atLeast"/>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7.要求支持在WEB管理平台上直接对服务器SSD硬盘进行性能测试，可获取SSD硬盘16K随机读、顺序写数值，便于管理员定位系统故障；（需在开标现场提供功能演示）</w:t>
            </w:r>
          </w:p>
          <w:p>
            <w:pPr>
              <w:widowControl/>
              <w:spacing w:line="240" w:lineRule="atLeast"/>
              <w:ind w:firstLine="420" w:firstLineChars="200"/>
              <w:rPr>
                <w:rFonts w:asciiTheme="minorEastAsia" w:hAnsiTheme="minorEastAsia"/>
                <w:b w:val="0"/>
                <w:bCs w:val="0"/>
                <w:szCs w:val="21"/>
              </w:rPr>
            </w:pPr>
            <w:r>
              <w:rPr>
                <w:rFonts w:hint="eastAsia" w:asciiTheme="minorEastAsia" w:hAnsiTheme="minorEastAsia"/>
                <w:b w:val="0"/>
                <w:bCs w:val="0"/>
                <w:szCs w:val="21"/>
              </w:rPr>
              <w:t>8. WEB管理平台上可支持多网卡绑定，也可支持管理网络、数据网络、镜像网络分离，将三种网络分别绑定到不同的服务器物理网卡，实现网络分流，上述功能均无需采用命令行操作；（提供功能截图）</w:t>
            </w:r>
          </w:p>
          <w:p>
            <w:pPr>
              <w:widowControl/>
              <w:spacing w:line="240" w:lineRule="atLeast"/>
              <w:ind w:firstLine="420" w:firstLineChars="200"/>
              <w:rPr>
                <w:rFonts w:asciiTheme="minorEastAsia" w:hAnsiTheme="minorEastAsia"/>
                <w:b/>
                <w:bCs/>
                <w:szCs w:val="21"/>
              </w:rPr>
            </w:pPr>
            <w:r>
              <w:rPr>
                <w:rFonts w:hint="eastAsia" w:asciiTheme="minorEastAsia" w:hAnsiTheme="minorEastAsia"/>
                <w:b/>
                <w:bCs/>
                <w:szCs w:val="21"/>
              </w:rPr>
              <w:t>9.可在管理平台上灵活修改服务器的ip地址，无需重启服务器，使用更改后的ip地址即可访问平台，平台原有模板、桌面信息、网络配置无变化；</w:t>
            </w:r>
            <w:r>
              <w:rPr>
                <w:rFonts w:hint="eastAsia" w:asciiTheme="minorEastAsia" w:hAnsiTheme="minorEastAsia"/>
                <w:b/>
                <w:bCs/>
                <w:color w:val="000000" w:themeColor="text1"/>
                <w:szCs w:val="21"/>
                <w14:textFill>
                  <w14:solidFill>
                    <w14:schemeClr w14:val="tx1"/>
                  </w14:solidFill>
                </w14:textFill>
              </w:rPr>
              <w:t>（需在开标现场提供功能演示）</w:t>
            </w:r>
            <w:r>
              <w:rPr>
                <w:rFonts w:asciiTheme="minorEastAsia" w:hAnsiTheme="minorEastAsia"/>
                <w:b/>
                <w:bCs/>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10.可根据不同的教学要求，创建VDI/IDV/VOI三种桌面类型，每种类型均可创建多套不同的场景桌面，所有场景桌面在服务端可控制开关，终端开机只能看到开启的场景桌面，可自由选择开启的场景进入；</w:t>
            </w:r>
            <w:r>
              <w:rPr>
                <w:rFonts w:asciiTheme="minorEastAsia" w:hAnsiTheme="minorEastAsia"/>
                <w:szCs w:val="21"/>
              </w:rPr>
              <w:t xml:space="preserve"> </w:t>
            </w:r>
          </w:p>
          <w:p>
            <w:pPr>
              <w:widowControl/>
              <w:spacing w:line="240" w:lineRule="atLeast"/>
              <w:ind w:firstLine="420" w:firstLineChars="200"/>
              <w:rPr>
                <w:rFonts w:asciiTheme="minorEastAsia" w:hAnsiTheme="minorEastAsia"/>
                <w:b/>
                <w:bCs/>
                <w:color w:val="auto"/>
                <w:szCs w:val="21"/>
              </w:rPr>
            </w:pPr>
            <w:r>
              <w:rPr>
                <w:rFonts w:hint="eastAsia" w:asciiTheme="minorEastAsia" w:hAnsiTheme="minorEastAsia"/>
                <w:b/>
                <w:bCs/>
                <w:color w:val="auto"/>
                <w:szCs w:val="21"/>
              </w:rPr>
              <w:t>11.</w:t>
            </w:r>
            <w:r>
              <w:rPr>
                <w:rFonts w:asciiTheme="minorEastAsia" w:hAnsiTheme="minorEastAsia"/>
                <w:b/>
                <w:bCs/>
                <w:color w:val="auto"/>
                <w:szCs w:val="21"/>
              </w:rPr>
              <w:t>单个终端可同时支持教学桌面和个人桌面两种使用方式，教学桌面开机无需账号直接进入桌面，个人桌面开机须输入账号密码进入桌面；管理台可控制允许终端进入的桌面类型，包括仅使用教学桌面，仅使用个人桌面，混合登录三种方式；</w:t>
            </w:r>
            <w:r>
              <w:rPr>
                <w:rFonts w:hint="eastAsia" w:asciiTheme="minorEastAsia" w:hAnsiTheme="minorEastAsia"/>
                <w:b/>
                <w:bCs/>
                <w:color w:val="auto"/>
                <w:szCs w:val="21"/>
              </w:rPr>
              <w:t>（需在开标现场提供功能演示）</w:t>
            </w:r>
          </w:p>
          <w:p>
            <w:pPr>
              <w:widowControl/>
              <w:spacing w:line="240" w:lineRule="atLeast"/>
              <w:ind w:firstLine="420" w:firstLineChars="200"/>
              <w:rPr>
                <w:rFonts w:asciiTheme="minorEastAsia" w:hAnsiTheme="minorEastAsia"/>
                <w:b/>
                <w:bCs/>
                <w:color w:val="auto"/>
                <w:szCs w:val="21"/>
              </w:rPr>
            </w:pPr>
            <w:r>
              <w:rPr>
                <w:rFonts w:hint="eastAsia" w:asciiTheme="minorEastAsia" w:hAnsiTheme="minorEastAsia"/>
                <w:b/>
                <w:bCs/>
                <w:color w:val="auto"/>
                <w:szCs w:val="21"/>
              </w:rPr>
              <w:t>12.支持桌面属性修改，桌面创建完成后，可随时在管理平台根据教学需求修改教学桌面还原属性，可单独分别为系统盘和数据盘设置每次还原，每天还原，每周还原、每月还原或不还原；（需在开标现场提供功能演示）</w:t>
            </w:r>
          </w:p>
          <w:p>
            <w:pPr>
              <w:widowControl/>
              <w:spacing w:line="240" w:lineRule="atLeast"/>
              <w:ind w:firstLine="420" w:firstLineChars="200"/>
              <w:rPr>
                <w:rFonts w:asciiTheme="minorEastAsia" w:hAnsiTheme="minorEastAsia"/>
                <w:b/>
                <w:bCs/>
                <w:color w:val="auto"/>
                <w:szCs w:val="21"/>
              </w:rPr>
            </w:pPr>
            <w:r>
              <w:rPr>
                <w:rFonts w:hint="eastAsia" w:asciiTheme="minorEastAsia" w:hAnsiTheme="minorEastAsia"/>
                <w:b/>
                <w:bCs/>
                <w:color w:val="auto"/>
                <w:szCs w:val="21"/>
              </w:rPr>
              <w:t>13.</w:t>
            </w:r>
            <w:r>
              <w:rPr>
                <w:rFonts w:asciiTheme="minorEastAsia" w:hAnsiTheme="minorEastAsia"/>
                <w:b/>
                <w:bCs/>
                <w:color w:val="auto"/>
                <w:szCs w:val="21"/>
              </w:rPr>
              <w:t>支持在一个终端上通过一个账号密码，同时登录多个个人桌面，桌面可窗口化显示，可以拖动缩放,无需桌面切换即可满足用户同时使用不同桌面的场景；</w:t>
            </w:r>
            <w:r>
              <w:rPr>
                <w:rFonts w:hint="eastAsia" w:asciiTheme="minorEastAsia" w:hAnsiTheme="minorEastAsia"/>
                <w:b/>
                <w:bCs/>
                <w:color w:val="auto"/>
                <w:szCs w:val="21"/>
              </w:rPr>
              <w:t>（需在开标现场提供功能演示）</w:t>
            </w:r>
          </w:p>
          <w:p>
            <w:pPr>
              <w:widowControl/>
              <w:spacing w:line="240" w:lineRule="atLeast"/>
              <w:ind w:firstLine="420" w:firstLineChars="200"/>
              <w:rPr>
                <w:rFonts w:asciiTheme="minorEastAsia" w:hAnsiTheme="minorEastAsia"/>
                <w:szCs w:val="21"/>
              </w:rPr>
            </w:pPr>
            <w:r>
              <w:rPr>
                <w:rFonts w:hint="eastAsia" w:asciiTheme="minorEastAsia" w:hAnsiTheme="minorEastAsia"/>
                <w:b/>
                <w:bCs/>
                <w:szCs w:val="21"/>
              </w:rPr>
              <w:t>14.单个终端可部署多个操作系统，支持在管理平台上设置终端共享数据盘，所有操作系统均可见，可设置终端共享数据盘的的空间大小，并能设定清除策略，包含不清除/每周清除/每月清除；</w:t>
            </w:r>
            <w:r>
              <w:rPr>
                <w:rFonts w:hint="eastAsia" w:asciiTheme="minorEastAsia" w:hAnsiTheme="minorEastAsia"/>
                <w:b/>
                <w:bCs/>
                <w:color w:val="000000" w:themeColor="text1"/>
                <w:szCs w:val="21"/>
                <w14:textFill>
                  <w14:solidFill>
                    <w14:schemeClr w14:val="tx1"/>
                  </w14:solidFill>
                </w14:textFill>
              </w:rPr>
              <w:t>（需在开标现场提供功能演示）</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15.桌面云平台支持教学网盘功能，无需第三方组件，创建桌面账户时可同步生成网盘账号，启用网盘后可通过该账号直接登录网盘，用于上传并保存个人数据，无需使用时可关闭网盘回收资源；</w:t>
            </w:r>
          </w:p>
          <w:p>
            <w:pPr>
              <w:widowControl/>
              <w:spacing w:line="240" w:lineRule="atLeast"/>
              <w:ind w:firstLine="420" w:firstLineChars="200"/>
              <w:rPr>
                <w:rFonts w:asciiTheme="minorEastAsia" w:hAnsiTheme="minorEastAsia"/>
                <w:b/>
                <w:bCs/>
                <w:color w:val="auto"/>
                <w:szCs w:val="21"/>
              </w:rPr>
            </w:pPr>
            <w:r>
              <w:rPr>
                <w:rFonts w:hint="eastAsia" w:asciiTheme="minorEastAsia" w:hAnsiTheme="minorEastAsia"/>
                <w:b/>
                <w:bCs/>
                <w:color w:val="auto"/>
                <w:szCs w:val="21"/>
              </w:rPr>
              <w:t>16.支持模板分享链接，通过链接即可对模板进行编辑，支持分享日期、分享链接的失效期设置；（需在开标现场提供功能演示）</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17.支持在一个界面展示终端名称、IP地址、MAC地址，运行状态、接入时间、接入时长等信息，可分别对云终端和胖终端实现唤醒、重启、关机、删除等操作；</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18.终端和虚拟机的开关应该对应，支持云终端联动关机设置策略，可实现虚拟桌面正常关机时，终端设备自动关机；终端设备按电源键时虚拟桌面自动关机终端异常断电时可根据策略实现虚拟机自动关机或挂起；</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19.至少支持windows客户端和linux客户端；</w:t>
            </w:r>
          </w:p>
          <w:p>
            <w:pPr>
              <w:widowControl/>
              <w:spacing w:line="240" w:lineRule="atLeast"/>
              <w:ind w:firstLine="420" w:firstLineChars="200"/>
              <w:rPr>
                <w:rFonts w:asciiTheme="minorEastAsia" w:hAnsiTheme="minorEastAsia"/>
                <w:b w:val="0"/>
                <w:bCs w:val="0"/>
                <w:szCs w:val="21"/>
              </w:rPr>
            </w:pPr>
            <w:r>
              <w:rPr>
                <w:rFonts w:hint="eastAsia" w:asciiTheme="minorEastAsia" w:hAnsiTheme="minorEastAsia"/>
                <w:b w:val="0"/>
                <w:bCs w:val="0"/>
                <w:szCs w:val="21"/>
              </w:rPr>
              <w:t>20.无需其他组件，支持在虚拟化平台上查看服务器和虚拟机的运行详细情况，包括服务器和虚拟桌面的CPU占用率、内存占用率、磁盘读写速度、网络流量、进程资源占用率；（提供功能截图）</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21.支持对接UAA服务器账号，能够按照学校组织架构导入，并随时一键同步UAA服务器上的最新用户信息</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22.支持报警功能，用户可以选择主机范围配置报警项，至少包括CPU利用率、内存利用率、磁盘使用空间、桌面运行时间、授权时间5项内容，可设置报警项的触发条件和持续时间，报警信息可推送给不同的管理员邮箱；</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23.支持用户的批量导入和导出，通过表格导入方式批量创建的用户可用于登录虚拟桌面；</w:t>
            </w:r>
          </w:p>
          <w:p>
            <w:pPr>
              <w:widowControl/>
              <w:spacing w:line="240" w:lineRule="atLeast"/>
              <w:ind w:firstLine="420" w:firstLineChars="200"/>
              <w:rPr>
                <w:rFonts w:asciiTheme="minorEastAsia" w:hAnsiTheme="minorEastAsia"/>
                <w:b w:val="0"/>
                <w:bCs w:val="0"/>
                <w:szCs w:val="21"/>
              </w:rPr>
            </w:pPr>
            <w:r>
              <w:rPr>
                <w:rFonts w:hint="eastAsia" w:asciiTheme="minorEastAsia" w:hAnsiTheme="minorEastAsia"/>
                <w:b w:val="0"/>
                <w:bCs w:val="0"/>
                <w:szCs w:val="21"/>
              </w:rPr>
              <w:t>24.可针对不同的功能模块和教室范围进行权限角色的划分，可授权管理员能操作的管理平台功能，权限细分到每一个功能菜单操作；可授权管理员可管理的教室范围；（提供功能截图）</w:t>
            </w:r>
          </w:p>
          <w:p>
            <w:pPr>
              <w:widowControl/>
              <w:spacing w:line="240" w:lineRule="atLeast"/>
              <w:ind w:firstLine="420" w:firstLineChars="200"/>
              <w:rPr>
                <w:rFonts w:asciiTheme="minorEastAsia" w:hAnsiTheme="minorEastAsia"/>
                <w:b/>
                <w:bCs/>
                <w:color w:val="FF0000"/>
                <w:szCs w:val="21"/>
              </w:rPr>
            </w:pPr>
            <w:r>
              <w:rPr>
                <w:rFonts w:hint="eastAsia" w:asciiTheme="minorEastAsia" w:hAnsiTheme="minorEastAsia"/>
                <w:b/>
                <w:bCs/>
                <w:szCs w:val="21"/>
              </w:rPr>
              <w:t>25.无需依赖第三方软件或脚本，即可在管理台编辑学期课表；可设置学期开始和结束时间、单双周安排、每节课起始时间，可直接将不同桌面拖拽到课表中，与各个课程时间对应，桌面环境根据课表时间自动启动；</w:t>
            </w:r>
            <w:r>
              <w:rPr>
                <w:rFonts w:asciiTheme="minorEastAsia" w:hAnsiTheme="minorEastAsia"/>
                <w:b/>
                <w:bCs/>
                <w:color w:val="FF0000"/>
                <w:szCs w:val="21"/>
              </w:rPr>
              <w:t xml:space="preserve"> </w:t>
            </w:r>
            <w:r>
              <w:rPr>
                <w:rFonts w:hint="eastAsia" w:asciiTheme="minorEastAsia" w:hAnsiTheme="minorEastAsia"/>
                <w:b/>
                <w:bCs/>
                <w:color w:val="000000" w:themeColor="text1"/>
                <w:szCs w:val="21"/>
                <w14:textFill>
                  <w14:solidFill>
                    <w14:schemeClr w14:val="tx1"/>
                  </w14:solidFill>
                </w14:textFill>
              </w:rPr>
              <w:t>（需在开标现场提供功能演示）</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26.支持在管理平台直接创建虚拟化服务器，用于搭建考试服务器等应用服务，并可设置随宿主机自动启动；</w:t>
            </w:r>
            <w:r>
              <w:rPr>
                <w:rFonts w:asciiTheme="minorEastAsia" w:hAnsiTheme="minorEastAsia"/>
                <w:szCs w:val="21"/>
              </w:rPr>
              <w:t xml:space="preserve"> </w:t>
            </w:r>
          </w:p>
          <w:p>
            <w:pPr>
              <w:widowControl/>
              <w:spacing w:line="240" w:lineRule="atLeast"/>
              <w:ind w:firstLine="420" w:firstLineChars="200"/>
              <w:rPr>
                <w:rFonts w:asciiTheme="minorEastAsia" w:hAnsiTheme="minorEastAsia"/>
                <w:b/>
                <w:bCs/>
                <w:color w:val="auto"/>
                <w:szCs w:val="21"/>
              </w:rPr>
            </w:pPr>
            <w:r>
              <w:rPr>
                <w:rFonts w:hint="eastAsia" w:asciiTheme="minorEastAsia" w:hAnsiTheme="minorEastAsia"/>
                <w:b/>
                <w:bCs/>
                <w:color w:val="auto"/>
                <w:szCs w:val="21"/>
              </w:rPr>
              <w:t>27.管理员可通过web管理平台给终端发送消息，终端无需进入操作系统即可接收消息，消息内容可在屏幕上方滚动显示；（需在开标现场提供功能演示）</w:t>
            </w:r>
          </w:p>
          <w:p>
            <w:pPr>
              <w:widowControl/>
              <w:spacing w:line="240" w:lineRule="atLeast"/>
              <w:ind w:firstLine="420" w:firstLineChars="200"/>
              <w:rPr>
                <w:rFonts w:asciiTheme="minorEastAsia" w:hAnsiTheme="minorEastAsia"/>
                <w:b w:val="0"/>
                <w:bCs w:val="0"/>
                <w:szCs w:val="21"/>
              </w:rPr>
            </w:pPr>
            <w:r>
              <w:rPr>
                <w:rFonts w:hint="eastAsia" w:asciiTheme="minorEastAsia" w:hAnsiTheme="minorEastAsia"/>
                <w:b w:val="0"/>
                <w:bCs w:val="0"/>
                <w:szCs w:val="21"/>
              </w:rPr>
              <w:t>28.针对VDI/VOI/IDV三种桌面终端均可设置定时开关机计划，可按周期在固定时间唤醒和关闭对应的教学桌面终端，日期精确到天、时间精确到分钟，并可以指定开机的虚拟桌面范围；（提供功能截图）</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 xml:space="preserve">29.学生禁用网卡、修改网卡IP，桌面连接不会中断；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30.VOI桌面支持usb急救恢复，直接在终端插入专用急救u盘（非PE系统），即可快速恢复操作系统；</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31.兼容不同品牌的利旧PC，可将老旧PC接入平台进行统一管理，能够为老旧PC批量下发操作系统、统一更新软件；</w:t>
            </w:r>
          </w:p>
          <w:p>
            <w:pPr>
              <w:widowControl/>
              <w:spacing w:line="240" w:lineRule="atLeast"/>
              <w:ind w:firstLine="420" w:firstLineChars="200"/>
            </w:pPr>
            <w:r>
              <w:rPr>
                <w:rFonts w:hint="eastAsia" w:asciiTheme="minorEastAsia" w:hAnsiTheme="minorEastAsia"/>
                <w:szCs w:val="21"/>
              </w:rPr>
              <w:t>32.用户可直接在管理平台自定义系统logo，包括浏览器地址栏logo、平台页面logo、终端登录界面logo，实现用户个性化信息展示；</w:t>
            </w:r>
            <w:r>
              <w:rPr>
                <w:rFonts w:asciiTheme="minorEastAsia" w:hAnsiTheme="minorEastAsia"/>
                <w:szCs w:val="21"/>
              </w:rPr>
              <w:t xml:space="preserve"> </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200</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7</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多媒体教学互动软件</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1.支持屏幕广播功能，支持学生全屏/窗口模式接收教师机广播的画面，全屏状态锁定学生鼠标和键盘；</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2.支持影音广播，即使在终端未进入桌面的状态，也能够实现全体学生的影音广播</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3.在屏幕广播之后连接上来的终端可直接接收屏幕广播内容，用户终端关闭虚拟桌面仍可同步广播教师机屏幕和视频，不会中断教学；</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4.教师可选定一个学生操作本机或操作教师机进行教学演示，并将该学生演示的画面广播给每一个学生；被广播的学生将全屏/窗口接收演示学生的画面，全屏状态键盘和鼠标被锁定。</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5.教师可指定操作某台学生机，并将其画面广播给其他的学生；被广播的学生端画面可全屏/窗口显示,全屏状态鼠标键盘被锁定。</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6.支持教师布置课堂作业，教师自定义提交时间；可将选定的作业，在学生终端进行展示；</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7.教师机可以监看所选学生机屏幕。每屏可监视不少于1</w:t>
            </w:r>
            <w:r>
              <w:rPr>
                <w:rFonts w:asciiTheme="minorEastAsia" w:hAnsiTheme="minorEastAsia"/>
                <w:szCs w:val="21"/>
              </w:rPr>
              <w:t>6</w:t>
            </w:r>
            <w:r>
              <w:rPr>
                <w:rFonts w:hint="eastAsia" w:asciiTheme="minorEastAsia" w:hAnsiTheme="minorEastAsia"/>
                <w:szCs w:val="21"/>
              </w:rPr>
              <w:t>个学生机画面,可自定义每屏学生机的数量以及学生机屏幕轮循的时间间隔；</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8.教师机软件可以将本地的操作和讲解过程录制成视频播放；</w:t>
            </w:r>
            <w:r>
              <w:rPr>
                <w:rFonts w:asciiTheme="minorEastAsia" w:hAnsiTheme="minorEastAsia"/>
                <w:szCs w:val="21"/>
              </w:rPr>
              <w:t xml:space="preserve"> </w:t>
            </w:r>
          </w:p>
          <w:p>
            <w:pPr>
              <w:widowControl/>
              <w:spacing w:line="240" w:lineRule="atLeast"/>
              <w:ind w:firstLine="420" w:firstLineChars="200"/>
              <w:rPr>
                <w:rFonts w:asciiTheme="minorEastAsia" w:hAnsiTheme="minorEastAsia"/>
                <w:b w:val="0"/>
                <w:bCs w:val="0"/>
                <w:szCs w:val="21"/>
              </w:rPr>
            </w:pPr>
            <w:r>
              <w:rPr>
                <w:rFonts w:hint="eastAsia" w:asciiTheme="minorEastAsia" w:hAnsiTheme="minorEastAsia"/>
                <w:b w:val="0"/>
                <w:bCs w:val="0"/>
                <w:szCs w:val="21"/>
              </w:rPr>
              <w:t>9.支持考试功能，包括试题编辑、下发试卷、考试监控、成绩统计。可添加单选题、多选题、判断题、填空题、问答题；可设置考试时长，倒计时结束后自动结束考试。阅卷时，单选题、多选题、判断题支持自动评分和统计正确率。（提供功能截图）</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10.支持电子白板功能，能够在屏幕广播时实现注解讲解、注释，辅助教学；</w:t>
            </w:r>
            <w:r>
              <w:rPr>
                <w:rFonts w:asciiTheme="minorEastAsia" w:hAnsiTheme="minorEastAsia"/>
                <w:szCs w:val="21"/>
              </w:rPr>
              <w:t xml:space="preserve"> </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11.支持与桌面云软件融合打通，通过教学软件即可识别终端开放的系统，并能够实现操作系统一键切换，下课后可一键关闭所有学生机</w:t>
            </w:r>
          </w:p>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12.支持上课终端锁定，能够锁定全部学生机，能够自定义提示信息并禁止学生进行操作；</w:t>
            </w:r>
          </w:p>
          <w:p>
            <w:pPr>
              <w:pStyle w:val="2"/>
              <w:spacing w:line="240" w:lineRule="atLeast"/>
              <w:ind w:firstLine="418" w:firstLineChars="190"/>
            </w:pP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4</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8</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24口接入交换机(非POE)</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24个10/100/1000Base-T自适应电口，4个千兆SFP光口；交换容量≥336Gbps/3.36Tbps，包转发率≥96Mpps/126Mpps，支持全端口线速转发；支持NAC统一管理、统一查看状态、VLAN等配置管理；支持终端识别、终端准入、安全防护及安全画像可视；</w:t>
            </w:r>
            <w:r>
              <w:rPr>
                <w:rFonts w:asciiTheme="minorEastAsia" w:hAnsiTheme="minorEastAsia"/>
                <w:szCs w:val="21"/>
              </w:rPr>
              <w:t xml:space="preserve"> </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6</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7"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9</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48口接入交换机(非POE)</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 xml:space="preserve">48个10/100/1000Base-T自适应电口，4个万兆SFP+光口；交换容量≥336Gbps/3.36Tbps，包转发率≥144Mpps/166Mpps,支持全端口线速转发；支持NAC统一管理、统一查看状态、VLAN等配置管理；支持终端识别、终端准入、安全防护及安全画像可视； </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6</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10</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汇聚交换机</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48个10G SFP+万兆光口，6个40GE QSFP+光口；交换容量≥2.56Tbps/40.96Tbps，包转发率≥1080Mpps，支持全端口线速转发；支持NAC统一管理、统一查看状态、VLAN等配置管理；支持终端识别、终端准入、安全防护及安全画像可视；支持双电源模块，默认含2个交流电源。</w:t>
            </w:r>
            <w:r>
              <w:rPr>
                <w:rFonts w:hint="eastAsia" w:asciiTheme="minorEastAsia" w:hAnsiTheme="minorEastAsia"/>
                <w:color w:val="FF0000"/>
                <w:szCs w:val="21"/>
              </w:rPr>
              <w:t xml:space="preserve"> </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1</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11</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万兆单模光模块</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asciiTheme="minorEastAsia" w:hAnsiTheme="minorEastAsia"/>
                <w:szCs w:val="21"/>
              </w:rPr>
              <w:t>10GbE SFP+ LR 1310nm</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32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12</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多媒体学生桌椅</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szCs w:val="21"/>
              </w:rPr>
            </w:pPr>
            <w:r>
              <w:rPr>
                <w:rFonts w:hint="eastAsia" w:asciiTheme="minorEastAsia" w:hAnsiTheme="minorEastAsia"/>
                <w:szCs w:val="21"/>
              </w:rPr>
              <w:t>多功能翻转电脑桌，规格：800X600X750mm（长宽高），主材采用冷轧钢板和环保人造密度板材，桌面翻转器采用优质气压杆及五金配件，板面精准开孔，可将显示器牢牢固定，箱体侧面再走线孔，整洁规划桌面走线，使用时拉动开关，显示器自动缓冲翻转与桌面齐平。优质冷轧钢桌架，表面经过多层环保喷涂处理，经久耐用，稳固称重。配备钢制方凳。</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200</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13</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机房布线施工</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20箱６类网线，含线材、辅件及施工，设备安装调试，含材料及人工费。</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项</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4</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asciiTheme="minorEastAsia" w:hAnsiTheme="minorEastAsia"/>
                <w:kern w:val="0"/>
                <w:szCs w:val="21"/>
              </w:rPr>
              <w:t>14</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高清录播主机</w:t>
            </w:r>
          </w:p>
        </w:tc>
        <w:tc>
          <w:tcPr>
            <w:tcW w:w="2959" w:type="pct"/>
            <w:tcBorders>
              <w:top w:val="single" w:color="auto" w:sz="4" w:space="0"/>
              <w:left w:val="nil"/>
              <w:bottom w:val="single" w:color="auto" w:sz="4" w:space="0"/>
              <w:right w:val="single" w:color="auto" w:sz="4" w:space="0"/>
            </w:tcBorders>
            <w:vAlign w:val="center"/>
          </w:tcPr>
          <w:p>
            <w:pPr>
              <w:spacing w:line="240" w:lineRule="atLeast"/>
              <w:rPr>
                <w:rFonts w:asciiTheme="minorEastAsia" w:hAnsiTheme="minorEastAsia"/>
                <w:kern w:val="0"/>
                <w:szCs w:val="21"/>
              </w:rPr>
            </w:pPr>
            <w:r>
              <w:rPr>
                <w:rFonts w:hint="eastAsia" w:asciiTheme="minorEastAsia" w:hAnsiTheme="minorEastAsia"/>
                <w:kern w:val="0"/>
                <w:szCs w:val="21"/>
              </w:rPr>
              <w:t>1.设备多信号输入需支持6路及以上本地高清信号采集接口，分辨率支持1080P及以上等。</w:t>
            </w:r>
          </w:p>
          <w:p>
            <w:pPr>
              <w:spacing w:line="240" w:lineRule="atLeast"/>
              <w:rPr>
                <w:rFonts w:asciiTheme="minorEastAsia" w:hAnsiTheme="minorEastAsia"/>
                <w:kern w:val="0"/>
                <w:szCs w:val="21"/>
              </w:rPr>
            </w:pPr>
            <w:r>
              <w:rPr>
                <w:rFonts w:hint="eastAsia" w:asciiTheme="minorEastAsia" w:hAnsiTheme="minorEastAsia"/>
                <w:kern w:val="0"/>
                <w:szCs w:val="21"/>
              </w:rPr>
              <w:t>2.需支持2路本地视频输出接口，接口类型为2路HDMI高清数字接口，2路输出视频各不相同，分别配合基本模式、录播模式、互动模式下使用，最高分辨率为1080P60。</w:t>
            </w:r>
          </w:p>
          <w:p>
            <w:pPr>
              <w:spacing w:line="240" w:lineRule="atLeast"/>
              <w:rPr>
                <w:rFonts w:asciiTheme="minorEastAsia" w:hAnsiTheme="minorEastAsia"/>
                <w:kern w:val="0"/>
                <w:szCs w:val="21"/>
              </w:rPr>
            </w:pPr>
            <w:r>
              <w:rPr>
                <w:rFonts w:hint="eastAsia" w:asciiTheme="minorEastAsia" w:hAnsiTheme="minorEastAsia"/>
                <w:kern w:val="0"/>
                <w:szCs w:val="21"/>
              </w:rPr>
              <w:t>3.音频采集需支持10路及以上本地音频信号采集接口，接口类型分别为8路及以上吊麦（接口标识MIC）,2路立体声音频输入Line in，3.5mm耳机接口，用于接入无线麦克、PC音频信号。4.支持2路立体声音频输出Line out，3.5mm耳机接口，可自由混音输出。</w:t>
            </w:r>
          </w:p>
          <w:p>
            <w:pPr>
              <w:spacing w:line="240" w:lineRule="atLeast"/>
              <w:rPr>
                <w:rFonts w:asciiTheme="minorEastAsia" w:hAnsiTheme="minorEastAsia"/>
                <w:kern w:val="0"/>
                <w:szCs w:val="21"/>
              </w:rPr>
            </w:pPr>
            <w:r>
              <w:rPr>
                <w:rFonts w:hint="eastAsia" w:asciiTheme="minorEastAsia" w:hAnsiTheme="minorEastAsia"/>
                <w:kern w:val="0"/>
                <w:szCs w:val="21"/>
              </w:rPr>
              <w:t>5.支持6路本地RS232串口，接口类型为3pin端子。</w:t>
            </w:r>
          </w:p>
          <w:p>
            <w:pPr>
              <w:spacing w:line="240" w:lineRule="atLeast"/>
              <w:rPr>
                <w:rFonts w:asciiTheme="minorEastAsia" w:hAnsiTheme="minorEastAsia"/>
                <w:kern w:val="0"/>
                <w:szCs w:val="21"/>
              </w:rPr>
            </w:pPr>
            <w:r>
              <w:rPr>
                <w:rFonts w:hint="eastAsia" w:asciiTheme="minorEastAsia" w:hAnsiTheme="minorEastAsia"/>
                <w:kern w:val="0"/>
                <w:szCs w:val="21"/>
              </w:rPr>
              <w:t>6.支持1路本地调式串口，接口类型为3pin端子。可在脱离网络的情况下，使用串口调试和查看芯片状态。</w:t>
            </w:r>
          </w:p>
          <w:p>
            <w:pPr>
              <w:spacing w:line="240" w:lineRule="atLeast"/>
              <w:rPr>
                <w:rFonts w:asciiTheme="minorEastAsia" w:hAnsiTheme="minorEastAsia"/>
                <w:kern w:val="0"/>
                <w:szCs w:val="21"/>
              </w:rPr>
            </w:pPr>
            <w:r>
              <w:rPr>
                <w:rFonts w:hint="eastAsia" w:asciiTheme="minorEastAsia" w:hAnsiTheme="minorEastAsia"/>
                <w:kern w:val="0"/>
                <w:szCs w:val="21"/>
              </w:rPr>
              <w:t>7.支持1路RJ45网口1路USB接口。</w:t>
            </w:r>
          </w:p>
          <w:p>
            <w:pPr>
              <w:spacing w:line="240" w:lineRule="atLeast"/>
              <w:rPr>
                <w:rFonts w:asciiTheme="minorEastAsia" w:hAnsiTheme="minorEastAsia"/>
                <w:kern w:val="0"/>
                <w:szCs w:val="21"/>
              </w:rPr>
            </w:pPr>
            <w:r>
              <w:rPr>
                <w:rFonts w:hint="eastAsia" w:asciiTheme="minorEastAsia" w:hAnsiTheme="minorEastAsia"/>
                <w:kern w:val="0"/>
                <w:szCs w:val="21"/>
              </w:rPr>
              <w:t>8.支持3个信号指示灯。信号灯的状态分别对应硬件供电状态，硬盘读写状态，程序运行状态。</w:t>
            </w:r>
          </w:p>
          <w:p>
            <w:pPr>
              <w:spacing w:line="240" w:lineRule="atLeast"/>
              <w:rPr>
                <w:rFonts w:asciiTheme="minorEastAsia" w:hAnsiTheme="minorEastAsia"/>
                <w:kern w:val="0"/>
                <w:szCs w:val="21"/>
              </w:rPr>
            </w:pPr>
            <w:r>
              <w:rPr>
                <w:rFonts w:hint="eastAsia" w:asciiTheme="minorEastAsia" w:hAnsiTheme="minorEastAsia"/>
                <w:kern w:val="0"/>
                <w:szCs w:val="21"/>
              </w:rPr>
              <w:t>9.电源采用DC12V-2.5A直流供电。</w:t>
            </w:r>
          </w:p>
          <w:p>
            <w:pPr>
              <w:spacing w:line="240" w:lineRule="atLeast"/>
              <w:rPr>
                <w:rFonts w:asciiTheme="minorEastAsia" w:hAnsiTheme="minorEastAsia"/>
                <w:kern w:val="0"/>
                <w:szCs w:val="21"/>
              </w:rPr>
            </w:pPr>
            <w:r>
              <w:rPr>
                <w:rFonts w:hint="eastAsia" w:asciiTheme="minorEastAsia" w:hAnsiTheme="minorEastAsia"/>
                <w:kern w:val="0"/>
                <w:szCs w:val="21"/>
              </w:rPr>
              <w:t>10.支持1个SATA接口，单个SATA接口支持1TB硬盘（标配1T硬盘）。</w:t>
            </w:r>
          </w:p>
          <w:p>
            <w:pPr>
              <w:spacing w:line="240" w:lineRule="atLeast"/>
              <w:rPr>
                <w:rFonts w:asciiTheme="minorEastAsia" w:hAnsiTheme="minorEastAsia"/>
                <w:kern w:val="0"/>
                <w:szCs w:val="21"/>
              </w:rPr>
            </w:pPr>
            <w:r>
              <w:rPr>
                <w:rFonts w:hint="eastAsia" w:asciiTheme="minorEastAsia" w:hAnsiTheme="minorEastAsia"/>
                <w:kern w:val="0"/>
                <w:szCs w:val="21"/>
              </w:rPr>
              <w:t>11.为保证布线整洁，方便调试，支持2路Power Over Coaxia供电。</w:t>
            </w:r>
          </w:p>
          <w:p>
            <w:pPr>
              <w:spacing w:line="240" w:lineRule="atLeast"/>
              <w:rPr>
                <w:rFonts w:asciiTheme="minorEastAsia" w:hAnsiTheme="minorEastAsia"/>
                <w:kern w:val="0"/>
                <w:szCs w:val="21"/>
              </w:rPr>
            </w:pPr>
            <w:r>
              <w:rPr>
                <w:rFonts w:hint="eastAsia" w:asciiTheme="minorEastAsia" w:hAnsiTheme="minorEastAsia"/>
                <w:kern w:val="0"/>
                <w:szCs w:val="21"/>
              </w:rPr>
              <w:t>12.提供设备背板接口图片，用以验证以上参数。</w:t>
            </w:r>
          </w:p>
          <w:p>
            <w:pPr>
              <w:spacing w:line="240" w:lineRule="atLeast"/>
              <w:rPr>
                <w:rFonts w:asciiTheme="minorEastAsia" w:hAnsiTheme="minorEastAsia"/>
                <w:kern w:val="0"/>
                <w:szCs w:val="21"/>
              </w:rPr>
            </w:pPr>
            <w:r>
              <w:rPr>
                <w:rFonts w:hint="eastAsia" w:asciiTheme="minorEastAsia" w:hAnsiTheme="minorEastAsia"/>
                <w:kern w:val="0"/>
                <w:szCs w:val="21"/>
              </w:rPr>
              <w:t>13.提供由中国质量认证中心颁发的3C证书复印件。</w:t>
            </w:r>
          </w:p>
          <w:p>
            <w:pPr>
              <w:spacing w:line="240" w:lineRule="atLeast"/>
              <w:rPr>
                <w:rFonts w:asciiTheme="minorEastAsia" w:hAnsiTheme="minorEastAsia"/>
                <w:kern w:val="0"/>
                <w:szCs w:val="21"/>
              </w:rPr>
            </w:pPr>
            <w:r>
              <w:rPr>
                <w:rFonts w:hint="eastAsia" w:asciiTheme="minorEastAsia" w:hAnsiTheme="minorEastAsia"/>
                <w:kern w:val="0"/>
                <w:szCs w:val="21"/>
              </w:rPr>
              <w:t>14.提供由权威检测机构出具的无故障时间(MTBF)大于15万小时的证书复印件。</w:t>
            </w:r>
          </w:p>
          <w:p>
            <w:pPr>
              <w:spacing w:line="240" w:lineRule="atLeast"/>
              <w:rPr>
                <w:rFonts w:asciiTheme="minorEastAsia" w:hAnsiTheme="minorEastAsia"/>
                <w:kern w:val="0"/>
                <w:szCs w:val="21"/>
              </w:rPr>
            </w:pPr>
            <w:r>
              <w:rPr>
                <w:rFonts w:hint="eastAsia" w:asciiTheme="minorEastAsia" w:hAnsiTheme="minorEastAsia"/>
                <w:kern w:val="0"/>
                <w:szCs w:val="21"/>
              </w:rPr>
              <w:t>15.提供噪音检测报告复印件。</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5</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录播管理系统软件</w:t>
            </w:r>
            <w:r>
              <w:rPr>
                <w:rFonts w:hint="eastAsia" w:ascii="宋体" w:hAnsi="宋体"/>
                <w:kern w:val="0"/>
                <w:szCs w:val="21"/>
              </w:rPr>
              <w:t>▲</w:t>
            </w:r>
          </w:p>
        </w:tc>
        <w:tc>
          <w:tcPr>
            <w:tcW w:w="2959" w:type="pct"/>
            <w:tcBorders>
              <w:top w:val="single" w:color="auto" w:sz="4" w:space="0"/>
              <w:left w:val="nil"/>
              <w:bottom w:val="single" w:color="auto" w:sz="4" w:space="0"/>
              <w:right w:val="single" w:color="auto" w:sz="4" w:space="0"/>
            </w:tcBorders>
            <w:vAlign w:val="center"/>
          </w:tcPr>
          <w:p>
            <w:pPr>
              <w:spacing w:line="240" w:lineRule="atLeast"/>
              <w:rPr>
                <w:rFonts w:asciiTheme="minorEastAsia" w:hAnsiTheme="minorEastAsia"/>
                <w:kern w:val="0"/>
                <w:szCs w:val="21"/>
              </w:rPr>
            </w:pPr>
            <w:r>
              <w:rPr>
                <w:rFonts w:hint="eastAsia" w:asciiTheme="minorEastAsia" w:hAnsiTheme="minorEastAsia"/>
                <w:kern w:val="0"/>
                <w:szCs w:val="21"/>
              </w:rPr>
              <w:t>1、支持模式管理配置、系统管理配置、文件管理功能；</w:t>
            </w:r>
          </w:p>
          <w:p>
            <w:pPr>
              <w:spacing w:line="240" w:lineRule="atLeast"/>
              <w:rPr>
                <w:rFonts w:asciiTheme="minorEastAsia" w:hAnsiTheme="minorEastAsia"/>
                <w:kern w:val="0"/>
                <w:szCs w:val="21"/>
              </w:rPr>
            </w:pPr>
            <w:r>
              <w:rPr>
                <w:rFonts w:hint="eastAsia" w:asciiTheme="minorEastAsia" w:hAnsiTheme="minorEastAsia"/>
                <w:kern w:val="0"/>
                <w:szCs w:val="21"/>
              </w:rPr>
              <w:t>2、支持录制文件管理功能，录制完成可及时查看教学课件回放，可进行批量上传、删除等功能；提供软件界面截图。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3、支持主讲模式、听讲模式、录播模式功能切换；</w:t>
            </w:r>
          </w:p>
          <w:p>
            <w:pPr>
              <w:spacing w:line="240" w:lineRule="atLeast"/>
              <w:rPr>
                <w:rFonts w:asciiTheme="minorEastAsia" w:hAnsiTheme="minorEastAsia"/>
                <w:kern w:val="0"/>
                <w:szCs w:val="21"/>
              </w:rPr>
            </w:pPr>
            <w:r>
              <w:rPr>
                <w:rFonts w:hint="eastAsia" w:asciiTheme="minorEastAsia" w:hAnsiTheme="minorEastAsia"/>
                <w:kern w:val="0"/>
                <w:szCs w:val="21"/>
              </w:rPr>
              <w:t>4、支持视频输出、音频输出、导播规则管理；</w:t>
            </w:r>
          </w:p>
          <w:p>
            <w:pPr>
              <w:spacing w:line="240" w:lineRule="atLeast"/>
              <w:rPr>
                <w:rFonts w:asciiTheme="minorEastAsia" w:hAnsiTheme="minorEastAsia"/>
                <w:kern w:val="0"/>
                <w:szCs w:val="21"/>
              </w:rPr>
            </w:pPr>
            <w:r>
              <w:rPr>
                <w:rFonts w:hint="eastAsia" w:asciiTheme="minorEastAsia" w:hAnsiTheme="minorEastAsia"/>
                <w:kern w:val="0"/>
                <w:szCs w:val="21"/>
              </w:rPr>
              <w:t>5、支持≥3路音频调节功能，≥2路视频调节功能；</w:t>
            </w:r>
          </w:p>
          <w:p>
            <w:pPr>
              <w:spacing w:line="240" w:lineRule="atLeast"/>
              <w:rPr>
                <w:rFonts w:asciiTheme="minorEastAsia" w:hAnsiTheme="minorEastAsia"/>
                <w:kern w:val="0"/>
                <w:szCs w:val="21"/>
              </w:rPr>
            </w:pPr>
            <w:r>
              <w:rPr>
                <w:rFonts w:hint="eastAsia" w:asciiTheme="minorEastAsia" w:hAnsiTheme="minorEastAsia"/>
                <w:kern w:val="0"/>
                <w:szCs w:val="21"/>
              </w:rPr>
              <w:t>6、支持≥1路远程互动声音调节，支持≥12导播模式配置功能；</w:t>
            </w:r>
          </w:p>
          <w:p>
            <w:pPr>
              <w:spacing w:line="240" w:lineRule="atLeast"/>
              <w:rPr>
                <w:rFonts w:asciiTheme="minorEastAsia" w:hAnsiTheme="minorEastAsia"/>
                <w:kern w:val="0"/>
                <w:szCs w:val="21"/>
              </w:rPr>
            </w:pPr>
            <w:r>
              <w:rPr>
                <w:rFonts w:hint="eastAsia" w:asciiTheme="minorEastAsia" w:hAnsiTheme="minorEastAsia"/>
                <w:kern w:val="0"/>
                <w:szCs w:val="21"/>
              </w:rPr>
              <w:t>7、支持视频编码、音频编码、电影模式编码质量调节、资源模式≥5路通道师生全景特写调节、VGA通道选择应用；</w:t>
            </w:r>
          </w:p>
          <w:p>
            <w:pPr>
              <w:spacing w:line="240" w:lineRule="atLeast"/>
              <w:rPr>
                <w:rFonts w:asciiTheme="minorEastAsia" w:hAnsiTheme="minorEastAsia"/>
                <w:kern w:val="0"/>
                <w:szCs w:val="21"/>
              </w:rPr>
            </w:pPr>
            <w:r>
              <w:rPr>
                <w:rFonts w:hint="eastAsia" w:asciiTheme="minorEastAsia" w:hAnsiTheme="minorEastAsia"/>
                <w:kern w:val="0"/>
                <w:szCs w:val="21"/>
              </w:rPr>
              <w:t>8、支持视频分段录制管理功能；FTP上传、片头片尾功能、录制模式功能，提供软件界面截图；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9、支持GPS跟踪定位推送功能，支持师生场景调节功能，视频编码质量调节功能；</w:t>
            </w:r>
          </w:p>
          <w:p>
            <w:pPr>
              <w:spacing w:line="240" w:lineRule="atLeast"/>
              <w:rPr>
                <w:rFonts w:asciiTheme="minorEastAsia" w:hAnsiTheme="minorEastAsia"/>
                <w:kern w:val="0"/>
                <w:szCs w:val="21"/>
              </w:rPr>
            </w:pPr>
            <w:r>
              <w:rPr>
                <w:rFonts w:hint="eastAsia" w:asciiTheme="minorEastAsia" w:hAnsiTheme="minorEastAsia"/>
                <w:kern w:val="0"/>
                <w:szCs w:val="21"/>
              </w:rPr>
              <w:t>10、智能互动系统：支持互动平台管理功能，支持互动云平台地址设置、设备名称管理设置、学校名称、注册码设置、视频主辅流通道管理、支持自动挂断、手动接听、自动接听功能，提供软件界面截图；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11、智能中控系统：支持串口调节，智能设备调节录制、停止、网络课堂、台式机、笔记本、师生画面控制功能，支持添加智能设备实现串口启用发送命令等功能；</w:t>
            </w:r>
          </w:p>
          <w:p>
            <w:pPr>
              <w:spacing w:line="240" w:lineRule="atLeast"/>
              <w:rPr>
                <w:rFonts w:asciiTheme="minorEastAsia" w:hAnsiTheme="minorEastAsia"/>
                <w:kern w:val="0"/>
                <w:szCs w:val="21"/>
              </w:rPr>
            </w:pPr>
            <w:r>
              <w:rPr>
                <w:rFonts w:hint="eastAsia" w:asciiTheme="minorEastAsia" w:hAnsiTheme="minorEastAsia"/>
                <w:kern w:val="0"/>
                <w:szCs w:val="21"/>
              </w:rPr>
              <w:t>12、智能音频处理系统：支持语音降噪力度门限调节、支持自动增益噪声底线信噪比增益值调节、支持回声抑制噪声调节、支持滤波频率调节；提供软件界面截图；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13、支持调音台功能， 支持音频调节录播模式音频显示、主讲、听课模式音频显示功能；支持一键开启关闭所有声音输入输出；支持音视频混音控制功能。</w:t>
            </w:r>
          </w:p>
          <w:p>
            <w:pPr>
              <w:spacing w:line="240" w:lineRule="atLeast"/>
              <w:rPr>
                <w:rFonts w:asciiTheme="minorEastAsia" w:hAnsiTheme="minorEastAsia"/>
                <w:kern w:val="0"/>
                <w:szCs w:val="21"/>
              </w:rPr>
            </w:pPr>
            <w:r>
              <w:rPr>
                <w:rFonts w:hint="eastAsia" w:asciiTheme="minorEastAsia" w:hAnsiTheme="minorEastAsia"/>
                <w:kern w:val="0"/>
                <w:szCs w:val="21"/>
              </w:rPr>
              <w:t>14、支持在线巡课直播、可实现不同通道画面巡视观看，主讲模式、听课模式功能。</w:t>
            </w:r>
          </w:p>
          <w:p>
            <w:pPr>
              <w:spacing w:line="240" w:lineRule="atLeast"/>
              <w:rPr>
                <w:rFonts w:asciiTheme="minorEastAsia" w:hAnsiTheme="minorEastAsia"/>
                <w:kern w:val="0"/>
                <w:szCs w:val="21"/>
              </w:rPr>
            </w:pPr>
            <w:r>
              <w:rPr>
                <w:rFonts w:hint="eastAsia" w:asciiTheme="minorEastAsia" w:hAnsiTheme="minorEastAsia"/>
                <w:kern w:val="0"/>
                <w:szCs w:val="21"/>
              </w:rPr>
              <w:t>15、支持串口设置、VGA输出、鼠标定位；</w:t>
            </w:r>
          </w:p>
          <w:p>
            <w:pPr>
              <w:spacing w:line="240" w:lineRule="atLeast"/>
              <w:rPr>
                <w:rFonts w:asciiTheme="minorEastAsia" w:hAnsiTheme="minorEastAsia"/>
                <w:kern w:val="0"/>
                <w:szCs w:val="21"/>
              </w:rPr>
            </w:pPr>
            <w:r>
              <w:rPr>
                <w:rFonts w:hint="eastAsia" w:asciiTheme="minorEastAsia" w:hAnsiTheme="minorEastAsia"/>
                <w:kern w:val="0"/>
                <w:szCs w:val="21"/>
              </w:rPr>
              <w:t>16、具备主播通道的直播、点播功能，在网络情况稳定的情况下，支持15个点主画面直播，且可使用手机扫码观看直播。 。</w:t>
            </w:r>
          </w:p>
          <w:p>
            <w:pPr>
              <w:spacing w:line="240" w:lineRule="atLeast"/>
              <w:rPr>
                <w:rFonts w:asciiTheme="minorEastAsia" w:hAnsiTheme="minorEastAsia"/>
                <w:kern w:val="0"/>
                <w:szCs w:val="21"/>
              </w:rPr>
            </w:pPr>
            <w:r>
              <w:rPr>
                <w:rFonts w:hint="eastAsia" w:asciiTheme="minorEastAsia" w:hAnsiTheme="minorEastAsia"/>
                <w:kern w:val="0"/>
                <w:szCs w:val="21"/>
              </w:rPr>
              <w:t>17、 具有双码流直播功能，主播通道能够同时直播高清和标清视频</w:t>
            </w:r>
          </w:p>
          <w:p>
            <w:pPr>
              <w:spacing w:line="240" w:lineRule="atLeast"/>
              <w:rPr>
                <w:rFonts w:asciiTheme="minorEastAsia" w:hAnsiTheme="minorEastAsia"/>
                <w:kern w:val="0"/>
                <w:szCs w:val="21"/>
              </w:rPr>
            </w:pPr>
            <w:r>
              <w:rPr>
                <w:rFonts w:hint="eastAsia" w:asciiTheme="minorEastAsia" w:hAnsiTheme="minorEastAsia"/>
                <w:kern w:val="0"/>
                <w:szCs w:val="21"/>
              </w:rPr>
              <w:t>18、作为小组教学，及远程教学督导教学会议召开，需支持语音激励功能，可自由配置对应的串口数据，当开启语音时，摄像机跟拍摄发言人。</w:t>
            </w:r>
          </w:p>
          <w:p>
            <w:pPr>
              <w:spacing w:line="240" w:lineRule="atLeast"/>
              <w:rPr>
                <w:rFonts w:asciiTheme="minorEastAsia" w:hAnsiTheme="minorEastAsia"/>
                <w:kern w:val="0"/>
                <w:szCs w:val="21"/>
              </w:rPr>
            </w:pPr>
            <w:r>
              <w:rPr>
                <w:rFonts w:hint="eastAsia" w:asciiTheme="minorEastAsia" w:hAnsiTheme="minorEastAsia"/>
                <w:kern w:val="0"/>
                <w:szCs w:val="21"/>
              </w:rPr>
              <w:t>19、支持意外情况断电断网时，录制的视频文件自动修复功能。</w:t>
            </w:r>
          </w:p>
          <w:p>
            <w:pPr>
              <w:spacing w:line="240" w:lineRule="atLeast"/>
              <w:rPr>
                <w:rFonts w:asciiTheme="minorEastAsia" w:hAnsiTheme="minorEastAsia"/>
                <w:kern w:val="0"/>
                <w:szCs w:val="21"/>
              </w:rPr>
            </w:pPr>
            <w:r>
              <w:rPr>
                <w:rFonts w:hint="eastAsia" w:asciiTheme="minorEastAsia" w:hAnsiTheme="minorEastAsia"/>
                <w:kern w:val="0"/>
                <w:szCs w:val="21"/>
              </w:rPr>
              <w:t>20、提供多功能教学系统类相关系统软件著作权证书复印件。</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6</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多媒体导播控制平台软件</w:t>
            </w:r>
          </w:p>
        </w:tc>
        <w:tc>
          <w:tcPr>
            <w:tcW w:w="2959" w:type="pct"/>
            <w:tcBorders>
              <w:top w:val="single" w:color="auto" w:sz="4" w:space="0"/>
              <w:left w:val="nil"/>
              <w:bottom w:val="single" w:color="auto" w:sz="4" w:space="0"/>
              <w:right w:val="single" w:color="auto" w:sz="4" w:space="0"/>
            </w:tcBorders>
            <w:vAlign w:val="center"/>
          </w:tcPr>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1、需满足教学应用，系统支持录制、导播、互动、控制、管理等功能应用；</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2、支持教室、教师设定，支持师生跟踪功能，支持导播模式、电影模式功能；</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3、支持≥1路主播通道，≥4路备播通道图像功能加载，提供软件界面截图；</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4、支持内存硬盘容量实时显示查询，保证资源空间有效存储；</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5、支持云台控制调节，可实现方向变焦速度响应控制功能；</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6、支持预制位调用及设置功能，可实现≥7个预制位调节；</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7、支持图像叠加功能，画中画、双分屏、三分屏四分屏模板调节功能；</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8、支持广电级台标设置，以角为尺寸定义范围设置，满足自定义功能；</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9、智能切换功能，支持自定义切换规则、支持轮循切换、按时间间隔切换不同视频；</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10、支持多种不同跟踪与切换策略，实现画面切换到需要场景；</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11、支持PPT内容字数长短，自动计算时长，调整切换时间；</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12、提供导播类相关系统软件著作权证书复印件。</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二、教学内容画面采集系统</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1、支持多种模式采集方式，支持硬件系统传输采集模式，支持软采集方式。</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2、支持教学视频画面采集、教学内容PPT等文档采集。</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3、支持通过教师计算机控制开始采集、暂停采集、停止采集功能。</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4、支持远程VGA，采集电脑教师客户端画面、支持采集屏幕码流和帧率、支持捕获区域选择；</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5、支持观看平台采集VGA视频教室中老师视频、支持观看平台采集VGA视频教室中学生视频；</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6、提采集系统类相关系统软件著作权证书复印件。</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三、自定义编辑系统</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1、支持定时执行、开始停止主播窗口录制时间、支持插件读字功能、支持结束读字功能；</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2、支持录制中加入片头片尾功能，支持多视频叠加功能；</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3、提供自定义编辑系统类相关系统软件著作权证书复印件。</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四、智能构图显示系统</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 需支持师生同屏对话模式，呈现师生对话二分屏模式。</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 提供由国家级别机构颁发智能构图类相关的计算机软件著作权登记证书复印件。</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五、互动系统模块</w:t>
            </w:r>
          </w:p>
          <w:p>
            <w:pPr>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1、支持视频会议功能。视频会议的协议为国际电信联盟的标准协议H323，且可支持主动呼叫和被动接听功能，可实现音频、视频和数据的点到点或点到多点的通信。</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7</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图像自动跟踪系统</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一、主机技术参数：</w:t>
            </w:r>
            <w:r>
              <w:rPr>
                <w:rFonts w:hint="eastAsia" w:asciiTheme="minorEastAsia" w:hAnsiTheme="minorEastAsia"/>
                <w:kern w:val="0"/>
                <w:szCs w:val="21"/>
              </w:rPr>
              <w:br w:type="textWrapping"/>
            </w:r>
            <w:r>
              <w:rPr>
                <w:rFonts w:hint="eastAsia" w:asciiTheme="minorEastAsia" w:hAnsiTheme="minorEastAsia"/>
                <w:kern w:val="0"/>
                <w:szCs w:val="21"/>
              </w:rPr>
              <w:t>1.高度集成一体化设计，可Web远程管理。</w:t>
            </w:r>
            <w:r>
              <w:rPr>
                <w:rFonts w:hint="eastAsia" w:asciiTheme="minorEastAsia" w:hAnsiTheme="minorEastAsia"/>
                <w:kern w:val="0"/>
                <w:szCs w:val="21"/>
              </w:rPr>
              <w:br w:type="textWrapping"/>
            </w:r>
            <w:r>
              <w:rPr>
                <w:rFonts w:hint="eastAsia" w:asciiTheme="minorEastAsia" w:hAnsiTheme="minorEastAsia"/>
                <w:kern w:val="0"/>
                <w:szCs w:val="21"/>
              </w:rPr>
              <w:t>2. 接口：≥4个USB接口、≥1个HDMI接口、≥1个千兆RJ45网口。</w:t>
            </w:r>
            <w:r>
              <w:rPr>
                <w:rFonts w:hint="eastAsia" w:asciiTheme="minorEastAsia" w:hAnsiTheme="minorEastAsia"/>
                <w:kern w:val="0"/>
                <w:szCs w:val="21"/>
              </w:rPr>
              <w:br w:type="textWrapping"/>
            </w:r>
            <w:r>
              <w:rPr>
                <w:rFonts w:hint="eastAsia" w:asciiTheme="minorEastAsia" w:hAnsiTheme="minorEastAsia"/>
                <w:kern w:val="0"/>
                <w:szCs w:val="21"/>
              </w:rPr>
              <w:t>3.提供设备背板接口图片，用以验证以上参数。</w:t>
            </w:r>
            <w:r>
              <w:rPr>
                <w:rFonts w:hint="eastAsia" w:asciiTheme="minorEastAsia" w:hAnsiTheme="minorEastAsia"/>
                <w:kern w:val="0"/>
                <w:szCs w:val="21"/>
              </w:rPr>
              <w:br w:type="textWrapping"/>
            </w:r>
            <w:r>
              <w:rPr>
                <w:rFonts w:hint="eastAsia" w:asciiTheme="minorEastAsia" w:hAnsiTheme="minorEastAsia"/>
                <w:kern w:val="0"/>
                <w:szCs w:val="21"/>
              </w:rPr>
              <w:t>4.提供由中国质量认证中心颁发的3C证书复印件。</w:t>
            </w:r>
            <w:r>
              <w:rPr>
                <w:rFonts w:hint="eastAsia" w:asciiTheme="minorEastAsia" w:hAnsiTheme="minorEastAsia"/>
                <w:kern w:val="0"/>
                <w:szCs w:val="21"/>
              </w:rPr>
              <w:br w:type="textWrapping"/>
            </w:r>
            <w:r>
              <w:rPr>
                <w:rFonts w:hint="eastAsia" w:asciiTheme="minorEastAsia" w:hAnsiTheme="minorEastAsia"/>
                <w:kern w:val="0"/>
                <w:szCs w:val="21"/>
              </w:rPr>
              <w:t>5.提供由权威检测机构出具的无故障时间(MTBF)大于15万小时的证书或检测报告复印件。</w:t>
            </w:r>
            <w:r>
              <w:rPr>
                <w:rFonts w:hint="eastAsia" w:asciiTheme="minorEastAsia" w:hAnsiTheme="minorEastAsia"/>
                <w:kern w:val="0"/>
                <w:szCs w:val="21"/>
              </w:rPr>
              <w:br w:type="textWrapping"/>
            </w:r>
            <w:r>
              <w:rPr>
                <w:rFonts w:hint="eastAsia" w:asciiTheme="minorEastAsia" w:hAnsiTheme="minorEastAsia"/>
                <w:kern w:val="0"/>
                <w:szCs w:val="21"/>
              </w:rPr>
              <w:t>6.为保证系统之间良好兼容性需与录播主机同一品牌。</w:t>
            </w:r>
            <w:r>
              <w:rPr>
                <w:rFonts w:hint="eastAsia" w:asciiTheme="minorEastAsia" w:hAnsiTheme="minorEastAsia"/>
                <w:kern w:val="0"/>
                <w:szCs w:val="21"/>
              </w:rPr>
              <w:br w:type="textWrapping"/>
            </w:r>
            <w:r>
              <w:rPr>
                <w:rFonts w:hint="eastAsia" w:asciiTheme="minorEastAsia" w:hAnsiTheme="minorEastAsia"/>
                <w:kern w:val="0"/>
                <w:szCs w:val="21"/>
              </w:rPr>
              <w:t>二、跟踪定位系统：</w:t>
            </w:r>
            <w:r>
              <w:rPr>
                <w:rFonts w:hint="eastAsia" w:asciiTheme="minorEastAsia" w:hAnsiTheme="minorEastAsia"/>
                <w:kern w:val="0"/>
                <w:szCs w:val="21"/>
              </w:rPr>
              <w:br w:type="textWrapping"/>
            </w:r>
            <w:r>
              <w:rPr>
                <w:rFonts w:hint="eastAsia" w:asciiTheme="minorEastAsia" w:hAnsiTheme="minorEastAsia"/>
                <w:kern w:val="0"/>
                <w:szCs w:val="21"/>
              </w:rPr>
              <w:t>1.定位精准识别率大于9</w:t>
            </w:r>
            <w:r>
              <w:rPr>
                <w:rFonts w:asciiTheme="minorEastAsia" w:hAnsiTheme="minorEastAsia"/>
                <w:kern w:val="0"/>
                <w:szCs w:val="21"/>
              </w:rPr>
              <w:t>5</w:t>
            </w:r>
            <w:r>
              <w:rPr>
                <w:rFonts w:hint="eastAsia" w:asciiTheme="minorEastAsia" w:hAnsiTheme="minorEastAsia"/>
                <w:kern w:val="0"/>
                <w:szCs w:val="21"/>
              </w:rPr>
              <w:t>%，无需安装任何元器件及其他任何感应设备，安装配置便捷。</w:t>
            </w:r>
            <w:r>
              <w:rPr>
                <w:rFonts w:hint="eastAsia" w:asciiTheme="minorEastAsia" w:hAnsiTheme="minorEastAsia"/>
                <w:kern w:val="0"/>
                <w:szCs w:val="21"/>
              </w:rPr>
              <w:br w:type="textWrapping"/>
            </w:r>
            <w:r>
              <w:rPr>
                <w:rFonts w:hint="eastAsia" w:asciiTheme="minorEastAsia" w:hAnsiTheme="minorEastAsia"/>
                <w:kern w:val="0"/>
                <w:szCs w:val="21"/>
              </w:rPr>
              <w:t>2.可以设置不规则的有效区域，排除部分区域对学生定位的影响。</w:t>
            </w:r>
            <w:r>
              <w:rPr>
                <w:rFonts w:hint="eastAsia" w:asciiTheme="minorEastAsia" w:hAnsiTheme="minorEastAsia"/>
                <w:kern w:val="0"/>
                <w:szCs w:val="21"/>
              </w:rPr>
              <w:br w:type="textWrapping"/>
            </w:r>
            <w:r>
              <w:rPr>
                <w:rFonts w:hint="eastAsia" w:asciiTheme="minorEastAsia" w:hAnsiTheme="minorEastAsia"/>
                <w:kern w:val="0"/>
                <w:szCs w:val="21"/>
              </w:rPr>
              <w:t>3. 教师定位：采用图像分析算法，根据教师的教学活动进行教师视频的跟踪拍摄，摄像机自动变焦跟踪。支持双模式跟踪策略，具备身高自适应功能。提供由中华人民共和国国家版权局颁发与此软件功能一致的计算机软件著作权登记证书复印件或提供由国家级检测中心颁发的软件检测报告复印件。</w:t>
            </w:r>
          </w:p>
          <w:p>
            <w:pPr>
              <w:widowControl/>
              <w:spacing w:line="240" w:lineRule="atLeast"/>
              <w:rPr>
                <w:rFonts w:asciiTheme="minorEastAsia" w:hAnsiTheme="minorEastAsia"/>
                <w:kern w:val="0"/>
                <w:szCs w:val="21"/>
              </w:rPr>
            </w:pPr>
            <w:r>
              <w:rPr>
                <w:rFonts w:hint="eastAsia" w:asciiTheme="minorEastAsia" w:hAnsiTheme="minorEastAsia"/>
                <w:kern w:val="0"/>
                <w:szCs w:val="21"/>
              </w:rPr>
              <w:t>4. 学生定位：采用基于人体面部特征的多人识别定位算法，无需定位辅助摄像机，即可实现学生多人识别。可快速设定教学有效区域的，光线、场景完全自适应，支持人的正面和侧面都会被准确识别，需具备身高自适应功能。提供由中华人民共和国国家版权局颁发与此软件功能一致的计算机软件著作权登记证书复印件或提供由国家级检测中心颁发的软件检测报告复印件。</w:t>
            </w:r>
          </w:p>
          <w:p>
            <w:pPr>
              <w:widowControl/>
              <w:spacing w:line="240" w:lineRule="atLeast"/>
              <w:rPr>
                <w:rFonts w:asciiTheme="minorEastAsia" w:hAnsiTheme="minorEastAsia"/>
                <w:kern w:val="0"/>
                <w:szCs w:val="21"/>
              </w:rPr>
            </w:pPr>
            <w:r>
              <w:rPr>
                <w:rFonts w:hint="eastAsia" w:asciiTheme="minorEastAsia" w:hAnsiTheme="minorEastAsia"/>
                <w:kern w:val="0"/>
                <w:szCs w:val="21"/>
              </w:rPr>
              <w:t>5. 板书拍摄：采用伴随式跟踪拍摄，可根据教师书写板书位置进行伴随式跟踪，自动适应长黑板及推拉式黑板。</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21965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8</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音频处理器</w:t>
            </w:r>
          </w:p>
        </w:tc>
        <w:tc>
          <w:tcPr>
            <w:tcW w:w="2959" w:type="pct"/>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一：硬件参数</w:t>
            </w:r>
          </w:p>
          <w:p>
            <w:pPr>
              <w:rPr>
                <w:rFonts w:asciiTheme="minorEastAsia" w:hAnsiTheme="minorEastAsia"/>
                <w:szCs w:val="21"/>
              </w:rPr>
            </w:pPr>
            <w:r>
              <w:rPr>
                <w:rFonts w:hint="eastAsia" w:asciiTheme="minorEastAsia" w:hAnsiTheme="minorEastAsia"/>
                <w:szCs w:val="21"/>
              </w:rPr>
              <w:t>1、采用工业级嵌入式架构，采用专用芯片和嵌入式操作系统，稳定可靠。</w:t>
            </w:r>
          </w:p>
          <w:p>
            <w:pPr>
              <w:rPr>
                <w:rFonts w:asciiTheme="minorEastAsia" w:hAnsiTheme="minorEastAsia"/>
                <w:szCs w:val="21"/>
              </w:rPr>
            </w:pPr>
            <w:r>
              <w:rPr>
                <w:rFonts w:hint="eastAsia" w:asciiTheme="minorEastAsia" w:hAnsiTheme="minorEastAsia"/>
                <w:szCs w:val="21"/>
              </w:rPr>
              <w:t>2、8路平衡输入（凤凰端子）,音频输入阻抗100Kohm ，可支持48V幻象供电。</w:t>
            </w:r>
          </w:p>
          <w:p>
            <w:pPr>
              <w:rPr>
                <w:rFonts w:asciiTheme="minorEastAsia" w:hAnsiTheme="minorEastAsia"/>
                <w:szCs w:val="21"/>
              </w:rPr>
            </w:pPr>
            <w:r>
              <w:rPr>
                <w:rFonts w:hint="eastAsia" w:asciiTheme="minorEastAsia" w:hAnsiTheme="minorEastAsia"/>
                <w:szCs w:val="21"/>
              </w:rPr>
              <w:t>3、4路Line-in输入，最大输入电平6 dBV，输入阻抗100Kohm。</w:t>
            </w:r>
          </w:p>
          <w:p>
            <w:pPr>
              <w:rPr>
                <w:rFonts w:asciiTheme="minorEastAsia" w:hAnsiTheme="minorEastAsia"/>
                <w:szCs w:val="21"/>
              </w:rPr>
            </w:pPr>
            <w:r>
              <w:rPr>
                <w:rFonts w:hint="eastAsia" w:asciiTheme="minorEastAsia" w:hAnsiTheme="minorEastAsia"/>
                <w:szCs w:val="21"/>
              </w:rPr>
              <w:t>4、1路手拉手可带8个从设备（选配，预留）。</w:t>
            </w:r>
          </w:p>
          <w:p>
            <w:pPr>
              <w:rPr>
                <w:rFonts w:asciiTheme="minorEastAsia" w:hAnsiTheme="minorEastAsia"/>
                <w:szCs w:val="21"/>
              </w:rPr>
            </w:pPr>
            <w:r>
              <w:rPr>
                <w:rFonts w:hint="eastAsia" w:asciiTheme="minorEastAsia" w:hAnsiTheme="minorEastAsia"/>
                <w:szCs w:val="21"/>
              </w:rPr>
              <w:t>5、4路平衡输出（凤凰端子），混音输出。</w:t>
            </w:r>
          </w:p>
          <w:p>
            <w:pPr>
              <w:rPr>
                <w:rFonts w:asciiTheme="minorEastAsia" w:hAnsiTheme="minorEastAsia"/>
                <w:szCs w:val="21"/>
              </w:rPr>
            </w:pPr>
            <w:r>
              <w:rPr>
                <w:rFonts w:hint="eastAsia" w:asciiTheme="minorEastAsia" w:hAnsiTheme="minorEastAsia"/>
                <w:szCs w:val="21"/>
              </w:rPr>
              <w:t>6、采用DC12V/2A直流供电。</w:t>
            </w:r>
          </w:p>
          <w:p>
            <w:pPr>
              <w:rPr>
                <w:rFonts w:asciiTheme="minorEastAsia" w:hAnsiTheme="minorEastAsia"/>
                <w:szCs w:val="21"/>
              </w:rPr>
            </w:pPr>
            <w:r>
              <w:rPr>
                <w:rFonts w:hint="eastAsia" w:asciiTheme="minorEastAsia" w:hAnsiTheme="minorEastAsia"/>
                <w:szCs w:val="21"/>
              </w:rPr>
              <w:t>7、设备尺寸：长482.6×深214×宽44（mm）。</w:t>
            </w:r>
          </w:p>
          <w:p>
            <w:pPr>
              <w:rPr>
                <w:rFonts w:asciiTheme="minorEastAsia" w:hAnsiTheme="minorEastAsia"/>
                <w:szCs w:val="21"/>
              </w:rPr>
            </w:pPr>
            <w:r>
              <w:rPr>
                <w:rFonts w:hint="eastAsia" w:asciiTheme="minorEastAsia" w:hAnsiTheme="minorEastAsia"/>
                <w:szCs w:val="21"/>
              </w:rPr>
              <w:t>8、指示灯，支持电源指示灯和状态指示灯。</w:t>
            </w:r>
          </w:p>
          <w:p>
            <w:pPr>
              <w:rPr>
                <w:rFonts w:asciiTheme="minorEastAsia" w:hAnsiTheme="minorEastAsia"/>
                <w:szCs w:val="21"/>
              </w:rPr>
            </w:pPr>
            <w:r>
              <w:rPr>
                <w:rFonts w:hint="eastAsia" w:asciiTheme="minorEastAsia" w:hAnsiTheme="minorEastAsia"/>
                <w:szCs w:val="21"/>
              </w:rPr>
              <w:t>二：性能参数</w:t>
            </w:r>
          </w:p>
          <w:p>
            <w:pPr>
              <w:rPr>
                <w:rFonts w:asciiTheme="minorEastAsia" w:hAnsiTheme="minorEastAsia"/>
                <w:szCs w:val="21"/>
              </w:rPr>
            </w:pPr>
            <w:r>
              <w:rPr>
                <w:rFonts w:hint="eastAsia" w:asciiTheme="minorEastAsia" w:hAnsiTheme="minorEastAsia"/>
                <w:szCs w:val="21"/>
              </w:rPr>
              <w:t>1、远程回声消除：处理回声延迟能力：128ms，256ms，512ms</w:t>
            </w:r>
          </w:p>
          <w:p>
            <w:pPr>
              <w:rPr>
                <w:rFonts w:asciiTheme="minorEastAsia" w:hAnsiTheme="minorEastAsia"/>
                <w:szCs w:val="21"/>
              </w:rPr>
            </w:pPr>
            <w:r>
              <w:rPr>
                <w:rFonts w:hint="eastAsia" w:asciiTheme="minorEastAsia" w:hAnsiTheme="minorEastAsia"/>
                <w:szCs w:val="21"/>
              </w:rPr>
              <w:t>2、回声抑制比：＞60dB</w:t>
            </w:r>
          </w:p>
          <w:p>
            <w:pPr>
              <w:rPr>
                <w:rFonts w:asciiTheme="minorEastAsia" w:hAnsiTheme="minorEastAsia"/>
                <w:szCs w:val="21"/>
              </w:rPr>
            </w:pPr>
            <w:r>
              <w:rPr>
                <w:rFonts w:hint="eastAsia" w:asciiTheme="minorEastAsia" w:hAnsiTheme="minorEastAsia"/>
                <w:szCs w:val="21"/>
              </w:rPr>
              <w:t>3：采样率：32K</w:t>
            </w:r>
          </w:p>
          <w:p>
            <w:pPr>
              <w:rPr>
                <w:rFonts w:asciiTheme="minorEastAsia" w:hAnsiTheme="minorEastAsia"/>
                <w:szCs w:val="21"/>
              </w:rPr>
            </w:pPr>
            <w:r>
              <w:rPr>
                <w:rFonts w:hint="eastAsia" w:asciiTheme="minorEastAsia" w:hAnsiTheme="minorEastAsia"/>
                <w:szCs w:val="21"/>
              </w:rPr>
              <w:t>4、采样位数：16位</w:t>
            </w:r>
          </w:p>
          <w:p>
            <w:pPr>
              <w:rPr>
                <w:rFonts w:asciiTheme="minorEastAsia" w:hAnsiTheme="minorEastAsia"/>
                <w:szCs w:val="21"/>
              </w:rPr>
            </w:pPr>
            <w:r>
              <w:rPr>
                <w:rFonts w:hint="eastAsia" w:asciiTheme="minorEastAsia" w:hAnsiTheme="minorEastAsia"/>
                <w:szCs w:val="21"/>
              </w:rPr>
              <w:t>5、动态范围：90db</w:t>
            </w:r>
          </w:p>
          <w:p>
            <w:pPr>
              <w:rPr>
                <w:rFonts w:asciiTheme="minorEastAsia" w:hAnsiTheme="minorEastAsia"/>
                <w:szCs w:val="21"/>
              </w:rPr>
            </w:pPr>
            <w:r>
              <w:rPr>
                <w:rFonts w:hint="eastAsia" w:asciiTheme="minorEastAsia" w:hAnsiTheme="minorEastAsia"/>
                <w:szCs w:val="21"/>
              </w:rPr>
              <w:t xml:space="preserve">6、环境噪声消除：稳态噪声消除比30dB </w:t>
            </w:r>
          </w:p>
          <w:p>
            <w:pPr>
              <w:rPr>
                <w:rFonts w:asciiTheme="minorEastAsia" w:hAnsiTheme="minorEastAsia"/>
                <w:szCs w:val="21"/>
              </w:rPr>
            </w:pPr>
            <w:r>
              <w:rPr>
                <w:rFonts w:hint="eastAsia" w:asciiTheme="minorEastAsia" w:hAnsiTheme="minorEastAsia"/>
                <w:szCs w:val="21"/>
              </w:rPr>
              <w:t>7、最大智能混音路数：8路</w:t>
            </w:r>
          </w:p>
          <w:p>
            <w:pPr>
              <w:rPr>
                <w:rFonts w:asciiTheme="minorEastAsia" w:hAnsiTheme="minorEastAsia"/>
                <w:szCs w:val="21"/>
              </w:rPr>
            </w:pPr>
            <w:r>
              <w:rPr>
                <w:rFonts w:hint="eastAsia" w:asciiTheme="minorEastAsia" w:hAnsiTheme="minorEastAsia"/>
                <w:szCs w:val="21"/>
              </w:rPr>
              <w:t>8、抗混响通道：4通道</w:t>
            </w:r>
          </w:p>
          <w:p>
            <w:pPr>
              <w:rPr>
                <w:rFonts w:asciiTheme="minorEastAsia" w:hAnsiTheme="minorEastAsia"/>
                <w:szCs w:val="21"/>
              </w:rPr>
            </w:pPr>
            <w:r>
              <w:rPr>
                <w:rFonts w:hint="eastAsia" w:asciiTheme="minorEastAsia" w:hAnsiTheme="minorEastAsia"/>
                <w:szCs w:val="21"/>
              </w:rPr>
              <w:t xml:space="preserve">9、频率响应：20Hz-16KHz </w:t>
            </w:r>
          </w:p>
          <w:p>
            <w:pPr>
              <w:rPr>
                <w:rFonts w:asciiTheme="minorEastAsia" w:hAnsiTheme="minorEastAsia"/>
                <w:szCs w:val="21"/>
              </w:rPr>
            </w:pPr>
            <w:r>
              <w:rPr>
                <w:rFonts w:hint="eastAsia" w:asciiTheme="minorEastAsia" w:hAnsiTheme="minorEastAsia"/>
                <w:szCs w:val="21"/>
              </w:rPr>
              <w:t xml:space="preserve">10、最大增益：59dB </w:t>
            </w:r>
          </w:p>
          <w:p>
            <w:pPr>
              <w:rPr>
                <w:rFonts w:asciiTheme="minorEastAsia" w:hAnsiTheme="minorEastAsia"/>
                <w:szCs w:val="21"/>
              </w:rPr>
            </w:pPr>
            <w:r>
              <w:rPr>
                <w:rFonts w:hint="eastAsia" w:asciiTheme="minorEastAsia" w:hAnsiTheme="minorEastAsia"/>
                <w:szCs w:val="21"/>
              </w:rPr>
              <w:t>11、可通过网络进行远程监听，软件升级和参数配置</w:t>
            </w:r>
          </w:p>
          <w:p>
            <w:pPr>
              <w:rPr>
                <w:rFonts w:asciiTheme="minorEastAsia" w:hAnsiTheme="minorEastAsia"/>
                <w:szCs w:val="21"/>
              </w:rPr>
            </w:pPr>
            <w:r>
              <w:rPr>
                <w:rFonts w:hint="eastAsia" w:asciiTheme="minorEastAsia" w:hAnsiTheme="minorEastAsia"/>
                <w:szCs w:val="21"/>
              </w:rPr>
              <w:t>12、智能混音功能（8路平衡输入可任意组合）；</w:t>
            </w:r>
          </w:p>
          <w:p>
            <w:pPr>
              <w:rPr>
                <w:rFonts w:asciiTheme="minorEastAsia" w:hAnsiTheme="minorEastAsia"/>
                <w:szCs w:val="21"/>
              </w:rPr>
            </w:pPr>
            <w:r>
              <w:rPr>
                <w:rFonts w:hint="eastAsia" w:asciiTheme="minorEastAsia" w:hAnsiTheme="minorEastAsia"/>
                <w:szCs w:val="21"/>
              </w:rPr>
              <w:t>13、语音抗混响功能，避免多路语音互相干扰，突出重要语音信号；</w:t>
            </w:r>
          </w:p>
          <w:p>
            <w:pPr>
              <w:rPr>
                <w:rFonts w:asciiTheme="minorEastAsia" w:hAnsiTheme="minorEastAsia"/>
                <w:szCs w:val="21"/>
              </w:rPr>
            </w:pPr>
            <w:r>
              <w:rPr>
                <w:rFonts w:hint="eastAsia" w:asciiTheme="minorEastAsia" w:hAnsiTheme="minorEastAsia"/>
                <w:szCs w:val="21"/>
              </w:rPr>
              <w:t>14、回声消除功能：无线麦克风、吊麦的混音需要进行AEC处理，参考信号为远程音频信号；</w:t>
            </w:r>
          </w:p>
          <w:p>
            <w:pPr>
              <w:rPr>
                <w:rFonts w:asciiTheme="minorEastAsia" w:hAnsiTheme="minorEastAsia"/>
                <w:szCs w:val="21"/>
              </w:rPr>
            </w:pPr>
            <w:r>
              <w:rPr>
                <w:rFonts w:hint="eastAsia" w:asciiTheme="minorEastAsia" w:hAnsiTheme="minorEastAsia"/>
                <w:szCs w:val="21"/>
              </w:rPr>
              <w:t>15、具有AGC功能，防止多人大声说话时破音；</w:t>
            </w:r>
          </w:p>
          <w:p>
            <w:pPr>
              <w:rPr>
                <w:rFonts w:asciiTheme="minorEastAsia" w:hAnsiTheme="minorEastAsia"/>
                <w:kern w:val="0"/>
                <w:szCs w:val="21"/>
              </w:rPr>
            </w:pPr>
            <w:r>
              <w:rPr>
                <w:rFonts w:hint="eastAsia" w:asciiTheme="minorEastAsia" w:hAnsiTheme="minorEastAsia"/>
                <w:szCs w:val="21"/>
              </w:rPr>
              <w:t>16、内置声场检测功能，可测试混响时间、环境噪声、频率响应和语音传输指数STI；</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9</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录播液晶控制面板</w:t>
            </w:r>
          </w:p>
        </w:tc>
        <w:tc>
          <w:tcPr>
            <w:tcW w:w="2959"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sz w:val="20"/>
                <w:szCs w:val="20"/>
              </w:rPr>
            </w:pPr>
            <w:r>
              <w:rPr>
                <w:rFonts w:hint="eastAsia" w:asciiTheme="minorEastAsia" w:hAnsiTheme="minorEastAsia"/>
                <w:szCs w:val="21"/>
              </w:rPr>
              <w:t>一、多媒体控制功能模块：</w:t>
            </w:r>
            <w:r>
              <w:rPr>
                <w:rFonts w:hint="eastAsia" w:asciiTheme="minorEastAsia" w:hAnsiTheme="minorEastAsia"/>
                <w:szCs w:val="21"/>
              </w:rPr>
              <w:br w:type="textWrapping"/>
            </w:r>
            <w:r>
              <w:rPr>
                <w:rFonts w:hint="eastAsia" w:asciiTheme="minorEastAsia" w:hAnsiTheme="minorEastAsia"/>
                <w:szCs w:val="21"/>
              </w:rPr>
              <w:t>1.支持与录播系统联动功能，实现录播系统开启关闭，图像预监跟踪，远程视频互动管理。</w:t>
            </w:r>
            <w:r>
              <w:rPr>
                <w:rFonts w:hint="eastAsia" w:asciiTheme="minorEastAsia" w:hAnsiTheme="minorEastAsia"/>
                <w:szCs w:val="21"/>
              </w:rPr>
              <w:br w:type="textWrapping"/>
            </w:r>
            <w:r>
              <w:rPr>
                <w:rFonts w:hint="eastAsia" w:asciiTheme="minorEastAsia" w:hAnsiTheme="minorEastAsia"/>
                <w:szCs w:val="21"/>
              </w:rPr>
              <w:t>2.采用ARM处理器要求核心数≥4核，内存≥2G。</w:t>
            </w:r>
            <w:r>
              <w:rPr>
                <w:rFonts w:hint="eastAsia" w:asciiTheme="minorEastAsia" w:hAnsiTheme="minorEastAsia"/>
                <w:szCs w:val="21"/>
              </w:rPr>
              <w:br w:type="textWrapping"/>
            </w:r>
            <w:r>
              <w:rPr>
                <w:rFonts w:hint="eastAsia" w:asciiTheme="minorEastAsia" w:hAnsiTheme="minorEastAsia"/>
                <w:szCs w:val="21"/>
              </w:rPr>
              <w:t>3.具备1路12V电源输入。</w:t>
            </w:r>
            <w:r>
              <w:rPr>
                <w:rFonts w:hint="eastAsia" w:asciiTheme="minorEastAsia" w:hAnsiTheme="minorEastAsia"/>
                <w:szCs w:val="21"/>
              </w:rPr>
              <w:br w:type="textWrapping"/>
            </w:r>
            <w:r>
              <w:rPr>
                <w:rFonts w:hint="eastAsia" w:asciiTheme="minorEastAsia" w:hAnsiTheme="minorEastAsia"/>
                <w:szCs w:val="21"/>
              </w:rPr>
              <w:t xml:space="preserve">4.支持教学多媒体设备接入，支持投影机、电视机教学设备开启，关闭功能。 </w:t>
            </w:r>
            <w:r>
              <w:rPr>
                <w:rFonts w:hint="eastAsia" w:asciiTheme="minorEastAsia" w:hAnsiTheme="minorEastAsia"/>
                <w:szCs w:val="21"/>
              </w:rPr>
              <w:br w:type="textWrapping"/>
            </w:r>
            <w:r>
              <w:rPr>
                <w:rFonts w:hint="eastAsia" w:asciiTheme="minorEastAsia" w:hAnsiTheme="minorEastAsia"/>
                <w:szCs w:val="21"/>
              </w:rPr>
              <w:t>5. 为方便操作可进行鼠标键盘等移动存储设备接入，需具备≥2路USB接口,支持USB接口，用户可以通过U盘对录播主机的视频课件拷贝。</w:t>
            </w:r>
            <w:r>
              <w:rPr>
                <w:rFonts w:hint="eastAsia" w:asciiTheme="minorEastAsia" w:hAnsiTheme="minorEastAsia"/>
                <w:szCs w:val="21"/>
              </w:rPr>
              <w:br w:type="textWrapping"/>
            </w:r>
            <w:r>
              <w:rPr>
                <w:rFonts w:hint="eastAsia" w:asciiTheme="minorEastAsia" w:hAnsiTheme="minorEastAsia"/>
                <w:szCs w:val="21"/>
              </w:rPr>
              <w:t>6.需支持休眠唤醒功能，可自定义设置休眠时间，支持触摸唤醒功能。</w:t>
            </w:r>
            <w:r>
              <w:rPr>
                <w:rFonts w:hint="eastAsia" w:asciiTheme="minorEastAsia" w:hAnsiTheme="minorEastAsia"/>
                <w:szCs w:val="21"/>
              </w:rPr>
              <w:br w:type="textWrapping"/>
            </w:r>
            <w:r>
              <w:rPr>
                <w:rFonts w:hint="eastAsia" w:asciiTheme="minorEastAsia" w:hAnsiTheme="minorEastAsia"/>
                <w:szCs w:val="21"/>
              </w:rPr>
              <w:t>软件技术参数：</w:t>
            </w:r>
            <w:r>
              <w:rPr>
                <w:rFonts w:hint="eastAsia" w:asciiTheme="minorEastAsia" w:hAnsiTheme="minorEastAsia"/>
                <w:szCs w:val="21"/>
              </w:rPr>
              <w:br w:type="textWrapping"/>
            </w:r>
            <w:r>
              <w:rPr>
                <w:rFonts w:hint="eastAsia" w:asciiTheme="minorEastAsia" w:hAnsiTheme="minorEastAsia"/>
                <w:szCs w:val="21"/>
              </w:rPr>
              <w:t>一、远程管理模块：</w:t>
            </w:r>
            <w:r>
              <w:rPr>
                <w:rFonts w:hint="eastAsia" w:asciiTheme="minorEastAsia" w:hAnsiTheme="minorEastAsia"/>
                <w:szCs w:val="21"/>
              </w:rPr>
              <w:br w:type="textWrapping"/>
            </w:r>
            <w:r>
              <w:rPr>
                <w:rFonts w:hint="eastAsia" w:asciiTheme="minorEastAsia" w:hAnsiTheme="minorEastAsia"/>
                <w:szCs w:val="21"/>
              </w:rPr>
              <w:t>1.有线网络支持10/100/1000M速度自适应；支持2</w:t>
            </w:r>
            <w:r>
              <w:rPr>
                <w:rFonts w:asciiTheme="minorEastAsia" w:hAnsiTheme="minorEastAsia"/>
                <w:szCs w:val="21"/>
              </w:rPr>
              <w:t>.4</w:t>
            </w:r>
            <w:r>
              <w:rPr>
                <w:rFonts w:hint="eastAsia" w:asciiTheme="minorEastAsia" w:hAnsiTheme="minorEastAsia"/>
                <w:szCs w:val="21"/>
              </w:rPr>
              <w:t>GHZ和5GHZ无线网络。</w:t>
            </w:r>
            <w:r>
              <w:rPr>
                <w:rFonts w:hint="eastAsia" w:asciiTheme="minorEastAsia" w:hAnsiTheme="minorEastAsia"/>
                <w:szCs w:val="21"/>
              </w:rPr>
              <w:br w:type="textWrapping"/>
            </w:r>
            <w:r>
              <w:rPr>
                <w:rFonts w:hint="eastAsia" w:asciiTheme="minorEastAsia" w:hAnsiTheme="minorEastAsia"/>
                <w:szCs w:val="21"/>
              </w:rPr>
              <w:t>2.可控制视频会议的发起、管控及关闭功能。</w:t>
            </w:r>
            <w:r>
              <w:rPr>
                <w:rFonts w:hint="eastAsia" w:asciiTheme="minorEastAsia" w:hAnsiTheme="minorEastAsia"/>
                <w:szCs w:val="21"/>
              </w:rPr>
              <w:br w:type="textWrapping"/>
            </w:r>
            <w:r>
              <w:rPr>
                <w:rFonts w:hint="eastAsia" w:asciiTheme="minorEastAsia" w:hAnsiTheme="minorEastAsia"/>
                <w:szCs w:val="21"/>
              </w:rPr>
              <w:t>3.支持POE功能，完成供电和网络通讯。</w:t>
            </w:r>
            <w:r>
              <w:rPr>
                <w:rFonts w:hint="eastAsia" w:asciiTheme="minorEastAsia" w:hAnsiTheme="minorEastAsia"/>
                <w:szCs w:val="21"/>
              </w:rPr>
              <w:br w:type="textWrapping"/>
            </w:r>
            <w:r>
              <w:rPr>
                <w:rFonts w:hint="eastAsia" w:asciiTheme="minorEastAsia" w:hAnsiTheme="minorEastAsia"/>
                <w:szCs w:val="21"/>
              </w:rPr>
              <w:t>二、互动功能模块：</w:t>
            </w:r>
            <w:r>
              <w:rPr>
                <w:rFonts w:hint="eastAsia" w:asciiTheme="minorEastAsia" w:hAnsiTheme="minorEastAsia"/>
                <w:szCs w:val="21"/>
              </w:rPr>
              <w:br w:type="textWrapping"/>
            </w:r>
            <w:r>
              <w:rPr>
                <w:rFonts w:hint="eastAsia" w:asciiTheme="minorEastAsia" w:hAnsiTheme="minorEastAsia"/>
                <w:szCs w:val="21"/>
              </w:rPr>
              <w:t>1. 支持互动权限功能，通过系统显示界面，一键式互动连接开启关闭功能。</w:t>
            </w:r>
            <w:r>
              <w:rPr>
                <w:rFonts w:hint="eastAsia" w:asciiTheme="minorEastAsia" w:hAnsiTheme="minorEastAsia"/>
                <w:szCs w:val="21"/>
              </w:rPr>
              <w:br w:type="textWrapping"/>
            </w:r>
            <w:r>
              <w:rPr>
                <w:rFonts w:hint="eastAsia" w:asciiTheme="minorEastAsia" w:hAnsiTheme="minorEastAsia"/>
                <w:szCs w:val="21"/>
              </w:rPr>
              <w:t>2. 支持多点呼叫实现互动，支持记忆存储功能，第一次互动连接成功后，无需在进行重新设置参数。</w:t>
            </w:r>
            <w:r>
              <w:rPr>
                <w:rFonts w:hint="eastAsia" w:asciiTheme="minorEastAsia" w:hAnsiTheme="minorEastAsia"/>
                <w:szCs w:val="21"/>
              </w:rPr>
              <w:br w:type="textWrapping"/>
            </w:r>
            <w:r>
              <w:rPr>
                <w:rFonts w:hint="eastAsia" w:asciiTheme="minorEastAsia" w:hAnsiTheme="minorEastAsia"/>
                <w:szCs w:val="21"/>
              </w:rPr>
              <w:t>3. 支持互动管理功能，具有添加及删除互动成员功能。</w:t>
            </w:r>
            <w:r>
              <w:rPr>
                <w:rFonts w:hint="eastAsia" w:asciiTheme="minorEastAsia" w:hAnsiTheme="minorEastAsia"/>
                <w:szCs w:val="21"/>
              </w:rPr>
              <w:br w:type="textWrapping"/>
            </w:r>
            <w:r>
              <w:rPr>
                <w:rFonts w:hint="eastAsia" w:asciiTheme="minorEastAsia" w:hAnsiTheme="minorEastAsia"/>
                <w:szCs w:val="21"/>
              </w:rPr>
              <w:t>4.提供界面截图，加以验证技术指标参数</w:t>
            </w:r>
            <w:r>
              <w:rPr>
                <w:rFonts w:hint="eastAsia" w:asciiTheme="minorEastAsia" w:hAnsiTheme="minorEastAsia"/>
                <w:szCs w:val="21"/>
              </w:rPr>
              <w:br w:type="textWrapping"/>
            </w:r>
            <w:r>
              <w:rPr>
                <w:rFonts w:hint="eastAsia" w:asciiTheme="minorEastAsia" w:hAnsiTheme="minorEastAsia"/>
                <w:szCs w:val="21"/>
              </w:rPr>
              <w:t>三、跟踪功能模块</w:t>
            </w:r>
            <w:r>
              <w:rPr>
                <w:rFonts w:hint="eastAsia" w:asciiTheme="minorEastAsia" w:hAnsiTheme="minorEastAsia"/>
                <w:szCs w:val="21"/>
              </w:rPr>
              <w:br w:type="textWrapping"/>
            </w:r>
            <w:r>
              <w:rPr>
                <w:rFonts w:hint="eastAsia" w:asciiTheme="minorEastAsia" w:hAnsiTheme="minorEastAsia"/>
                <w:szCs w:val="21"/>
              </w:rPr>
              <w:t>1. 点击学生跟踪图标实现学生图像跟踪，点击教师跟踪图标实现教师图像跟踪，实现图像预监跟踪。</w:t>
            </w:r>
            <w:r>
              <w:rPr>
                <w:rFonts w:hint="eastAsia" w:asciiTheme="minorEastAsia" w:hAnsiTheme="minorEastAsia"/>
                <w:szCs w:val="21"/>
              </w:rPr>
              <w:br w:type="textWrapping"/>
            </w:r>
            <w:r>
              <w:rPr>
                <w:rFonts w:hint="eastAsia" w:asciiTheme="minorEastAsia" w:hAnsiTheme="minorEastAsia"/>
                <w:szCs w:val="21"/>
              </w:rPr>
              <w:t>2.可实现切换自动、手动导播规则。</w:t>
            </w:r>
            <w:r>
              <w:rPr>
                <w:rFonts w:hint="eastAsia" w:asciiTheme="minorEastAsia" w:hAnsiTheme="minorEastAsia"/>
                <w:szCs w:val="21"/>
              </w:rPr>
              <w:br w:type="textWrapping"/>
            </w:r>
            <w:r>
              <w:rPr>
                <w:rFonts w:hint="eastAsia" w:asciiTheme="minorEastAsia" w:hAnsiTheme="minorEastAsia"/>
                <w:szCs w:val="21"/>
              </w:rPr>
              <w:t>四、安全管理功能模块：</w:t>
            </w:r>
            <w:r>
              <w:rPr>
                <w:rFonts w:hint="eastAsia" w:asciiTheme="minorEastAsia" w:hAnsiTheme="minorEastAsia"/>
                <w:szCs w:val="21"/>
              </w:rPr>
              <w:br w:type="textWrapping"/>
            </w:r>
            <w:r>
              <w:rPr>
                <w:rFonts w:hint="eastAsia" w:asciiTheme="minorEastAsia" w:hAnsiTheme="minorEastAsia"/>
                <w:szCs w:val="21"/>
              </w:rPr>
              <w:t>1.需具备镶嵌式安装，防止丢失及损坏。</w:t>
            </w:r>
            <w:r>
              <w:rPr>
                <w:rFonts w:hint="eastAsia" w:asciiTheme="minorEastAsia" w:hAnsiTheme="minorEastAsia"/>
                <w:szCs w:val="21"/>
              </w:rPr>
              <w:br w:type="textWrapping"/>
            </w:r>
            <w:r>
              <w:rPr>
                <w:rFonts w:hint="eastAsia" w:asciiTheme="minorEastAsia" w:hAnsiTheme="minorEastAsia"/>
                <w:szCs w:val="21"/>
              </w:rPr>
              <w:t>2.需具备权限管理功能，支持账号密码登录功能，防止教学资源丢失。</w:t>
            </w:r>
            <w:r>
              <w:rPr>
                <w:rFonts w:hint="eastAsia" w:asciiTheme="minorEastAsia" w:hAnsiTheme="minorEastAsia"/>
                <w:szCs w:val="21"/>
              </w:rPr>
              <w:br w:type="textWrapping"/>
            </w:r>
            <w:r>
              <w:rPr>
                <w:rFonts w:hint="eastAsia" w:asciiTheme="minorEastAsia" w:hAnsiTheme="minorEastAsia"/>
                <w:szCs w:val="21"/>
              </w:rPr>
              <w:t>五、柔和触摸感应功能模块：</w:t>
            </w:r>
            <w:r>
              <w:rPr>
                <w:rFonts w:hint="eastAsia" w:asciiTheme="minorEastAsia" w:hAnsiTheme="minorEastAsia"/>
                <w:szCs w:val="21"/>
              </w:rPr>
              <w:br w:type="textWrapping"/>
            </w:r>
            <w:r>
              <w:rPr>
                <w:rFonts w:hint="eastAsia" w:asciiTheme="minorEastAsia" w:hAnsiTheme="minorEastAsia"/>
                <w:szCs w:val="21"/>
              </w:rPr>
              <w:t>1.配置大于等于9寸的液晶触摸屏，支持界面图标触摸感应功能，实现即点即应功能。</w:t>
            </w:r>
            <w:r>
              <w:rPr>
                <w:rFonts w:hint="eastAsia" w:asciiTheme="minorEastAsia" w:hAnsiTheme="minorEastAsia"/>
                <w:szCs w:val="21"/>
              </w:rPr>
              <w:br w:type="textWrapping"/>
            </w:r>
            <w:r>
              <w:rPr>
                <w:rFonts w:hint="eastAsia" w:asciiTheme="minorEastAsia" w:hAnsiTheme="minorEastAsia"/>
                <w:szCs w:val="21"/>
              </w:rPr>
              <w:t>2、触摸点数：标配10点触摸,可实现放大缩小图片等多点触摸功能。</w:t>
            </w:r>
            <w:r>
              <w:rPr>
                <w:rFonts w:hint="eastAsia" w:asciiTheme="minorEastAsia" w:hAnsiTheme="minorEastAsia"/>
                <w:szCs w:val="21"/>
              </w:rPr>
              <w:br w:type="textWrapping"/>
            </w:r>
            <w:r>
              <w:rPr>
                <w:rFonts w:hint="eastAsia" w:asciiTheme="minorEastAsia" w:hAnsiTheme="minorEastAsia"/>
                <w:szCs w:val="21"/>
              </w:rPr>
              <w:t>3、分辨率：支持720P/1080P分辨率自适应</w:t>
            </w:r>
            <w:r>
              <w:rPr>
                <w:rFonts w:hint="eastAsia" w:asciiTheme="minorEastAsia" w:hAnsiTheme="minorEastAsia"/>
                <w:szCs w:val="21"/>
              </w:rPr>
              <w:br w:type="textWrapping"/>
            </w:r>
            <w:r>
              <w:rPr>
                <w:rFonts w:hint="eastAsia" w:asciiTheme="minorEastAsia" w:hAnsiTheme="minorEastAsia"/>
                <w:szCs w:val="21"/>
              </w:rPr>
              <w:t>4.支持教学场景一键式触摸式开始录制，停止录制功能。</w:t>
            </w:r>
            <w:r>
              <w:rPr>
                <w:rFonts w:hint="eastAsia" w:asciiTheme="minorEastAsia" w:hAnsiTheme="minorEastAsia"/>
                <w:szCs w:val="21"/>
              </w:rPr>
              <w:br w:type="textWrapping"/>
            </w:r>
            <w:r>
              <w:rPr>
                <w:rFonts w:hint="eastAsia" w:asciiTheme="minorEastAsia" w:hAnsiTheme="minorEastAsia"/>
                <w:szCs w:val="21"/>
              </w:rPr>
              <w:t>六、存储功能：</w:t>
            </w:r>
            <w:r>
              <w:rPr>
                <w:rFonts w:hint="eastAsia" w:asciiTheme="minorEastAsia" w:hAnsiTheme="minorEastAsia"/>
                <w:szCs w:val="21"/>
              </w:rPr>
              <w:br w:type="textWrapping"/>
            </w:r>
            <w:r>
              <w:rPr>
                <w:rFonts w:hint="eastAsia" w:asciiTheme="minorEastAsia" w:hAnsiTheme="minorEastAsia"/>
                <w:szCs w:val="21"/>
              </w:rPr>
              <w:t>1.具备≥</w:t>
            </w:r>
            <w:r>
              <w:rPr>
                <w:rFonts w:asciiTheme="minorEastAsia" w:hAnsiTheme="minorEastAsia"/>
                <w:szCs w:val="21"/>
              </w:rPr>
              <w:t>8</w:t>
            </w:r>
            <w:r>
              <w:rPr>
                <w:rFonts w:hint="eastAsia" w:asciiTheme="minorEastAsia" w:hAnsiTheme="minorEastAsia"/>
                <w:szCs w:val="21"/>
              </w:rPr>
              <w:t>G本地存储功能。</w:t>
            </w:r>
            <w:r>
              <w:rPr>
                <w:rFonts w:hint="eastAsia" w:asciiTheme="minorEastAsia" w:hAnsiTheme="minorEastAsia"/>
                <w:szCs w:val="21"/>
              </w:rPr>
              <w:br w:type="textWrapping"/>
            </w:r>
            <w:r>
              <w:rPr>
                <w:rFonts w:hint="eastAsia" w:asciiTheme="minorEastAsia" w:hAnsiTheme="minorEastAsia"/>
                <w:szCs w:val="21"/>
              </w:rPr>
              <w:t>七、可视化功能模块：</w:t>
            </w:r>
            <w:r>
              <w:rPr>
                <w:rFonts w:hint="eastAsia" w:asciiTheme="minorEastAsia" w:hAnsiTheme="minorEastAsia"/>
                <w:szCs w:val="21"/>
              </w:rPr>
              <w:br w:type="textWrapping"/>
            </w:r>
            <w:r>
              <w:rPr>
                <w:rFonts w:hint="eastAsia" w:asciiTheme="minorEastAsia" w:hAnsiTheme="minorEastAsia"/>
                <w:szCs w:val="21"/>
              </w:rPr>
              <w:t>1.需具备可视化界面管理功能，系统关、投影关幕布升降、教师跟踪、学生跟踪，（提供界面截图，加以验证技术指标参数）。</w:t>
            </w:r>
            <w:r>
              <w:rPr>
                <w:rFonts w:hint="eastAsia" w:asciiTheme="minorEastAsia" w:hAnsiTheme="minorEastAsia"/>
                <w:szCs w:val="21"/>
              </w:rPr>
              <w:br w:type="textWrapping"/>
            </w:r>
            <w:r>
              <w:rPr>
                <w:rFonts w:hint="eastAsia" w:asciiTheme="minorEastAsia" w:hAnsiTheme="minorEastAsia"/>
                <w:szCs w:val="21"/>
              </w:rPr>
              <w:t>2.支持导播图像实时同步显示功能，支持教师图像显示，学生图像显示，教学内容图像显示。</w:t>
            </w:r>
            <w:r>
              <w:rPr>
                <w:rFonts w:hint="eastAsia" w:asciiTheme="minorEastAsia" w:hAnsiTheme="minorEastAsia"/>
                <w:szCs w:val="21"/>
              </w:rPr>
              <w:br w:type="textWrapping"/>
            </w:r>
            <w:r>
              <w:rPr>
                <w:rFonts w:hint="eastAsia" w:asciiTheme="minorEastAsia" w:hAnsiTheme="minorEastAsia"/>
                <w:szCs w:val="21"/>
              </w:rPr>
              <w:t>3.需具备视频信号预监视功能。</w:t>
            </w:r>
            <w:r>
              <w:rPr>
                <w:rFonts w:hint="eastAsia" w:asciiTheme="minorEastAsia" w:hAnsiTheme="minorEastAsia"/>
                <w:szCs w:val="21"/>
              </w:rPr>
              <w:br w:type="textWrapping"/>
            </w:r>
            <w:r>
              <w:rPr>
                <w:rFonts w:hint="eastAsia" w:asciiTheme="minorEastAsia" w:hAnsiTheme="minorEastAsia"/>
                <w:szCs w:val="21"/>
              </w:rPr>
              <w:t>4需具备用户个性化设置，能够自定义桌面背景图片。</w:t>
            </w:r>
            <w:r>
              <w:rPr>
                <w:rFonts w:hint="eastAsia" w:asciiTheme="minorEastAsia" w:hAnsiTheme="minorEastAsia"/>
                <w:szCs w:val="21"/>
              </w:rPr>
              <w:br w:type="textWrapping"/>
            </w:r>
            <w:r>
              <w:rPr>
                <w:rFonts w:hint="eastAsia" w:asciiTheme="minorEastAsia" w:hAnsiTheme="minorEastAsia"/>
                <w:szCs w:val="21"/>
              </w:rPr>
              <w:t>5.需具备≥3.0寸图像显示界面，具有导播功能进行实时图像触摸通道切换，（提供界面截图，加以验证技术指标参数）。</w:t>
            </w:r>
            <w:r>
              <w:rPr>
                <w:rFonts w:hint="eastAsia" w:asciiTheme="minorEastAsia" w:hAnsiTheme="minorEastAsia"/>
                <w:szCs w:val="21"/>
              </w:rPr>
              <w:br w:type="textWrapping"/>
            </w:r>
            <w:r>
              <w:rPr>
                <w:rFonts w:hint="eastAsia" w:asciiTheme="minorEastAsia" w:hAnsiTheme="minorEastAsia"/>
                <w:szCs w:val="21"/>
              </w:rPr>
              <w:t>6.支持同步导播画面图像画面触摸移动功能，可根据应用习惯进行上下左右中间方向移动。</w:t>
            </w:r>
            <w:r>
              <w:rPr>
                <w:rFonts w:hint="eastAsia" w:asciiTheme="minorEastAsia" w:hAnsiTheme="minorEastAsia"/>
                <w:szCs w:val="21"/>
              </w:rPr>
              <w:br w:type="textWrapping"/>
            </w:r>
            <w:r>
              <w:rPr>
                <w:rFonts w:hint="eastAsia" w:asciiTheme="minorEastAsia" w:hAnsiTheme="minorEastAsia"/>
                <w:szCs w:val="21"/>
              </w:rPr>
              <w:t>八、资质要求：</w:t>
            </w:r>
            <w:r>
              <w:rPr>
                <w:rFonts w:hint="eastAsia" w:asciiTheme="minorEastAsia" w:hAnsiTheme="minorEastAsia"/>
                <w:szCs w:val="21"/>
              </w:rPr>
              <w:br w:type="textWrapping"/>
            </w:r>
            <w:r>
              <w:rPr>
                <w:rFonts w:hint="eastAsia" w:asciiTheme="minorEastAsia" w:hAnsiTheme="minorEastAsia"/>
                <w:szCs w:val="21"/>
              </w:rPr>
              <w:t>1. 提供由中华人民共和国国家版权局颁发的与此软件功能相关的计算机软件著作权登记证书复印件。</w:t>
            </w:r>
            <w:r>
              <w:rPr>
                <w:rFonts w:hint="eastAsia" w:asciiTheme="minorEastAsia" w:hAnsiTheme="minorEastAsia"/>
                <w:szCs w:val="21"/>
              </w:rPr>
              <w:br w:type="textWrapping"/>
            </w:r>
            <w:r>
              <w:rPr>
                <w:rFonts w:hint="eastAsia" w:asciiTheme="minorEastAsia" w:hAnsiTheme="minorEastAsia"/>
                <w:szCs w:val="21"/>
              </w:rPr>
              <w:t>2.为保证系统之间良好兼容性需与多功能教学终端设备同一品牌</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0</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课堂智慧终端</w:t>
            </w:r>
          </w:p>
        </w:tc>
        <w:tc>
          <w:tcPr>
            <w:tcW w:w="2959"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Theme="minorEastAsia" w:hAnsiTheme="minorEastAsia"/>
                <w:kern w:val="0"/>
                <w:szCs w:val="21"/>
              </w:rPr>
              <w:t>1.智慧课堂教师端教学系统，教学灵活，支持笔记本电脑、台式机电脑、教学触摸一体机安装应用；</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 xml:space="preserve"> </w:t>
            </w:r>
            <w:r>
              <w:rPr>
                <w:rFonts w:hint="eastAsia" w:asciiTheme="minorEastAsia" w:hAnsiTheme="minorEastAsia"/>
                <w:kern w:val="0"/>
                <w:szCs w:val="21"/>
              </w:rPr>
              <w:t>需集成多种教学工具系统，摄像采集系统软件，声音采集系统软件、白板教学功能软件、课堂互动教学软件、课堂直播系统软件、教学内容录制软件功能；</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3.支持画笔功能，支持≥8种颜色画笔实现课堂教学重点内容标注；</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4.支持橡皮擦功能，支持教学内容局部擦除，支持教学内容整体一键参数，方便教师教学应用；</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5.支持软黑板功能，模拟黑板真实笔记教学，满足教师通过鼠标或者触摸书写板书进行教学；支持撤销恢复功能防止误操作影响重点内容教学，支持添加下一页功能满足板书内容扩展讲解功能；</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6.支持一键云直播功能，支持直播开启，显示直播时间、教师头像采集开启、音频采集开启、高拍仪实现课堂教学直播；</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7.支持课堂互动功能：</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（1）支持学生名单显示功能；</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（2）支持线上签到功能，应到人数、签到次数、出勤率统计；</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（3）支持测验功能，支持选择题、判断题、简答题、支持测验统计；</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（4）支持弹幕功能，学生通过弹幕进行课堂评论；</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（5）支持教学内容采集功能，支持视频、PPT、文档等教学内容采集；</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（6）学生端无需下载软件客户端，通过网页端直接观看；</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（7）学生端观看课程直播查看简介、资料功能；</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（8）学生端观看课程直播，支持切换校园内直播功能；</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（9）学生端支持评论功能，支持签到功能，支持测验功能；</w:t>
            </w:r>
          </w:p>
          <w:p>
            <w:pPr>
              <w:widowControl/>
              <w:jc w:val="left"/>
              <w:textAlignment w:val="center"/>
              <w:rPr>
                <w:rFonts w:asciiTheme="minorEastAsia" w:hAnsiTheme="minorEastAsia"/>
                <w:b w:val="0"/>
                <w:bCs w:val="0"/>
                <w:kern w:val="0"/>
                <w:szCs w:val="21"/>
              </w:rPr>
            </w:pPr>
            <w:r>
              <w:rPr>
                <w:rFonts w:hint="eastAsia" w:asciiTheme="minorEastAsia" w:hAnsiTheme="minorEastAsia"/>
                <w:b w:val="0"/>
                <w:bCs w:val="0"/>
                <w:kern w:val="0"/>
                <w:szCs w:val="21"/>
              </w:rPr>
              <w:t>（10）学生端观看直播支持教师图像与教学内容切换显示；</w:t>
            </w:r>
          </w:p>
          <w:p>
            <w:pPr>
              <w:widowControl/>
              <w:jc w:val="left"/>
              <w:textAlignment w:val="center"/>
              <w:rPr>
                <w:rFonts w:asciiTheme="minorEastAsia" w:hAnsiTheme="minorEastAsia"/>
                <w:b w:val="0"/>
                <w:bCs w:val="0"/>
                <w:kern w:val="0"/>
                <w:szCs w:val="21"/>
              </w:rPr>
            </w:pPr>
            <w:r>
              <w:rPr>
                <w:rFonts w:hint="eastAsia" w:asciiTheme="minorEastAsia" w:hAnsiTheme="minorEastAsia"/>
                <w:b w:val="0"/>
                <w:bCs w:val="0"/>
                <w:kern w:val="0"/>
                <w:szCs w:val="21"/>
              </w:rPr>
              <w:t>提供软件界面截图进行技术参数验证。</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8.设置功能：支持云端设置功能，支持自动生成服务器地址、端口、唯一标识、设备名称、学校名称、注册码功能设置，提供软件界面截图进行技术参数验证；</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9.支持课程班级小组名称、小组地址配置功能；</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10.支持绑定教室设置，支持配置教室ID、教室名称绑定；</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11.支持智慧课堂教学工具最小化功能，避免软件影响教学画面操作。</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2</w:t>
            </w:r>
            <w:r>
              <w:rPr>
                <w:rFonts w:hint="eastAsia" w:asciiTheme="minorEastAsia" w:hAnsiTheme="minorEastAsia"/>
                <w:kern w:val="0"/>
                <w:szCs w:val="21"/>
              </w:rPr>
              <w:t>.支持音视频连线功能。</w:t>
            </w:r>
          </w:p>
          <w:p>
            <w:pPr>
              <w:widowControl/>
              <w:jc w:val="left"/>
              <w:textAlignment w:val="center"/>
              <w:rPr>
                <w:rFonts w:asciiTheme="minorEastAsia" w:hAnsiTheme="minorEastAsia"/>
                <w:szCs w:val="21"/>
              </w:rPr>
            </w:pPr>
            <w:r>
              <w:rPr>
                <w:rFonts w:hint="eastAsia" w:asciiTheme="minorEastAsia" w:hAnsiTheme="minorEastAsia"/>
                <w:kern w:val="0"/>
                <w:szCs w:val="21"/>
              </w:rPr>
              <w:t>1</w:t>
            </w:r>
            <w:r>
              <w:rPr>
                <w:rFonts w:asciiTheme="minorEastAsia" w:hAnsiTheme="minorEastAsia"/>
                <w:kern w:val="0"/>
                <w:szCs w:val="21"/>
              </w:rPr>
              <w:t>3</w:t>
            </w:r>
            <w:r>
              <w:rPr>
                <w:rFonts w:hint="eastAsia" w:asciiTheme="minorEastAsia" w:hAnsiTheme="minorEastAsia"/>
                <w:kern w:val="0"/>
                <w:szCs w:val="21"/>
              </w:rPr>
              <w:t xml:space="preserve">.支持千兆网络接口≥1个， 支持HDMI接口≥1个，支持USB接口≥2个,支持CF卡插卡。        </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1</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高清云台摄像机</w:t>
            </w:r>
          </w:p>
        </w:tc>
        <w:tc>
          <w:tcPr>
            <w:tcW w:w="2959" w:type="pct"/>
            <w:tcBorders>
              <w:top w:val="single" w:color="auto" w:sz="4" w:space="0"/>
              <w:left w:val="nil"/>
              <w:bottom w:val="single" w:color="auto" w:sz="4" w:space="0"/>
              <w:right w:val="single" w:color="auto" w:sz="4" w:space="0"/>
            </w:tcBorders>
            <w:vAlign w:val="center"/>
          </w:tcPr>
          <w:p>
            <w:pPr>
              <w:widowControl/>
              <w:numPr>
                <w:ilvl w:val="0"/>
                <w:numId w:val="7"/>
              </w:numPr>
              <w:jc w:val="left"/>
              <w:textAlignment w:val="center"/>
              <w:rPr>
                <w:rFonts w:asciiTheme="minorEastAsia" w:hAnsiTheme="minorEastAsia"/>
                <w:kern w:val="0"/>
                <w:szCs w:val="21"/>
              </w:rPr>
            </w:pPr>
            <w:r>
              <w:rPr>
                <w:rFonts w:hint="eastAsia" w:asciiTheme="minorEastAsia" w:hAnsiTheme="minorEastAsia"/>
                <w:kern w:val="0"/>
                <w:szCs w:val="21"/>
              </w:rPr>
              <w:t>图像传感器：1/2.7寸CMOS</w:t>
            </w:r>
            <w:r>
              <w:rPr>
                <w:rFonts w:hint="eastAsia" w:asciiTheme="minorEastAsia" w:hAnsiTheme="minorEastAsia"/>
                <w:kern w:val="0"/>
                <w:szCs w:val="21"/>
              </w:rPr>
              <w:br w:type="textWrapping"/>
            </w:r>
            <w:r>
              <w:rPr>
                <w:rFonts w:hint="eastAsia" w:asciiTheme="minorEastAsia" w:hAnsiTheme="minorEastAsia"/>
                <w:kern w:val="0"/>
                <w:szCs w:val="21"/>
              </w:rPr>
              <w:t>2．有效像素不少于200万像素，光学变焦：12倍，数字变焦：16倍</w:t>
            </w:r>
            <w:r>
              <w:rPr>
                <w:rFonts w:hint="eastAsia" w:asciiTheme="minorEastAsia" w:hAnsiTheme="minorEastAsia"/>
                <w:kern w:val="0"/>
                <w:szCs w:val="21"/>
              </w:rPr>
              <w:br w:type="textWrapping"/>
            </w:r>
            <w:r>
              <w:rPr>
                <w:rFonts w:hint="eastAsia" w:asciiTheme="minorEastAsia" w:hAnsiTheme="minorEastAsia"/>
                <w:kern w:val="0"/>
                <w:szCs w:val="21"/>
              </w:rPr>
              <w:t>3．焦距：f=3.5mm-42.3mm，视场角：72.5°-6.9°</w:t>
            </w:r>
            <w:r>
              <w:rPr>
                <w:rFonts w:hint="eastAsia" w:asciiTheme="minorEastAsia" w:hAnsiTheme="minorEastAsia"/>
                <w:kern w:val="0"/>
                <w:szCs w:val="21"/>
              </w:rPr>
              <w:br w:type="textWrapping"/>
            </w:r>
            <w:r>
              <w:rPr>
                <w:rFonts w:hint="eastAsia" w:asciiTheme="minorEastAsia" w:hAnsiTheme="minorEastAsia"/>
                <w:kern w:val="0"/>
                <w:szCs w:val="21"/>
              </w:rPr>
              <w:t>4．信噪比：≥55dB</w:t>
            </w:r>
            <w:r>
              <w:rPr>
                <w:rFonts w:hint="eastAsia" w:asciiTheme="minorEastAsia" w:hAnsiTheme="minorEastAsia"/>
                <w:kern w:val="0"/>
                <w:szCs w:val="21"/>
              </w:rPr>
              <w:br w:type="textWrapping"/>
            </w:r>
            <w:r>
              <w:rPr>
                <w:rFonts w:hint="eastAsia" w:asciiTheme="minorEastAsia" w:hAnsiTheme="minorEastAsia"/>
                <w:kern w:val="0"/>
                <w:szCs w:val="21"/>
              </w:rPr>
              <w:t>5．水平转动范围：±170°，垂直转动范围：-30°～+90°</w:t>
            </w:r>
            <w:r>
              <w:rPr>
                <w:rFonts w:hint="eastAsia" w:asciiTheme="minorEastAsia" w:hAnsiTheme="minorEastAsia"/>
                <w:kern w:val="0"/>
                <w:szCs w:val="21"/>
              </w:rPr>
              <w:br w:type="textWrapping"/>
            </w:r>
            <w:r>
              <w:rPr>
                <w:rFonts w:hint="eastAsia" w:asciiTheme="minorEastAsia" w:hAnsiTheme="minorEastAsia"/>
                <w:kern w:val="0"/>
                <w:szCs w:val="21"/>
              </w:rPr>
              <w:t>6．预置位不少于255个</w:t>
            </w:r>
            <w:r>
              <w:rPr>
                <w:rFonts w:hint="eastAsia" w:asciiTheme="minorEastAsia" w:hAnsiTheme="minorEastAsia"/>
                <w:kern w:val="0"/>
                <w:szCs w:val="21"/>
              </w:rPr>
              <w:br w:type="textWrapping"/>
            </w:r>
            <w:r>
              <w:rPr>
                <w:rFonts w:hint="eastAsia" w:asciiTheme="minorEastAsia" w:hAnsiTheme="minorEastAsia"/>
                <w:kern w:val="0"/>
                <w:szCs w:val="21"/>
              </w:rPr>
              <w:t>7．预置位精度0.1°</w:t>
            </w:r>
            <w:r>
              <w:rPr>
                <w:rFonts w:hint="eastAsia" w:asciiTheme="minorEastAsia" w:hAnsiTheme="minorEastAsia"/>
                <w:kern w:val="0"/>
                <w:szCs w:val="21"/>
              </w:rPr>
              <w:br w:type="textWrapping"/>
            </w:r>
            <w:r>
              <w:rPr>
                <w:rFonts w:hint="eastAsia" w:asciiTheme="minorEastAsia" w:hAnsiTheme="minorEastAsia"/>
                <w:kern w:val="0"/>
                <w:szCs w:val="21"/>
              </w:rPr>
              <w:t>8．应具备：1个3G-SDI，1个HDMI， 1个RJ45，1个CVBS接口，1路LINE ，1路RS-232 ，1路RS-485，1个USB。提供摄像机接口图片，用以验证此参数。</w:t>
            </w:r>
            <w:r>
              <w:rPr>
                <w:rFonts w:hint="eastAsia" w:asciiTheme="minorEastAsia" w:hAnsiTheme="minorEastAsia"/>
                <w:kern w:val="0"/>
                <w:szCs w:val="21"/>
              </w:rPr>
              <w:br w:type="textWrapping"/>
            </w:r>
            <w:r>
              <w:rPr>
                <w:rFonts w:hint="eastAsia" w:asciiTheme="minorEastAsia" w:hAnsiTheme="minorEastAsia"/>
                <w:kern w:val="0"/>
                <w:szCs w:val="21"/>
              </w:rPr>
              <w:t>9．高清视频输出帧率：1080p/60、1080i/60、1080p/30、720p/60、1080p/50、1080i/50、1080p/25、720p/50</w:t>
            </w:r>
            <w:r>
              <w:rPr>
                <w:rFonts w:hint="eastAsia" w:asciiTheme="minorEastAsia" w:hAnsiTheme="minorEastAsia"/>
                <w:kern w:val="0"/>
                <w:szCs w:val="21"/>
              </w:rPr>
              <w:br w:type="textWrapping"/>
            </w:r>
            <w:r>
              <w:rPr>
                <w:rFonts w:hint="eastAsia" w:asciiTheme="minorEastAsia" w:hAnsiTheme="minorEastAsia"/>
                <w:kern w:val="0"/>
                <w:szCs w:val="21"/>
              </w:rPr>
              <w:t>10．红外信号透传输出：1路红外信号透传输出接口</w:t>
            </w:r>
            <w:r>
              <w:rPr>
                <w:rFonts w:hint="eastAsia" w:asciiTheme="minorEastAsia" w:hAnsiTheme="minorEastAsia"/>
                <w:kern w:val="0"/>
                <w:szCs w:val="21"/>
              </w:rPr>
              <w:br w:type="textWrapping"/>
            </w:r>
            <w:r>
              <w:rPr>
                <w:rFonts w:hint="eastAsia" w:asciiTheme="minorEastAsia" w:hAnsiTheme="minorEastAsia"/>
                <w:kern w:val="0"/>
                <w:szCs w:val="21"/>
              </w:rPr>
              <w:t>11．支持网络输出，网络视频压缩：H.265、H.264，音频压缩：AAC</w:t>
            </w:r>
            <w:r>
              <w:rPr>
                <w:rFonts w:hint="eastAsia" w:asciiTheme="minorEastAsia" w:hAnsiTheme="minorEastAsia"/>
                <w:kern w:val="0"/>
                <w:szCs w:val="21"/>
              </w:rPr>
              <w:br w:type="textWrapping"/>
            </w:r>
            <w:r>
              <w:rPr>
                <w:rFonts w:hint="eastAsia" w:asciiTheme="minorEastAsia" w:hAnsiTheme="minorEastAsia"/>
                <w:kern w:val="0"/>
                <w:szCs w:val="21"/>
              </w:rPr>
              <w:t>12．支持双码流视频输出，支持多级别视频质量配置</w:t>
            </w:r>
            <w:r>
              <w:rPr>
                <w:rFonts w:hint="eastAsia" w:asciiTheme="minorEastAsia" w:hAnsiTheme="minorEastAsia"/>
                <w:kern w:val="0"/>
                <w:szCs w:val="21"/>
              </w:rPr>
              <w:br w:type="textWrapping"/>
            </w:r>
            <w:r>
              <w:rPr>
                <w:rFonts w:hint="eastAsia" w:asciiTheme="minorEastAsia" w:hAnsiTheme="minorEastAsia"/>
                <w:kern w:val="0"/>
                <w:szCs w:val="21"/>
              </w:rPr>
              <w:t>13．支持协议类型：VISCA并支持菊花链/PELCO-P/PELCO-D</w:t>
            </w:r>
            <w:r>
              <w:rPr>
                <w:rFonts w:hint="eastAsia" w:asciiTheme="minorEastAsia" w:hAnsiTheme="minorEastAsia"/>
                <w:kern w:val="0"/>
                <w:szCs w:val="21"/>
              </w:rPr>
              <w:br w:type="textWrapping"/>
            </w:r>
            <w:r>
              <w:rPr>
                <w:rFonts w:hint="eastAsia" w:asciiTheme="minorEastAsia" w:hAnsiTheme="minorEastAsia"/>
                <w:kern w:val="0"/>
                <w:szCs w:val="21"/>
              </w:rPr>
              <w:t>14．要求教室内所有摄像机必须为同型号专业高清云台跟踪摄像机</w:t>
            </w:r>
          </w:p>
          <w:p>
            <w:pPr>
              <w:widowControl/>
              <w:jc w:val="left"/>
              <w:textAlignment w:val="center"/>
              <w:rPr>
                <w:rFonts w:asciiTheme="minorEastAsia" w:hAnsiTheme="minorEastAsia"/>
                <w:szCs w:val="21"/>
              </w:rPr>
            </w:pPr>
            <w:r>
              <w:rPr>
                <w:rFonts w:hint="eastAsia" w:asciiTheme="minorEastAsia" w:hAnsiTheme="minorEastAsia"/>
                <w:kern w:val="0"/>
                <w:szCs w:val="21"/>
              </w:rPr>
              <w:t>15.需与录播主机同一品牌。</w:t>
            </w:r>
            <w:r>
              <w:rPr>
                <w:rFonts w:hint="eastAsia" w:asciiTheme="minorEastAsia" w:hAnsiTheme="minorEastAsia"/>
                <w:kern w:val="0"/>
                <w:szCs w:val="21"/>
              </w:rPr>
              <w:br w:type="textWrapping"/>
            </w:r>
            <w:r>
              <w:rPr>
                <w:rFonts w:hint="eastAsia" w:asciiTheme="minorEastAsia" w:hAnsiTheme="minorEastAsia"/>
                <w:kern w:val="0"/>
                <w:szCs w:val="21"/>
              </w:rPr>
              <w:t>16.提供由国家级检测机构出具的无故障时间(MTBF)大于3万小时的证书复印件或检测报告复印件。</w:t>
            </w:r>
            <w:r>
              <w:rPr>
                <w:rFonts w:hint="eastAsia" w:asciiTheme="minorEastAsia" w:hAnsiTheme="minorEastAsia"/>
                <w:kern w:val="0"/>
                <w:szCs w:val="21"/>
              </w:rPr>
              <w:br w:type="textWrapping"/>
            </w:r>
            <w:r>
              <w:rPr>
                <w:rFonts w:hint="eastAsia" w:asciiTheme="minorEastAsia" w:hAnsiTheme="minorEastAsia"/>
                <w:kern w:val="0"/>
                <w:szCs w:val="21"/>
              </w:rPr>
              <w:t>17.提供由国家级检测机构出具的整机检测报告复印件。</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8</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2</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高清板书摄像机</w:t>
            </w:r>
          </w:p>
        </w:tc>
        <w:tc>
          <w:tcPr>
            <w:tcW w:w="2959"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szCs w:val="21"/>
              </w:rPr>
            </w:pPr>
            <w:r>
              <w:rPr>
                <w:rFonts w:hint="eastAsia" w:asciiTheme="minorEastAsia" w:hAnsiTheme="minorEastAsia"/>
                <w:kern w:val="0"/>
                <w:szCs w:val="21"/>
              </w:rPr>
              <w:t>1．图像传感器：1/2.7寸CMOS</w:t>
            </w:r>
            <w:r>
              <w:rPr>
                <w:rFonts w:hint="eastAsia" w:asciiTheme="minorEastAsia" w:hAnsiTheme="minorEastAsia"/>
                <w:kern w:val="0"/>
                <w:szCs w:val="21"/>
              </w:rPr>
              <w:br w:type="textWrapping"/>
            </w:r>
            <w:r>
              <w:rPr>
                <w:rFonts w:hint="eastAsia" w:asciiTheme="minorEastAsia" w:hAnsiTheme="minorEastAsia"/>
                <w:kern w:val="0"/>
                <w:szCs w:val="21"/>
              </w:rPr>
              <w:t>2．有效像素不少于200万像素，光学变焦：12倍，数字变焦：16倍</w:t>
            </w:r>
            <w:r>
              <w:rPr>
                <w:rFonts w:hint="eastAsia" w:asciiTheme="minorEastAsia" w:hAnsiTheme="minorEastAsia"/>
                <w:kern w:val="0"/>
                <w:szCs w:val="21"/>
              </w:rPr>
              <w:br w:type="textWrapping"/>
            </w:r>
            <w:r>
              <w:rPr>
                <w:rFonts w:hint="eastAsia" w:asciiTheme="minorEastAsia" w:hAnsiTheme="minorEastAsia"/>
                <w:kern w:val="0"/>
                <w:szCs w:val="21"/>
              </w:rPr>
              <w:t>3．焦距：f=3.5mm-42.3mm，视场角：72.5°-6.9°</w:t>
            </w:r>
            <w:r>
              <w:rPr>
                <w:rFonts w:hint="eastAsia" w:asciiTheme="minorEastAsia" w:hAnsiTheme="minorEastAsia"/>
                <w:kern w:val="0"/>
                <w:szCs w:val="21"/>
              </w:rPr>
              <w:br w:type="textWrapping"/>
            </w:r>
            <w:r>
              <w:rPr>
                <w:rFonts w:hint="eastAsia" w:asciiTheme="minorEastAsia" w:hAnsiTheme="minorEastAsia"/>
                <w:kern w:val="0"/>
                <w:szCs w:val="21"/>
              </w:rPr>
              <w:t>4．信噪比：≥55dB</w:t>
            </w:r>
            <w:r>
              <w:rPr>
                <w:rFonts w:hint="eastAsia" w:asciiTheme="minorEastAsia" w:hAnsiTheme="minorEastAsia"/>
                <w:kern w:val="0"/>
                <w:szCs w:val="21"/>
              </w:rPr>
              <w:br w:type="textWrapping"/>
            </w:r>
            <w:r>
              <w:rPr>
                <w:rFonts w:hint="eastAsia" w:asciiTheme="minorEastAsia" w:hAnsiTheme="minorEastAsia"/>
                <w:kern w:val="0"/>
                <w:szCs w:val="21"/>
              </w:rPr>
              <w:t>5．水平转动范围：±170°，垂直转动范围：-30°～+90°</w:t>
            </w:r>
            <w:r>
              <w:rPr>
                <w:rFonts w:hint="eastAsia" w:asciiTheme="minorEastAsia" w:hAnsiTheme="minorEastAsia"/>
                <w:kern w:val="0"/>
                <w:szCs w:val="21"/>
              </w:rPr>
              <w:br w:type="textWrapping"/>
            </w:r>
            <w:r>
              <w:rPr>
                <w:rFonts w:hint="eastAsia" w:asciiTheme="minorEastAsia" w:hAnsiTheme="minorEastAsia"/>
                <w:kern w:val="0"/>
                <w:szCs w:val="21"/>
              </w:rPr>
              <w:t>6．预置位不少于255个</w:t>
            </w:r>
            <w:r>
              <w:rPr>
                <w:rFonts w:hint="eastAsia" w:asciiTheme="minorEastAsia" w:hAnsiTheme="minorEastAsia"/>
                <w:kern w:val="0"/>
                <w:szCs w:val="21"/>
              </w:rPr>
              <w:br w:type="textWrapping"/>
            </w:r>
            <w:r>
              <w:rPr>
                <w:rFonts w:hint="eastAsia" w:asciiTheme="minorEastAsia" w:hAnsiTheme="minorEastAsia"/>
                <w:kern w:val="0"/>
                <w:szCs w:val="21"/>
              </w:rPr>
              <w:t>7．预置位精度0.1°</w:t>
            </w:r>
            <w:r>
              <w:rPr>
                <w:rFonts w:hint="eastAsia" w:asciiTheme="minorEastAsia" w:hAnsiTheme="minorEastAsia"/>
                <w:kern w:val="0"/>
                <w:szCs w:val="21"/>
              </w:rPr>
              <w:br w:type="textWrapping"/>
            </w:r>
            <w:r>
              <w:rPr>
                <w:rFonts w:hint="eastAsia" w:asciiTheme="minorEastAsia" w:hAnsiTheme="minorEastAsia"/>
                <w:kern w:val="0"/>
                <w:szCs w:val="21"/>
              </w:rPr>
              <w:t>8．应具备：1个3G-SDI，1个HDMI， 1个RJ45，1个CVBS接口，1路LINE ，1路RS-232 ，1路RS-485，1个USB。提供摄像机接口图片，用以验证此参数。</w:t>
            </w:r>
            <w:r>
              <w:rPr>
                <w:rFonts w:hint="eastAsia" w:asciiTheme="minorEastAsia" w:hAnsiTheme="minorEastAsia"/>
                <w:kern w:val="0"/>
                <w:szCs w:val="21"/>
              </w:rPr>
              <w:br w:type="textWrapping"/>
            </w:r>
            <w:r>
              <w:rPr>
                <w:rFonts w:hint="eastAsia" w:asciiTheme="minorEastAsia" w:hAnsiTheme="minorEastAsia"/>
                <w:kern w:val="0"/>
                <w:szCs w:val="21"/>
              </w:rPr>
              <w:t>9．高清视频输出帧率：1080p/60、1080i/60、1080p/30、720p/60、1080p/50、1080i/50、1080p/25、720p/50</w:t>
            </w:r>
            <w:r>
              <w:rPr>
                <w:rFonts w:hint="eastAsia" w:asciiTheme="minorEastAsia" w:hAnsiTheme="minorEastAsia"/>
                <w:kern w:val="0"/>
                <w:szCs w:val="21"/>
              </w:rPr>
              <w:br w:type="textWrapping"/>
            </w:r>
            <w:r>
              <w:rPr>
                <w:rFonts w:hint="eastAsia" w:asciiTheme="minorEastAsia" w:hAnsiTheme="minorEastAsia"/>
                <w:kern w:val="0"/>
                <w:szCs w:val="21"/>
              </w:rPr>
              <w:t>10．红外信号透传输出：1路红外信号透传输出接口</w:t>
            </w:r>
            <w:r>
              <w:rPr>
                <w:rFonts w:hint="eastAsia" w:asciiTheme="minorEastAsia" w:hAnsiTheme="minorEastAsia"/>
                <w:kern w:val="0"/>
                <w:szCs w:val="21"/>
              </w:rPr>
              <w:br w:type="textWrapping"/>
            </w:r>
            <w:r>
              <w:rPr>
                <w:rFonts w:hint="eastAsia" w:asciiTheme="minorEastAsia" w:hAnsiTheme="minorEastAsia"/>
                <w:kern w:val="0"/>
                <w:szCs w:val="21"/>
              </w:rPr>
              <w:t>11．支持网络输出，网络视频压缩：H.265、H.264，音频压缩：AAC</w:t>
            </w:r>
            <w:r>
              <w:rPr>
                <w:rFonts w:hint="eastAsia" w:asciiTheme="minorEastAsia" w:hAnsiTheme="minorEastAsia"/>
                <w:kern w:val="0"/>
                <w:szCs w:val="21"/>
              </w:rPr>
              <w:br w:type="textWrapping"/>
            </w:r>
            <w:r>
              <w:rPr>
                <w:rFonts w:hint="eastAsia" w:asciiTheme="minorEastAsia" w:hAnsiTheme="minorEastAsia"/>
                <w:kern w:val="0"/>
                <w:szCs w:val="21"/>
              </w:rPr>
              <w:t>12．支持双码流视频输出，支持多级别视频质量配置</w:t>
            </w:r>
            <w:r>
              <w:rPr>
                <w:rFonts w:hint="eastAsia" w:asciiTheme="minorEastAsia" w:hAnsiTheme="minorEastAsia"/>
                <w:kern w:val="0"/>
                <w:szCs w:val="21"/>
              </w:rPr>
              <w:br w:type="textWrapping"/>
            </w:r>
            <w:r>
              <w:rPr>
                <w:rFonts w:hint="eastAsia" w:asciiTheme="minorEastAsia" w:hAnsiTheme="minorEastAsia"/>
                <w:kern w:val="0"/>
                <w:szCs w:val="21"/>
              </w:rPr>
              <w:t>13．支持协议类型：VISCA并支持菊花链/PELCO-P/PELCO-D</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3</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图像分析摄像机</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1.采用1/3 CMOS传感器</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2.总像素≥400万</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3.最低照度不低于：1Lux@F2.0；</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4.信噪比≥50dB(AGCOFF)</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5.编码格式支持：H264</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6.供电：DC12V</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7.设备功率≤5W</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4</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asciiTheme="minorEastAsia" w:hAnsiTheme="minorEastAsia"/>
                <w:kern w:val="0"/>
                <w:szCs w:val="21"/>
              </w:rPr>
              <w:t>24</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指向性麦克风</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1.话筒类型：电容式麦克风。</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2.指向性：超指向性。</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3.频率响应：100Hz-18KHz。</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4.灵敏度：-40dB±2dB(0dB=1V/Paat1KHz)。</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5.信噪比≥60db(1KHz@1Pa)。</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6.输出阻抗≤200欧姆。</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7.供电要求：48v幻象供电。</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12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5</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无线麦克风</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1.支持相位锁定频率合成（PLL）技术。</w:t>
            </w:r>
          </w:p>
          <w:p>
            <w:pPr>
              <w:widowControl/>
              <w:spacing w:line="240" w:lineRule="atLeast"/>
              <w:rPr>
                <w:rFonts w:asciiTheme="minorEastAsia" w:hAnsiTheme="minorEastAsia"/>
                <w:kern w:val="0"/>
                <w:szCs w:val="21"/>
              </w:rPr>
            </w:pPr>
            <w:r>
              <w:rPr>
                <w:rFonts w:hint="eastAsia" w:asciiTheme="minorEastAsia" w:hAnsiTheme="minorEastAsia"/>
                <w:kern w:val="0"/>
                <w:szCs w:val="21"/>
              </w:rPr>
              <w:t>2.支持超外差二次变频设计，接收稳定性高。</w:t>
            </w:r>
          </w:p>
          <w:p>
            <w:pPr>
              <w:widowControl/>
              <w:spacing w:line="240" w:lineRule="atLeast"/>
              <w:rPr>
                <w:rFonts w:asciiTheme="minorEastAsia" w:hAnsiTheme="minorEastAsia"/>
                <w:kern w:val="0"/>
                <w:szCs w:val="21"/>
              </w:rPr>
            </w:pPr>
            <w:r>
              <w:rPr>
                <w:rFonts w:hint="eastAsia" w:asciiTheme="minorEastAsia" w:hAnsiTheme="minorEastAsia"/>
                <w:kern w:val="0"/>
                <w:szCs w:val="21"/>
              </w:rPr>
              <w:t>3.支持接收机选择频率，一键红外对频确定发射器工作频率。</w:t>
            </w:r>
          </w:p>
          <w:p>
            <w:pPr>
              <w:widowControl/>
              <w:spacing w:line="240" w:lineRule="atLeast"/>
              <w:rPr>
                <w:rFonts w:asciiTheme="minorEastAsia" w:hAnsiTheme="minorEastAsia"/>
                <w:kern w:val="0"/>
                <w:szCs w:val="21"/>
              </w:rPr>
            </w:pPr>
            <w:r>
              <w:rPr>
                <w:rFonts w:hint="eastAsia" w:asciiTheme="minorEastAsia" w:hAnsiTheme="minorEastAsia"/>
                <w:kern w:val="0"/>
                <w:szCs w:val="21"/>
              </w:rPr>
              <w:t>4.支持发射机不区分通道，使用更加方便。</w:t>
            </w:r>
          </w:p>
          <w:p>
            <w:pPr>
              <w:widowControl/>
              <w:spacing w:line="240" w:lineRule="atLeast"/>
              <w:rPr>
                <w:rFonts w:asciiTheme="minorEastAsia" w:hAnsiTheme="minorEastAsia"/>
                <w:kern w:val="0"/>
                <w:szCs w:val="21"/>
              </w:rPr>
            </w:pPr>
            <w:r>
              <w:rPr>
                <w:rFonts w:hint="eastAsia" w:asciiTheme="minorEastAsia" w:hAnsiTheme="minorEastAsia"/>
                <w:kern w:val="0"/>
                <w:szCs w:val="21"/>
              </w:rPr>
              <w:t>5.支持发射机电路采用升压设计，电池电量下降不影响发射功率。</w:t>
            </w:r>
          </w:p>
          <w:p>
            <w:pPr>
              <w:widowControl/>
              <w:spacing w:line="240" w:lineRule="atLeast"/>
              <w:rPr>
                <w:rFonts w:asciiTheme="minorEastAsia" w:hAnsiTheme="minorEastAsia"/>
                <w:kern w:val="0"/>
                <w:szCs w:val="21"/>
              </w:rPr>
            </w:pPr>
            <w:r>
              <w:rPr>
                <w:rFonts w:hint="eastAsia" w:asciiTheme="minorEastAsia" w:hAnsiTheme="minorEastAsia"/>
                <w:kern w:val="0"/>
                <w:szCs w:val="21"/>
              </w:rPr>
              <w:t>6.支持低功耗设计，续航时间大于10小时。</w:t>
            </w:r>
          </w:p>
          <w:p>
            <w:pPr>
              <w:widowControl/>
              <w:spacing w:line="240" w:lineRule="atLeast"/>
              <w:rPr>
                <w:rFonts w:asciiTheme="minorEastAsia" w:hAnsiTheme="minorEastAsia"/>
                <w:kern w:val="0"/>
                <w:szCs w:val="21"/>
              </w:rPr>
            </w:pPr>
            <w:r>
              <w:rPr>
                <w:rFonts w:hint="eastAsia" w:asciiTheme="minorEastAsia" w:hAnsiTheme="minorEastAsia"/>
                <w:kern w:val="0"/>
                <w:szCs w:val="21"/>
              </w:rPr>
              <w:t>7.支持频率范围：600-690MHz</w:t>
            </w:r>
          </w:p>
          <w:p>
            <w:pPr>
              <w:widowControl/>
              <w:spacing w:line="240" w:lineRule="atLeast"/>
              <w:rPr>
                <w:rFonts w:asciiTheme="minorEastAsia" w:hAnsiTheme="minorEastAsia"/>
                <w:kern w:val="0"/>
                <w:szCs w:val="21"/>
              </w:rPr>
            </w:pPr>
            <w:r>
              <w:rPr>
                <w:rFonts w:hint="eastAsia" w:asciiTheme="minorEastAsia" w:hAnsiTheme="minorEastAsia"/>
                <w:kern w:val="0"/>
                <w:szCs w:val="21"/>
              </w:rPr>
              <w:t>8.支持调制方式：FM</w:t>
            </w:r>
          </w:p>
          <w:p>
            <w:pPr>
              <w:widowControl/>
              <w:spacing w:line="240" w:lineRule="atLeast"/>
              <w:rPr>
                <w:rFonts w:asciiTheme="minorEastAsia" w:hAnsiTheme="minorEastAsia"/>
                <w:kern w:val="0"/>
                <w:szCs w:val="21"/>
              </w:rPr>
            </w:pPr>
            <w:r>
              <w:rPr>
                <w:rFonts w:hint="eastAsia" w:asciiTheme="minorEastAsia" w:hAnsiTheme="minorEastAsia"/>
                <w:kern w:val="0"/>
                <w:szCs w:val="21"/>
              </w:rPr>
              <w:t>9.支持最大频偏：±50KHz</w:t>
            </w:r>
          </w:p>
          <w:p>
            <w:pPr>
              <w:widowControl/>
              <w:spacing w:line="240" w:lineRule="atLeast"/>
              <w:rPr>
                <w:rFonts w:asciiTheme="minorEastAsia" w:hAnsiTheme="minorEastAsia"/>
                <w:kern w:val="0"/>
                <w:szCs w:val="21"/>
              </w:rPr>
            </w:pPr>
            <w:r>
              <w:rPr>
                <w:rFonts w:hint="eastAsia" w:asciiTheme="minorEastAsia" w:hAnsiTheme="minorEastAsia"/>
                <w:kern w:val="0"/>
                <w:szCs w:val="21"/>
              </w:rPr>
              <w:t>10.支持音频响应：60Hz-16KHz(±3dB)</w:t>
            </w:r>
          </w:p>
          <w:p>
            <w:pPr>
              <w:widowControl/>
              <w:spacing w:line="240" w:lineRule="atLeast"/>
              <w:rPr>
                <w:rFonts w:asciiTheme="minorEastAsia" w:hAnsiTheme="minorEastAsia"/>
                <w:kern w:val="0"/>
                <w:szCs w:val="21"/>
              </w:rPr>
            </w:pPr>
            <w:r>
              <w:rPr>
                <w:rFonts w:hint="eastAsia" w:asciiTheme="minorEastAsia" w:hAnsiTheme="minorEastAsia"/>
                <w:kern w:val="0"/>
                <w:szCs w:val="21"/>
              </w:rPr>
              <w:t>11.支持动态范围：≥105dB</w:t>
            </w:r>
          </w:p>
          <w:p>
            <w:pPr>
              <w:widowControl/>
              <w:spacing w:line="240" w:lineRule="atLeast"/>
              <w:rPr>
                <w:rFonts w:asciiTheme="minorEastAsia" w:hAnsiTheme="minorEastAsia"/>
                <w:kern w:val="0"/>
                <w:szCs w:val="21"/>
              </w:rPr>
            </w:pPr>
            <w:r>
              <w:rPr>
                <w:rFonts w:hint="eastAsia" w:asciiTheme="minorEastAsia" w:hAnsiTheme="minorEastAsia"/>
                <w:kern w:val="0"/>
                <w:szCs w:val="21"/>
              </w:rPr>
              <w:t>12.支持综合失真：≤0.5%（@1KHz）</w:t>
            </w:r>
          </w:p>
          <w:p>
            <w:pPr>
              <w:widowControl/>
              <w:spacing w:line="240" w:lineRule="atLeast"/>
              <w:rPr>
                <w:rFonts w:asciiTheme="minorEastAsia" w:hAnsiTheme="minorEastAsia"/>
                <w:kern w:val="0"/>
                <w:szCs w:val="21"/>
              </w:rPr>
            </w:pPr>
            <w:r>
              <w:rPr>
                <w:rFonts w:hint="eastAsia" w:asciiTheme="minorEastAsia" w:hAnsiTheme="minorEastAsia"/>
                <w:kern w:val="0"/>
                <w:szCs w:val="21"/>
              </w:rPr>
              <w:t>13.为保证系统之间良好兼容性需与多功能教学终端同一品牌。</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6</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导播控制键盘</w:t>
            </w:r>
          </w:p>
        </w:tc>
        <w:tc>
          <w:tcPr>
            <w:tcW w:w="2959"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Theme="minorEastAsia" w:hAnsiTheme="minorEastAsia"/>
                <w:kern w:val="0"/>
                <w:szCs w:val="21"/>
              </w:rPr>
              <w:t>一、主机：</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1.需具备≥9个主播通道切换按键， ≥9个备播通道切换按键。</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2.需具备8个特效按键。</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3.具备6种视频模板按键。</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4.高亮度 OLED 屏幕显示，按键自动背光.，具有1个四维摇杆。</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5. 具有6个录播控制按键，包括：开始、暂停、停止、资源模式开关。</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6. 可调节摄像机控制，包括摄像机光圈、聚焦、放大、缩小按键。</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7. 具有发码回码指示灯，具有键盘锁定按键，防止误动。</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8. 电源：12V电源供电。</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9. 提供产品图片，加以验证技术指标参数。</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一、控制系统模块</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1.持远程控制≥</w:t>
            </w:r>
            <w:r>
              <w:rPr>
                <w:rFonts w:asciiTheme="minorEastAsia" w:hAnsiTheme="minorEastAsia"/>
                <w:kern w:val="0"/>
                <w:szCs w:val="21"/>
              </w:rPr>
              <w:t>9+9</w:t>
            </w:r>
            <w:r>
              <w:rPr>
                <w:rFonts w:hint="eastAsia" w:asciiTheme="minorEastAsia" w:hAnsiTheme="minorEastAsia"/>
                <w:kern w:val="0"/>
                <w:szCs w:val="21"/>
              </w:rPr>
              <w:t>路（主+备）播视频窗口的通道切换。</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2.支持矩阵型转场特效，不少于</w:t>
            </w:r>
            <w:r>
              <w:rPr>
                <w:rFonts w:asciiTheme="minorEastAsia" w:hAnsiTheme="minorEastAsia"/>
                <w:kern w:val="0"/>
                <w:szCs w:val="21"/>
              </w:rPr>
              <w:t>8</w:t>
            </w:r>
            <w:r>
              <w:rPr>
                <w:rFonts w:hint="eastAsia" w:asciiTheme="minorEastAsia" w:hAnsiTheme="minorEastAsia"/>
                <w:kern w:val="0"/>
                <w:szCs w:val="21"/>
              </w:rPr>
              <w:t>种视频转场特效，增强画面效果。</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3.通过分散性6种视频组合叠加，可实现画中画模式、对话模式、三分屏模式和四分屏模式视频。</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4.具备≥6种录播控制功能模式，可控制录制的开始、暂停、停止以及资源模式录制的开始停止，教师跟踪手/自动、学生定位手/自动、导播规则的启用停止。</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5.采用旋转式四维摇杆，可实现伴随式备播摄像机画面的推拉摇移，并且可以实现锁定焦距功能，防止误操作。</w:t>
            </w:r>
          </w:p>
          <w:p>
            <w:pPr>
              <w:widowControl/>
              <w:jc w:val="left"/>
              <w:textAlignment w:val="center"/>
              <w:rPr>
                <w:rFonts w:asciiTheme="minorEastAsia" w:hAnsiTheme="minorEastAsia"/>
                <w:szCs w:val="21"/>
              </w:rPr>
            </w:pPr>
            <w:r>
              <w:rPr>
                <w:rFonts w:hint="eastAsia" w:asciiTheme="minorEastAsia" w:hAnsiTheme="minorEastAsia"/>
                <w:kern w:val="0"/>
                <w:szCs w:val="21"/>
              </w:rPr>
              <w:t>6.支持≥255个预置位设置调用。</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7</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多媒体讲桌</w:t>
            </w:r>
          </w:p>
        </w:tc>
        <w:tc>
          <w:tcPr>
            <w:tcW w:w="2959" w:type="pct"/>
            <w:tcBorders>
              <w:top w:val="single" w:color="auto" w:sz="4" w:space="0"/>
              <w:left w:val="nil"/>
              <w:bottom w:val="single" w:color="auto" w:sz="4" w:space="0"/>
              <w:right w:val="single" w:color="auto" w:sz="4" w:space="0"/>
            </w:tcBorders>
            <w:vAlign w:val="center"/>
          </w:tcPr>
          <w:p>
            <w:pPr>
              <w:spacing w:line="240" w:lineRule="atLeast"/>
              <w:rPr>
                <w:rFonts w:asciiTheme="minorEastAsia" w:hAnsiTheme="minorEastAsia"/>
                <w:kern w:val="0"/>
                <w:szCs w:val="21"/>
              </w:rPr>
            </w:pPr>
            <w:r>
              <w:rPr>
                <w:rFonts w:hint="eastAsia" w:asciiTheme="minorEastAsia" w:hAnsiTheme="minorEastAsia"/>
                <w:kern w:val="0"/>
                <w:szCs w:val="21"/>
              </w:rPr>
              <w:t>1、讲桌采用钢木结合构造，桌体上部分采用圆弧设计。讲台整体设计为传统演讲台样式，讲台上体采用倒梯形收边设计，提供左右实木扶手，整体为黑白配色，重点部位须采用一次冲压成型技术；所有钣金部分均采用激光切割加工，所有尖角倒圆角不小于R3，保证使用者和维护者不划伤。</w:t>
            </w:r>
          </w:p>
          <w:p>
            <w:pPr>
              <w:spacing w:line="240" w:lineRule="atLeast"/>
              <w:rPr>
                <w:rFonts w:asciiTheme="minorEastAsia" w:hAnsiTheme="minorEastAsia"/>
                <w:kern w:val="0"/>
                <w:szCs w:val="21"/>
              </w:rPr>
            </w:pPr>
            <w:r>
              <w:rPr>
                <w:rFonts w:hint="eastAsia" w:asciiTheme="minorEastAsia" w:hAnsiTheme="minorEastAsia"/>
                <w:kern w:val="0"/>
                <w:szCs w:val="21"/>
              </w:rPr>
              <w:t>2、钢板厚度不小于10mm优质冷轧钢板；讲台为上下分体式结构，实木扶手。讲台闭合尺寸850*500*950mm（长宽高），表面涂层须通过ROHS检测，并提供检测报告。讲桌桌面采用木质耐划台面，闭合时讲台桌面为完整水平木台面，可作为教师演讲桌使用。满足室内装饰材料人造板及其制品中的甲醛释放量标准要求并能够提供检测报告，具备木器加工许可证。讲桌后背可丝印LOGO。讲台标配2个usb接口，1个五孔电源插座。</w:t>
            </w:r>
          </w:p>
          <w:p>
            <w:pPr>
              <w:spacing w:line="240" w:lineRule="atLeast"/>
              <w:rPr>
                <w:rFonts w:asciiTheme="minorEastAsia" w:hAnsiTheme="minorEastAsia"/>
                <w:kern w:val="0"/>
                <w:szCs w:val="21"/>
              </w:rPr>
            </w:pPr>
            <w:r>
              <w:rPr>
                <w:rFonts w:hint="eastAsia" w:asciiTheme="minorEastAsia" w:hAnsiTheme="minorEastAsia"/>
                <w:kern w:val="0"/>
                <w:szCs w:val="21"/>
              </w:rPr>
              <w:t>3、上柜有储物抽屉，可放置平板电脑遥控器等物品，下柜有储物柜功能，可放置电脑主机等简单设备。桌体下层四角圆弧设计，内部采用分层设计，可放置课本作业及教</w:t>
            </w:r>
          </w:p>
          <w:p>
            <w:pPr>
              <w:spacing w:line="240" w:lineRule="atLeast"/>
              <w:rPr>
                <w:rFonts w:asciiTheme="minorEastAsia" w:hAnsiTheme="minorEastAsia"/>
                <w:kern w:val="0"/>
                <w:szCs w:val="21"/>
              </w:rPr>
            </w:pPr>
            <w:r>
              <w:rPr>
                <w:rFonts w:hint="eastAsia" w:asciiTheme="minorEastAsia" w:hAnsiTheme="minorEastAsia"/>
                <w:kern w:val="0"/>
                <w:szCs w:val="21"/>
              </w:rPr>
              <w:t>具等物品。关闭后,所有东西都隐藏在讲台内。</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8</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录播服务器</w:t>
            </w:r>
            <w:r>
              <w:rPr>
                <w:rFonts w:hint="eastAsia" w:ascii="宋体" w:hAnsi="宋体"/>
                <w:kern w:val="0"/>
                <w:szCs w:val="21"/>
              </w:rPr>
              <w:t>▲</w:t>
            </w:r>
          </w:p>
        </w:tc>
        <w:tc>
          <w:tcPr>
            <w:tcW w:w="2959" w:type="pct"/>
            <w:tcBorders>
              <w:top w:val="single" w:color="auto" w:sz="4" w:space="0"/>
              <w:left w:val="nil"/>
              <w:bottom w:val="single" w:color="auto" w:sz="4" w:space="0"/>
              <w:right w:val="single" w:color="auto" w:sz="4" w:space="0"/>
            </w:tcBorders>
            <w:vAlign w:val="center"/>
          </w:tcPr>
          <w:p>
            <w:pPr>
              <w:spacing w:line="240" w:lineRule="atLeast"/>
              <w:rPr>
                <w:rFonts w:asciiTheme="minorEastAsia" w:hAnsiTheme="minorEastAsia"/>
                <w:kern w:val="0"/>
                <w:szCs w:val="21"/>
              </w:rPr>
            </w:pPr>
            <w:r>
              <w:rPr>
                <w:rFonts w:hint="eastAsia" w:asciiTheme="minorEastAsia" w:hAnsiTheme="minorEastAsia"/>
                <w:kern w:val="0"/>
                <w:szCs w:val="21"/>
              </w:rPr>
              <w:t>硬件技术参数：</w:t>
            </w:r>
          </w:p>
          <w:p>
            <w:pPr>
              <w:spacing w:line="240" w:lineRule="atLeast"/>
              <w:rPr>
                <w:rFonts w:asciiTheme="minorEastAsia" w:hAnsiTheme="minorEastAsia"/>
                <w:kern w:val="0"/>
                <w:szCs w:val="21"/>
              </w:rPr>
            </w:pPr>
            <w:r>
              <w:rPr>
                <w:rFonts w:hint="eastAsia" w:asciiTheme="minorEastAsia" w:hAnsiTheme="minorEastAsia"/>
                <w:kern w:val="0"/>
                <w:szCs w:val="21"/>
              </w:rPr>
              <w:t>1、处理器：E3；</w:t>
            </w:r>
          </w:p>
          <w:p>
            <w:pPr>
              <w:spacing w:line="240" w:lineRule="atLeast"/>
              <w:rPr>
                <w:rFonts w:asciiTheme="minorEastAsia" w:hAnsiTheme="minorEastAsia"/>
                <w:kern w:val="0"/>
                <w:szCs w:val="21"/>
              </w:rPr>
            </w:pPr>
            <w:r>
              <w:rPr>
                <w:rFonts w:hint="eastAsia" w:asciiTheme="minorEastAsia" w:hAnsiTheme="minorEastAsia"/>
                <w:kern w:val="0"/>
                <w:szCs w:val="21"/>
              </w:rPr>
              <w:t>（1）核心数量：≥四核心；</w:t>
            </w:r>
          </w:p>
          <w:p>
            <w:pPr>
              <w:spacing w:line="240" w:lineRule="atLeast"/>
              <w:rPr>
                <w:rFonts w:asciiTheme="minorEastAsia" w:hAnsiTheme="minorEastAsia"/>
                <w:kern w:val="0"/>
                <w:szCs w:val="21"/>
              </w:rPr>
            </w:pPr>
            <w:r>
              <w:rPr>
                <w:rFonts w:hint="eastAsia" w:asciiTheme="minorEastAsia" w:hAnsiTheme="minorEastAsia"/>
                <w:kern w:val="0"/>
                <w:szCs w:val="21"/>
              </w:rPr>
              <w:t>（2）线程数量：≥八线程；</w:t>
            </w:r>
          </w:p>
          <w:p>
            <w:pPr>
              <w:spacing w:line="240" w:lineRule="atLeast"/>
              <w:rPr>
                <w:rFonts w:asciiTheme="minorEastAsia" w:hAnsiTheme="minorEastAsia"/>
                <w:kern w:val="0"/>
                <w:szCs w:val="21"/>
              </w:rPr>
            </w:pPr>
            <w:r>
              <w:rPr>
                <w:rFonts w:hint="eastAsia" w:asciiTheme="minorEastAsia" w:hAnsiTheme="minorEastAsia"/>
                <w:kern w:val="0"/>
                <w:szCs w:val="21"/>
              </w:rPr>
              <w:t>（3）主频：≥3.4GHz；</w:t>
            </w:r>
          </w:p>
          <w:p>
            <w:pPr>
              <w:spacing w:line="240" w:lineRule="atLeast"/>
              <w:rPr>
                <w:rFonts w:asciiTheme="minorEastAsia" w:hAnsiTheme="minorEastAsia"/>
                <w:kern w:val="0"/>
                <w:szCs w:val="21"/>
              </w:rPr>
            </w:pPr>
            <w:r>
              <w:rPr>
                <w:rFonts w:hint="eastAsia" w:asciiTheme="minorEastAsia" w:hAnsiTheme="minorEastAsia"/>
                <w:kern w:val="0"/>
                <w:szCs w:val="21"/>
              </w:rPr>
              <w:t>（4）动态加速频率：≥3.8GHz；</w:t>
            </w:r>
          </w:p>
          <w:p>
            <w:pPr>
              <w:spacing w:line="240" w:lineRule="atLeast"/>
              <w:rPr>
                <w:rFonts w:asciiTheme="minorEastAsia" w:hAnsiTheme="minorEastAsia"/>
                <w:kern w:val="0"/>
                <w:szCs w:val="21"/>
              </w:rPr>
            </w:pPr>
            <w:r>
              <w:rPr>
                <w:rFonts w:hint="eastAsia" w:asciiTheme="minorEastAsia" w:hAnsiTheme="minorEastAsia"/>
                <w:kern w:val="0"/>
                <w:szCs w:val="21"/>
              </w:rPr>
              <w:t>（5）L3缓存：≥8MB；</w:t>
            </w:r>
          </w:p>
          <w:p>
            <w:pPr>
              <w:spacing w:line="240" w:lineRule="atLeast"/>
              <w:rPr>
                <w:rFonts w:asciiTheme="minorEastAsia" w:hAnsiTheme="minorEastAsia"/>
                <w:kern w:val="0"/>
                <w:szCs w:val="21"/>
              </w:rPr>
            </w:pPr>
            <w:r>
              <w:rPr>
                <w:rFonts w:hint="eastAsia" w:asciiTheme="minorEastAsia" w:hAnsiTheme="minorEastAsia"/>
                <w:kern w:val="0"/>
                <w:szCs w:val="21"/>
              </w:rPr>
              <w:t>（6）总线规格：≥DMI2 5GT/s；</w:t>
            </w:r>
          </w:p>
          <w:p>
            <w:pPr>
              <w:spacing w:line="240" w:lineRule="atLeast"/>
              <w:rPr>
                <w:rFonts w:asciiTheme="minorEastAsia" w:hAnsiTheme="minorEastAsia"/>
                <w:kern w:val="0"/>
                <w:szCs w:val="21"/>
              </w:rPr>
            </w:pPr>
            <w:r>
              <w:rPr>
                <w:rFonts w:hint="eastAsia" w:asciiTheme="minorEastAsia" w:hAnsiTheme="minorEastAsia"/>
                <w:kern w:val="0"/>
                <w:szCs w:val="21"/>
              </w:rPr>
              <w:t>2、主板</w:t>
            </w:r>
          </w:p>
          <w:p>
            <w:pPr>
              <w:spacing w:line="240" w:lineRule="atLeast"/>
              <w:rPr>
                <w:rFonts w:asciiTheme="minorEastAsia" w:hAnsiTheme="minorEastAsia"/>
                <w:kern w:val="0"/>
                <w:szCs w:val="21"/>
              </w:rPr>
            </w:pPr>
            <w:r>
              <w:rPr>
                <w:rFonts w:hint="eastAsia" w:asciiTheme="minorEastAsia" w:hAnsiTheme="minorEastAsia"/>
                <w:kern w:val="0"/>
                <w:szCs w:val="21"/>
              </w:rPr>
              <w:t>要求主板接口不少于以下要求：</w:t>
            </w:r>
          </w:p>
          <w:p>
            <w:pPr>
              <w:spacing w:line="240" w:lineRule="atLeast"/>
              <w:rPr>
                <w:rFonts w:asciiTheme="minorEastAsia" w:hAnsiTheme="minorEastAsia"/>
                <w:kern w:val="0"/>
                <w:szCs w:val="21"/>
              </w:rPr>
            </w:pPr>
            <w:r>
              <w:rPr>
                <w:rFonts w:hint="eastAsia" w:asciiTheme="minorEastAsia" w:hAnsiTheme="minorEastAsia"/>
                <w:kern w:val="0"/>
                <w:szCs w:val="21"/>
              </w:rPr>
              <w:t>（1）PCI插槽 1个PCI-E 3.0 x8</w:t>
            </w:r>
          </w:p>
          <w:p>
            <w:pPr>
              <w:spacing w:line="240" w:lineRule="atLeast"/>
              <w:rPr>
                <w:rFonts w:asciiTheme="minorEastAsia" w:hAnsiTheme="minorEastAsia"/>
                <w:kern w:val="0"/>
                <w:szCs w:val="21"/>
              </w:rPr>
            </w:pPr>
            <w:r>
              <w:rPr>
                <w:rFonts w:hint="eastAsia" w:asciiTheme="minorEastAsia" w:hAnsiTheme="minorEastAsia"/>
                <w:kern w:val="0"/>
                <w:szCs w:val="21"/>
              </w:rPr>
              <w:t>（2）1个PCI-E 3.0 x8</w:t>
            </w:r>
          </w:p>
          <w:p>
            <w:pPr>
              <w:spacing w:line="240" w:lineRule="atLeast"/>
              <w:rPr>
                <w:rFonts w:asciiTheme="minorEastAsia" w:hAnsiTheme="minorEastAsia"/>
                <w:kern w:val="0"/>
                <w:szCs w:val="21"/>
              </w:rPr>
            </w:pPr>
            <w:r>
              <w:rPr>
                <w:rFonts w:hint="eastAsia" w:asciiTheme="minorEastAsia" w:hAnsiTheme="minorEastAsia"/>
                <w:kern w:val="0"/>
                <w:szCs w:val="21"/>
              </w:rPr>
              <w:t>（3）1个PCI-E 3.0 x4（x8）</w:t>
            </w:r>
          </w:p>
          <w:p>
            <w:pPr>
              <w:spacing w:line="240" w:lineRule="atLeast"/>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4</w:t>
            </w:r>
            <w:r>
              <w:rPr>
                <w:rFonts w:hint="eastAsia" w:asciiTheme="minorEastAsia" w:hAnsiTheme="minorEastAsia"/>
                <w:kern w:val="0"/>
                <w:szCs w:val="21"/>
              </w:rPr>
              <w:t>）USB接口 6×USB2.0</w:t>
            </w:r>
          </w:p>
          <w:p>
            <w:pPr>
              <w:spacing w:line="240" w:lineRule="atLeast"/>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5</w:t>
            </w:r>
            <w:r>
              <w:rPr>
                <w:rFonts w:hint="eastAsia" w:asciiTheme="minorEastAsia" w:hAnsiTheme="minorEastAsia"/>
                <w:kern w:val="0"/>
                <w:szCs w:val="21"/>
              </w:rPr>
              <w:t>）并口串口 1×COM接口</w:t>
            </w:r>
          </w:p>
          <w:p>
            <w:pPr>
              <w:spacing w:line="240" w:lineRule="atLeast"/>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6</w:t>
            </w:r>
            <w:r>
              <w:rPr>
                <w:rFonts w:hint="eastAsia" w:asciiTheme="minorEastAsia" w:hAnsiTheme="minorEastAsia"/>
                <w:kern w:val="0"/>
                <w:szCs w:val="21"/>
              </w:rPr>
              <w:t>）网络：主板集成两个千兆网络端口 .</w:t>
            </w:r>
          </w:p>
          <w:p>
            <w:pPr>
              <w:spacing w:line="240" w:lineRule="atLeast"/>
              <w:rPr>
                <w:rFonts w:asciiTheme="minorEastAsia" w:hAnsiTheme="minorEastAsia"/>
                <w:kern w:val="0"/>
                <w:szCs w:val="21"/>
              </w:rPr>
            </w:pPr>
            <w:r>
              <w:rPr>
                <w:rFonts w:hint="eastAsia" w:asciiTheme="minorEastAsia" w:hAnsiTheme="minorEastAsia"/>
                <w:kern w:val="0"/>
                <w:szCs w:val="21"/>
              </w:rPr>
              <w:t>3、硬盘</w:t>
            </w:r>
          </w:p>
          <w:p>
            <w:pPr>
              <w:spacing w:line="240" w:lineRule="atLeast"/>
              <w:rPr>
                <w:rFonts w:asciiTheme="minorEastAsia" w:hAnsiTheme="minorEastAsia"/>
                <w:kern w:val="0"/>
                <w:szCs w:val="21"/>
              </w:rPr>
            </w:pPr>
            <w:r>
              <w:rPr>
                <w:rFonts w:hint="eastAsia" w:asciiTheme="minorEastAsia" w:hAnsiTheme="minorEastAsia"/>
                <w:kern w:val="0"/>
                <w:szCs w:val="21"/>
              </w:rPr>
              <w:t>（1）容量：≥4T；</w:t>
            </w:r>
          </w:p>
          <w:p>
            <w:pPr>
              <w:spacing w:line="240" w:lineRule="atLeast"/>
              <w:rPr>
                <w:rFonts w:asciiTheme="minorEastAsia" w:hAnsiTheme="minorEastAsia"/>
                <w:kern w:val="0"/>
                <w:szCs w:val="21"/>
              </w:rPr>
            </w:pPr>
            <w:r>
              <w:rPr>
                <w:rFonts w:hint="eastAsia" w:asciiTheme="minorEastAsia" w:hAnsiTheme="minorEastAsia"/>
                <w:kern w:val="0"/>
                <w:szCs w:val="21"/>
              </w:rPr>
              <w:t>（2）硬盘位：≥4x 3.5" SATA</w:t>
            </w:r>
            <w:r>
              <w:rPr>
                <w:rFonts w:asciiTheme="minorEastAsia" w:hAnsiTheme="minorEastAsia"/>
                <w:kern w:val="0"/>
                <w:szCs w:val="21"/>
              </w:rPr>
              <w:t>3</w:t>
            </w:r>
            <w:r>
              <w:rPr>
                <w:rFonts w:hint="eastAsia" w:asciiTheme="minorEastAsia" w:hAnsiTheme="minorEastAsia"/>
                <w:kern w:val="0"/>
                <w:szCs w:val="21"/>
              </w:rPr>
              <w:t xml:space="preserve"> HDDs；</w:t>
            </w:r>
          </w:p>
          <w:p>
            <w:pPr>
              <w:spacing w:line="240" w:lineRule="atLeast"/>
              <w:rPr>
                <w:rFonts w:asciiTheme="minorEastAsia" w:hAnsiTheme="minorEastAsia"/>
                <w:kern w:val="0"/>
                <w:szCs w:val="21"/>
              </w:rPr>
            </w:pPr>
            <w:r>
              <w:rPr>
                <w:rFonts w:hint="eastAsia" w:asciiTheme="minorEastAsia" w:hAnsiTheme="minorEastAsia"/>
                <w:kern w:val="0"/>
                <w:szCs w:val="21"/>
              </w:rPr>
              <w:t>4、内存：16GB DDR4 最高扩展至64G内存，单条最大可支持到16GB；</w:t>
            </w:r>
          </w:p>
          <w:p>
            <w:pPr>
              <w:spacing w:line="240" w:lineRule="atLeast"/>
              <w:rPr>
                <w:rFonts w:asciiTheme="minorEastAsia" w:hAnsiTheme="minorEastAsia"/>
                <w:kern w:val="0"/>
                <w:szCs w:val="21"/>
              </w:rPr>
            </w:pPr>
            <w:r>
              <w:rPr>
                <w:rFonts w:hint="eastAsia" w:asciiTheme="minorEastAsia" w:hAnsiTheme="minorEastAsia"/>
                <w:kern w:val="0"/>
                <w:szCs w:val="21"/>
              </w:rPr>
              <w:t>5、电源：≥350W Gold Level Power Supply；</w:t>
            </w:r>
          </w:p>
          <w:p>
            <w:pPr>
              <w:spacing w:line="240" w:lineRule="atLeast"/>
              <w:rPr>
                <w:rFonts w:asciiTheme="minorEastAsia" w:hAnsiTheme="minorEastAsia"/>
                <w:kern w:val="0"/>
                <w:szCs w:val="21"/>
              </w:rPr>
            </w:pPr>
            <w:r>
              <w:rPr>
                <w:rFonts w:hint="eastAsia" w:asciiTheme="minorEastAsia" w:hAnsiTheme="minorEastAsia"/>
                <w:kern w:val="0"/>
                <w:szCs w:val="21"/>
              </w:rPr>
              <w:t>6、机箱：1U机架式服务器机箱,最大支持4块SATA接口的3.5企业级硬盘；</w:t>
            </w:r>
          </w:p>
          <w:p>
            <w:pPr>
              <w:spacing w:line="240" w:lineRule="atLeast"/>
              <w:rPr>
                <w:rFonts w:asciiTheme="minorEastAsia" w:hAnsiTheme="minorEastAsia"/>
                <w:kern w:val="0"/>
                <w:szCs w:val="21"/>
              </w:rPr>
            </w:pPr>
            <w:r>
              <w:rPr>
                <w:rFonts w:hint="eastAsia" w:asciiTheme="minorEastAsia" w:hAnsiTheme="minorEastAsia"/>
                <w:kern w:val="0"/>
                <w:szCs w:val="21"/>
              </w:rPr>
              <w:t>软件技术参数：</w:t>
            </w:r>
          </w:p>
          <w:p>
            <w:pPr>
              <w:spacing w:line="240" w:lineRule="atLeast"/>
              <w:rPr>
                <w:rFonts w:asciiTheme="minorEastAsia" w:hAnsiTheme="minorEastAsia"/>
                <w:kern w:val="0"/>
                <w:szCs w:val="21"/>
              </w:rPr>
            </w:pPr>
            <w:r>
              <w:rPr>
                <w:rFonts w:hint="eastAsia" w:asciiTheme="minorEastAsia" w:hAnsiTheme="minorEastAsia"/>
                <w:kern w:val="0"/>
                <w:szCs w:val="21"/>
              </w:rPr>
              <w:t>一、平台架构功能：</w:t>
            </w:r>
          </w:p>
          <w:p>
            <w:pPr>
              <w:spacing w:line="240" w:lineRule="atLeast"/>
              <w:rPr>
                <w:rFonts w:asciiTheme="minorEastAsia" w:hAnsiTheme="minorEastAsia"/>
                <w:kern w:val="0"/>
                <w:szCs w:val="21"/>
              </w:rPr>
            </w:pPr>
            <w:r>
              <w:rPr>
                <w:rFonts w:hint="eastAsia" w:asciiTheme="minorEastAsia" w:hAnsiTheme="minorEastAsia"/>
                <w:kern w:val="0"/>
                <w:szCs w:val="21"/>
              </w:rPr>
              <w:t>1.智慧课堂平台通过联通教室、教师和学生，将线上线下、课上课下链接在一起，实现课堂数据和学习数据自动采集，资源到应用的一体化教学管理、课堂互动、课后答疑、远程互动、数据分析、设备管理。</w:t>
            </w:r>
          </w:p>
          <w:p>
            <w:pPr>
              <w:spacing w:line="240" w:lineRule="atLeast"/>
              <w:rPr>
                <w:rFonts w:asciiTheme="minorEastAsia" w:hAnsiTheme="minorEastAsia"/>
                <w:kern w:val="0"/>
                <w:szCs w:val="21"/>
              </w:rPr>
            </w:pPr>
            <w:r>
              <w:rPr>
                <w:rFonts w:hint="eastAsia" w:asciiTheme="minorEastAsia" w:hAnsiTheme="minorEastAsia"/>
                <w:kern w:val="0"/>
                <w:szCs w:val="21"/>
              </w:rPr>
              <w:t>2.平台教与学应用支撑，智慧课堂以课表为核心，汇聚应用与数据，基于音视频核心技术可方便的服务于教学管理、教师授课及学生学习，并形成管理数据、学情分析、考勤分析数据智能化采集与分析。</w:t>
            </w:r>
          </w:p>
          <w:p>
            <w:pPr>
              <w:spacing w:line="240" w:lineRule="atLeast"/>
              <w:rPr>
                <w:rFonts w:asciiTheme="minorEastAsia" w:hAnsiTheme="minorEastAsia"/>
                <w:kern w:val="0"/>
                <w:szCs w:val="21"/>
              </w:rPr>
            </w:pPr>
            <w:r>
              <w:rPr>
                <w:rFonts w:hint="eastAsia" w:asciiTheme="minorEastAsia" w:hAnsiTheme="minorEastAsia"/>
                <w:kern w:val="0"/>
                <w:szCs w:val="21"/>
              </w:rPr>
              <w:t>3.平台支持混合云架构，用户在教育网内登录时，直接访问本地点播服务器；用户在广域网进行访问时，通过云端点播服务器获取课程内容。</w:t>
            </w:r>
          </w:p>
          <w:p>
            <w:pPr>
              <w:spacing w:line="240" w:lineRule="atLeast"/>
              <w:rPr>
                <w:rFonts w:asciiTheme="minorEastAsia" w:hAnsiTheme="minorEastAsia"/>
                <w:kern w:val="0"/>
                <w:szCs w:val="21"/>
              </w:rPr>
            </w:pPr>
            <w:r>
              <w:rPr>
                <w:rFonts w:hint="eastAsia" w:asciiTheme="minorEastAsia" w:hAnsiTheme="minorEastAsia"/>
                <w:kern w:val="0"/>
                <w:szCs w:val="21"/>
              </w:rPr>
              <w:t>4.整个系统基于B/S架构，可以在Windows，Mac，Android等多种平台下运行。</w:t>
            </w:r>
          </w:p>
          <w:p>
            <w:pPr>
              <w:spacing w:line="240" w:lineRule="atLeast"/>
              <w:rPr>
                <w:rFonts w:asciiTheme="minorEastAsia" w:hAnsiTheme="minorEastAsia"/>
                <w:kern w:val="0"/>
                <w:szCs w:val="21"/>
              </w:rPr>
            </w:pPr>
            <w:r>
              <w:rPr>
                <w:rFonts w:hint="eastAsia" w:asciiTheme="minorEastAsia" w:hAnsiTheme="minorEastAsia"/>
                <w:kern w:val="0"/>
                <w:szCs w:val="21"/>
              </w:rPr>
              <w:t>5.支持播放器自适应功能，自适应H5视频点播方式，无需安装其它播件，即可点播视频课件。</w:t>
            </w:r>
          </w:p>
          <w:p>
            <w:pPr>
              <w:spacing w:line="240" w:lineRule="atLeast"/>
              <w:rPr>
                <w:rFonts w:asciiTheme="minorEastAsia" w:hAnsiTheme="minorEastAsia"/>
                <w:kern w:val="0"/>
                <w:szCs w:val="21"/>
              </w:rPr>
            </w:pPr>
            <w:r>
              <w:rPr>
                <w:rFonts w:hint="eastAsia" w:asciiTheme="minorEastAsia" w:hAnsiTheme="minorEastAsia"/>
                <w:kern w:val="0"/>
                <w:szCs w:val="21"/>
              </w:rPr>
              <w:t>6.支持提供并开放视频资源上传接口，实现第三方录播系统资源上传到智慧课堂平台。</w:t>
            </w:r>
          </w:p>
          <w:p>
            <w:pPr>
              <w:spacing w:line="240" w:lineRule="atLeast"/>
              <w:rPr>
                <w:rFonts w:asciiTheme="minorEastAsia" w:hAnsiTheme="minorEastAsia"/>
                <w:kern w:val="0"/>
                <w:szCs w:val="21"/>
              </w:rPr>
            </w:pPr>
            <w:r>
              <w:rPr>
                <w:rFonts w:hint="eastAsia" w:asciiTheme="minorEastAsia" w:hAnsiTheme="minorEastAsia"/>
                <w:kern w:val="0"/>
                <w:szCs w:val="21"/>
              </w:rPr>
              <w:t>7.支持较强的兼容性，兼容其他录播品牌的前端设备推送的rtmp流。</w:t>
            </w:r>
          </w:p>
          <w:p>
            <w:pPr>
              <w:spacing w:line="240" w:lineRule="atLeast"/>
              <w:rPr>
                <w:rFonts w:asciiTheme="minorEastAsia" w:hAnsiTheme="minorEastAsia"/>
                <w:kern w:val="0"/>
                <w:szCs w:val="21"/>
              </w:rPr>
            </w:pPr>
            <w:r>
              <w:rPr>
                <w:rFonts w:hint="eastAsia" w:asciiTheme="minorEastAsia" w:hAnsiTheme="minorEastAsia"/>
                <w:kern w:val="0"/>
                <w:szCs w:val="21"/>
              </w:rPr>
              <w:t>8.平台采用开放式接口，支持学校原有系统实现对接，支持单点登录认证，统一集中管理。</w:t>
            </w:r>
          </w:p>
          <w:p>
            <w:pPr>
              <w:spacing w:line="240" w:lineRule="atLeast"/>
              <w:rPr>
                <w:rFonts w:asciiTheme="minorEastAsia" w:hAnsiTheme="minorEastAsia"/>
                <w:kern w:val="0"/>
                <w:szCs w:val="21"/>
              </w:rPr>
            </w:pPr>
            <w:r>
              <w:rPr>
                <w:rFonts w:hint="eastAsia" w:asciiTheme="minorEastAsia" w:hAnsiTheme="minorEastAsia"/>
                <w:kern w:val="0"/>
                <w:szCs w:val="21"/>
              </w:rPr>
              <w:t>9.支持首页管理功能，自定义平台首页轮播图设定。</w:t>
            </w:r>
          </w:p>
          <w:p>
            <w:pPr>
              <w:spacing w:line="240" w:lineRule="atLeast"/>
              <w:rPr>
                <w:rFonts w:asciiTheme="minorEastAsia" w:hAnsiTheme="minorEastAsia"/>
                <w:kern w:val="0"/>
                <w:szCs w:val="21"/>
              </w:rPr>
            </w:pPr>
            <w:r>
              <w:rPr>
                <w:rFonts w:hint="eastAsia" w:asciiTheme="minorEastAsia" w:hAnsiTheme="minorEastAsia"/>
                <w:kern w:val="0"/>
                <w:szCs w:val="21"/>
              </w:rPr>
              <w:t>10.支持公开直播管理：正在直播、即将直播、课程推荐、直播排行榜、教师排行榜、最新动态功能展示。</w:t>
            </w:r>
          </w:p>
          <w:p>
            <w:pPr>
              <w:spacing w:line="240" w:lineRule="atLeast"/>
              <w:rPr>
                <w:rFonts w:asciiTheme="minorEastAsia" w:hAnsiTheme="minorEastAsia"/>
                <w:kern w:val="0"/>
                <w:szCs w:val="21"/>
              </w:rPr>
            </w:pPr>
            <w:r>
              <w:rPr>
                <w:rFonts w:hint="eastAsia" w:asciiTheme="minorEastAsia" w:hAnsiTheme="minorEastAsia"/>
                <w:kern w:val="0"/>
                <w:szCs w:val="21"/>
              </w:rPr>
              <w:t>11.提供云录播管理类类相关软件著作权证书后者复印件。</w:t>
            </w:r>
          </w:p>
          <w:p>
            <w:pPr>
              <w:spacing w:line="240" w:lineRule="atLeast"/>
              <w:rPr>
                <w:rFonts w:asciiTheme="minorEastAsia" w:hAnsiTheme="minorEastAsia"/>
                <w:kern w:val="0"/>
                <w:szCs w:val="21"/>
              </w:rPr>
            </w:pPr>
            <w:r>
              <w:rPr>
                <w:rFonts w:hint="eastAsia" w:asciiTheme="minorEastAsia" w:hAnsiTheme="minorEastAsia"/>
                <w:kern w:val="0"/>
                <w:szCs w:val="21"/>
              </w:rPr>
              <w:t>二、直播课堂管理系统：</w:t>
            </w:r>
          </w:p>
          <w:p>
            <w:pPr>
              <w:spacing w:line="240" w:lineRule="atLeast"/>
              <w:rPr>
                <w:rFonts w:asciiTheme="minorEastAsia" w:hAnsiTheme="minorEastAsia"/>
                <w:kern w:val="0"/>
                <w:szCs w:val="21"/>
              </w:rPr>
            </w:pPr>
            <w:r>
              <w:rPr>
                <w:rFonts w:hint="eastAsia" w:asciiTheme="minorEastAsia" w:hAnsiTheme="minorEastAsia"/>
                <w:kern w:val="0"/>
                <w:szCs w:val="21"/>
              </w:rPr>
              <w:t>1.支持按学科分类功能，根据不同学科进行查看教学课堂直播。</w:t>
            </w:r>
          </w:p>
          <w:p>
            <w:pPr>
              <w:spacing w:line="240" w:lineRule="atLeast"/>
              <w:rPr>
                <w:rFonts w:asciiTheme="minorEastAsia" w:hAnsiTheme="minorEastAsia"/>
                <w:kern w:val="0"/>
                <w:szCs w:val="21"/>
              </w:rPr>
            </w:pPr>
            <w:r>
              <w:rPr>
                <w:rFonts w:hint="eastAsia" w:asciiTheme="minorEastAsia" w:hAnsiTheme="minorEastAsia"/>
                <w:kern w:val="0"/>
                <w:szCs w:val="21"/>
              </w:rPr>
              <w:t>2.支持按学期查看直播功能，按照不同学年学期查看直播课程。</w:t>
            </w:r>
          </w:p>
          <w:p>
            <w:pPr>
              <w:spacing w:line="240" w:lineRule="atLeast"/>
              <w:rPr>
                <w:rFonts w:asciiTheme="minorEastAsia" w:hAnsiTheme="minorEastAsia"/>
                <w:kern w:val="0"/>
                <w:szCs w:val="21"/>
              </w:rPr>
            </w:pPr>
            <w:r>
              <w:rPr>
                <w:rFonts w:hint="eastAsia" w:asciiTheme="minorEastAsia" w:hAnsiTheme="minorEastAsia"/>
                <w:kern w:val="0"/>
                <w:szCs w:val="21"/>
              </w:rPr>
              <w:t>3.支持按照最新最热门课程查找直播课堂课程进行观看。</w:t>
            </w:r>
          </w:p>
          <w:p>
            <w:pPr>
              <w:spacing w:line="240" w:lineRule="atLeast"/>
              <w:rPr>
                <w:rFonts w:asciiTheme="minorEastAsia" w:hAnsiTheme="minorEastAsia"/>
                <w:kern w:val="0"/>
                <w:szCs w:val="21"/>
              </w:rPr>
            </w:pPr>
            <w:r>
              <w:rPr>
                <w:rFonts w:hint="eastAsia" w:asciiTheme="minorEastAsia" w:hAnsiTheme="minorEastAsia"/>
                <w:kern w:val="0"/>
                <w:szCs w:val="21"/>
              </w:rPr>
              <w:t>4.支持按全部课程今日课程查找直播课堂课程进行观看。</w:t>
            </w:r>
          </w:p>
          <w:p>
            <w:pPr>
              <w:spacing w:line="240" w:lineRule="atLeast"/>
              <w:rPr>
                <w:rFonts w:asciiTheme="minorEastAsia" w:hAnsiTheme="minorEastAsia"/>
                <w:kern w:val="0"/>
                <w:szCs w:val="21"/>
              </w:rPr>
            </w:pPr>
            <w:r>
              <w:rPr>
                <w:rFonts w:hint="eastAsia" w:asciiTheme="minorEastAsia" w:hAnsiTheme="minorEastAsia"/>
                <w:kern w:val="0"/>
                <w:szCs w:val="21"/>
              </w:rPr>
              <w:t>5.支持正在直播、即将开始、过期直播、直播回放功能。</w:t>
            </w:r>
          </w:p>
          <w:p>
            <w:pPr>
              <w:spacing w:line="240" w:lineRule="atLeast"/>
              <w:rPr>
                <w:rFonts w:asciiTheme="minorEastAsia" w:hAnsiTheme="minorEastAsia"/>
                <w:kern w:val="0"/>
                <w:szCs w:val="21"/>
              </w:rPr>
            </w:pPr>
            <w:r>
              <w:rPr>
                <w:rFonts w:hint="eastAsia" w:asciiTheme="minorEastAsia" w:hAnsiTheme="minorEastAsia"/>
                <w:kern w:val="0"/>
                <w:szCs w:val="21"/>
              </w:rPr>
              <w:t>6.支持按时间、按标题查找直播课程功能，支持平台扫码观看直播。</w:t>
            </w:r>
          </w:p>
          <w:p>
            <w:pPr>
              <w:spacing w:line="240" w:lineRule="atLeast"/>
              <w:rPr>
                <w:rFonts w:asciiTheme="minorEastAsia" w:hAnsiTheme="minorEastAsia"/>
                <w:kern w:val="0"/>
                <w:szCs w:val="21"/>
              </w:rPr>
            </w:pPr>
            <w:r>
              <w:rPr>
                <w:rFonts w:hint="eastAsia" w:asciiTheme="minorEastAsia" w:hAnsiTheme="minorEastAsia"/>
                <w:kern w:val="0"/>
                <w:szCs w:val="21"/>
              </w:rPr>
              <w:t>7.支持第三方直播设置功能：教师视频流名、学生视频流名、屏幕视频流名；</w:t>
            </w:r>
          </w:p>
          <w:p>
            <w:pPr>
              <w:spacing w:line="240" w:lineRule="atLeast"/>
              <w:rPr>
                <w:rFonts w:asciiTheme="minorEastAsia" w:hAnsiTheme="minorEastAsia"/>
                <w:kern w:val="0"/>
                <w:szCs w:val="21"/>
              </w:rPr>
            </w:pPr>
            <w:r>
              <w:rPr>
                <w:rFonts w:hint="eastAsia" w:asciiTheme="minorEastAsia" w:hAnsiTheme="minorEastAsia"/>
                <w:kern w:val="0"/>
                <w:szCs w:val="21"/>
              </w:rPr>
              <w:t>8.支持新建直播功能，支持校内直播、云直播功能；支持学校名称、主讲教师、学科、课程、教室、直播时间、年级创建。</w:t>
            </w:r>
          </w:p>
          <w:p>
            <w:pPr>
              <w:spacing w:line="240" w:lineRule="atLeast"/>
              <w:rPr>
                <w:rFonts w:asciiTheme="minorEastAsia" w:hAnsiTheme="minorEastAsia"/>
                <w:kern w:val="0"/>
                <w:szCs w:val="21"/>
              </w:rPr>
            </w:pPr>
            <w:r>
              <w:rPr>
                <w:rFonts w:hint="eastAsia" w:asciiTheme="minorEastAsia" w:hAnsiTheme="minorEastAsia"/>
                <w:kern w:val="0"/>
                <w:szCs w:val="21"/>
              </w:rPr>
              <w:t>9.支持公开直播，教师视频、学生视频、全景视频、屏幕视频直播画面选择。</w:t>
            </w:r>
          </w:p>
          <w:p>
            <w:pPr>
              <w:spacing w:line="240" w:lineRule="atLeast"/>
              <w:rPr>
                <w:rFonts w:asciiTheme="minorEastAsia" w:hAnsiTheme="minorEastAsia"/>
                <w:kern w:val="0"/>
                <w:szCs w:val="21"/>
              </w:rPr>
            </w:pPr>
            <w:r>
              <w:rPr>
                <w:rFonts w:hint="eastAsia" w:asciiTheme="minorEastAsia" w:hAnsiTheme="minorEastAsia"/>
                <w:kern w:val="0"/>
                <w:szCs w:val="21"/>
              </w:rPr>
              <w:t>10.支持应到人数设置，支持班级、学生选择添加。</w:t>
            </w:r>
          </w:p>
          <w:p>
            <w:pPr>
              <w:spacing w:line="240" w:lineRule="atLeast"/>
              <w:rPr>
                <w:rFonts w:asciiTheme="minorEastAsia" w:hAnsiTheme="minorEastAsia"/>
                <w:kern w:val="0"/>
                <w:szCs w:val="21"/>
              </w:rPr>
            </w:pPr>
            <w:r>
              <w:rPr>
                <w:rFonts w:hint="eastAsia" w:asciiTheme="minorEastAsia" w:hAnsiTheme="minorEastAsia"/>
                <w:kern w:val="0"/>
                <w:szCs w:val="21"/>
              </w:rPr>
              <w:t>11.支持直播封面图片设置，支持直播简介介绍。</w:t>
            </w:r>
          </w:p>
          <w:p>
            <w:pPr>
              <w:spacing w:line="240" w:lineRule="atLeast"/>
              <w:rPr>
                <w:rFonts w:asciiTheme="minorEastAsia" w:hAnsiTheme="minorEastAsia"/>
                <w:kern w:val="0"/>
                <w:szCs w:val="21"/>
              </w:rPr>
            </w:pPr>
            <w:r>
              <w:rPr>
                <w:rFonts w:hint="eastAsia" w:asciiTheme="minorEastAsia" w:hAnsiTheme="minorEastAsia"/>
                <w:kern w:val="0"/>
                <w:szCs w:val="21"/>
              </w:rPr>
              <w:t>12.</w:t>
            </w:r>
            <w:r>
              <w:rPr>
                <w:rFonts w:hint="eastAsia" w:asciiTheme="minorEastAsia" w:hAnsiTheme="minorEastAsia"/>
                <w:b w:val="0"/>
                <w:bCs w:val="0"/>
                <w:kern w:val="0"/>
                <w:szCs w:val="21"/>
              </w:rPr>
              <w:t>提供8——11项软件界面截图。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13.提供课堂直播类相关软件著作权证书后者复印件。</w:t>
            </w:r>
          </w:p>
          <w:p>
            <w:pPr>
              <w:spacing w:line="240" w:lineRule="atLeast"/>
              <w:rPr>
                <w:rFonts w:asciiTheme="minorEastAsia" w:hAnsiTheme="minorEastAsia"/>
                <w:kern w:val="0"/>
                <w:szCs w:val="21"/>
              </w:rPr>
            </w:pPr>
            <w:r>
              <w:rPr>
                <w:rFonts w:hint="eastAsia" w:asciiTheme="minorEastAsia" w:hAnsiTheme="minorEastAsia"/>
                <w:kern w:val="0"/>
                <w:szCs w:val="21"/>
              </w:rPr>
              <w:t>三、录播课堂管理系统：</w:t>
            </w:r>
          </w:p>
          <w:p>
            <w:pPr>
              <w:spacing w:line="240" w:lineRule="atLeast"/>
              <w:rPr>
                <w:rFonts w:asciiTheme="minorEastAsia" w:hAnsiTheme="minorEastAsia"/>
                <w:kern w:val="0"/>
                <w:szCs w:val="21"/>
              </w:rPr>
            </w:pPr>
            <w:r>
              <w:rPr>
                <w:rFonts w:hint="eastAsia" w:asciiTheme="minorEastAsia" w:hAnsiTheme="minorEastAsia"/>
                <w:kern w:val="0"/>
                <w:szCs w:val="21"/>
              </w:rPr>
              <w:t>1.支持按照学科、学期进行录播课程分类。</w:t>
            </w:r>
          </w:p>
          <w:p>
            <w:pPr>
              <w:spacing w:line="240" w:lineRule="atLeast"/>
              <w:rPr>
                <w:rFonts w:asciiTheme="minorEastAsia" w:hAnsiTheme="minorEastAsia"/>
                <w:kern w:val="0"/>
                <w:szCs w:val="21"/>
              </w:rPr>
            </w:pPr>
            <w:r>
              <w:rPr>
                <w:rFonts w:hint="eastAsia" w:asciiTheme="minorEastAsia" w:hAnsiTheme="minorEastAsia"/>
                <w:kern w:val="0"/>
                <w:szCs w:val="21"/>
              </w:rPr>
              <w:t>2.支持按照时间、主讲教师、课程标题进行录播课程资源查看。</w:t>
            </w:r>
          </w:p>
          <w:p>
            <w:pPr>
              <w:spacing w:line="240" w:lineRule="atLeast"/>
              <w:rPr>
                <w:rFonts w:asciiTheme="minorEastAsia" w:hAnsiTheme="minorEastAsia"/>
                <w:kern w:val="0"/>
                <w:szCs w:val="21"/>
              </w:rPr>
            </w:pPr>
            <w:r>
              <w:rPr>
                <w:rFonts w:hint="eastAsia" w:asciiTheme="minorEastAsia" w:hAnsiTheme="minorEastAsia"/>
                <w:kern w:val="0"/>
                <w:szCs w:val="21"/>
              </w:rPr>
              <w:t>3.支持课程主页的管理功能，查看全部课程、我的课程。</w:t>
            </w:r>
          </w:p>
          <w:p>
            <w:pPr>
              <w:spacing w:line="240" w:lineRule="atLeast"/>
              <w:rPr>
                <w:rFonts w:asciiTheme="minorEastAsia" w:hAnsiTheme="minorEastAsia"/>
                <w:kern w:val="0"/>
                <w:szCs w:val="21"/>
              </w:rPr>
            </w:pPr>
            <w:r>
              <w:rPr>
                <w:rFonts w:hint="eastAsia" w:asciiTheme="minorEastAsia" w:hAnsiTheme="minorEastAsia"/>
                <w:kern w:val="0"/>
                <w:szCs w:val="21"/>
              </w:rPr>
              <w:t>4.支持课程资料查阅，相关教师课程显示。</w:t>
            </w:r>
          </w:p>
          <w:p>
            <w:pPr>
              <w:spacing w:line="240" w:lineRule="atLeast"/>
              <w:rPr>
                <w:rFonts w:asciiTheme="minorEastAsia" w:hAnsiTheme="minorEastAsia"/>
                <w:kern w:val="0"/>
                <w:szCs w:val="21"/>
              </w:rPr>
            </w:pPr>
            <w:r>
              <w:rPr>
                <w:rFonts w:hint="eastAsia" w:asciiTheme="minorEastAsia" w:hAnsiTheme="minorEastAsia"/>
                <w:kern w:val="0"/>
                <w:szCs w:val="21"/>
              </w:rPr>
              <w:t>5.提供录播类相关软件著作权证书后者复印件。</w:t>
            </w:r>
          </w:p>
          <w:p>
            <w:pPr>
              <w:spacing w:line="240" w:lineRule="atLeast"/>
              <w:rPr>
                <w:rFonts w:asciiTheme="minorEastAsia" w:hAnsiTheme="minorEastAsia"/>
                <w:kern w:val="0"/>
                <w:szCs w:val="21"/>
              </w:rPr>
            </w:pPr>
            <w:r>
              <w:rPr>
                <w:rFonts w:hint="eastAsia" w:asciiTheme="minorEastAsia" w:hAnsiTheme="minorEastAsia"/>
                <w:kern w:val="0"/>
                <w:szCs w:val="21"/>
              </w:rPr>
              <w:t>四、专递课堂管理系统：</w:t>
            </w:r>
          </w:p>
          <w:p>
            <w:pPr>
              <w:spacing w:line="240" w:lineRule="atLeast"/>
              <w:rPr>
                <w:rFonts w:asciiTheme="minorEastAsia" w:hAnsiTheme="minorEastAsia"/>
                <w:kern w:val="0"/>
                <w:szCs w:val="21"/>
              </w:rPr>
            </w:pPr>
            <w:r>
              <w:rPr>
                <w:rFonts w:hint="eastAsia" w:asciiTheme="minorEastAsia" w:hAnsiTheme="minorEastAsia"/>
                <w:kern w:val="0"/>
                <w:szCs w:val="21"/>
              </w:rPr>
              <w:t>1.支持数据概览功能：支持课程开课数量，开课时长、上线设备、互动时长数据展示。</w:t>
            </w:r>
          </w:p>
          <w:p>
            <w:pPr>
              <w:spacing w:line="240" w:lineRule="atLeast"/>
              <w:rPr>
                <w:rFonts w:asciiTheme="minorEastAsia" w:hAnsiTheme="minorEastAsia"/>
                <w:kern w:val="0"/>
                <w:szCs w:val="21"/>
              </w:rPr>
            </w:pPr>
            <w:r>
              <w:rPr>
                <w:rFonts w:hint="eastAsia" w:asciiTheme="minorEastAsia" w:hAnsiTheme="minorEastAsia"/>
                <w:kern w:val="0"/>
                <w:szCs w:val="21"/>
              </w:rPr>
              <w:t>2.支持专递课堂区域图设备管理，主讲设备、听讲设备、在线设备；支持本周教师开课数量排行。</w:t>
            </w:r>
          </w:p>
          <w:p>
            <w:pPr>
              <w:spacing w:line="240" w:lineRule="atLeast"/>
              <w:rPr>
                <w:rFonts w:asciiTheme="minorEastAsia" w:hAnsiTheme="minorEastAsia"/>
                <w:kern w:val="0"/>
                <w:szCs w:val="21"/>
              </w:rPr>
            </w:pPr>
            <w:r>
              <w:rPr>
                <w:rFonts w:hint="eastAsia" w:asciiTheme="minorEastAsia" w:hAnsiTheme="minorEastAsia"/>
                <w:kern w:val="0"/>
                <w:szCs w:val="21"/>
              </w:rPr>
              <w:t>3.支持会议管理功能：支持发起人、会议密码、人数、开始结束时间、时长管理；支持历史会议记录查询，设备查询，入会时间离会时间、会议密码、开始时间、结束时间。</w:t>
            </w:r>
          </w:p>
          <w:p>
            <w:pPr>
              <w:spacing w:line="240" w:lineRule="atLeast"/>
              <w:rPr>
                <w:rFonts w:asciiTheme="minorEastAsia" w:hAnsiTheme="minorEastAsia"/>
                <w:kern w:val="0"/>
                <w:szCs w:val="21"/>
              </w:rPr>
            </w:pPr>
            <w:r>
              <w:rPr>
                <w:rFonts w:hint="eastAsia" w:asciiTheme="minorEastAsia" w:hAnsiTheme="minorEastAsia"/>
                <w:kern w:val="0"/>
                <w:szCs w:val="21"/>
              </w:rPr>
              <w:t>4.支持设备管理功能：设备型号、设备类型、设备名称、在线状态、操作编辑功能；支持部门列表创建部门，删除会议操作功能。</w:t>
            </w:r>
          </w:p>
          <w:p>
            <w:pPr>
              <w:spacing w:line="240" w:lineRule="atLeast"/>
              <w:rPr>
                <w:rFonts w:asciiTheme="minorEastAsia" w:hAnsiTheme="minorEastAsia"/>
                <w:b w:val="0"/>
                <w:bCs w:val="0"/>
                <w:kern w:val="0"/>
                <w:szCs w:val="21"/>
              </w:rPr>
            </w:pPr>
            <w:r>
              <w:rPr>
                <w:rFonts w:hint="eastAsia" w:asciiTheme="minorEastAsia" w:hAnsiTheme="minorEastAsia"/>
                <w:kern w:val="0"/>
                <w:szCs w:val="21"/>
              </w:rPr>
              <w:t>5.支持服务器管理，支持公网节点、内网节点服务器服务器管理（节点名称、地址、端口、承载量、在线状态）功</w:t>
            </w:r>
            <w:r>
              <w:rPr>
                <w:rFonts w:hint="eastAsia" w:asciiTheme="minorEastAsia" w:hAnsiTheme="minorEastAsia"/>
                <w:b w:val="0"/>
                <w:bCs w:val="0"/>
                <w:kern w:val="0"/>
                <w:szCs w:val="21"/>
              </w:rPr>
              <w:t>能。</w:t>
            </w:r>
          </w:p>
          <w:p>
            <w:pPr>
              <w:spacing w:line="240" w:lineRule="atLeast"/>
              <w:rPr>
                <w:rFonts w:asciiTheme="minorEastAsia" w:hAnsiTheme="minorEastAsia"/>
                <w:b w:val="0"/>
                <w:bCs w:val="0"/>
                <w:kern w:val="0"/>
                <w:szCs w:val="21"/>
              </w:rPr>
            </w:pPr>
            <w:r>
              <w:rPr>
                <w:rFonts w:hint="eastAsia" w:asciiTheme="minorEastAsia" w:hAnsiTheme="minorEastAsia"/>
                <w:b w:val="0"/>
                <w:bCs w:val="0"/>
                <w:kern w:val="0"/>
                <w:szCs w:val="21"/>
              </w:rPr>
              <w:t>6.提供2——4项软件界面截图。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6.提供互动类相关软件著作权证书后者复印件。</w:t>
            </w:r>
          </w:p>
          <w:p>
            <w:pPr>
              <w:spacing w:line="240" w:lineRule="atLeast"/>
              <w:rPr>
                <w:rFonts w:asciiTheme="minorEastAsia" w:hAnsiTheme="minorEastAsia"/>
                <w:kern w:val="0"/>
                <w:szCs w:val="21"/>
              </w:rPr>
            </w:pPr>
            <w:r>
              <w:rPr>
                <w:rFonts w:hint="eastAsia" w:asciiTheme="minorEastAsia" w:hAnsiTheme="minorEastAsia"/>
                <w:kern w:val="0"/>
                <w:szCs w:val="21"/>
              </w:rPr>
              <w:t>五、在线巡视管理系统：</w:t>
            </w:r>
          </w:p>
          <w:p>
            <w:pPr>
              <w:spacing w:line="240" w:lineRule="atLeast"/>
              <w:rPr>
                <w:rFonts w:asciiTheme="minorEastAsia" w:hAnsiTheme="minorEastAsia"/>
                <w:kern w:val="0"/>
                <w:szCs w:val="21"/>
              </w:rPr>
            </w:pPr>
            <w:r>
              <w:rPr>
                <w:rFonts w:hint="eastAsia" w:asciiTheme="minorEastAsia" w:hAnsiTheme="minorEastAsia"/>
                <w:kern w:val="0"/>
                <w:szCs w:val="21"/>
              </w:rPr>
              <w:t>1.支持校领导实时观摩课堂教学，实现常态化教学质量督导；</w:t>
            </w:r>
          </w:p>
          <w:p>
            <w:pPr>
              <w:spacing w:line="240" w:lineRule="atLeast"/>
              <w:rPr>
                <w:rFonts w:asciiTheme="minorEastAsia" w:hAnsiTheme="minorEastAsia"/>
                <w:kern w:val="0"/>
                <w:szCs w:val="21"/>
              </w:rPr>
            </w:pPr>
            <w:r>
              <w:rPr>
                <w:rFonts w:hint="eastAsia" w:asciiTheme="minorEastAsia" w:hAnsiTheme="minorEastAsia"/>
                <w:kern w:val="0"/>
                <w:szCs w:val="21"/>
              </w:rPr>
              <w:t>2.支持分权限分配管理，可观摩有课教室，也可以观摩所有教室；支持按院系观看巡课；</w:t>
            </w:r>
          </w:p>
          <w:p>
            <w:pPr>
              <w:spacing w:line="240" w:lineRule="atLeast"/>
              <w:rPr>
                <w:rFonts w:asciiTheme="minorEastAsia" w:hAnsiTheme="minorEastAsia"/>
                <w:kern w:val="0"/>
                <w:szCs w:val="21"/>
              </w:rPr>
            </w:pPr>
            <w:r>
              <w:rPr>
                <w:rFonts w:hint="eastAsia" w:asciiTheme="minorEastAsia" w:hAnsiTheme="minorEastAsia"/>
                <w:kern w:val="0"/>
                <w:szCs w:val="21"/>
              </w:rPr>
              <w:t>3.支持教室列表查看，按照教室名、教师、课程查看。</w:t>
            </w:r>
          </w:p>
          <w:p>
            <w:pPr>
              <w:spacing w:line="240" w:lineRule="atLeast"/>
              <w:rPr>
                <w:rFonts w:asciiTheme="minorEastAsia" w:hAnsiTheme="minorEastAsia"/>
                <w:kern w:val="0"/>
                <w:szCs w:val="21"/>
              </w:rPr>
            </w:pPr>
            <w:r>
              <w:rPr>
                <w:rFonts w:hint="eastAsia" w:asciiTheme="minorEastAsia" w:hAnsiTheme="minorEastAsia"/>
                <w:kern w:val="0"/>
                <w:szCs w:val="21"/>
              </w:rPr>
              <w:t>4.支持图像开始跟踪功能、云台日志（用户名、账号、操作记录、操作时间查看）、直播、录播功能。</w:t>
            </w:r>
          </w:p>
          <w:p>
            <w:pPr>
              <w:spacing w:line="240" w:lineRule="atLeast"/>
              <w:rPr>
                <w:rFonts w:asciiTheme="minorEastAsia" w:hAnsiTheme="minorEastAsia"/>
                <w:kern w:val="0"/>
                <w:szCs w:val="21"/>
              </w:rPr>
            </w:pPr>
            <w:r>
              <w:rPr>
                <w:rFonts w:hint="eastAsia" w:asciiTheme="minorEastAsia" w:hAnsiTheme="minorEastAsia"/>
                <w:kern w:val="0"/>
                <w:szCs w:val="21"/>
              </w:rPr>
              <w:t>5.支持实时点评功能，输入点评内容。</w:t>
            </w:r>
          </w:p>
          <w:p>
            <w:pPr>
              <w:spacing w:line="240" w:lineRule="atLeast"/>
              <w:rPr>
                <w:rFonts w:asciiTheme="minorEastAsia" w:hAnsiTheme="minorEastAsia"/>
                <w:kern w:val="0"/>
                <w:szCs w:val="21"/>
              </w:rPr>
            </w:pPr>
            <w:r>
              <w:rPr>
                <w:rFonts w:hint="eastAsia" w:asciiTheme="minorEastAsia" w:hAnsiTheme="minorEastAsia"/>
                <w:kern w:val="0"/>
                <w:szCs w:val="21"/>
              </w:rPr>
              <w:t>6.支持多种观摩方式，支持三分屏、两分屏、单画面模式。</w:t>
            </w:r>
          </w:p>
          <w:p>
            <w:pPr>
              <w:spacing w:line="240" w:lineRule="atLeast"/>
              <w:rPr>
                <w:rFonts w:asciiTheme="minorEastAsia" w:hAnsiTheme="minorEastAsia"/>
                <w:kern w:val="0"/>
                <w:szCs w:val="21"/>
              </w:rPr>
            </w:pPr>
            <w:r>
              <w:rPr>
                <w:rFonts w:hint="eastAsia" w:asciiTheme="minorEastAsia" w:hAnsiTheme="minorEastAsia"/>
                <w:kern w:val="0"/>
                <w:szCs w:val="21"/>
              </w:rPr>
              <w:t>7. 提供4——6项软件界面截图。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8.提供录播类相关软件著作权证书后者复印件。</w:t>
            </w:r>
          </w:p>
          <w:p>
            <w:pPr>
              <w:spacing w:line="240" w:lineRule="atLeast"/>
              <w:rPr>
                <w:rFonts w:asciiTheme="minorEastAsia" w:hAnsiTheme="minorEastAsia"/>
                <w:kern w:val="0"/>
                <w:szCs w:val="21"/>
              </w:rPr>
            </w:pPr>
            <w:r>
              <w:rPr>
                <w:rFonts w:hint="eastAsia" w:asciiTheme="minorEastAsia" w:hAnsiTheme="minorEastAsia"/>
                <w:kern w:val="0"/>
                <w:szCs w:val="21"/>
              </w:rPr>
              <w:t>六、个人中心教学系统：</w:t>
            </w:r>
          </w:p>
          <w:p>
            <w:pPr>
              <w:spacing w:line="240" w:lineRule="atLeast"/>
              <w:rPr>
                <w:rFonts w:asciiTheme="minorEastAsia" w:hAnsiTheme="minorEastAsia"/>
                <w:kern w:val="0"/>
                <w:szCs w:val="21"/>
              </w:rPr>
            </w:pPr>
            <w:r>
              <w:rPr>
                <w:rFonts w:hint="eastAsia" w:asciiTheme="minorEastAsia" w:hAnsiTheme="minorEastAsia"/>
                <w:kern w:val="0"/>
                <w:szCs w:val="21"/>
              </w:rPr>
              <w:t>1.支持按照个人权限支持录播管理功能，支持教师视频、学生视频、全景视频、屏幕视频链接管理支持按教室名称查询，支持批量录播管理。</w:t>
            </w:r>
          </w:p>
          <w:p>
            <w:pPr>
              <w:spacing w:line="240" w:lineRule="atLeast"/>
              <w:rPr>
                <w:rFonts w:asciiTheme="minorEastAsia" w:hAnsiTheme="minorEastAsia"/>
                <w:kern w:val="0"/>
                <w:szCs w:val="21"/>
              </w:rPr>
            </w:pPr>
            <w:r>
              <w:rPr>
                <w:rFonts w:hint="eastAsia" w:asciiTheme="minorEastAsia" w:hAnsiTheme="minorEastAsia"/>
                <w:kern w:val="0"/>
                <w:szCs w:val="21"/>
              </w:rPr>
              <w:t>2.支持录播计划管理，支持删除、新建、批量管理、导入、自动策略、过期计划操作功能。</w:t>
            </w:r>
          </w:p>
          <w:p>
            <w:pPr>
              <w:spacing w:line="240" w:lineRule="atLeast"/>
              <w:rPr>
                <w:rFonts w:asciiTheme="minorEastAsia" w:hAnsiTheme="minorEastAsia"/>
                <w:kern w:val="0"/>
                <w:szCs w:val="21"/>
              </w:rPr>
            </w:pPr>
            <w:r>
              <w:rPr>
                <w:rFonts w:hint="eastAsia" w:asciiTheme="minorEastAsia" w:hAnsiTheme="minorEastAsia"/>
                <w:kern w:val="0"/>
                <w:szCs w:val="21"/>
              </w:rPr>
              <w:t>3.支持录播计划管理复制、编辑、导出测验结果、测评结果操作功能管理。</w:t>
            </w:r>
          </w:p>
          <w:p>
            <w:pPr>
              <w:spacing w:line="240" w:lineRule="atLeast"/>
              <w:rPr>
                <w:rFonts w:asciiTheme="minorEastAsia" w:hAnsiTheme="minorEastAsia"/>
                <w:kern w:val="0"/>
                <w:szCs w:val="21"/>
              </w:rPr>
            </w:pPr>
            <w:r>
              <w:rPr>
                <w:rFonts w:hint="eastAsia" w:asciiTheme="minorEastAsia" w:hAnsiTheme="minorEastAsia"/>
                <w:kern w:val="0"/>
                <w:szCs w:val="21"/>
              </w:rPr>
              <w:t>4.支持学情分析功能，支持通过学情分析设备实现应到实到、课堂抓拍、抬头率功能操作。</w:t>
            </w:r>
          </w:p>
          <w:p>
            <w:pPr>
              <w:spacing w:line="240" w:lineRule="atLeast"/>
              <w:rPr>
                <w:rFonts w:asciiTheme="minorEastAsia" w:hAnsiTheme="minorEastAsia"/>
                <w:kern w:val="0"/>
                <w:szCs w:val="21"/>
              </w:rPr>
            </w:pPr>
            <w:r>
              <w:rPr>
                <w:rFonts w:hint="eastAsia" w:asciiTheme="minorEastAsia" w:hAnsiTheme="minorEastAsia"/>
                <w:kern w:val="0"/>
                <w:szCs w:val="21"/>
              </w:rPr>
              <w:t>5.支持AI分析功能，支持通过考勤设备实现教师考勤统计、学生考勤统计。</w:t>
            </w:r>
          </w:p>
          <w:p>
            <w:pPr>
              <w:spacing w:line="240" w:lineRule="atLeast"/>
              <w:rPr>
                <w:rFonts w:asciiTheme="minorEastAsia" w:hAnsiTheme="minorEastAsia"/>
                <w:kern w:val="0"/>
                <w:szCs w:val="21"/>
              </w:rPr>
            </w:pPr>
            <w:r>
              <w:rPr>
                <w:rFonts w:hint="eastAsia" w:asciiTheme="minorEastAsia" w:hAnsiTheme="minorEastAsia"/>
                <w:kern w:val="0"/>
                <w:szCs w:val="21"/>
              </w:rPr>
              <w:t>6.支持资源管理功能，支持资源视频管理，删除资源、上传视频、上传文档、批量编辑。</w:t>
            </w:r>
          </w:p>
          <w:p>
            <w:pPr>
              <w:spacing w:line="240" w:lineRule="atLeast"/>
              <w:rPr>
                <w:rFonts w:asciiTheme="minorEastAsia" w:hAnsiTheme="minorEastAsia"/>
                <w:kern w:val="0"/>
                <w:szCs w:val="21"/>
              </w:rPr>
            </w:pPr>
            <w:r>
              <w:rPr>
                <w:rFonts w:hint="eastAsia" w:asciiTheme="minorEastAsia" w:hAnsiTheme="minorEastAsia"/>
                <w:kern w:val="0"/>
                <w:szCs w:val="21"/>
              </w:rPr>
              <w:t>7.支持按时间、按点击量、按时长、按下载量进行排序功能。</w:t>
            </w:r>
          </w:p>
          <w:p>
            <w:pPr>
              <w:spacing w:line="240" w:lineRule="atLeast"/>
              <w:rPr>
                <w:rFonts w:asciiTheme="minorEastAsia" w:hAnsiTheme="minorEastAsia"/>
                <w:kern w:val="0"/>
                <w:szCs w:val="21"/>
              </w:rPr>
            </w:pPr>
            <w:r>
              <w:rPr>
                <w:rFonts w:hint="eastAsia" w:asciiTheme="minorEastAsia" w:hAnsiTheme="minorEastAsia"/>
                <w:kern w:val="0"/>
                <w:szCs w:val="21"/>
              </w:rPr>
              <w:t>8.支持资源点播教学课后评课功能：</w:t>
            </w:r>
          </w:p>
          <w:p>
            <w:pPr>
              <w:spacing w:line="240" w:lineRule="atLeast"/>
              <w:rPr>
                <w:rFonts w:asciiTheme="minorEastAsia" w:hAnsiTheme="minorEastAsia"/>
                <w:kern w:val="0"/>
                <w:szCs w:val="21"/>
              </w:rPr>
            </w:pPr>
            <w:r>
              <w:rPr>
                <w:rFonts w:hint="eastAsia" w:asciiTheme="minorEastAsia" w:hAnsiTheme="minorEastAsia"/>
                <w:kern w:val="0"/>
                <w:szCs w:val="21"/>
              </w:rPr>
              <w:t>(1)支持板书测评，板书教学重点内容，板书条理分明，板书内容完整性；</w:t>
            </w:r>
          </w:p>
          <w:p>
            <w:pPr>
              <w:spacing w:line="240" w:lineRule="atLeast"/>
              <w:rPr>
                <w:rFonts w:asciiTheme="minorEastAsia" w:hAnsiTheme="minorEastAsia"/>
                <w:kern w:val="0"/>
                <w:szCs w:val="21"/>
              </w:rPr>
            </w:pPr>
            <w:r>
              <w:rPr>
                <w:rFonts w:hint="eastAsia" w:asciiTheme="minorEastAsia" w:hAnsiTheme="minorEastAsia"/>
                <w:kern w:val="0"/>
                <w:szCs w:val="21"/>
              </w:rPr>
              <w:t>(2)支持课堂测试内容评测，</w:t>
            </w:r>
          </w:p>
          <w:p>
            <w:pPr>
              <w:spacing w:line="240" w:lineRule="atLeast"/>
              <w:rPr>
                <w:rFonts w:asciiTheme="minorEastAsia" w:hAnsiTheme="minorEastAsia"/>
                <w:kern w:val="0"/>
                <w:szCs w:val="21"/>
              </w:rPr>
            </w:pPr>
            <w:r>
              <w:rPr>
                <w:rFonts w:hint="eastAsia" w:asciiTheme="minorEastAsia" w:hAnsiTheme="minorEastAsia"/>
                <w:kern w:val="0"/>
                <w:szCs w:val="21"/>
              </w:rPr>
              <w:t>(3)支持课堂互动评测，教师上课状态，学生学习状态、教师授课方式法方法，教师授课语言组织效果，</w:t>
            </w:r>
          </w:p>
          <w:p>
            <w:pPr>
              <w:spacing w:line="240" w:lineRule="atLeast"/>
              <w:rPr>
                <w:rFonts w:asciiTheme="minorEastAsia" w:hAnsiTheme="minorEastAsia"/>
                <w:kern w:val="0"/>
                <w:szCs w:val="21"/>
              </w:rPr>
            </w:pPr>
            <w:r>
              <w:rPr>
                <w:rFonts w:hint="eastAsia" w:asciiTheme="minorEastAsia" w:hAnsiTheme="minorEastAsia"/>
                <w:kern w:val="0"/>
                <w:szCs w:val="21"/>
              </w:rPr>
              <w:t>(4)支持教案完整性，知识点明确性，</w:t>
            </w:r>
          </w:p>
          <w:p>
            <w:pPr>
              <w:spacing w:line="240" w:lineRule="atLeast"/>
              <w:rPr>
                <w:rFonts w:asciiTheme="minorEastAsia" w:hAnsiTheme="minorEastAsia"/>
                <w:kern w:val="0"/>
                <w:szCs w:val="21"/>
              </w:rPr>
            </w:pPr>
            <w:r>
              <w:rPr>
                <w:rFonts w:hint="eastAsia" w:asciiTheme="minorEastAsia" w:hAnsiTheme="minorEastAsia"/>
                <w:kern w:val="0"/>
                <w:szCs w:val="21"/>
              </w:rPr>
              <w:t>(5)习题测评，作业内容评测，课后练习评测。</w:t>
            </w:r>
          </w:p>
          <w:p>
            <w:pPr>
              <w:spacing w:line="240" w:lineRule="atLeast"/>
              <w:rPr>
                <w:rFonts w:asciiTheme="minorEastAsia" w:hAnsiTheme="minorEastAsia"/>
                <w:kern w:val="0"/>
                <w:szCs w:val="21"/>
              </w:rPr>
            </w:pPr>
            <w:r>
              <w:rPr>
                <w:rFonts w:hint="eastAsia" w:asciiTheme="minorEastAsia" w:hAnsiTheme="minorEastAsia"/>
                <w:kern w:val="0"/>
                <w:szCs w:val="21"/>
              </w:rPr>
              <w:t>(6)支持视频资源修改状态，支持冻结、发布、公开、不公开、精品功能。</w:t>
            </w:r>
          </w:p>
          <w:p>
            <w:pPr>
              <w:spacing w:line="240" w:lineRule="atLeast"/>
              <w:rPr>
                <w:rFonts w:asciiTheme="minorEastAsia" w:hAnsiTheme="minorEastAsia"/>
                <w:kern w:val="0"/>
                <w:szCs w:val="21"/>
              </w:rPr>
            </w:pPr>
            <w:r>
              <w:rPr>
                <w:rFonts w:hint="eastAsia" w:asciiTheme="minorEastAsia" w:hAnsiTheme="minorEastAsia"/>
                <w:kern w:val="0"/>
                <w:szCs w:val="21"/>
              </w:rPr>
              <w:t>9.支持回收站功能，按照标题、学期、院系、主讲、课程查找视频资源进行视频资源还原功能、删除功能管理。</w:t>
            </w:r>
          </w:p>
          <w:p>
            <w:pPr>
              <w:spacing w:line="240" w:lineRule="atLeast"/>
              <w:rPr>
                <w:rFonts w:asciiTheme="minorEastAsia" w:hAnsiTheme="minorEastAsia"/>
                <w:kern w:val="0"/>
                <w:szCs w:val="21"/>
              </w:rPr>
            </w:pPr>
            <w:r>
              <w:rPr>
                <w:rFonts w:hint="eastAsia" w:asciiTheme="minorEastAsia" w:hAnsiTheme="minorEastAsia"/>
                <w:kern w:val="0"/>
                <w:szCs w:val="21"/>
              </w:rPr>
              <w:t>提供2、8项软件界面截图。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10.提供教学分析类相关软件著作权证书后者复印件。</w:t>
            </w:r>
          </w:p>
          <w:p>
            <w:pPr>
              <w:spacing w:line="240" w:lineRule="atLeast"/>
              <w:rPr>
                <w:rFonts w:asciiTheme="minorEastAsia" w:hAnsiTheme="minorEastAsia"/>
                <w:kern w:val="0"/>
                <w:szCs w:val="21"/>
              </w:rPr>
            </w:pPr>
            <w:r>
              <w:rPr>
                <w:rFonts w:hint="eastAsia" w:asciiTheme="minorEastAsia" w:hAnsiTheme="minorEastAsia"/>
                <w:kern w:val="0"/>
                <w:szCs w:val="21"/>
              </w:rPr>
              <w:t>七、微信小程序教学系统：</w:t>
            </w:r>
          </w:p>
          <w:p>
            <w:pPr>
              <w:spacing w:line="240" w:lineRule="atLeast"/>
              <w:rPr>
                <w:rFonts w:asciiTheme="minorEastAsia" w:hAnsiTheme="minorEastAsia"/>
                <w:kern w:val="0"/>
                <w:szCs w:val="21"/>
              </w:rPr>
            </w:pPr>
            <w:r>
              <w:rPr>
                <w:rFonts w:hint="eastAsia" w:asciiTheme="minorEastAsia" w:hAnsiTheme="minorEastAsia"/>
                <w:kern w:val="0"/>
                <w:szCs w:val="21"/>
              </w:rPr>
              <w:t>1.支持通过微信扫码进入智慧课堂小程，实现课前、课中、课后功能。</w:t>
            </w:r>
          </w:p>
          <w:p>
            <w:pPr>
              <w:spacing w:line="240" w:lineRule="atLeast"/>
              <w:rPr>
                <w:rFonts w:asciiTheme="minorEastAsia" w:hAnsiTheme="minorEastAsia"/>
                <w:kern w:val="0"/>
                <w:szCs w:val="21"/>
              </w:rPr>
            </w:pPr>
            <w:r>
              <w:rPr>
                <w:rFonts w:hint="eastAsia" w:asciiTheme="minorEastAsia" w:hAnsiTheme="minorEastAsia"/>
                <w:kern w:val="0"/>
                <w:szCs w:val="21"/>
              </w:rPr>
              <w:t>2.无需单独下载与教学相关APP软件。</w:t>
            </w:r>
          </w:p>
          <w:p>
            <w:pPr>
              <w:spacing w:line="240" w:lineRule="atLeast"/>
              <w:rPr>
                <w:rFonts w:asciiTheme="minorEastAsia" w:hAnsiTheme="minorEastAsia"/>
                <w:kern w:val="0"/>
                <w:szCs w:val="21"/>
              </w:rPr>
            </w:pPr>
            <w:r>
              <w:rPr>
                <w:rFonts w:hint="eastAsia" w:asciiTheme="minorEastAsia" w:hAnsiTheme="minorEastAsia"/>
                <w:kern w:val="0"/>
                <w:szCs w:val="21"/>
              </w:rPr>
              <w:t>3.教师端支持直播功能应用模块；课程查看、课表建立、我的空间管理；支持课堂名称、上课时间、上课教室、上课班级建立，直播课堂观看，支持视频分类功能。</w:t>
            </w:r>
          </w:p>
          <w:p>
            <w:pPr>
              <w:spacing w:line="240" w:lineRule="atLeast"/>
              <w:rPr>
                <w:rFonts w:asciiTheme="minorEastAsia" w:hAnsiTheme="minorEastAsia"/>
                <w:kern w:val="0"/>
                <w:szCs w:val="21"/>
              </w:rPr>
            </w:pPr>
            <w:r>
              <w:rPr>
                <w:rFonts w:hint="eastAsia" w:asciiTheme="minorEastAsia" w:hAnsiTheme="minorEastAsia"/>
                <w:kern w:val="0"/>
                <w:szCs w:val="21"/>
              </w:rPr>
              <w:t>4.学生端通过智慧课堂查看推荐直播课程、点播课程；支持直播、点播、签到功能；</w:t>
            </w:r>
          </w:p>
          <w:p>
            <w:pPr>
              <w:spacing w:line="240" w:lineRule="atLeast"/>
              <w:rPr>
                <w:rFonts w:asciiTheme="minorEastAsia" w:hAnsiTheme="minorEastAsia"/>
                <w:kern w:val="0"/>
                <w:szCs w:val="21"/>
              </w:rPr>
            </w:pPr>
            <w:r>
              <w:rPr>
                <w:rFonts w:hint="eastAsia" w:asciiTheme="minorEastAsia" w:hAnsiTheme="minorEastAsia"/>
                <w:kern w:val="0"/>
                <w:szCs w:val="21"/>
              </w:rPr>
              <w:t>支持通过扫码进行快速签到；按照课表内容快速进入课堂，参与课堂学习；通过视频分类、时间顺序点播回看名师优课教学资源。</w:t>
            </w:r>
          </w:p>
          <w:p>
            <w:pPr>
              <w:spacing w:line="240" w:lineRule="atLeast"/>
              <w:rPr>
                <w:rFonts w:asciiTheme="minorEastAsia" w:hAnsiTheme="minorEastAsia"/>
                <w:kern w:val="0"/>
                <w:szCs w:val="21"/>
              </w:rPr>
            </w:pPr>
            <w:r>
              <w:rPr>
                <w:rFonts w:hint="eastAsia" w:asciiTheme="minorEastAsia" w:hAnsiTheme="minorEastAsia"/>
                <w:kern w:val="0"/>
                <w:szCs w:val="21"/>
              </w:rPr>
              <w:t>5.提供3——4项软件界面截图。</w:t>
            </w:r>
          </w:p>
          <w:p>
            <w:pPr>
              <w:spacing w:line="240" w:lineRule="atLeast"/>
              <w:rPr>
                <w:rFonts w:asciiTheme="minorEastAsia" w:hAnsiTheme="minorEastAsia"/>
                <w:kern w:val="0"/>
                <w:szCs w:val="21"/>
              </w:rPr>
            </w:pPr>
            <w:r>
              <w:rPr>
                <w:rFonts w:hint="eastAsia" w:asciiTheme="minorEastAsia" w:hAnsiTheme="minorEastAsia"/>
                <w:kern w:val="0"/>
                <w:szCs w:val="21"/>
              </w:rPr>
              <w:t>八、后台管理系统：</w:t>
            </w:r>
          </w:p>
          <w:p>
            <w:pPr>
              <w:spacing w:line="240" w:lineRule="atLeast"/>
              <w:rPr>
                <w:rFonts w:asciiTheme="minorEastAsia" w:hAnsiTheme="minorEastAsia"/>
                <w:kern w:val="0"/>
                <w:szCs w:val="21"/>
              </w:rPr>
            </w:pPr>
            <w:r>
              <w:rPr>
                <w:rFonts w:hint="eastAsia" w:asciiTheme="minorEastAsia" w:hAnsiTheme="minorEastAsia"/>
                <w:kern w:val="0"/>
                <w:szCs w:val="21"/>
              </w:rPr>
              <w:t>1.存储管理：视频资源储存地址信息，对分布式存储的资源进行统一管理，实时查看存储空间剩余容量。</w:t>
            </w:r>
          </w:p>
          <w:p>
            <w:pPr>
              <w:spacing w:line="240" w:lineRule="atLeast"/>
              <w:rPr>
                <w:rFonts w:asciiTheme="minorEastAsia" w:hAnsiTheme="minorEastAsia"/>
                <w:kern w:val="0"/>
                <w:szCs w:val="21"/>
              </w:rPr>
            </w:pPr>
            <w:r>
              <w:rPr>
                <w:rFonts w:hint="eastAsia" w:asciiTheme="minorEastAsia" w:hAnsiTheme="minorEastAsia"/>
                <w:kern w:val="0"/>
                <w:szCs w:val="21"/>
              </w:rPr>
              <w:t>2.角色管理：支持学校管理员创建本校的角色，并为角色进行权限设定；包含功能操作权限和数据范围权。</w:t>
            </w:r>
          </w:p>
          <w:p>
            <w:pPr>
              <w:spacing w:line="240" w:lineRule="atLeast"/>
              <w:rPr>
                <w:rFonts w:asciiTheme="minorEastAsia" w:hAnsiTheme="minorEastAsia"/>
                <w:kern w:val="0"/>
                <w:szCs w:val="21"/>
              </w:rPr>
            </w:pPr>
            <w:r>
              <w:rPr>
                <w:rFonts w:hint="eastAsia" w:asciiTheme="minorEastAsia" w:hAnsiTheme="minorEastAsia"/>
                <w:kern w:val="0"/>
                <w:szCs w:val="21"/>
              </w:rPr>
              <w:t>限；支持方便查询角色下的用户列表。</w:t>
            </w:r>
          </w:p>
          <w:p>
            <w:pPr>
              <w:spacing w:line="240" w:lineRule="atLeast"/>
              <w:rPr>
                <w:rFonts w:asciiTheme="minorEastAsia" w:hAnsiTheme="minorEastAsia"/>
                <w:kern w:val="0"/>
                <w:szCs w:val="21"/>
              </w:rPr>
            </w:pPr>
            <w:r>
              <w:rPr>
                <w:rFonts w:hint="eastAsia" w:asciiTheme="minorEastAsia" w:hAnsiTheme="minorEastAsia"/>
                <w:kern w:val="0"/>
                <w:szCs w:val="21"/>
              </w:rPr>
              <w:t>3.组织机构：支持对学校内部的院系专业等部门信息创建、修改、编辑、删除等操作。</w:t>
            </w:r>
          </w:p>
          <w:p>
            <w:pPr>
              <w:spacing w:line="240" w:lineRule="atLeast"/>
              <w:rPr>
                <w:rFonts w:asciiTheme="minorEastAsia" w:hAnsiTheme="minorEastAsia"/>
                <w:kern w:val="0"/>
                <w:szCs w:val="21"/>
              </w:rPr>
            </w:pPr>
            <w:r>
              <w:rPr>
                <w:rFonts w:hint="eastAsia" w:asciiTheme="minorEastAsia" w:hAnsiTheme="minorEastAsia"/>
                <w:kern w:val="0"/>
                <w:szCs w:val="21"/>
              </w:rPr>
              <w:t>4.校区管理：支持新建校区信息，并支持创建所属校区的教学楼，便于按校区管理教室及设备。</w:t>
            </w:r>
          </w:p>
          <w:p>
            <w:pPr>
              <w:spacing w:line="240" w:lineRule="atLeast"/>
              <w:rPr>
                <w:rFonts w:asciiTheme="minorEastAsia" w:hAnsiTheme="minorEastAsia"/>
                <w:kern w:val="0"/>
                <w:szCs w:val="21"/>
              </w:rPr>
            </w:pPr>
            <w:r>
              <w:rPr>
                <w:rFonts w:hint="eastAsia" w:asciiTheme="minorEastAsia" w:hAnsiTheme="minorEastAsia"/>
                <w:kern w:val="0"/>
                <w:szCs w:val="21"/>
              </w:rPr>
              <w:t>5班级管理：支持新建班级，包含班级所属年级、院系以及班级的学生名单。</w:t>
            </w:r>
          </w:p>
          <w:p>
            <w:pPr>
              <w:spacing w:line="240" w:lineRule="atLeast"/>
              <w:rPr>
                <w:rFonts w:asciiTheme="minorEastAsia" w:hAnsiTheme="minorEastAsia"/>
                <w:kern w:val="0"/>
                <w:szCs w:val="21"/>
              </w:rPr>
            </w:pPr>
            <w:r>
              <w:rPr>
                <w:rFonts w:hint="eastAsia" w:asciiTheme="minorEastAsia" w:hAnsiTheme="minorEastAsia"/>
                <w:kern w:val="0"/>
                <w:szCs w:val="21"/>
              </w:rPr>
              <w:t>6.节次管理：维护学校节次名称及开始和结束时间。</w:t>
            </w:r>
          </w:p>
          <w:p>
            <w:pPr>
              <w:spacing w:line="240" w:lineRule="atLeast"/>
              <w:rPr>
                <w:rFonts w:asciiTheme="minorEastAsia" w:hAnsiTheme="minorEastAsia"/>
                <w:kern w:val="0"/>
                <w:szCs w:val="21"/>
              </w:rPr>
            </w:pPr>
            <w:r>
              <w:rPr>
                <w:rFonts w:hint="eastAsia" w:asciiTheme="minorEastAsia" w:hAnsiTheme="minorEastAsia"/>
                <w:kern w:val="0"/>
                <w:szCs w:val="21"/>
              </w:rPr>
              <w:t>7.课程管理：支持课程的信息管理维护，包含填写课程名称、编码、所属年级、所属院系、课程属性（精品、必修）、课程状态（公开、发布、显示）；支持课程封面上传；支持填写课程简介，既可以是文字介绍也可以是图文介绍。</w:t>
            </w:r>
          </w:p>
          <w:p>
            <w:pPr>
              <w:spacing w:line="240" w:lineRule="atLeast"/>
              <w:rPr>
                <w:rFonts w:asciiTheme="minorEastAsia" w:hAnsiTheme="minorEastAsia"/>
                <w:kern w:val="0"/>
                <w:szCs w:val="21"/>
              </w:rPr>
            </w:pPr>
            <w:r>
              <w:rPr>
                <w:rFonts w:hint="eastAsia" w:asciiTheme="minorEastAsia" w:hAnsiTheme="minorEastAsia"/>
                <w:kern w:val="0"/>
                <w:szCs w:val="21"/>
              </w:rPr>
              <w:t>8.教室管理：支持对教室信息的管理与维护，包含教室名称、所属教学楼及楼层、座位数、所属班级、所属组织机构、所属直播服务器、录制服务器，是否开启学情分析和考勤分析等功能操作；支持教室信息的导入功能。</w:t>
            </w:r>
          </w:p>
          <w:p>
            <w:pPr>
              <w:spacing w:line="240" w:lineRule="atLeast"/>
              <w:rPr>
                <w:rFonts w:asciiTheme="minorEastAsia" w:hAnsiTheme="minorEastAsia"/>
                <w:kern w:val="0"/>
                <w:szCs w:val="21"/>
              </w:rPr>
            </w:pPr>
            <w:r>
              <w:rPr>
                <w:rFonts w:hint="eastAsia" w:asciiTheme="minorEastAsia" w:hAnsiTheme="minorEastAsia"/>
                <w:kern w:val="0"/>
                <w:szCs w:val="21"/>
              </w:rPr>
              <w:t>9.教师管理：支持对教师信息的管理维护，包含基本信息、登录密码、所属班级、学科、组织结构、上传头像、简介等信息填写，支持通过excel导入教师信息。</w:t>
            </w:r>
          </w:p>
          <w:p>
            <w:pPr>
              <w:spacing w:line="240" w:lineRule="atLeast"/>
              <w:rPr>
                <w:rFonts w:asciiTheme="minorEastAsia" w:hAnsiTheme="minorEastAsia"/>
                <w:kern w:val="0"/>
                <w:szCs w:val="21"/>
              </w:rPr>
            </w:pPr>
            <w:r>
              <w:rPr>
                <w:rFonts w:hint="eastAsia" w:asciiTheme="minorEastAsia" w:hAnsiTheme="minorEastAsia"/>
                <w:kern w:val="0"/>
                <w:szCs w:val="21"/>
              </w:rPr>
              <w:t>10.评课管理：支持评课权限管理（支持添加学校名称、教师、组织机构功能），支持教师评分管理（板书、教案、习题、测试）进行评分；支持学生评分管理。提供软件界面截图进行技术参数验证；</w:t>
            </w:r>
          </w:p>
          <w:p>
            <w:pPr>
              <w:spacing w:line="240" w:lineRule="atLeast"/>
              <w:rPr>
                <w:rFonts w:asciiTheme="minorEastAsia" w:hAnsiTheme="minorEastAsia"/>
                <w:kern w:val="0"/>
                <w:szCs w:val="21"/>
              </w:rPr>
            </w:pPr>
            <w:r>
              <w:rPr>
                <w:rFonts w:hint="eastAsia" w:asciiTheme="minorEastAsia" w:hAnsiTheme="minorEastAsia"/>
                <w:kern w:val="0"/>
                <w:szCs w:val="21"/>
              </w:rPr>
              <w:t>11.设备管理：支持设备注册功能，设备注册时需要填写所在教室等信息，平台端会显示所有接入设备的名称、类型、设备状态、设备地址等信息。</w:t>
            </w:r>
          </w:p>
          <w:p>
            <w:pPr>
              <w:spacing w:line="240" w:lineRule="atLeast"/>
              <w:rPr>
                <w:rFonts w:asciiTheme="minorEastAsia" w:hAnsiTheme="minorEastAsia"/>
                <w:kern w:val="0"/>
                <w:szCs w:val="21"/>
              </w:rPr>
            </w:pPr>
            <w:r>
              <w:rPr>
                <w:rFonts w:hint="eastAsia" w:asciiTheme="minorEastAsia" w:hAnsiTheme="minorEastAsia"/>
                <w:kern w:val="0"/>
                <w:szCs w:val="21"/>
              </w:rPr>
              <w:t>12.平台数据统计：支持点击量数据排行，视频量数据排行，学习时长排行。</w:t>
            </w:r>
          </w:p>
          <w:p>
            <w:pPr>
              <w:spacing w:line="240" w:lineRule="atLeast"/>
              <w:rPr>
                <w:rFonts w:asciiTheme="minorEastAsia" w:hAnsiTheme="minorEastAsia"/>
                <w:kern w:val="0"/>
                <w:szCs w:val="21"/>
              </w:rPr>
            </w:pPr>
            <w:r>
              <w:rPr>
                <w:rFonts w:hint="eastAsia" w:asciiTheme="minorEastAsia" w:hAnsiTheme="minorEastAsia"/>
                <w:kern w:val="0"/>
                <w:szCs w:val="21"/>
              </w:rPr>
              <w:t>13.敏感词管理：支持用户自定义敏感词，当用户发表评论或者提问时如果是敏感词则不能发表。</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9</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课堂直播软件</w:t>
            </w:r>
          </w:p>
        </w:tc>
        <w:tc>
          <w:tcPr>
            <w:tcW w:w="2959"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Theme="minorEastAsia" w:hAnsiTheme="minorEastAsia"/>
                <w:kern w:val="0"/>
                <w:szCs w:val="21"/>
              </w:rPr>
              <w:t>1.支持多种浏览器（IE、Safari、谷歌、火狐），多种PC终端、移动终端（Android、IOS）收看直播，无需安装客户端软件或插件即可收看，直播低延时。</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2.支持手动直播控制功能，在线人数控制、观看密码控制、观看权限控制。</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3.支持自动直播控制功能，可以通过设置课表对某一个教室到时间自动开始直播。</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4.支持局域网还是广域网，都可以实现高清直播，不需要映射网络端口或者是VPN。</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5.支持单画面电影模式和多画面模式的直播。多画面直播时，视频和屏幕窗口可互换，且每个窗口都能全屏观看，还可调整窗口的大小和位置。</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6.要求进行直播时，如果网络发生网络故障，故障排除后会自动重连。</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7.支持语音消息、文字消息的实时发送，使教室终端能及时接收控制室端的指令，便于双方沟通。</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8.支持视频监控功能，通过网络同步监听与监看所有教室内教师授课声音、图像及电脑屏幕画面，根据不同教室，显示多路音视频和屏幕画面。</w:t>
            </w:r>
          </w:p>
          <w:p>
            <w:pPr>
              <w:widowControl/>
              <w:jc w:val="left"/>
              <w:textAlignment w:val="center"/>
              <w:rPr>
                <w:rFonts w:asciiTheme="minorEastAsia" w:hAnsiTheme="minorEastAsia"/>
                <w:kern w:val="0"/>
                <w:szCs w:val="21"/>
              </w:rPr>
            </w:pPr>
            <w:r>
              <w:rPr>
                <w:rFonts w:hint="eastAsia" w:asciiTheme="minorEastAsia" w:hAnsiTheme="minorEastAsia"/>
                <w:kern w:val="0"/>
                <w:szCs w:val="21"/>
              </w:rPr>
              <w:t>9.支持远程云台控制，通过浏览器，可以在任何地点对教室的摄像机云台进行调节，调节摄像机的转动和焦距变化。</w:t>
            </w:r>
          </w:p>
          <w:p>
            <w:pPr>
              <w:widowControl/>
              <w:jc w:val="left"/>
              <w:textAlignment w:val="center"/>
              <w:rPr>
                <w:rFonts w:asciiTheme="minorEastAsia" w:hAnsiTheme="minorEastAsia"/>
                <w:szCs w:val="21"/>
              </w:rPr>
            </w:pPr>
            <w:r>
              <w:rPr>
                <w:rFonts w:hint="eastAsia" w:asciiTheme="minorEastAsia" w:hAnsiTheme="minorEastAsia"/>
                <w:kern w:val="0"/>
                <w:szCs w:val="21"/>
              </w:rPr>
              <w:t>10.提供由中华人民共和国国家版权局颁发与此软件功能一致的计算机软件著作权登记证书复印件。</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0</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互动教学系统</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1.要求与录播主机无缝隙兼容，配合录播主机使用。</w:t>
            </w:r>
          </w:p>
          <w:p>
            <w:pPr>
              <w:widowControl/>
              <w:spacing w:line="240" w:lineRule="atLeast"/>
              <w:rPr>
                <w:rFonts w:asciiTheme="minorEastAsia" w:hAnsiTheme="minorEastAsia"/>
                <w:kern w:val="0"/>
                <w:szCs w:val="21"/>
              </w:rPr>
            </w:pPr>
            <w:r>
              <w:rPr>
                <w:rFonts w:hint="eastAsia" w:asciiTheme="minorEastAsia" w:hAnsiTheme="minorEastAsia"/>
                <w:kern w:val="0"/>
                <w:szCs w:val="21"/>
              </w:rPr>
              <w:t>2.支持web网页创建互动课堂，同时可通过控制系统的网络教研功能进行创建管理互动课堂。</w:t>
            </w:r>
          </w:p>
          <w:p>
            <w:pPr>
              <w:widowControl/>
              <w:spacing w:line="240" w:lineRule="atLeast"/>
              <w:rPr>
                <w:rFonts w:asciiTheme="minorEastAsia" w:hAnsiTheme="minorEastAsia"/>
                <w:kern w:val="0"/>
                <w:szCs w:val="21"/>
              </w:rPr>
            </w:pPr>
            <w:r>
              <w:rPr>
                <w:rFonts w:hint="eastAsia" w:asciiTheme="minorEastAsia" w:hAnsiTheme="minorEastAsia"/>
                <w:kern w:val="0"/>
                <w:szCs w:val="21"/>
              </w:rPr>
              <w:t>3.支持固定互动课堂，无需进行二次互动点进行配置，同事支持动态互动课堂，支持互动课堂临时搭建。</w:t>
            </w:r>
          </w:p>
          <w:p>
            <w:pPr>
              <w:widowControl/>
              <w:spacing w:line="240" w:lineRule="atLeast"/>
              <w:rPr>
                <w:rFonts w:asciiTheme="minorEastAsia" w:hAnsiTheme="minorEastAsia"/>
                <w:kern w:val="0"/>
                <w:szCs w:val="21"/>
              </w:rPr>
            </w:pPr>
            <w:r>
              <w:rPr>
                <w:rFonts w:hint="eastAsia" w:asciiTheme="minorEastAsia" w:hAnsiTheme="minorEastAsia"/>
                <w:kern w:val="0"/>
                <w:szCs w:val="21"/>
              </w:rPr>
              <w:t>4.支持创建管理互动课堂，实现异地互动，形成网络互动课堂。</w:t>
            </w:r>
          </w:p>
          <w:p>
            <w:pPr>
              <w:widowControl/>
              <w:spacing w:line="240" w:lineRule="atLeast"/>
              <w:rPr>
                <w:rFonts w:asciiTheme="minorEastAsia" w:hAnsiTheme="minorEastAsia"/>
                <w:kern w:val="0"/>
                <w:szCs w:val="21"/>
              </w:rPr>
            </w:pPr>
            <w:r>
              <w:rPr>
                <w:rFonts w:hint="eastAsia" w:asciiTheme="minorEastAsia" w:hAnsiTheme="minorEastAsia"/>
                <w:kern w:val="0"/>
                <w:szCs w:val="21"/>
              </w:rPr>
              <w:t>5.支持组建单点网络互动课堂，即一间主讲教室与一间听课教室交互。</w:t>
            </w:r>
          </w:p>
          <w:p>
            <w:pPr>
              <w:widowControl/>
              <w:spacing w:line="240" w:lineRule="atLeast"/>
              <w:rPr>
                <w:rFonts w:asciiTheme="minorEastAsia" w:hAnsiTheme="minorEastAsia"/>
                <w:kern w:val="0"/>
                <w:szCs w:val="21"/>
              </w:rPr>
            </w:pPr>
            <w:r>
              <w:rPr>
                <w:rFonts w:hint="eastAsia" w:asciiTheme="minorEastAsia" w:hAnsiTheme="minorEastAsia"/>
                <w:kern w:val="0"/>
                <w:szCs w:val="21"/>
              </w:rPr>
              <w:t>6.支持互动过程中，可以实时增加，也可以删除一个互动教室</w:t>
            </w:r>
          </w:p>
          <w:p>
            <w:pPr>
              <w:widowControl/>
              <w:spacing w:line="240" w:lineRule="atLeast"/>
              <w:rPr>
                <w:rFonts w:asciiTheme="minorEastAsia" w:hAnsiTheme="minorEastAsia"/>
                <w:kern w:val="0"/>
                <w:szCs w:val="21"/>
              </w:rPr>
            </w:pPr>
            <w:r>
              <w:rPr>
                <w:rFonts w:hint="eastAsia" w:asciiTheme="minorEastAsia" w:hAnsiTheme="minorEastAsia"/>
                <w:kern w:val="0"/>
                <w:szCs w:val="21"/>
              </w:rPr>
              <w:t>7.支持组建多点的网络互动课堂，即一间主讲教室与多间听课教室同时交互，支持多间教室互动。</w:t>
            </w:r>
          </w:p>
          <w:p>
            <w:pPr>
              <w:widowControl/>
              <w:spacing w:line="240" w:lineRule="atLeast"/>
              <w:rPr>
                <w:rFonts w:asciiTheme="minorEastAsia" w:hAnsiTheme="minorEastAsia"/>
                <w:kern w:val="0"/>
                <w:szCs w:val="21"/>
              </w:rPr>
            </w:pPr>
            <w:r>
              <w:rPr>
                <w:rFonts w:hint="eastAsia" w:asciiTheme="minorEastAsia" w:hAnsiTheme="minorEastAsia"/>
                <w:kern w:val="0"/>
                <w:szCs w:val="21"/>
              </w:rPr>
              <w:t>8.支持互动课堂管理功能，具有多种用户权限的设置，包括建立互动小组，添加、删除、修改互动教室，开始和停止互动过程等。</w:t>
            </w:r>
          </w:p>
          <w:p>
            <w:pPr>
              <w:widowControl/>
              <w:spacing w:line="240" w:lineRule="atLeast"/>
              <w:rPr>
                <w:rFonts w:asciiTheme="minorEastAsia" w:hAnsiTheme="minorEastAsia"/>
                <w:kern w:val="0"/>
                <w:szCs w:val="21"/>
              </w:rPr>
            </w:pPr>
            <w:r>
              <w:rPr>
                <w:rFonts w:hint="eastAsia" w:asciiTheme="minorEastAsia" w:hAnsiTheme="minorEastAsia"/>
                <w:kern w:val="0"/>
                <w:szCs w:val="21"/>
              </w:rPr>
              <w:t>9.互动课堂管理员在课堂开始前、进行中、结束后进行全全管理控制。</w:t>
            </w:r>
          </w:p>
          <w:p>
            <w:pPr>
              <w:widowControl/>
              <w:spacing w:line="240" w:lineRule="atLeast"/>
              <w:rPr>
                <w:rFonts w:asciiTheme="minorEastAsia" w:hAnsiTheme="minorEastAsia"/>
                <w:kern w:val="0"/>
                <w:szCs w:val="21"/>
              </w:rPr>
            </w:pPr>
            <w:r>
              <w:rPr>
                <w:rFonts w:hint="eastAsia" w:asciiTheme="minorEastAsia" w:hAnsiTheme="minorEastAsia"/>
                <w:kern w:val="0"/>
                <w:szCs w:val="21"/>
              </w:rPr>
              <w:t>10.支持在在互动中，可以进行直播和录制教学场景。</w:t>
            </w:r>
          </w:p>
          <w:p>
            <w:pPr>
              <w:widowControl/>
              <w:spacing w:line="240" w:lineRule="atLeast"/>
              <w:rPr>
                <w:rFonts w:asciiTheme="minorEastAsia" w:hAnsiTheme="minorEastAsia"/>
                <w:kern w:val="0"/>
                <w:szCs w:val="21"/>
              </w:rPr>
            </w:pPr>
            <w:r>
              <w:rPr>
                <w:rFonts w:hint="eastAsia" w:asciiTheme="minorEastAsia" w:hAnsiTheme="minorEastAsia"/>
                <w:kern w:val="0"/>
                <w:szCs w:val="21"/>
              </w:rPr>
              <w:t>11.可设置互动设备参数、查看互动状态、控制互动发言等。</w:t>
            </w:r>
          </w:p>
          <w:p>
            <w:pPr>
              <w:widowControl/>
              <w:spacing w:line="240" w:lineRule="atLeast"/>
              <w:rPr>
                <w:rFonts w:asciiTheme="minorEastAsia" w:hAnsiTheme="minorEastAsia"/>
                <w:kern w:val="0"/>
                <w:szCs w:val="21"/>
              </w:rPr>
            </w:pPr>
            <w:r>
              <w:rPr>
                <w:rFonts w:hint="eastAsia" w:asciiTheme="minorEastAsia" w:hAnsiTheme="minorEastAsia"/>
                <w:kern w:val="0"/>
                <w:szCs w:val="21"/>
              </w:rPr>
              <w:t>12.在互动课堂进行交互时，可监看监听主讲教室和听课教室的音视频画面。</w:t>
            </w:r>
          </w:p>
          <w:p>
            <w:pPr>
              <w:widowControl/>
              <w:spacing w:line="240" w:lineRule="atLeast"/>
              <w:rPr>
                <w:rFonts w:asciiTheme="minorEastAsia" w:hAnsiTheme="minorEastAsia"/>
                <w:kern w:val="0"/>
                <w:szCs w:val="21"/>
              </w:rPr>
            </w:pPr>
            <w:r>
              <w:rPr>
                <w:rFonts w:hint="eastAsia" w:asciiTheme="minorEastAsia" w:hAnsiTheme="minorEastAsia"/>
                <w:kern w:val="0"/>
                <w:szCs w:val="21"/>
              </w:rPr>
              <w:t>13.当互动时，具有申请发言功能，为避免互动干扰，可以对听课教室做静音，哑音等操作。</w:t>
            </w:r>
          </w:p>
          <w:p>
            <w:pPr>
              <w:widowControl/>
              <w:spacing w:line="240" w:lineRule="atLeast"/>
              <w:rPr>
                <w:rFonts w:asciiTheme="minorEastAsia" w:hAnsiTheme="minorEastAsia"/>
                <w:kern w:val="0"/>
                <w:szCs w:val="21"/>
              </w:rPr>
            </w:pPr>
            <w:r>
              <w:rPr>
                <w:rFonts w:hint="eastAsia" w:asciiTheme="minorEastAsia" w:hAnsiTheme="minorEastAsia"/>
                <w:kern w:val="0"/>
                <w:szCs w:val="21"/>
              </w:rPr>
              <w:t>14.支持教室及课程命名功能，在互动视频中添加教室文字水印。</w:t>
            </w:r>
          </w:p>
          <w:p>
            <w:pPr>
              <w:widowControl/>
              <w:spacing w:line="240" w:lineRule="atLeast"/>
              <w:rPr>
                <w:rFonts w:asciiTheme="minorEastAsia" w:hAnsiTheme="minorEastAsia"/>
                <w:kern w:val="0"/>
                <w:szCs w:val="21"/>
              </w:rPr>
            </w:pPr>
            <w:r>
              <w:rPr>
                <w:rFonts w:hint="eastAsia" w:asciiTheme="minorEastAsia" w:hAnsiTheme="minorEastAsia"/>
                <w:kern w:val="0"/>
                <w:szCs w:val="21"/>
              </w:rPr>
              <w:t>15.支持远程督导教研功能，当多间教室同时互动时，支持在主讲教室中轮询浏览所有听课教室。</w:t>
            </w:r>
          </w:p>
          <w:p>
            <w:pPr>
              <w:widowControl/>
              <w:spacing w:line="240" w:lineRule="atLeast"/>
              <w:rPr>
                <w:rFonts w:asciiTheme="minorEastAsia" w:hAnsiTheme="minorEastAsia"/>
                <w:kern w:val="0"/>
                <w:szCs w:val="21"/>
              </w:rPr>
            </w:pPr>
            <w:r>
              <w:rPr>
                <w:rFonts w:hint="eastAsia" w:asciiTheme="minorEastAsia" w:hAnsiTheme="minorEastAsia"/>
                <w:kern w:val="0"/>
                <w:szCs w:val="21"/>
              </w:rPr>
              <w:t>16.支持单间教室进行提问，与主讲教室进行互动问答。</w:t>
            </w:r>
          </w:p>
          <w:p>
            <w:pPr>
              <w:widowControl/>
              <w:spacing w:line="240" w:lineRule="atLeast"/>
              <w:rPr>
                <w:rFonts w:asciiTheme="minorEastAsia" w:hAnsiTheme="minorEastAsia"/>
                <w:kern w:val="0"/>
                <w:szCs w:val="21"/>
              </w:rPr>
            </w:pPr>
            <w:r>
              <w:rPr>
                <w:rFonts w:hint="eastAsia" w:asciiTheme="minorEastAsia" w:hAnsiTheme="minorEastAsia"/>
                <w:kern w:val="0"/>
                <w:szCs w:val="21"/>
              </w:rPr>
              <w:t>17.支持多间教室进行互动交流，进行教学研讨。</w:t>
            </w:r>
          </w:p>
          <w:p>
            <w:pPr>
              <w:widowControl/>
              <w:spacing w:line="240" w:lineRule="atLeast"/>
              <w:rPr>
                <w:rFonts w:asciiTheme="minorEastAsia" w:hAnsiTheme="minorEastAsia"/>
                <w:kern w:val="0"/>
                <w:szCs w:val="21"/>
              </w:rPr>
            </w:pPr>
            <w:r>
              <w:rPr>
                <w:rFonts w:hint="eastAsia" w:asciiTheme="minorEastAsia" w:hAnsiTheme="minorEastAsia"/>
                <w:kern w:val="0"/>
                <w:szCs w:val="21"/>
              </w:rPr>
              <w:t>18.支持通过网络，将教学互动过程直播出去，直播画面可全真展现互动课堂的全过程。</w:t>
            </w:r>
          </w:p>
          <w:p>
            <w:pPr>
              <w:widowControl/>
              <w:spacing w:line="240" w:lineRule="atLeast"/>
              <w:rPr>
                <w:rFonts w:asciiTheme="minorEastAsia" w:hAnsiTheme="minorEastAsia"/>
                <w:kern w:val="0"/>
                <w:szCs w:val="21"/>
              </w:rPr>
            </w:pPr>
            <w:r>
              <w:rPr>
                <w:rFonts w:hint="eastAsia" w:asciiTheme="minorEastAsia" w:hAnsiTheme="minorEastAsia"/>
                <w:kern w:val="0"/>
                <w:szCs w:val="21"/>
              </w:rPr>
              <w:t>19.支持教学互动过程录制成互动模式课件，用浏览器即可播放，无须安装其他软件。</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1</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1</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时序电源管理器</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1.支持 8路电源输出。</w:t>
            </w:r>
          </w:p>
          <w:p>
            <w:pPr>
              <w:widowControl/>
              <w:spacing w:line="240" w:lineRule="atLeast"/>
              <w:rPr>
                <w:rFonts w:asciiTheme="minorEastAsia" w:hAnsiTheme="minorEastAsia"/>
                <w:kern w:val="0"/>
                <w:szCs w:val="21"/>
              </w:rPr>
            </w:pPr>
            <w:r>
              <w:rPr>
                <w:rFonts w:hint="eastAsia" w:asciiTheme="minorEastAsia" w:hAnsiTheme="minorEastAsia"/>
                <w:kern w:val="0"/>
                <w:szCs w:val="21"/>
              </w:rPr>
              <w:t>2.支持RS232串口能控制。</w:t>
            </w:r>
          </w:p>
          <w:p>
            <w:pPr>
              <w:widowControl/>
              <w:spacing w:line="240" w:lineRule="atLeast"/>
              <w:rPr>
                <w:rFonts w:asciiTheme="minorEastAsia" w:hAnsiTheme="minorEastAsia"/>
                <w:kern w:val="0"/>
                <w:szCs w:val="21"/>
              </w:rPr>
            </w:pPr>
            <w:r>
              <w:rPr>
                <w:rFonts w:hint="eastAsia" w:asciiTheme="minorEastAsia" w:hAnsiTheme="minorEastAsia"/>
                <w:kern w:val="0"/>
                <w:szCs w:val="21"/>
              </w:rPr>
              <w:t>3.支持每路电压数字显示功能。</w:t>
            </w:r>
          </w:p>
          <w:p>
            <w:pPr>
              <w:widowControl/>
              <w:spacing w:line="240" w:lineRule="atLeast"/>
              <w:rPr>
                <w:rFonts w:asciiTheme="minorEastAsia" w:hAnsiTheme="minorEastAsia"/>
                <w:kern w:val="0"/>
                <w:szCs w:val="21"/>
              </w:rPr>
            </w:pPr>
            <w:r>
              <w:rPr>
                <w:rFonts w:hint="eastAsia" w:asciiTheme="minorEastAsia" w:hAnsiTheme="minorEastAsia"/>
                <w:kern w:val="0"/>
                <w:szCs w:val="21"/>
              </w:rPr>
              <w:t>4.启动时间和启动顺序支持通过软件设置控。</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2</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16口接入交换机(非POE)</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 端口：16个10/100/1000M自适应以太网端口</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 背板交换容量：48Gbps</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3. 端口交换容量：48Gbps</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4. 转发能力：35.7Mpps</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5. 包缓存：4Mb</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6. 交换模式：存储转发模式</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7. MAC地址表：支持地址自动学习、自动老化，支持MAC地址：8K</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3</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音箱</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1. 额定功率：65W</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2. 最大功率：200W</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3. 额定阻抗：4Ω</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4. 频率响应：75Hz-20kHz</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5. 灵敏度：89dB/1W/1M</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6. 最大声压级：112dB</w:t>
            </w:r>
          </w:p>
          <w:p>
            <w:pPr>
              <w:widowControl/>
              <w:spacing w:line="240" w:lineRule="atLeast"/>
              <w:ind w:firstLine="420" w:firstLineChars="200"/>
              <w:rPr>
                <w:rFonts w:asciiTheme="minorEastAsia" w:hAnsiTheme="minorEastAsia"/>
                <w:kern w:val="0"/>
                <w:szCs w:val="21"/>
              </w:rPr>
            </w:pPr>
            <w:r>
              <w:rPr>
                <w:rFonts w:hint="eastAsia" w:asciiTheme="minorEastAsia" w:hAnsiTheme="minorEastAsia"/>
                <w:kern w:val="0"/>
                <w:szCs w:val="21"/>
              </w:rPr>
              <w:t>7. 为保证系统兼容性与功放同一品牌。</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4</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多媒体功放</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 xml:space="preserve">1.二路话筒输入、四路音频输入，一路音频输出。 </w:t>
            </w:r>
          </w:p>
          <w:p>
            <w:pPr>
              <w:widowControl/>
              <w:spacing w:line="240" w:lineRule="atLeast"/>
              <w:rPr>
                <w:rFonts w:asciiTheme="minorEastAsia" w:hAnsiTheme="minorEastAsia"/>
                <w:kern w:val="0"/>
                <w:szCs w:val="21"/>
              </w:rPr>
            </w:pPr>
            <w:r>
              <w:rPr>
                <w:rFonts w:hint="eastAsia" w:asciiTheme="minorEastAsia" w:hAnsiTheme="minorEastAsia"/>
                <w:kern w:val="0"/>
                <w:szCs w:val="21"/>
              </w:rPr>
              <w:t>2. 带RS232控制接口。</w:t>
            </w:r>
          </w:p>
          <w:p>
            <w:pPr>
              <w:widowControl/>
              <w:spacing w:line="240" w:lineRule="atLeast"/>
              <w:rPr>
                <w:rFonts w:asciiTheme="minorEastAsia" w:hAnsiTheme="minorEastAsia"/>
                <w:kern w:val="0"/>
                <w:szCs w:val="21"/>
              </w:rPr>
            </w:pPr>
            <w:r>
              <w:rPr>
                <w:rFonts w:hint="eastAsia" w:asciiTheme="minorEastAsia" w:hAnsiTheme="minorEastAsia"/>
                <w:kern w:val="0"/>
                <w:szCs w:val="21"/>
              </w:rPr>
              <w:t>3. MP3自动音乐播放器，支持USB介质。</w:t>
            </w:r>
          </w:p>
          <w:p>
            <w:pPr>
              <w:widowControl/>
              <w:spacing w:line="240" w:lineRule="atLeast"/>
              <w:rPr>
                <w:rFonts w:asciiTheme="minorEastAsia" w:hAnsiTheme="minorEastAsia"/>
                <w:kern w:val="0"/>
                <w:szCs w:val="21"/>
              </w:rPr>
            </w:pPr>
            <w:r>
              <w:rPr>
                <w:rFonts w:hint="eastAsia" w:asciiTheme="minorEastAsia" w:hAnsiTheme="minorEastAsia"/>
                <w:kern w:val="0"/>
                <w:szCs w:val="21"/>
              </w:rPr>
              <w:t>4. 额定功率：2×65W /8Ω</w:t>
            </w:r>
          </w:p>
          <w:p>
            <w:pPr>
              <w:widowControl/>
              <w:spacing w:line="240" w:lineRule="atLeast"/>
              <w:rPr>
                <w:rFonts w:asciiTheme="minorEastAsia" w:hAnsiTheme="minorEastAsia"/>
                <w:kern w:val="0"/>
                <w:szCs w:val="21"/>
              </w:rPr>
            </w:pPr>
            <w:r>
              <w:rPr>
                <w:rFonts w:hint="eastAsia" w:asciiTheme="minorEastAsia" w:hAnsiTheme="minorEastAsia"/>
                <w:kern w:val="0"/>
                <w:szCs w:val="21"/>
              </w:rPr>
              <w:t xml:space="preserve">5. 最大功率：2×130W/8Ω </w:t>
            </w:r>
          </w:p>
          <w:p>
            <w:pPr>
              <w:widowControl/>
              <w:spacing w:line="240" w:lineRule="atLeast"/>
              <w:rPr>
                <w:rFonts w:asciiTheme="minorEastAsia" w:hAnsiTheme="minorEastAsia"/>
                <w:kern w:val="0"/>
                <w:szCs w:val="21"/>
              </w:rPr>
            </w:pPr>
            <w:r>
              <w:rPr>
                <w:rFonts w:hint="eastAsia" w:asciiTheme="minorEastAsia" w:hAnsiTheme="minorEastAsia"/>
                <w:kern w:val="0"/>
                <w:szCs w:val="21"/>
              </w:rPr>
              <w:t>6. 频率响应：线路输入20Hz-20KHz、话筒60Hz-14KHz</w:t>
            </w:r>
          </w:p>
          <w:p>
            <w:pPr>
              <w:widowControl/>
              <w:spacing w:line="240" w:lineRule="atLeast"/>
              <w:rPr>
                <w:rFonts w:asciiTheme="minorEastAsia" w:hAnsiTheme="minorEastAsia"/>
                <w:kern w:val="0"/>
                <w:szCs w:val="21"/>
              </w:rPr>
            </w:pPr>
            <w:r>
              <w:rPr>
                <w:rFonts w:hint="eastAsia" w:asciiTheme="minorEastAsia" w:hAnsiTheme="minorEastAsia"/>
                <w:kern w:val="0"/>
                <w:szCs w:val="21"/>
              </w:rPr>
              <w:t>7. 额定输入电平：话筒15mV（非平衡）、 线路200m</w:t>
            </w:r>
          </w:p>
          <w:p>
            <w:pPr>
              <w:widowControl/>
              <w:spacing w:line="240" w:lineRule="atLeast"/>
              <w:rPr>
                <w:rFonts w:asciiTheme="minorEastAsia" w:hAnsiTheme="minorEastAsia"/>
                <w:kern w:val="0"/>
                <w:szCs w:val="21"/>
              </w:rPr>
            </w:pPr>
            <w:r>
              <w:rPr>
                <w:rFonts w:hint="eastAsia" w:asciiTheme="minorEastAsia" w:hAnsiTheme="minorEastAsia"/>
                <w:kern w:val="0"/>
                <w:szCs w:val="21"/>
              </w:rPr>
              <w:t>8. 额定输出电平：线路 0.775V</w:t>
            </w:r>
          </w:p>
          <w:p>
            <w:pPr>
              <w:widowControl/>
              <w:spacing w:line="240" w:lineRule="atLeast"/>
              <w:rPr>
                <w:rFonts w:asciiTheme="minorEastAsia" w:hAnsiTheme="minorEastAsia"/>
                <w:kern w:val="0"/>
                <w:szCs w:val="21"/>
              </w:rPr>
            </w:pPr>
            <w:r>
              <w:rPr>
                <w:rFonts w:hint="eastAsia" w:asciiTheme="minorEastAsia" w:hAnsiTheme="minorEastAsia"/>
                <w:kern w:val="0"/>
                <w:szCs w:val="21"/>
              </w:rPr>
              <w:t>9. 失真度：≤0.5%</w:t>
            </w:r>
          </w:p>
          <w:p>
            <w:pPr>
              <w:widowControl/>
              <w:spacing w:line="240" w:lineRule="atLeast"/>
              <w:rPr>
                <w:rFonts w:asciiTheme="minorEastAsia" w:hAnsiTheme="minorEastAsia"/>
                <w:kern w:val="0"/>
                <w:szCs w:val="21"/>
              </w:rPr>
            </w:pPr>
            <w:r>
              <w:rPr>
                <w:rFonts w:hint="eastAsia" w:asciiTheme="minorEastAsia" w:hAnsiTheme="minorEastAsia"/>
                <w:kern w:val="0"/>
                <w:szCs w:val="21"/>
              </w:rPr>
              <w:t>10. 信噪比：≥80dB(A计权)</w:t>
            </w:r>
          </w:p>
          <w:p>
            <w:pPr>
              <w:widowControl/>
              <w:spacing w:line="240" w:lineRule="atLeast"/>
              <w:rPr>
                <w:rFonts w:asciiTheme="minorEastAsia" w:hAnsiTheme="minorEastAsia"/>
                <w:kern w:val="0"/>
                <w:szCs w:val="21"/>
              </w:rPr>
            </w:pPr>
            <w:r>
              <w:rPr>
                <w:rFonts w:hint="eastAsia" w:asciiTheme="minorEastAsia" w:hAnsiTheme="minorEastAsia"/>
                <w:kern w:val="0"/>
                <w:szCs w:val="21"/>
              </w:rPr>
              <w:t>11. 电源：交流220V±10%/50Hz</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5</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教师站主机</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电脑(工程师站/操作员站电脑)：品牌主机，CPU，四核心，i7处理器，内存16G，硬盘1TB，4GB独显，DVD光驱，USB光电鼠标，键盘，网卡：10/100M自适应、计算机软件包，2年质保。正版Windows10操作系统</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szCs w:val="21"/>
              </w:rPr>
              <w:t>1</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6</w:t>
            </w:r>
          </w:p>
        </w:tc>
        <w:tc>
          <w:tcPr>
            <w:tcW w:w="875"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Theme="minorEastAsia" w:hAnsiTheme="minorEastAsia"/>
                <w:kern w:val="0"/>
                <w:sz w:val="22"/>
              </w:rPr>
              <w:t>显示器</w:t>
            </w:r>
          </w:p>
        </w:tc>
        <w:tc>
          <w:tcPr>
            <w:tcW w:w="2959" w:type="pct"/>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23寸，高清，IPS技术，低蓝光护眼，无线键鼠套装</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7</w:t>
            </w:r>
          </w:p>
        </w:tc>
        <w:tc>
          <w:tcPr>
            <w:tcW w:w="875"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Theme="minorEastAsia" w:hAnsiTheme="minorEastAsia"/>
                <w:kern w:val="0"/>
                <w:sz w:val="22"/>
              </w:rPr>
              <w:t>导播台桌椅</w:t>
            </w:r>
          </w:p>
        </w:tc>
        <w:tc>
          <w:tcPr>
            <w:tcW w:w="2959" w:type="pct"/>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定制，配椅子</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8</w:t>
            </w:r>
          </w:p>
        </w:tc>
        <w:tc>
          <w:tcPr>
            <w:tcW w:w="875"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Theme="minorEastAsia" w:hAnsiTheme="minorEastAsia"/>
                <w:kern w:val="0"/>
                <w:sz w:val="22"/>
              </w:rPr>
              <w:t>液晶电视</w:t>
            </w:r>
          </w:p>
        </w:tc>
        <w:tc>
          <w:tcPr>
            <w:tcW w:w="2959" w:type="pct"/>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背光:LED背光</w:t>
            </w:r>
          </w:p>
          <w:p>
            <w:pPr>
              <w:rPr>
                <w:rFonts w:asciiTheme="minorEastAsia" w:hAnsiTheme="minorEastAsia"/>
                <w:szCs w:val="21"/>
              </w:rPr>
            </w:pPr>
            <w:r>
              <w:rPr>
                <w:rFonts w:hint="eastAsia" w:asciiTheme="minorEastAsia" w:hAnsiTheme="minorEastAsia"/>
                <w:szCs w:val="21"/>
              </w:rPr>
              <w:t>尺寸:55寸</w:t>
            </w:r>
          </w:p>
          <w:p>
            <w:pPr>
              <w:rPr>
                <w:rFonts w:asciiTheme="minorEastAsia" w:hAnsiTheme="minorEastAsia"/>
                <w:szCs w:val="21"/>
              </w:rPr>
            </w:pPr>
            <w:r>
              <w:rPr>
                <w:rFonts w:hint="eastAsia" w:asciiTheme="minorEastAsia" w:hAnsiTheme="minorEastAsia"/>
                <w:szCs w:val="21"/>
              </w:rPr>
              <w:t>屏体:4K屏</w:t>
            </w:r>
          </w:p>
          <w:p>
            <w:pPr>
              <w:rPr>
                <w:rFonts w:asciiTheme="minorEastAsia" w:hAnsiTheme="minorEastAsia"/>
                <w:szCs w:val="21"/>
              </w:rPr>
            </w:pPr>
            <w:r>
              <w:rPr>
                <w:rFonts w:hint="eastAsia" w:asciiTheme="minorEastAsia" w:hAnsiTheme="minorEastAsia"/>
                <w:szCs w:val="21"/>
              </w:rPr>
              <w:t>物理分辨率:3840*2160</w:t>
            </w:r>
          </w:p>
          <w:p>
            <w:pPr>
              <w:rPr>
                <w:rFonts w:asciiTheme="minorEastAsia" w:hAnsiTheme="minorEastAsia"/>
                <w:szCs w:val="21"/>
              </w:rPr>
            </w:pPr>
            <w:r>
              <w:rPr>
                <w:rFonts w:hint="eastAsia" w:asciiTheme="minorEastAsia" w:hAnsiTheme="minorEastAsia"/>
                <w:szCs w:val="21"/>
              </w:rPr>
              <w:t>屏幕比例:16:9</w:t>
            </w:r>
          </w:p>
          <w:p>
            <w:pPr>
              <w:rPr>
                <w:rFonts w:asciiTheme="minorEastAsia" w:hAnsiTheme="minorEastAsia"/>
                <w:szCs w:val="21"/>
              </w:rPr>
            </w:pPr>
            <w:r>
              <w:rPr>
                <w:rFonts w:hint="eastAsia" w:asciiTheme="minorEastAsia" w:hAnsiTheme="minorEastAsia"/>
                <w:szCs w:val="21"/>
              </w:rPr>
              <w:t>峰值亮度:300cd/m2</w:t>
            </w:r>
          </w:p>
          <w:p>
            <w:pPr>
              <w:rPr>
                <w:rFonts w:asciiTheme="minorEastAsia" w:hAnsiTheme="minorEastAsia"/>
                <w:szCs w:val="21"/>
              </w:rPr>
            </w:pPr>
            <w:r>
              <w:rPr>
                <w:rFonts w:hint="eastAsia" w:asciiTheme="minorEastAsia" w:hAnsiTheme="minorEastAsia"/>
                <w:szCs w:val="21"/>
              </w:rPr>
              <w:t>对比度:1200:1</w:t>
            </w:r>
          </w:p>
          <w:p>
            <w:pPr>
              <w:rPr>
                <w:rFonts w:asciiTheme="minorEastAsia" w:hAnsiTheme="minorEastAsia"/>
                <w:szCs w:val="21"/>
              </w:rPr>
            </w:pPr>
            <w:r>
              <w:rPr>
                <w:rFonts w:hint="eastAsia" w:asciiTheme="minorEastAsia" w:hAnsiTheme="minorEastAsia"/>
                <w:szCs w:val="21"/>
              </w:rPr>
              <w:t>刷新频率:60Hz</w:t>
            </w:r>
          </w:p>
          <w:p>
            <w:pPr>
              <w:rPr>
                <w:rFonts w:asciiTheme="minorEastAsia" w:hAnsiTheme="minorEastAsia"/>
                <w:szCs w:val="21"/>
              </w:rPr>
            </w:pPr>
            <w:r>
              <w:rPr>
                <w:rFonts w:hint="eastAsia" w:asciiTheme="minorEastAsia" w:hAnsiTheme="minorEastAsia"/>
                <w:szCs w:val="21"/>
              </w:rPr>
              <w:t>扫描方式:逐行扫描</w:t>
            </w:r>
          </w:p>
          <w:p>
            <w:pPr>
              <w:rPr>
                <w:rFonts w:asciiTheme="minorEastAsia" w:hAnsiTheme="minorEastAsia"/>
                <w:szCs w:val="21"/>
              </w:rPr>
            </w:pPr>
            <w:r>
              <w:rPr>
                <w:rFonts w:hint="eastAsia" w:asciiTheme="minorEastAsia" w:hAnsiTheme="minorEastAsia"/>
                <w:szCs w:val="21"/>
              </w:rPr>
              <w:t>动态响应:8ms</w:t>
            </w:r>
          </w:p>
          <w:p>
            <w:pPr>
              <w:rPr>
                <w:rFonts w:asciiTheme="minorEastAsia" w:hAnsiTheme="minorEastAsia"/>
                <w:szCs w:val="21"/>
              </w:rPr>
            </w:pPr>
            <w:r>
              <w:rPr>
                <w:rFonts w:hint="eastAsia" w:asciiTheme="minorEastAsia" w:hAnsiTheme="minorEastAsia"/>
                <w:szCs w:val="21"/>
              </w:rPr>
              <w:t>水平可视角:178°</w:t>
            </w:r>
          </w:p>
          <w:p>
            <w:pPr>
              <w:rPr>
                <w:rFonts w:asciiTheme="minorEastAsia" w:hAnsiTheme="minorEastAsia"/>
                <w:szCs w:val="21"/>
              </w:rPr>
            </w:pPr>
            <w:r>
              <w:rPr>
                <w:rFonts w:hint="eastAsia" w:asciiTheme="minorEastAsia" w:hAnsiTheme="minorEastAsia"/>
                <w:szCs w:val="21"/>
              </w:rPr>
              <w:t>垂直可视角:178°</w:t>
            </w:r>
          </w:p>
          <w:p>
            <w:pPr>
              <w:rPr>
                <w:rFonts w:asciiTheme="minorEastAsia" w:hAnsiTheme="minorEastAsia"/>
                <w:szCs w:val="21"/>
              </w:rPr>
            </w:pPr>
            <w:r>
              <w:rPr>
                <w:rFonts w:hint="eastAsia" w:asciiTheme="minorEastAsia" w:hAnsiTheme="minorEastAsia"/>
                <w:szCs w:val="21"/>
              </w:rPr>
              <w:t>HDR解码:支持</w:t>
            </w:r>
          </w:p>
          <w:p>
            <w:pPr>
              <w:rPr>
                <w:rFonts w:asciiTheme="minorEastAsia" w:hAnsiTheme="minorEastAsia"/>
                <w:szCs w:val="21"/>
              </w:rPr>
            </w:pPr>
            <w:r>
              <w:rPr>
                <w:rFonts w:hint="eastAsia" w:asciiTheme="minorEastAsia" w:hAnsiTheme="minorEastAsia"/>
                <w:szCs w:val="21"/>
              </w:rPr>
              <w:t>HDMI接口:2路2.0</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4</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9</w:t>
            </w:r>
          </w:p>
        </w:tc>
        <w:tc>
          <w:tcPr>
            <w:tcW w:w="875"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Theme="minorEastAsia" w:hAnsiTheme="minorEastAsia"/>
                <w:kern w:val="0"/>
                <w:sz w:val="22"/>
              </w:rPr>
              <w:t>有源音箱</w:t>
            </w:r>
          </w:p>
        </w:tc>
        <w:tc>
          <w:tcPr>
            <w:tcW w:w="2959" w:type="pct"/>
            <w:tcBorders>
              <w:top w:val="single" w:color="auto" w:sz="4" w:space="0"/>
              <w:left w:val="nil"/>
              <w:bottom w:val="single" w:color="auto" w:sz="4" w:space="0"/>
              <w:right w:val="single" w:color="auto" w:sz="4" w:space="0"/>
            </w:tcBorders>
            <w:vAlign w:val="center"/>
          </w:tcPr>
          <w:p>
            <w:pPr>
              <w:widowControl/>
              <w:jc w:val="left"/>
              <w:textAlignment w:val="center"/>
              <w:rPr>
                <w:rFonts w:asciiTheme="minorEastAsia" w:hAnsiTheme="minorEastAsia"/>
                <w:sz w:val="22"/>
              </w:rPr>
            </w:pPr>
            <w:r>
              <w:rPr>
                <w:rFonts w:hint="eastAsia" w:asciiTheme="minorEastAsia" w:hAnsiTheme="minorEastAsia"/>
                <w:kern w:val="0"/>
                <w:sz w:val="22"/>
              </w:rPr>
              <w:t>主要功能特点：</w:t>
            </w:r>
            <w:r>
              <w:rPr>
                <w:rFonts w:hint="eastAsia" w:asciiTheme="minorEastAsia" w:hAnsiTheme="minorEastAsia"/>
                <w:kern w:val="0"/>
                <w:sz w:val="22"/>
              </w:rPr>
              <w:br w:type="textWrapping"/>
            </w:r>
            <w:r>
              <w:rPr>
                <w:rFonts w:hint="eastAsia" w:asciiTheme="minorEastAsia" w:hAnsiTheme="minorEastAsia"/>
                <w:kern w:val="0"/>
                <w:sz w:val="22"/>
              </w:rPr>
              <w:t>1、采用全频单元，二路话筒输入（环保麦克风插口自带DC+6V电源）；</w:t>
            </w:r>
            <w:r>
              <w:rPr>
                <w:rFonts w:hint="eastAsia" w:asciiTheme="minorEastAsia" w:hAnsiTheme="minorEastAsia"/>
                <w:kern w:val="0"/>
                <w:sz w:val="22"/>
              </w:rPr>
              <w:br w:type="textWrapping"/>
            </w:r>
            <w:r>
              <w:rPr>
                <w:rFonts w:asciiTheme="minorEastAsia" w:hAnsiTheme="minorEastAsia"/>
                <w:kern w:val="0"/>
                <w:sz w:val="22"/>
              </w:rPr>
              <w:t>2</w:t>
            </w:r>
            <w:r>
              <w:rPr>
                <w:rFonts w:hint="eastAsia" w:asciiTheme="minorEastAsia" w:hAnsiTheme="minorEastAsia"/>
                <w:kern w:val="0"/>
                <w:sz w:val="22"/>
              </w:rPr>
              <w:t>、具有效率高、工作稳定可靠的特点；</w:t>
            </w:r>
            <w:r>
              <w:rPr>
                <w:rFonts w:hint="eastAsia" w:asciiTheme="minorEastAsia" w:hAnsiTheme="minorEastAsia"/>
                <w:kern w:val="0"/>
                <w:sz w:val="22"/>
              </w:rPr>
              <w:br w:type="textWrapping"/>
            </w:r>
            <w:r>
              <w:rPr>
                <w:rFonts w:asciiTheme="minorEastAsia" w:hAnsiTheme="minorEastAsia"/>
                <w:kern w:val="0"/>
                <w:sz w:val="22"/>
              </w:rPr>
              <w:t>3</w:t>
            </w:r>
            <w:r>
              <w:rPr>
                <w:rFonts w:hint="eastAsia" w:asciiTheme="minorEastAsia" w:hAnsiTheme="minorEastAsia"/>
                <w:kern w:val="0"/>
                <w:sz w:val="22"/>
              </w:rPr>
              <w:t>、标配壁挂安装配件，吊装简单方便；</w:t>
            </w:r>
            <w:r>
              <w:rPr>
                <w:rFonts w:hint="eastAsia" w:asciiTheme="minorEastAsia" w:hAnsiTheme="minorEastAsia"/>
                <w:kern w:val="0"/>
                <w:sz w:val="22"/>
              </w:rPr>
              <w:br w:type="textWrapping"/>
            </w:r>
            <w:r>
              <w:rPr>
                <w:rFonts w:hint="eastAsia" w:asciiTheme="minorEastAsia" w:hAnsiTheme="minorEastAsia"/>
                <w:kern w:val="0"/>
                <w:sz w:val="22"/>
              </w:rPr>
              <w:t>主要技术参数：</w:t>
            </w:r>
            <w:r>
              <w:rPr>
                <w:rFonts w:hint="eastAsia" w:asciiTheme="minorEastAsia" w:hAnsiTheme="minorEastAsia"/>
                <w:kern w:val="0"/>
                <w:sz w:val="22"/>
              </w:rPr>
              <w:br w:type="textWrapping"/>
            </w:r>
            <w:r>
              <w:rPr>
                <w:rFonts w:hint="eastAsia" w:asciiTheme="minorEastAsia" w:hAnsiTheme="minorEastAsia"/>
                <w:kern w:val="0"/>
                <w:sz w:val="22"/>
              </w:rPr>
              <w:t>1、额定功率：35W；</w:t>
            </w:r>
            <w:r>
              <w:rPr>
                <w:rFonts w:hint="eastAsia" w:asciiTheme="minorEastAsia" w:hAnsiTheme="minorEastAsia"/>
                <w:kern w:val="0"/>
                <w:sz w:val="22"/>
              </w:rPr>
              <w:br w:type="textWrapping"/>
            </w:r>
            <w:r>
              <w:rPr>
                <w:rFonts w:hint="eastAsia" w:asciiTheme="minorEastAsia" w:hAnsiTheme="minorEastAsia"/>
                <w:kern w:val="0"/>
                <w:sz w:val="22"/>
              </w:rPr>
              <w:t>2、额定阻抗：4Ω；</w:t>
            </w:r>
            <w:r>
              <w:rPr>
                <w:rFonts w:hint="eastAsia" w:asciiTheme="minorEastAsia" w:hAnsiTheme="minorEastAsia"/>
                <w:kern w:val="0"/>
                <w:sz w:val="22"/>
              </w:rPr>
              <w:br w:type="textWrapping"/>
            </w:r>
            <w:r>
              <w:rPr>
                <w:rFonts w:hint="eastAsia" w:asciiTheme="minorEastAsia" w:hAnsiTheme="minorEastAsia"/>
                <w:kern w:val="0"/>
                <w:sz w:val="22"/>
              </w:rPr>
              <w:t>3、频率响应：55Hz-18kHz；</w:t>
            </w:r>
            <w:r>
              <w:rPr>
                <w:rFonts w:hint="eastAsia" w:asciiTheme="minorEastAsia" w:hAnsiTheme="minorEastAsia"/>
                <w:kern w:val="0"/>
                <w:sz w:val="22"/>
              </w:rPr>
              <w:br w:type="textWrapping"/>
            </w:r>
            <w:r>
              <w:rPr>
                <w:rFonts w:hint="eastAsia" w:asciiTheme="minorEastAsia" w:hAnsiTheme="minorEastAsia"/>
                <w:kern w:val="0"/>
                <w:sz w:val="22"/>
              </w:rPr>
              <w:t>4、驱动器：1个4寸全频驱动器hbe；</w:t>
            </w:r>
            <w:r>
              <w:rPr>
                <w:rFonts w:hint="eastAsia" w:asciiTheme="minorEastAsia" w:hAnsiTheme="minorEastAsia"/>
                <w:kern w:val="0"/>
                <w:sz w:val="22"/>
              </w:rPr>
              <w:br w:type="textWrapping"/>
            </w:r>
            <w:r>
              <w:rPr>
                <w:rFonts w:hint="eastAsia" w:asciiTheme="minorEastAsia" w:hAnsiTheme="minorEastAsia"/>
                <w:kern w:val="0"/>
                <w:sz w:val="22"/>
              </w:rPr>
              <w:t>5、额定输入电平：话筒 15mV（非平衡）；</w:t>
            </w:r>
            <w:r>
              <w:rPr>
                <w:rFonts w:hint="eastAsia" w:asciiTheme="minorEastAsia" w:hAnsiTheme="minorEastAsia"/>
                <w:kern w:val="0"/>
                <w:sz w:val="22"/>
              </w:rPr>
              <w:br w:type="textWrapping"/>
            </w:r>
            <w:r>
              <w:rPr>
                <w:rFonts w:hint="eastAsia" w:asciiTheme="minorEastAsia" w:hAnsiTheme="minorEastAsia"/>
                <w:kern w:val="0"/>
                <w:sz w:val="22"/>
              </w:rPr>
              <w:t>6、输入：2路立体声接口；</w:t>
            </w:r>
            <w:r>
              <w:rPr>
                <w:rFonts w:hint="eastAsia" w:asciiTheme="minorEastAsia" w:hAnsiTheme="minorEastAsia"/>
                <w:kern w:val="0"/>
                <w:sz w:val="22"/>
              </w:rPr>
              <w:br w:type="textWrapping"/>
            </w:r>
            <w:r>
              <w:rPr>
                <w:rFonts w:hint="eastAsia" w:asciiTheme="minorEastAsia" w:hAnsiTheme="minorEastAsia"/>
                <w:kern w:val="0"/>
                <w:sz w:val="22"/>
              </w:rPr>
              <w:t>7、灵敏度：75dB/1W/1M；</w:t>
            </w:r>
            <w:r>
              <w:rPr>
                <w:rFonts w:hint="eastAsia" w:asciiTheme="minorEastAsia" w:hAnsiTheme="minorEastAsia"/>
                <w:kern w:val="0"/>
                <w:sz w:val="22"/>
              </w:rPr>
              <w:br w:type="textWrapping"/>
            </w:r>
            <w:r>
              <w:rPr>
                <w:rFonts w:hint="eastAsia" w:asciiTheme="minorEastAsia" w:hAnsiTheme="minorEastAsia"/>
                <w:kern w:val="0"/>
                <w:sz w:val="22"/>
              </w:rPr>
              <w:t>8、信噪比：85dB；</w:t>
            </w:r>
            <w:r>
              <w:rPr>
                <w:rFonts w:hint="eastAsia" w:asciiTheme="minorEastAsia" w:hAnsiTheme="minorEastAsia"/>
                <w:kern w:val="0"/>
                <w:sz w:val="22"/>
              </w:rPr>
              <w:br w:type="textWrapping"/>
            </w:r>
            <w:r>
              <w:rPr>
                <w:rFonts w:hint="eastAsia" w:asciiTheme="minorEastAsia" w:hAnsiTheme="minorEastAsia"/>
                <w:kern w:val="0"/>
                <w:sz w:val="22"/>
              </w:rPr>
              <w:t>9、最大声压级：78dB；</w:t>
            </w:r>
            <w:r>
              <w:rPr>
                <w:rFonts w:hint="eastAsia" w:asciiTheme="minorEastAsia" w:hAnsiTheme="minorEastAsia"/>
                <w:kern w:val="0"/>
                <w:sz w:val="22"/>
              </w:rPr>
              <w:br w:type="textWrapping"/>
            </w:r>
            <w:r>
              <w:rPr>
                <w:rFonts w:hint="eastAsia" w:asciiTheme="minorEastAsia" w:hAnsiTheme="minorEastAsia"/>
                <w:kern w:val="0"/>
                <w:sz w:val="22"/>
              </w:rPr>
              <w:t>10、箱体型式：倒相式；</w:t>
            </w:r>
            <w:r>
              <w:rPr>
                <w:rFonts w:hint="eastAsia" w:asciiTheme="minorEastAsia" w:hAnsiTheme="minorEastAsia"/>
                <w:kern w:val="0"/>
                <w:sz w:val="22"/>
              </w:rPr>
              <w:br w:type="textWrapping"/>
            </w:r>
            <w:r>
              <w:rPr>
                <w:rFonts w:hint="eastAsia" w:asciiTheme="minorEastAsia" w:hAnsiTheme="minorEastAsia"/>
                <w:kern w:val="0"/>
                <w:sz w:val="22"/>
              </w:rPr>
              <w:t>11、箱体及外饰：高密度中纤板（咖啡色）箱体，棉网；</w:t>
            </w:r>
            <w:r>
              <w:rPr>
                <w:rFonts w:hint="eastAsia" w:asciiTheme="minorEastAsia" w:hAnsiTheme="minorEastAsia"/>
                <w:kern w:val="0"/>
                <w:sz w:val="22"/>
              </w:rPr>
              <w:br w:type="textWrapping"/>
            </w:r>
            <w:r>
              <w:rPr>
                <w:rFonts w:hint="eastAsia" w:asciiTheme="minorEastAsia" w:hAnsiTheme="minorEastAsia"/>
                <w:kern w:val="0"/>
                <w:sz w:val="22"/>
              </w:rPr>
              <w:t>12、安装：标配壁挂架；</w:t>
            </w:r>
            <w:r>
              <w:rPr>
                <w:rFonts w:hint="eastAsia" w:asciiTheme="minorEastAsia" w:hAnsiTheme="minorEastAsia"/>
                <w:kern w:val="0"/>
                <w:sz w:val="22"/>
              </w:rPr>
              <w:br w:type="textWrapping"/>
            </w:r>
            <w:r>
              <w:rPr>
                <w:rFonts w:hint="eastAsia" w:asciiTheme="minorEastAsia" w:hAnsiTheme="minorEastAsia"/>
                <w:kern w:val="0"/>
                <w:sz w:val="22"/>
              </w:rPr>
              <w:t>12、箱体尺寸（L×W×H）（只）：190×170×280（单位：mm）；</w:t>
            </w:r>
            <w:r>
              <w:rPr>
                <w:rFonts w:hint="eastAsia" w:asciiTheme="minorEastAsia" w:hAnsiTheme="minorEastAsia"/>
                <w:kern w:val="0"/>
                <w:sz w:val="22"/>
              </w:rPr>
              <w:br w:type="textWrapping"/>
            </w:r>
            <w:r>
              <w:rPr>
                <w:rFonts w:hint="eastAsia" w:asciiTheme="minorEastAsia" w:hAnsiTheme="minorEastAsia"/>
                <w:kern w:val="0"/>
                <w:sz w:val="22"/>
              </w:rPr>
              <w:t xml:space="preserve">13、净重：6kg/对。                                                                                     </w:t>
            </w:r>
            <w:r>
              <w:rPr>
                <w:rFonts w:hint="eastAsia" w:asciiTheme="minorEastAsia" w:hAnsiTheme="minorEastAsia"/>
                <w:kern w:val="0"/>
                <w:sz w:val="22"/>
              </w:rPr>
              <w:br w:type="textWrapping"/>
            </w:r>
            <w:r>
              <w:rPr>
                <w:rFonts w:hint="eastAsia" w:asciiTheme="minorEastAsia" w:hAnsiTheme="minorEastAsia"/>
                <w:kern w:val="0"/>
                <w:sz w:val="22"/>
              </w:rPr>
              <w:t>资质：3C(非OEM）、RoHS环保认证、CB、CE、全国通用的工信部五所（中国赛宝）产品参数检测报告、ISO9001、ISO14001、OHSAS18001、商务部国资委推荐领域信用服务机构企业信用等级AAA级认证、全国质量检验稳定合格产品</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对</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4</w:t>
            </w:r>
            <w:r>
              <w:rPr>
                <w:rFonts w:asciiTheme="minorEastAsia" w:hAnsiTheme="minorEastAsia"/>
                <w:kern w:val="0"/>
                <w:szCs w:val="21"/>
              </w:rPr>
              <w:t>0</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录播室学生桌椅</w:t>
            </w:r>
          </w:p>
        </w:tc>
        <w:tc>
          <w:tcPr>
            <w:tcW w:w="2959" w:type="pct"/>
            <w:tcBorders>
              <w:top w:val="single" w:color="auto" w:sz="4" w:space="0"/>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一、产品规格</w:t>
            </w:r>
          </w:p>
          <w:p>
            <w:pPr>
              <w:rPr>
                <w:rFonts w:asciiTheme="minorEastAsia" w:hAnsiTheme="minorEastAsia"/>
                <w:szCs w:val="21"/>
              </w:rPr>
            </w:pPr>
            <w:r>
              <w:rPr>
                <w:rFonts w:hint="eastAsia" w:asciiTheme="minorEastAsia" w:hAnsiTheme="minorEastAsia"/>
                <w:szCs w:val="21"/>
              </w:rPr>
              <w:t>单人升降单层斗课桌规格：600x400x（670~760）mm(H)</w:t>
            </w:r>
          </w:p>
          <w:p>
            <w:pPr>
              <w:rPr>
                <w:rFonts w:asciiTheme="minorEastAsia" w:hAnsiTheme="minorEastAsia"/>
                <w:szCs w:val="21"/>
              </w:rPr>
            </w:pPr>
            <w:r>
              <w:rPr>
                <w:rFonts w:hint="eastAsia" w:asciiTheme="minorEastAsia" w:hAnsiTheme="minorEastAsia"/>
                <w:szCs w:val="21"/>
              </w:rPr>
              <w:t>单凳规格：340x240x440mm(H)</w:t>
            </w:r>
          </w:p>
          <w:p>
            <w:pPr>
              <w:rPr>
                <w:rFonts w:asciiTheme="minorEastAsia" w:hAnsiTheme="minorEastAsia"/>
                <w:szCs w:val="21"/>
              </w:rPr>
            </w:pPr>
            <w:r>
              <w:rPr>
                <w:rFonts w:hint="eastAsia" w:asciiTheme="minorEastAsia" w:hAnsiTheme="minorEastAsia"/>
                <w:szCs w:val="21"/>
              </w:rPr>
              <w:t>二、材料说明</w:t>
            </w:r>
          </w:p>
          <w:p>
            <w:pPr>
              <w:rPr>
                <w:rFonts w:asciiTheme="minorEastAsia" w:hAnsiTheme="minorEastAsia"/>
                <w:szCs w:val="21"/>
              </w:rPr>
            </w:pPr>
            <w:r>
              <w:rPr>
                <w:rFonts w:hint="eastAsia" w:asciiTheme="minorEastAsia" w:hAnsiTheme="minorEastAsia"/>
                <w:szCs w:val="21"/>
              </w:rPr>
              <w:t>钢架部分采用国标优质钢材，符合GB/8164-1993《焊接钢管用带钢》及GB/T13793-1992《直缝焊接钢管》的规定。</w:t>
            </w:r>
          </w:p>
          <w:p>
            <w:pPr>
              <w:rPr>
                <w:rFonts w:asciiTheme="minorEastAsia" w:hAnsiTheme="minorEastAsia"/>
                <w:szCs w:val="21"/>
              </w:rPr>
            </w:pPr>
            <w:r>
              <w:rPr>
                <w:rFonts w:hint="eastAsia" w:asciiTheme="minorEastAsia" w:hAnsiTheme="minorEastAsia"/>
                <w:szCs w:val="21"/>
              </w:rPr>
              <w:t>单人升降单层斗课桌和方凳：钢木结构，可四档以上升降调节高度。桌面600x400x18mm材质为优质密度板，四角圆弧处理打磨平滑，塑料包边，不开裂、不开层、表面光滑无起皱。</w:t>
            </w:r>
          </w:p>
          <w:p>
            <w:pPr>
              <w:rPr>
                <w:rFonts w:asciiTheme="minorEastAsia" w:hAnsiTheme="minorEastAsia"/>
                <w:szCs w:val="21"/>
              </w:rPr>
            </w:pPr>
            <w:r>
              <w:rPr>
                <w:rFonts w:hint="eastAsia" w:asciiTheme="minorEastAsia" w:hAnsiTheme="minorEastAsia"/>
                <w:szCs w:val="21"/>
              </w:rPr>
              <w:t>桌斗采用厚度0.8mmQ235金属冷板冲压成型，桌斗底板设有两根加强筋，保证承重不弯曲变形，斗箱整体冲压焊接成型；桌侧两方设有挂钩，钩端不超出桌侧缘之外。桌斗侧板边沿及中间均有加强部分，使得更加结实、耐用。</w:t>
            </w:r>
          </w:p>
          <w:p>
            <w:pPr>
              <w:rPr>
                <w:rFonts w:asciiTheme="minorEastAsia" w:hAnsiTheme="minorEastAsia"/>
                <w:szCs w:val="21"/>
              </w:rPr>
            </w:pPr>
            <w:r>
              <w:rPr>
                <w:rFonts w:hint="eastAsia" w:asciiTheme="minorEastAsia" w:hAnsiTheme="minorEastAsia"/>
                <w:szCs w:val="21"/>
              </w:rPr>
              <w:t>桌腿及拉筋采用49x20x1.0mm优质椭圆管。升降侧板与立腿配合紧密，升降螺丝带止退螺母带平垫和弹垫。</w:t>
            </w:r>
          </w:p>
          <w:p>
            <w:pPr>
              <w:rPr>
                <w:rFonts w:asciiTheme="minorEastAsia" w:hAnsiTheme="minorEastAsia"/>
                <w:szCs w:val="21"/>
              </w:rPr>
            </w:pPr>
            <w:r>
              <w:rPr>
                <w:rFonts w:hint="eastAsia" w:asciiTheme="minorEastAsia" w:hAnsiTheme="minorEastAsia"/>
                <w:szCs w:val="21"/>
              </w:rPr>
              <w:t>封头及脚垫采用PP工程塑料注塑成型，结实平稳、防滑、无噪音；桌面和钢架采用自攻丝连接，桌面表面不见金属螺钉、铆钉。</w:t>
            </w:r>
          </w:p>
          <w:p>
            <w:pPr>
              <w:rPr>
                <w:rFonts w:asciiTheme="minorEastAsia" w:hAnsiTheme="minorEastAsia"/>
                <w:szCs w:val="21"/>
              </w:rPr>
            </w:pPr>
            <w:r>
              <w:rPr>
                <w:rFonts w:hint="eastAsia" w:asciiTheme="minorEastAsia" w:hAnsiTheme="minorEastAsia"/>
                <w:szCs w:val="21"/>
              </w:rPr>
              <w:t>钢架颜色灰白色，钢架内外做防锈处理，涂层均匀牢固，无流挂、气泡；采用聚酯环氧粉末喷塑，漆膜理化性能、力学性能、安全卫生要求均符合相关国家标准要求。</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szCs w:val="21"/>
              </w:rPr>
            </w:pPr>
            <w:r>
              <w:rPr>
                <w:rFonts w:hint="eastAsia" w:asciiTheme="minorEastAsia" w:hAnsiTheme="minorEastAsia"/>
                <w:szCs w:val="21"/>
              </w:rPr>
              <w:t>100</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41</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机柜</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22U，尺寸不小于600*800*1000，冷轧钢板，带脚轮、拖板</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42</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线材辅材</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视频线、网线、音箱线、电源线及交换机等辅材</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间</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43</w:t>
            </w:r>
          </w:p>
        </w:tc>
        <w:tc>
          <w:tcPr>
            <w:tcW w:w="875"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教室装修及布线施工</w:t>
            </w:r>
          </w:p>
        </w:tc>
        <w:tc>
          <w:tcPr>
            <w:tcW w:w="2959" w:type="pct"/>
            <w:tcBorders>
              <w:top w:val="single" w:color="auto" w:sz="4" w:space="0"/>
              <w:left w:val="nil"/>
              <w:bottom w:val="single" w:color="auto" w:sz="4" w:space="0"/>
              <w:right w:val="single" w:color="auto" w:sz="4" w:space="0"/>
            </w:tcBorders>
            <w:vAlign w:val="center"/>
          </w:tcPr>
          <w:p>
            <w:pPr>
              <w:widowControl/>
              <w:spacing w:line="240" w:lineRule="atLeast"/>
              <w:rPr>
                <w:rFonts w:asciiTheme="minorEastAsia" w:hAnsiTheme="minorEastAsia"/>
                <w:kern w:val="0"/>
                <w:szCs w:val="21"/>
              </w:rPr>
            </w:pPr>
            <w:r>
              <w:rPr>
                <w:rFonts w:hint="eastAsia" w:asciiTheme="minorEastAsia" w:hAnsiTheme="minorEastAsia"/>
                <w:kern w:val="0"/>
                <w:szCs w:val="21"/>
              </w:rPr>
              <w:t>顶棚：顶棚吊天花板，采用具有吸音效果的矿棉吊顶吸音板。</w:t>
            </w:r>
          </w:p>
          <w:p>
            <w:pPr>
              <w:widowControl/>
              <w:spacing w:line="240" w:lineRule="atLeast"/>
              <w:rPr>
                <w:rFonts w:asciiTheme="minorEastAsia" w:hAnsiTheme="minorEastAsia"/>
                <w:kern w:val="0"/>
                <w:szCs w:val="21"/>
              </w:rPr>
            </w:pPr>
            <w:r>
              <w:rPr>
                <w:rFonts w:hint="eastAsia" w:asciiTheme="minorEastAsia" w:hAnsiTheme="minorEastAsia"/>
                <w:kern w:val="0"/>
                <w:szCs w:val="21"/>
              </w:rPr>
              <w:t>墙壁：采用5CM宽坚纹吸音板进行包装，吸音板与墙面之间再增加一层吸音棉。</w:t>
            </w:r>
          </w:p>
          <w:p>
            <w:pPr>
              <w:widowControl/>
              <w:spacing w:line="240" w:lineRule="atLeast"/>
              <w:rPr>
                <w:rFonts w:asciiTheme="minorEastAsia" w:hAnsiTheme="minorEastAsia"/>
                <w:kern w:val="0"/>
                <w:szCs w:val="21"/>
              </w:rPr>
            </w:pPr>
            <w:r>
              <w:rPr>
                <w:rFonts w:hint="eastAsia" w:asciiTheme="minorEastAsia" w:hAnsiTheme="minorEastAsia"/>
                <w:kern w:val="0"/>
                <w:szCs w:val="21"/>
              </w:rPr>
              <w:t>窗户：采用两层玻璃。</w:t>
            </w:r>
          </w:p>
          <w:p>
            <w:pPr>
              <w:widowControl/>
              <w:spacing w:line="240" w:lineRule="atLeast"/>
              <w:rPr>
                <w:rFonts w:asciiTheme="minorEastAsia" w:hAnsiTheme="minorEastAsia"/>
                <w:kern w:val="0"/>
                <w:szCs w:val="21"/>
              </w:rPr>
            </w:pPr>
            <w:r>
              <w:rPr>
                <w:rFonts w:hint="eastAsia" w:asciiTheme="minorEastAsia" w:hAnsiTheme="minorEastAsia"/>
                <w:kern w:val="0"/>
                <w:szCs w:val="21"/>
              </w:rPr>
              <w:t>地面：柔和无反光，采用铺设2.0 PVC塑胶，颜色浅色系，且不反光的材质</w:t>
            </w:r>
          </w:p>
          <w:p>
            <w:pPr>
              <w:widowControl/>
              <w:spacing w:line="240" w:lineRule="atLeast"/>
              <w:rPr>
                <w:rFonts w:asciiTheme="minorEastAsia" w:hAnsiTheme="minorEastAsia"/>
                <w:kern w:val="0"/>
                <w:szCs w:val="21"/>
              </w:rPr>
            </w:pPr>
            <w:r>
              <w:rPr>
                <w:rFonts w:hint="eastAsia" w:asciiTheme="minorEastAsia" w:hAnsiTheme="minorEastAsia"/>
                <w:kern w:val="0"/>
                <w:szCs w:val="21"/>
              </w:rPr>
              <w:t>A. 本装修遵循的基本参数要求为：顶棚安装天花吊顶，形成中空层，使用600*600mm规格的微孔矿棉吸音板吊顶。矿棉吸音板要具有不燃性、隔热性和吸音性等特点，用于对回声的吸收抵制。</w:t>
            </w:r>
          </w:p>
          <w:p>
            <w:pPr>
              <w:widowControl/>
              <w:spacing w:line="240" w:lineRule="atLeast"/>
              <w:rPr>
                <w:rFonts w:asciiTheme="minorEastAsia" w:hAnsiTheme="minorEastAsia"/>
                <w:kern w:val="0"/>
                <w:szCs w:val="21"/>
              </w:rPr>
            </w:pPr>
            <w:r>
              <w:rPr>
                <w:rFonts w:hint="eastAsia" w:asciiTheme="minorEastAsia" w:hAnsiTheme="minorEastAsia"/>
                <w:kern w:val="0"/>
                <w:szCs w:val="21"/>
              </w:rPr>
              <w:t>B. 四周墙壁使用吸音板，板后搭轻钢龙骨，内嵌广播级吸音阻燃吸音棉。木质吸音板对频率高于600 Hz的声波效果十分显著。不能被木质吸音板覆盖的地方使用高性能聚酯纤维吸音棉，可以通过纤维的特殊高密度组织使声音在其空腔内形成回流,有效地实现吸音隔音功能。</w:t>
            </w:r>
          </w:p>
          <w:p>
            <w:pPr>
              <w:widowControl/>
              <w:spacing w:line="240" w:lineRule="atLeast"/>
              <w:rPr>
                <w:rFonts w:asciiTheme="minorEastAsia" w:hAnsiTheme="minorEastAsia"/>
                <w:kern w:val="0"/>
                <w:szCs w:val="21"/>
              </w:rPr>
            </w:pPr>
            <w:r>
              <w:rPr>
                <w:rFonts w:hint="eastAsia" w:asciiTheme="minorEastAsia" w:hAnsiTheme="minorEastAsia"/>
                <w:kern w:val="0"/>
                <w:szCs w:val="21"/>
              </w:rPr>
              <w:t>C. 灯光是录播教室的基本必要条件，因此采用人工光源，所有窗户都应用深色窗帘遮挡。选择冷光源，诸如“三基色灯”(R、G、B)效果最佳，灯管的选用需要显色性85%以上的灯管，以更好的还原物体的色彩。避免使用热光源，如高照度的碘钨灯等。色温控制在4500K-5200K之间为宜。教室的照度，灯光设计分布应该均匀，教室整体照度应达到摄像要求照度值（1000-1500LUX）。即教室在窗帘封闭装态下，每个区域照度都应达到（1000-1500LUX）对于摄像区，应该考虑教师顶光设计和面光设计，教师面部和顶部均达到1000-1500LUX，教室灯光应遵循均匀布光原则。背景、轮廓光选用优质舞台灯，中心照度要均匀，提高亮度，做到整体画面层次感强，达到专业录播室的标准，使此录播区域制作视频公开课等内容时都能保证用光的合理性、方便性。讲台区域用4台内嵌电动可调角度4*36W做面光，把老师的面部均匀照亮；四台40W600*600LED灯做顶光，把整个讲台区域均匀照亮。学生区域采用600X600mmLED教室灯，光通量300lm,40W,无频闪。</w:t>
            </w:r>
          </w:p>
          <w:p>
            <w:pPr>
              <w:widowControl/>
              <w:spacing w:line="240" w:lineRule="atLeast"/>
              <w:rPr>
                <w:rFonts w:asciiTheme="minorEastAsia" w:hAnsiTheme="minorEastAsia"/>
                <w:kern w:val="0"/>
                <w:szCs w:val="21"/>
              </w:rPr>
            </w:pPr>
            <w:r>
              <w:rPr>
                <w:rFonts w:hint="eastAsia" w:asciiTheme="minorEastAsia" w:hAnsiTheme="minorEastAsia"/>
                <w:kern w:val="0"/>
                <w:szCs w:val="21"/>
              </w:rPr>
              <w:t>标准规范及其他依据</w:t>
            </w:r>
          </w:p>
          <w:p>
            <w:pPr>
              <w:widowControl/>
              <w:spacing w:line="240" w:lineRule="atLeast"/>
              <w:rPr>
                <w:rFonts w:asciiTheme="minorEastAsia" w:hAnsiTheme="minorEastAsia"/>
                <w:kern w:val="0"/>
                <w:szCs w:val="21"/>
              </w:rPr>
            </w:pPr>
            <w:r>
              <w:rPr>
                <w:rFonts w:hint="eastAsia" w:asciiTheme="minorEastAsia" w:hAnsiTheme="minorEastAsia"/>
                <w:kern w:val="0"/>
                <w:szCs w:val="21"/>
              </w:rPr>
              <w:t>1.建筑声学设计及测量规范</w:t>
            </w:r>
          </w:p>
          <w:p>
            <w:pPr>
              <w:widowControl/>
              <w:spacing w:line="240" w:lineRule="atLeast"/>
              <w:rPr>
                <w:rFonts w:asciiTheme="minorEastAsia" w:hAnsiTheme="minorEastAsia"/>
                <w:kern w:val="0"/>
                <w:szCs w:val="21"/>
              </w:rPr>
            </w:pPr>
            <w:r>
              <w:rPr>
                <w:rFonts w:hint="eastAsia" w:asciiTheme="minorEastAsia" w:hAnsiTheme="minorEastAsia"/>
                <w:kern w:val="0"/>
                <w:szCs w:val="21"/>
              </w:rPr>
              <w:t>2.建筑内部装修设计防火规范</w:t>
            </w:r>
          </w:p>
          <w:p>
            <w:pPr>
              <w:widowControl/>
              <w:spacing w:line="240" w:lineRule="atLeast"/>
              <w:rPr>
                <w:rFonts w:asciiTheme="minorEastAsia" w:hAnsiTheme="minorEastAsia"/>
                <w:kern w:val="0"/>
                <w:szCs w:val="21"/>
              </w:rPr>
            </w:pPr>
            <w:r>
              <w:rPr>
                <w:rFonts w:hint="eastAsia" w:asciiTheme="minorEastAsia" w:hAnsiTheme="minorEastAsia"/>
                <w:kern w:val="0"/>
                <w:szCs w:val="21"/>
              </w:rPr>
              <w:t>3.广播电视播音(演播)室混响时间测量规范</w:t>
            </w:r>
          </w:p>
          <w:p>
            <w:pPr>
              <w:widowControl/>
              <w:spacing w:line="240" w:lineRule="atLeast"/>
              <w:rPr>
                <w:rFonts w:asciiTheme="minorEastAsia" w:hAnsiTheme="minorEastAsia"/>
                <w:kern w:val="0"/>
                <w:szCs w:val="21"/>
              </w:rPr>
            </w:pPr>
            <w:r>
              <w:rPr>
                <w:rFonts w:hint="eastAsia" w:asciiTheme="minorEastAsia" w:hAnsiTheme="minorEastAsia"/>
                <w:kern w:val="0"/>
                <w:szCs w:val="21"/>
              </w:rPr>
              <w:t>4.广播电视中心技术用房容许噪声标准</w:t>
            </w:r>
          </w:p>
          <w:p>
            <w:pPr>
              <w:widowControl/>
              <w:spacing w:line="240" w:lineRule="atLeast"/>
              <w:rPr>
                <w:rFonts w:asciiTheme="minorEastAsia" w:hAnsiTheme="minorEastAsia"/>
                <w:kern w:val="0"/>
                <w:szCs w:val="21"/>
              </w:rPr>
            </w:pPr>
            <w:r>
              <w:rPr>
                <w:rFonts w:hint="eastAsia" w:asciiTheme="minorEastAsia" w:hAnsiTheme="minorEastAsia"/>
                <w:kern w:val="0"/>
                <w:szCs w:val="21"/>
              </w:rPr>
              <w:t>5.电视演播室灯光系统设计规范</w:t>
            </w:r>
          </w:p>
          <w:p>
            <w:pPr>
              <w:widowControl/>
              <w:spacing w:line="240" w:lineRule="atLeast"/>
              <w:rPr>
                <w:rFonts w:asciiTheme="minorEastAsia" w:hAnsiTheme="minorEastAsia"/>
                <w:kern w:val="0"/>
                <w:szCs w:val="21"/>
              </w:rPr>
            </w:pPr>
            <w:r>
              <w:rPr>
                <w:rFonts w:hint="eastAsia" w:asciiTheme="minorEastAsia" w:hAnsiTheme="minorEastAsia"/>
                <w:kern w:val="0"/>
                <w:szCs w:val="21"/>
              </w:rPr>
              <w:t>6.广播电视建筑设计防火规范</w:t>
            </w:r>
          </w:p>
          <w:p>
            <w:pPr>
              <w:widowControl/>
              <w:spacing w:line="240" w:lineRule="atLeast"/>
              <w:rPr>
                <w:rFonts w:asciiTheme="minorEastAsia" w:hAnsiTheme="minorEastAsia"/>
                <w:kern w:val="0"/>
                <w:szCs w:val="21"/>
              </w:rPr>
            </w:pPr>
            <w:r>
              <w:rPr>
                <w:rFonts w:hint="eastAsia" w:asciiTheme="minorEastAsia" w:hAnsiTheme="minorEastAsia"/>
                <w:kern w:val="0"/>
                <w:szCs w:val="21"/>
              </w:rPr>
              <w:t>7.城市区域环境噪声标准</w:t>
            </w:r>
          </w:p>
          <w:p>
            <w:pPr>
              <w:widowControl/>
              <w:spacing w:line="240" w:lineRule="atLeast"/>
              <w:rPr>
                <w:rFonts w:asciiTheme="minorEastAsia" w:hAnsiTheme="minorEastAsia"/>
                <w:kern w:val="0"/>
                <w:szCs w:val="21"/>
              </w:rPr>
            </w:pPr>
            <w:r>
              <w:rPr>
                <w:rFonts w:hint="eastAsia" w:asciiTheme="minorEastAsia" w:hAnsiTheme="minorEastAsia"/>
                <w:kern w:val="0"/>
                <w:szCs w:val="21"/>
              </w:rPr>
              <w:t>8.《室内装饰装修材料人造板及其制品中甲醛释放限量》强制性国家标准</w:t>
            </w:r>
          </w:p>
          <w:p>
            <w:pPr>
              <w:widowControl/>
              <w:spacing w:line="240" w:lineRule="atLeast"/>
              <w:rPr>
                <w:rFonts w:asciiTheme="minorEastAsia" w:hAnsiTheme="minorEastAsia"/>
                <w:kern w:val="0"/>
                <w:szCs w:val="21"/>
              </w:rPr>
            </w:pPr>
            <w:r>
              <w:rPr>
                <w:rFonts w:hint="eastAsia" w:asciiTheme="minorEastAsia" w:hAnsiTheme="minorEastAsia"/>
                <w:kern w:val="0"/>
                <w:szCs w:val="21"/>
              </w:rPr>
              <w:t>1.3、含线材、辅件及施工，设备安装调试，含材料及人工费。</w:t>
            </w:r>
          </w:p>
        </w:tc>
        <w:tc>
          <w:tcPr>
            <w:tcW w:w="26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single" w:color="auto" w:sz="4" w:space="0"/>
              <w:left w:val="nil"/>
              <w:bottom w:val="single" w:color="auto" w:sz="4" w:space="0"/>
              <w:right w:val="single" w:color="auto" w:sz="4" w:space="0"/>
            </w:tcBorders>
            <w:vAlign w:val="center"/>
          </w:tcPr>
          <w:p>
            <w:pPr>
              <w:widowControl/>
              <w:spacing w:line="240" w:lineRule="atLeast"/>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single" w:color="auto" w:sz="4" w:space="0"/>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w:t>
            </w:r>
            <w:r>
              <w:rPr>
                <w:rFonts w:hint="eastAsia" w:asciiTheme="minorEastAsia" w:hAnsiTheme="minorEastAsia"/>
                <w:kern w:val="0"/>
                <w:szCs w:val="21"/>
              </w:rPr>
              <w:t>4</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虚拟主机服务器</w:t>
            </w:r>
            <w:r>
              <w:rPr>
                <w:rFonts w:hint="eastAsia" w:ascii="宋体" w:hAnsi="宋体"/>
                <w:kern w:val="0"/>
                <w:szCs w:val="21"/>
              </w:rPr>
              <w:t>▲</w:t>
            </w:r>
          </w:p>
        </w:tc>
        <w:tc>
          <w:tcPr>
            <w:tcW w:w="2959" w:type="pct"/>
            <w:tcBorders>
              <w:top w:val="nil"/>
              <w:left w:val="nil"/>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(1)架构：2U机架式双路服务器，国有知名品牌，国家重点实验室自主研发产品；</w:t>
            </w:r>
          </w:p>
          <w:p>
            <w:pPr>
              <w:widowControl/>
              <w:jc w:val="left"/>
              <w:rPr>
                <w:rFonts w:asciiTheme="minorEastAsia" w:hAnsiTheme="minorEastAsia"/>
                <w:kern w:val="0"/>
                <w:szCs w:val="21"/>
              </w:rPr>
            </w:pPr>
            <w:r>
              <w:rPr>
                <w:rFonts w:hint="eastAsia" w:asciiTheme="minorEastAsia" w:hAnsiTheme="minorEastAsia"/>
                <w:kern w:val="0"/>
                <w:szCs w:val="21"/>
              </w:rPr>
              <w:t>(2)处理器：≥2颗Intel 5220R（2.2主频24核）处理器；</w:t>
            </w:r>
          </w:p>
          <w:p>
            <w:pPr>
              <w:widowControl/>
              <w:jc w:val="left"/>
              <w:rPr>
                <w:rFonts w:asciiTheme="minorEastAsia" w:hAnsiTheme="minorEastAsia"/>
                <w:kern w:val="0"/>
                <w:szCs w:val="21"/>
              </w:rPr>
            </w:pPr>
            <w:r>
              <w:rPr>
                <w:rFonts w:hint="eastAsia" w:asciiTheme="minorEastAsia" w:hAnsiTheme="minorEastAsia"/>
                <w:kern w:val="0"/>
                <w:szCs w:val="21"/>
              </w:rPr>
              <w:t>(3)内存：≥8*32G DDR4服务器专用内存，支持内存纠错、内存镜像、内存热备等功能；</w:t>
            </w:r>
          </w:p>
          <w:p>
            <w:pPr>
              <w:widowControl/>
              <w:jc w:val="left"/>
              <w:rPr>
                <w:rFonts w:asciiTheme="minorEastAsia" w:hAnsiTheme="minorEastAsia"/>
                <w:kern w:val="0"/>
                <w:szCs w:val="21"/>
              </w:rPr>
            </w:pPr>
            <w:r>
              <w:rPr>
                <w:rFonts w:hint="eastAsia" w:asciiTheme="minorEastAsia" w:hAnsiTheme="minorEastAsia"/>
                <w:kern w:val="0"/>
                <w:szCs w:val="21"/>
              </w:rPr>
              <w:t>(4)硬盘：≥2块300G 10K转2.5英寸企业级SAS硬盘；</w:t>
            </w:r>
          </w:p>
          <w:p>
            <w:pPr>
              <w:widowControl/>
              <w:jc w:val="left"/>
              <w:rPr>
                <w:rFonts w:asciiTheme="minorEastAsia" w:hAnsiTheme="minorEastAsia"/>
                <w:kern w:val="0"/>
                <w:szCs w:val="21"/>
              </w:rPr>
            </w:pPr>
            <w:r>
              <w:rPr>
                <w:rFonts w:hint="eastAsia" w:asciiTheme="minorEastAsia" w:hAnsiTheme="minorEastAsia"/>
                <w:kern w:val="0"/>
                <w:szCs w:val="21"/>
              </w:rPr>
              <w:t>(5)RAID：≥12Gb缓存独立raid卡，至少支持raid0、raid1、raid5、raid6的raid级别；</w:t>
            </w:r>
          </w:p>
          <w:p>
            <w:pPr>
              <w:widowControl/>
              <w:jc w:val="left"/>
              <w:rPr>
                <w:rFonts w:asciiTheme="minorEastAsia" w:hAnsiTheme="minorEastAsia"/>
                <w:kern w:val="0"/>
                <w:szCs w:val="21"/>
              </w:rPr>
            </w:pPr>
            <w:r>
              <w:rPr>
                <w:rFonts w:hint="eastAsia" w:asciiTheme="minorEastAsia" w:hAnsiTheme="minorEastAsia"/>
                <w:kern w:val="0"/>
                <w:szCs w:val="21"/>
              </w:rPr>
              <w:t>(6)HBA卡：2块双口16GB HBA卡；</w:t>
            </w:r>
          </w:p>
          <w:p>
            <w:pPr>
              <w:widowControl/>
              <w:jc w:val="left"/>
              <w:rPr>
                <w:rFonts w:asciiTheme="minorEastAsia" w:hAnsiTheme="minorEastAsia"/>
                <w:kern w:val="0"/>
                <w:szCs w:val="21"/>
              </w:rPr>
            </w:pPr>
            <w:r>
              <w:rPr>
                <w:rFonts w:hint="eastAsia" w:asciiTheme="minorEastAsia" w:hAnsiTheme="minorEastAsia"/>
                <w:kern w:val="0"/>
                <w:szCs w:val="21"/>
              </w:rPr>
              <w:t>(7)网卡：2个1Gb以太网接口；</w:t>
            </w:r>
          </w:p>
          <w:p>
            <w:pPr>
              <w:widowControl/>
              <w:jc w:val="left"/>
              <w:rPr>
                <w:rFonts w:asciiTheme="minorEastAsia" w:hAnsiTheme="minorEastAsia"/>
                <w:kern w:val="0"/>
                <w:szCs w:val="21"/>
              </w:rPr>
            </w:pPr>
            <w:r>
              <w:rPr>
                <w:rFonts w:hint="eastAsia" w:asciiTheme="minorEastAsia" w:hAnsiTheme="minorEastAsia"/>
                <w:kern w:val="0"/>
                <w:szCs w:val="21"/>
              </w:rPr>
              <w:t>(8)电源：1+1热插拔电源；</w:t>
            </w:r>
          </w:p>
          <w:p>
            <w:pPr>
              <w:widowControl/>
              <w:jc w:val="left"/>
              <w:rPr>
                <w:rFonts w:asciiTheme="minorEastAsia" w:hAnsiTheme="minorEastAsia"/>
                <w:kern w:val="0"/>
                <w:szCs w:val="21"/>
              </w:rPr>
            </w:pPr>
            <w:r>
              <w:rPr>
                <w:rFonts w:hint="eastAsia" w:asciiTheme="minorEastAsia" w:hAnsiTheme="minorEastAsia"/>
                <w:kern w:val="0"/>
                <w:szCs w:val="21"/>
              </w:rPr>
              <w:t>(9)附件：原厂上架导轨；</w:t>
            </w:r>
          </w:p>
          <w:p>
            <w:pPr>
              <w:widowControl/>
              <w:jc w:val="left"/>
              <w:rPr>
                <w:rFonts w:asciiTheme="minorEastAsia" w:hAnsiTheme="minorEastAsia"/>
                <w:kern w:val="0"/>
                <w:szCs w:val="21"/>
              </w:rPr>
            </w:pPr>
            <w:r>
              <w:rPr>
                <w:rFonts w:hint="eastAsia" w:asciiTheme="minorEastAsia" w:hAnsiTheme="minorEastAsia"/>
                <w:kern w:val="0"/>
                <w:szCs w:val="21"/>
              </w:rPr>
              <w:t>(10)管理：支持IPMI 2.0标准，集成KVM over IP及虚拟媒体功能，可实现与操作系统无关的远程对服务器的完全控制，可远程开关机，支持远程监控图形界面，系统安全界面，支持本地光驱、软驱设备共享，配置独立千兆管理网口；</w:t>
            </w:r>
          </w:p>
          <w:p>
            <w:pPr>
              <w:widowControl/>
              <w:jc w:val="left"/>
              <w:rPr>
                <w:rFonts w:asciiTheme="minorEastAsia" w:hAnsiTheme="minorEastAsia"/>
                <w:kern w:val="0"/>
                <w:szCs w:val="21"/>
              </w:rPr>
            </w:pPr>
            <w:r>
              <w:rPr>
                <w:rFonts w:hint="eastAsia" w:asciiTheme="minorEastAsia" w:hAnsiTheme="minorEastAsia"/>
                <w:kern w:val="0"/>
                <w:szCs w:val="21"/>
              </w:rPr>
              <w:t>(11)专用管理U盘：提供专用管理U盘，具有虚拟软驱功能，内附服务器管理软件，支持服务器跨网段和跨平台的集中管理，支持硬件健康监测、备份还原功能等；内附DEMO版SSR安全软件，支持内核级注册表强访问控制、进程强访问控制、服务强访问控制、帐户强访问控制、文件完整性检测、服务完整性检测功能，提供以上功能模块截图，提供安全专用产品销售许可证及微软兼容认证；</w:t>
            </w:r>
          </w:p>
          <w:p>
            <w:pPr>
              <w:widowControl/>
              <w:jc w:val="left"/>
              <w:rPr>
                <w:rFonts w:asciiTheme="minorEastAsia" w:hAnsiTheme="minorEastAsia"/>
                <w:kern w:val="0"/>
                <w:szCs w:val="21"/>
              </w:rPr>
            </w:pPr>
            <w:r>
              <w:rPr>
                <w:rFonts w:hint="eastAsia" w:asciiTheme="minorEastAsia" w:hAnsiTheme="minorEastAsia"/>
                <w:kern w:val="0"/>
                <w:szCs w:val="21"/>
              </w:rPr>
              <w:t>(12)产品成熟度要求：投标产品通过3C、ISO9001、ISO14001及中国环境标志产品认证，提供证书复印件加盖厂家公章；</w:t>
            </w:r>
          </w:p>
          <w:p>
            <w:pPr>
              <w:widowControl/>
              <w:jc w:val="left"/>
              <w:rPr>
                <w:rFonts w:asciiTheme="minorEastAsia" w:hAnsiTheme="minorEastAsia"/>
                <w:kern w:val="0"/>
                <w:szCs w:val="21"/>
              </w:rPr>
            </w:pPr>
            <w:r>
              <w:rPr>
                <w:rFonts w:hint="eastAsia" w:asciiTheme="minorEastAsia" w:hAnsiTheme="minorEastAsia"/>
                <w:kern w:val="0"/>
                <w:szCs w:val="21"/>
              </w:rPr>
              <w:t>(13)售后服务：提供3年质保及技术支持服务。</w:t>
            </w:r>
          </w:p>
        </w:tc>
        <w:tc>
          <w:tcPr>
            <w:tcW w:w="26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7</w:t>
            </w:r>
          </w:p>
        </w:tc>
        <w:tc>
          <w:tcPr>
            <w:tcW w:w="364" w:type="pct"/>
            <w:tcBorders>
              <w:top w:val="nil"/>
              <w:left w:val="nil"/>
              <w:bottom w:val="single" w:color="auto" w:sz="4" w:space="0"/>
              <w:right w:val="single" w:color="auto" w:sz="4" w:space="0"/>
            </w:tcBorders>
            <w:vAlign w:val="center"/>
          </w:tcPr>
          <w:p>
            <w:pPr>
              <w:widowControl/>
              <w:spacing w:line="240" w:lineRule="atLeast"/>
              <w:jc w:val="left"/>
              <w:rPr>
                <w:rFonts w:asciiTheme="minorEastAsia" w:hAnsiTheme="minorEastAsia"/>
                <w:kern w:val="0"/>
                <w:szCs w:val="21"/>
              </w:rPr>
            </w:pPr>
            <w:r>
              <w:rPr>
                <w:rFonts w:hint="eastAsia" w:asciiTheme="minorEastAsia" w:hAnsiTheme="minorEastAsia"/>
                <w:kern w:val="0"/>
                <w:szCs w:val="21"/>
              </w:rPr>
              <w:t>86855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45</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光纤交换机</w:t>
            </w:r>
          </w:p>
        </w:tc>
        <w:tc>
          <w:tcPr>
            <w:tcW w:w="2959" w:type="pct"/>
            <w:tcBorders>
              <w:top w:val="nil"/>
              <w:left w:val="nil"/>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(1)架构：1U机架式16GB光纤SAN交换机，为确保前后端设备的兼容性，需与服务器同一品牌；</w:t>
            </w:r>
          </w:p>
          <w:p>
            <w:pPr>
              <w:widowControl/>
              <w:jc w:val="left"/>
              <w:rPr>
                <w:rFonts w:asciiTheme="minorEastAsia" w:hAnsiTheme="minorEastAsia"/>
                <w:kern w:val="0"/>
                <w:szCs w:val="21"/>
              </w:rPr>
            </w:pPr>
            <w:r>
              <w:rPr>
                <w:rFonts w:hint="eastAsia" w:asciiTheme="minorEastAsia" w:hAnsiTheme="minorEastAsia"/>
                <w:kern w:val="0"/>
                <w:szCs w:val="21"/>
              </w:rPr>
              <w:t>(2)接口：16Gb光纤通道交换机，提供24端口激活，含24个16Gb多模SFP模块，最大支持48个端口扩展；</w:t>
            </w:r>
          </w:p>
          <w:p>
            <w:pPr>
              <w:widowControl/>
              <w:jc w:val="left"/>
              <w:rPr>
                <w:rFonts w:asciiTheme="minorEastAsia" w:hAnsiTheme="minorEastAsia"/>
                <w:kern w:val="0"/>
                <w:szCs w:val="21"/>
              </w:rPr>
            </w:pPr>
            <w:r>
              <w:rPr>
                <w:rFonts w:hint="eastAsia" w:asciiTheme="minorEastAsia" w:hAnsiTheme="minorEastAsia"/>
                <w:kern w:val="0"/>
                <w:szCs w:val="21"/>
              </w:rPr>
              <w:t>(2)电源：配置双电源（交流）；</w:t>
            </w:r>
          </w:p>
          <w:p>
            <w:pPr>
              <w:widowControl/>
              <w:jc w:val="left"/>
              <w:rPr>
                <w:rFonts w:asciiTheme="minorEastAsia" w:hAnsiTheme="minorEastAsia"/>
                <w:kern w:val="0"/>
                <w:szCs w:val="21"/>
              </w:rPr>
            </w:pPr>
            <w:r>
              <w:rPr>
                <w:rFonts w:hint="eastAsia" w:asciiTheme="minorEastAsia" w:hAnsiTheme="minorEastAsia"/>
                <w:szCs w:val="21"/>
              </w:rPr>
              <w:t>(3</w:t>
            </w:r>
            <w:r>
              <w:rPr>
                <w:rFonts w:hint="eastAsia" w:asciiTheme="minorEastAsia" w:hAnsiTheme="minorEastAsia"/>
                <w:kern w:val="0"/>
                <w:szCs w:val="21"/>
              </w:rPr>
              <w:t>)售后服务：提供3年质保及技术支持服务，提供厂家出具的项目授权函以及售后服务承诺函原件。</w:t>
            </w:r>
          </w:p>
        </w:tc>
        <w:tc>
          <w:tcPr>
            <w:tcW w:w="26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55985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46</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数据集中存储</w:t>
            </w:r>
          </w:p>
        </w:tc>
        <w:tc>
          <w:tcPr>
            <w:tcW w:w="2959" w:type="pct"/>
            <w:tcBorders>
              <w:top w:val="nil"/>
              <w:left w:val="nil"/>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(1)架构：光纤存储系统</w:t>
            </w:r>
          </w:p>
          <w:p>
            <w:pPr>
              <w:widowControl/>
              <w:jc w:val="left"/>
              <w:rPr>
                <w:rFonts w:asciiTheme="minorEastAsia" w:hAnsiTheme="minorEastAsia"/>
                <w:kern w:val="0"/>
                <w:szCs w:val="21"/>
              </w:rPr>
            </w:pPr>
            <w:r>
              <w:rPr>
                <w:rFonts w:hint="eastAsia" w:asciiTheme="minorEastAsia" w:hAnsiTheme="minorEastAsia"/>
                <w:kern w:val="0"/>
                <w:szCs w:val="21"/>
              </w:rPr>
              <w:t>(2)产品描述：多控制器架构，SAN+NAS架构采用SAN和NAS统一集成的控制器架构，统一管理，具备FC/IP SAN和NAS融合组网能力），最大控制器扩展能力≥16；</w:t>
            </w:r>
          </w:p>
          <w:p>
            <w:pPr>
              <w:widowControl/>
              <w:jc w:val="left"/>
              <w:rPr>
                <w:rFonts w:asciiTheme="minorEastAsia" w:hAnsiTheme="minorEastAsia"/>
                <w:kern w:val="0"/>
                <w:szCs w:val="21"/>
              </w:rPr>
            </w:pPr>
            <w:r>
              <w:rPr>
                <w:rFonts w:hint="eastAsia" w:asciiTheme="minorEastAsia" w:hAnsiTheme="minorEastAsia"/>
                <w:kern w:val="0"/>
                <w:szCs w:val="21"/>
              </w:rPr>
              <w:t>(3)体系架构：本次配置2个控制器，控制器冗余设计，支持在线更换控制器，支持在线升级，具备控制器故障自动切换和自动重建功能，无单点故障影响数据的有效性；</w:t>
            </w:r>
          </w:p>
          <w:p>
            <w:pPr>
              <w:widowControl/>
              <w:jc w:val="left"/>
              <w:rPr>
                <w:rFonts w:asciiTheme="minorEastAsia" w:hAnsiTheme="minorEastAsia"/>
                <w:kern w:val="0"/>
                <w:szCs w:val="21"/>
              </w:rPr>
            </w:pPr>
            <w:r>
              <w:rPr>
                <w:rFonts w:hint="eastAsia" w:asciiTheme="minorEastAsia" w:hAnsiTheme="minorEastAsia"/>
                <w:kern w:val="0"/>
                <w:szCs w:val="21"/>
              </w:rPr>
              <w:t>(4)系统盘：内置SSD盘作为系统盘，机械硬盘等做RAID模式，同时系统盘可支持cache数据掉电保护；</w:t>
            </w:r>
          </w:p>
          <w:p>
            <w:pPr>
              <w:widowControl/>
              <w:jc w:val="left"/>
              <w:rPr>
                <w:rFonts w:asciiTheme="minorEastAsia" w:hAnsiTheme="minorEastAsia"/>
                <w:kern w:val="0"/>
                <w:szCs w:val="21"/>
              </w:rPr>
            </w:pPr>
            <w:r>
              <w:rPr>
                <w:rFonts w:hint="eastAsia" w:asciiTheme="minorEastAsia" w:hAnsiTheme="minorEastAsia"/>
                <w:kern w:val="0"/>
                <w:szCs w:val="21"/>
              </w:rPr>
              <w:t>(5)缓存配置容量：双控配置512G纯硬件缓存，集群最大可支持4096TB高速缓存（缓存不包含SSD磁盘、PCI-E SSD、闪存、压缩或重删缓存和NAS控制器缓存）；</w:t>
            </w:r>
          </w:p>
          <w:p>
            <w:pPr>
              <w:widowControl/>
              <w:jc w:val="left"/>
              <w:rPr>
                <w:rFonts w:asciiTheme="minorEastAsia" w:hAnsiTheme="minorEastAsia"/>
                <w:kern w:val="0"/>
                <w:szCs w:val="21"/>
              </w:rPr>
            </w:pPr>
            <w:r>
              <w:rPr>
                <w:rFonts w:hint="eastAsia" w:asciiTheme="minorEastAsia" w:hAnsiTheme="minorEastAsia"/>
                <w:kern w:val="0"/>
                <w:szCs w:val="21"/>
              </w:rPr>
              <w:t>(6)主机接口：双控配置8个1Gb iSCSI主机接口+4个10Gb光口（含多模模块）+4个16Gb光口（含多模模块）；</w:t>
            </w:r>
          </w:p>
          <w:p>
            <w:pPr>
              <w:widowControl/>
              <w:jc w:val="left"/>
              <w:rPr>
                <w:rFonts w:asciiTheme="minorEastAsia" w:hAnsiTheme="minorEastAsia"/>
                <w:kern w:val="0"/>
                <w:szCs w:val="21"/>
              </w:rPr>
            </w:pPr>
            <w:r>
              <w:rPr>
                <w:rFonts w:hint="eastAsia" w:asciiTheme="minorEastAsia" w:hAnsiTheme="minorEastAsia"/>
                <w:kern w:val="0"/>
                <w:szCs w:val="21"/>
              </w:rPr>
              <w:t>(7)后端接口：双控配置4个12Gbps SAS3.0磁盘接口,双控可扩展到12个48Gbps SAS3.0接口，集群磁盘通道速率≥4608Gbps，集群最大支持96个磁盘接口；</w:t>
            </w:r>
          </w:p>
          <w:p>
            <w:pPr>
              <w:widowControl/>
              <w:jc w:val="left"/>
              <w:rPr>
                <w:rFonts w:asciiTheme="minorEastAsia" w:hAnsiTheme="minorEastAsia"/>
                <w:kern w:val="0"/>
                <w:szCs w:val="21"/>
              </w:rPr>
            </w:pPr>
            <w:r>
              <w:rPr>
                <w:rFonts w:hint="eastAsia" w:asciiTheme="minorEastAsia" w:hAnsiTheme="minorEastAsia"/>
                <w:kern w:val="0"/>
                <w:szCs w:val="21"/>
              </w:rPr>
              <w:t>(8)掉电保护：支持缓存保护并配置BBU电池保护模组，支持2次备电，保证掉电时Cache数据可安全写入Flash或硬盘永久保存，可以支撑2次以上的数据备份时间，实现无限时断电保护Cache数据的目的；</w:t>
            </w:r>
          </w:p>
          <w:p>
            <w:pPr>
              <w:widowControl/>
              <w:jc w:val="left"/>
              <w:rPr>
                <w:rFonts w:asciiTheme="minorEastAsia" w:hAnsiTheme="minorEastAsia"/>
                <w:kern w:val="0"/>
                <w:szCs w:val="21"/>
              </w:rPr>
            </w:pPr>
            <w:r>
              <w:rPr>
                <w:rFonts w:hint="eastAsia" w:asciiTheme="minorEastAsia" w:hAnsiTheme="minorEastAsia"/>
                <w:kern w:val="0"/>
                <w:szCs w:val="21"/>
              </w:rPr>
              <w:t>(9)实配容量：配置12块2.5寸1.2TB HDD，11块3.5寸6TB HDD;双控最大支持1525块企业级硬盘，集群支持6100块企业级硬盘;；</w:t>
            </w:r>
          </w:p>
          <w:p>
            <w:pPr>
              <w:widowControl/>
              <w:jc w:val="left"/>
              <w:rPr>
                <w:rFonts w:asciiTheme="minorEastAsia" w:hAnsiTheme="minorEastAsia"/>
                <w:kern w:val="0"/>
                <w:szCs w:val="21"/>
              </w:rPr>
            </w:pPr>
            <w:r>
              <w:rPr>
                <w:rFonts w:hint="eastAsia" w:asciiTheme="minorEastAsia" w:hAnsiTheme="minorEastAsia"/>
                <w:kern w:val="0"/>
                <w:szCs w:val="21"/>
              </w:rPr>
              <w:t>(10)RAID支持：所有磁盘可同时配置为RAID0、1、5、6、10、50、60等，且可共存；支持两种RAID技术，且可以共存；支持两种热备技术，热备盘或者热备空间，且可共存；支持业务无中断的在线转换RAID级别；支持多类型磁盘多方向、无中断在线数据迁移，迁移过程不影响业务性能；具备去零功能，提高空间利用率；</w:t>
            </w:r>
          </w:p>
          <w:p>
            <w:pPr>
              <w:widowControl/>
              <w:jc w:val="left"/>
              <w:rPr>
                <w:rFonts w:asciiTheme="minorEastAsia" w:hAnsiTheme="minorEastAsia"/>
                <w:b w:val="0"/>
                <w:bCs w:val="0"/>
                <w:kern w:val="0"/>
                <w:szCs w:val="21"/>
              </w:rPr>
            </w:pPr>
            <w:r>
              <w:rPr>
                <w:rFonts w:hint="eastAsia" w:asciiTheme="minorEastAsia" w:hAnsiTheme="minorEastAsia"/>
                <w:kern w:val="0"/>
                <w:szCs w:val="21"/>
              </w:rPr>
              <w:t>(11)管理软件：配置图形界面管理软件，支持多种语言（至少包括简体中文和英文），支持多台设备集中管理，支持存储资源管理分析和资源使用历史记录分析，支持性能管理等功能，支持WEB管理，支持CLI管理，支持多种事件</w:t>
            </w:r>
            <w:r>
              <w:rPr>
                <w:rFonts w:hint="eastAsia" w:asciiTheme="minorEastAsia" w:hAnsiTheme="minorEastAsia"/>
                <w:b w:val="0"/>
                <w:bCs w:val="0"/>
                <w:kern w:val="0"/>
                <w:szCs w:val="21"/>
              </w:rPr>
              <w:t>通知功能；</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(12)自动精简配置：配置全容量许可精简功能，实现存储空间超分配，精简粒度32K、64K、128K、256K可调节，后续扩容无需额外购买许可，支持创建单卷≥256TB的容量，提供官网资料截图并加盖厂家公章；</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(13)克隆：配置全容量许可的克隆功能，后续扩容无需额外购买许可，提供官网资料截图并加盖厂家公章；</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(14)快照：配置全容量许可快照功能，有效预防各种软故障的发生，快照无需预留空间，后续扩容无需额外购买许可，提供官网资料截图并加盖厂家公章；</w:t>
            </w:r>
          </w:p>
          <w:p>
            <w:pPr>
              <w:widowControl/>
              <w:jc w:val="left"/>
              <w:rPr>
                <w:rFonts w:asciiTheme="minorEastAsia" w:hAnsiTheme="minorEastAsia"/>
                <w:kern w:val="0"/>
                <w:szCs w:val="21"/>
              </w:rPr>
            </w:pPr>
            <w:r>
              <w:rPr>
                <w:rFonts w:hint="eastAsia" w:asciiTheme="minorEastAsia" w:hAnsiTheme="minorEastAsia"/>
                <w:kern w:val="0"/>
                <w:szCs w:val="21"/>
              </w:rPr>
              <w:t>(15)存储双活：支持Active-Active模式双活架构，主机端的LUN多路径为全Active状态；同时支持基于IP链路的仲裁服务器和基于FC链路的外部仲裁存储，一个双活集群能支持不少于4个仲裁，从而保证双活集群始终有仲裁可用，提供厂家出具的证明文件并加盖厂家公章；在不加额外网关的情况下可以实现和同厂商高中端型号存储组成双活阵列，要求支持VMWare、Windows Server、MS Hyper-V和Oracle RAC等；</w:t>
            </w:r>
          </w:p>
          <w:p>
            <w:pPr>
              <w:widowControl/>
              <w:jc w:val="left"/>
              <w:rPr>
                <w:rFonts w:asciiTheme="minorEastAsia" w:hAnsiTheme="minorEastAsia"/>
                <w:kern w:val="0"/>
                <w:szCs w:val="21"/>
              </w:rPr>
            </w:pPr>
            <w:r>
              <w:rPr>
                <w:rFonts w:hint="eastAsia" w:asciiTheme="minorEastAsia" w:hAnsiTheme="minorEastAsia"/>
                <w:kern w:val="0"/>
                <w:szCs w:val="21"/>
              </w:rPr>
              <w:t>(16)存储虚拟化：支持存储虚拟化功能，可以整合异构厂商的存储阵列，通过虚拟化功能将存储资源统一管理和分配，接管异构存储厂商的空间后，可以把异构空间作为存储的RAID资源池，缓存对资源池生效且提供性能加速，并且资源池可以划分多个卷对主机提供存储服务；</w:t>
            </w:r>
          </w:p>
          <w:p>
            <w:pPr>
              <w:widowControl/>
              <w:jc w:val="left"/>
              <w:rPr>
                <w:rFonts w:asciiTheme="minorEastAsia" w:hAnsiTheme="minorEastAsia"/>
                <w:b w:val="0"/>
                <w:bCs w:val="0"/>
                <w:kern w:val="0"/>
                <w:szCs w:val="21"/>
              </w:rPr>
            </w:pPr>
            <w:r>
              <w:rPr>
                <w:rFonts w:hint="eastAsia" w:asciiTheme="minorEastAsia" w:hAnsiTheme="minorEastAsia"/>
                <w:kern w:val="0"/>
                <w:szCs w:val="21"/>
              </w:rPr>
              <w:t>(17)异构存储数据迁移：支持异构存储数据在线无缝迁移</w:t>
            </w:r>
            <w:r>
              <w:rPr>
                <w:rFonts w:hint="eastAsia" w:asciiTheme="minorEastAsia" w:hAnsiTheme="minorEastAsia"/>
                <w:b w:val="0"/>
                <w:bCs w:val="0"/>
                <w:kern w:val="0"/>
                <w:szCs w:val="21"/>
              </w:rPr>
              <w:t>到本地存储上，提供安全高效的数据迁移服务；</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(18)云备份：配置云备份特性，支持存储数据直接备份到公有云和私有云，无须单独配置备份软件，提供相关功能截图并加盖厂家公章；支持阿里云，Opesnstack等云厂商对接能力，提供相关功能截图并加盖厂家公章；</w:t>
            </w:r>
          </w:p>
          <w:p>
            <w:pPr>
              <w:widowControl/>
              <w:jc w:val="left"/>
              <w:rPr>
                <w:rFonts w:asciiTheme="minorEastAsia" w:hAnsiTheme="minorEastAsia"/>
                <w:b w:val="0"/>
                <w:bCs w:val="0"/>
                <w:kern w:val="0"/>
                <w:szCs w:val="21"/>
              </w:rPr>
            </w:pPr>
            <w:r>
              <w:rPr>
                <w:rFonts w:hint="eastAsia" w:asciiTheme="minorEastAsia" w:hAnsiTheme="minorEastAsia"/>
                <w:kern w:val="0"/>
                <w:szCs w:val="21"/>
              </w:rPr>
              <w:t>(19)配置全容量许可的存储自动分层功能，可实现四层数据分层，系统自动将动态热点数据提升至高速盘中，以解决动态数据热点的性能问题，后续扩容无需额外购买许</w:t>
            </w:r>
            <w:r>
              <w:rPr>
                <w:rFonts w:hint="eastAsia" w:asciiTheme="minorEastAsia" w:hAnsiTheme="minorEastAsia"/>
                <w:b w:val="0"/>
                <w:bCs w:val="0"/>
                <w:kern w:val="0"/>
                <w:szCs w:val="21"/>
              </w:rPr>
              <w:t>可；</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(20)兼容性：操作系统支持Windows、Linux、VMware、UNIX (HP-UX、AIX、Solaris、K-UX等)；支持国产深度操作系统；支持国产达梦数据库、神州通用数据库、人大金仓，提供相关证明；支持VMware虚拟化场景，获得VAAI/VRO/VROPS/vMSC认证，获得SMI-S v1.6或以上版本的CTP认证，提供功能截图；获得SNIA会员资格并且具备SNIA的Voting，提供SNIA官网链接证明；</w:t>
            </w:r>
          </w:p>
          <w:p>
            <w:pPr>
              <w:widowControl/>
              <w:jc w:val="left"/>
              <w:rPr>
                <w:rFonts w:asciiTheme="minorEastAsia" w:hAnsiTheme="minorEastAsia"/>
                <w:kern w:val="0"/>
                <w:szCs w:val="21"/>
              </w:rPr>
            </w:pPr>
            <w:r>
              <w:rPr>
                <w:rFonts w:hint="eastAsia" w:asciiTheme="minorEastAsia" w:hAnsiTheme="minorEastAsia"/>
                <w:kern w:val="0"/>
                <w:szCs w:val="21"/>
              </w:rPr>
              <w:t>(21)售后服务：提供3年质保及技术支持服务。</w:t>
            </w:r>
          </w:p>
        </w:tc>
        <w:tc>
          <w:tcPr>
            <w:tcW w:w="26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台</w:t>
            </w:r>
          </w:p>
        </w:tc>
        <w:tc>
          <w:tcPr>
            <w:tcW w:w="29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364"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347405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47</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虚拟化软件</w:t>
            </w:r>
          </w:p>
        </w:tc>
        <w:tc>
          <w:tcPr>
            <w:tcW w:w="2959" w:type="pct"/>
            <w:tcBorders>
              <w:top w:val="nil"/>
              <w:left w:val="nil"/>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本次提供14个CPU计算虚拟化软件授权及1套虚拟化管理软件授权。</w:t>
            </w:r>
          </w:p>
          <w:p>
            <w:pPr>
              <w:jc w:val="left"/>
              <w:rPr>
                <w:rFonts w:asciiTheme="minorEastAsia" w:hAnsiTheme="minorEastAsia"/>
                <w:szCs w:val="21"/>
              </w:rPr>
            </w:pPr>
            <w:r>
              <w:rPr>
                <w:rFonts w:hint="eastAsia" w:asciiTheme="minorEastAsia" w:hAnsiTheme="minorEastAsia"/>
                <w:szCs w:val="21"/>
              </w:rPr>
              <w:t>（2）支持管理节点和计算节点以非虚拟机模式部署在同一台物理机，保障性能前提下实现物理资源集约化；</w:t>
            </w:r>
          </w:p>
          <w:p>
            <w:pPr>
              <w:widowControl/>
              <w:jc w:val="left"/>
              <w:rPr>
                <w:rFonts w:asciiTheme="minorEastAsia" w:hAnsiTheme="minorEastAsia"/>
                <w:b w:val="0"/>
                <w:bCs w:val="0"/>
                <w:kern w:val="0"/>
                <w:szCs w:val="21"/>
              </w:rPr>
            </w:pPr>
            <w:r>
              <w:rPr>
                <w:rFonts w:hint="eastAsia" w:asciiTheme="minorEastAsia" w:hAnsiTheme="minorEastAsia"/>
                <w:kern w:val="0"/>
                <w:szCs w:val="21"/>
              </w:rPr>
              <w:t>(3)支持物理机的全部功能，如具有自己的资源（CPU，内存，网卡，存储、软驱、光驱、显卡等），可以指定单独</w:t>
            </w:r>
            <w:r>
              <w:rPr>
                <w:rFonts w:hint="eastAsia" w:asciiTheme="minorEastAsia" w:hAnsiTheme="minorEastAsia"/>
                <w:b w:val="0"/>
                <w:bCs w:val="0"/>
                <w:kern w:val="0"/>
                <w:szCs w:val="21"/>
              </w:rPr>
              <w:t>的IP地址、MAC地址等；</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(4)支持虚拟机和裸金属服务器统一管理，支持对裸金属服务器远程电源管理、挂载安装ISO镜像等操作，可将虚拟机镜像部署为裸金属服务器操作系统，可查看裸金属服务器电源状态、CPU、内存、硬盘等信息，支持打开裸金属服务器控制台进行运维，提供截图证明；</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(5)支持动态大屏展示，可直观查看全局资源的状态，TOPN虚拟机和主机使用情况；支持管理界面定制化，包括公司名称，产品LOGO等信息；</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(6)支持在线跨云迁移功能，在虚拟化管理界面内将其它站点虚拟机不中断的迁移到本虚拟化平台内，跨云迁移的站点包括但不限于vSphere、本虚拟化平台等，迁移过程无需手动关机和重启操作，提供截图证明；</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(7)支持精细化的虚拟机迁移控制，可配置虚拟机迁移速度和虚拟机迁移带宽百分比，通过设置虚拟机迁移带宽百分比可调整虚拟机迁移时所占用的管理网带宽，保障用户业务正常运行，提供截图证明；</w:t>
            </w:r>
          </w:p>
          <w:p>
            <w:pPr>
              <w:widowControl/>
              <w:jc w:val="left"/>
              <w:rPr>
                <w:rFonts w:asciiTheme="minorEastAsia" w:hAnsiTheme="minorEastAsia"/>
                <w:b w:val="0"/>
                <w:bCs w:val="0"/>
                <w:kern w:val="0"/>
                <w:szCs w:val="21"/>
              </w:rPr>
            </w:pPr>
            <w:r>
              <w:rPr>
                <w:rFonts w:hint="eastAsia" w:asciiTheme="minorEastAsia" w:hAnsiTheme="minorEastAsia"/>
                <w:kern w:val="0"/>
                <w:szCs w:val="21"/>
              </w:rPr>
              <w:t>(8)支持裸磁盘映射功能，将存储LUN直接映射到虚拟机，支持Oracle Rac等应用程序集群技术；且挂载裸磁盘的</w:t>
            </w:r>
            <w:r>
              <w:rPr>
                <w:rFonts w:hint="eastAsia" w:asciiTheme="minorEastAsia" w:hAnsiTheme="minorEastAsia"/>
                <w:b w:val="0"/>
                <w:bCs w:val="0"/>
                <w:kern w:val="0"/>
                <w:szCs w:val="21"/>
              </w:rPr>
              <w:t>虚拟机支持HA；</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(9)提供无授权限制的全局分布式SDN功能，以避免SDN控制节点故障，提供分布式SDN硬件加速能力，可提供更高转发性能，SDN支持VLAN/VXLAN模式，提供截图证明；</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(10)为方便运维操作，支持SDN网络图形化编排，编辑网络拓扑及拖拽网元即可完成网络拓扑的创建、变更、属性编辑，提供截图证明；</w:t>
            </w:r>
          </w:p>
          <w:p>
            <w:pPr>
              <w:widowControl/>
              <w:jc w:val="left"/>
              <w:rPr>
                <w:rFonts w:hint="eastAsia" w:asciiTheme="minorEastAsia" w:hAnsiTheme="minorEastAsia"/>
                <w:b w:val="0"/>
                <w:bCs w:val="0"/>
                <w:kern w:val="0"/>
                <w:szCs w:val="21"/>
              </w:rPr>
            </w:pPr>
            <w:r>
              <w:rPr>
                <w:rFonts w:hint="eastAsia" w:asciiTheme="minorEastAsia" w:hAnsiTheme="minorEastAsia"/>
                <w:kern w:val="0"/>
                <w:szCs w:val="21"/>
              </w:rPr>
              <w:t>(11)</w:t>
            </w:r>
            <w:r>
              <w:rPr>
                <w:rFonts w:hint="eastAsia" w:asciiTheme="minorEastAsia" w:hAnsiTheme="minorEastAsia"/>
                <w:b w:val="0"/>
                <w:bCs w:val="0"/>
                <w:kern w:val="0"/>
                <w:szCs w:val="21"/>
              </w:rPr>
              <w:t>提供分布式防火墙功能，防火墙可应用于业务网络或分布式NAT网关，可根据源\目的IP和端口设置防火墙规则，支持TCP/UDP/ICMP或任意协议；提供配置安全组功能，根据虚拟机出\入口的协议和端口范围设置安全组之间或安全组到网段之间的访问规则；</w:t>
            </w:r>
          </w:p>
          <w:p>
            <w:pPr>
              <w:widowControl/>
              <w:jc w:val="left"/>
              <w:rPr>
                <w:rFonts w:hint="eastAsia" w:asciiTheme="minorEastAsia" w:hAnsiTheme="minorEastAsia"/>
                <w:b w:val="0"/>
                <w:bCs w:val="0"/>
                <w:kern w:val="0"/>
                <w:szCs w:val="21"/>
              </w:rPr>
            </w:pPr>
            <w:r>
              <w:rPr>
                <w:rFonts w:hint="eastAsia" w:asciiTheme="minorEastAsia" w:hAnsiTheme="minorEastAsia"/>
                <w:b w:val="0"/>
                <w:bCs w:val="0"/>
                <w:kern w:val="0"/>
                <w:szCs w:val="21"/>
              </w:rPr>
              <w:t>（12）提供分布式路由器功能，可关联业务子网进行路由通信，可配置分布式NAT网关和SNAT网络转换地址进行外部通信；支持分布式NAT网关功能，NAT地址可绑定虚拟机的虚拟网卡，外部流量通过该地址访问虚拟机；</w:t>
            </w:r>
          </w:p>
          <w:p>
            <w:pPr>
              <w:widowControl/>
              <w:jc w:val="left"/>
              <w:rPr>
                <w:rFonts w:hint="eastAsia" w:asciiTheme="minorEastAsia" w:hAnsiTheme="minorEastAsia"/>
                <w:b w:val="0"/>
                <w:bCs w:val="0"/>
                <w:kern w:val="0"/>
                <w:szCs w:val="21"/>
              </w:rPr>
            </w:pPr>
            <w:r>
              <w:rPr>
                <w:rFonts w:hint="eastAsia" w:asciiTheme="minorEastAsia" w:hAnsiTheme="minorEastAsia"/>
                <w:b w:val="0"/>
                <w:bCs w:val="0"/>
                <w:kern w:val="0"/>
                <w:szCs w:val="21"/>
              </w:rPr>
              <w:t>（13）为实现特殊虚拟机的备份需求，应内置虚拟化备份功能，无需额外付费即可实现虚拟机全量、增量备份，备份策略可细化到分钟级；支持批量备份虚拟机，可设置备份时限速值，可设置保留最近N次备份点；可选择任意备份文件恢复为原虚拟机或新虚拟机，支持恢复过程中对虚拟机进行配置，提供截图证明；</w:t>
            </w:r>
          </w:p>
          <w:p>
            <w:pPr>
              <w:widowControl/>
              <w:jc w:val="left"/>
              <w:rPr>
                <w:rFonts w:asciiTheme="minorEastAsia" w:hAnsiTheme="minorEastAsia"/>
                <w:b w:val="0"/>
                <w:bCs w:val="0"/>
                <w:kern w:val="0"/>
                <w:szCs w:val="21"/>
              </w:rPr>
            </w:pPr>
            <w:r>
              <w:rPr>
                <w:rFonts w:hint="eastAsia" w:asciiTheme="minorEastAsia" w:hAnsiTheme="minorEastAsia"/>
                <w:b w:val="0"/>
                <w:bCs w:val="0"/>
                <w:kern w:val="0"/>
                <w:szCs w:val="21"/>
              </w:rPr>
              <w:t>(14)虚拟化具备数据中心全局服务器损坏恢复能力，数据中心内所有服务器发生不可恢复灾难时，通过更换少量服务器即可立即恢复重要业务，后续可继续添加服务器恢复全局业务，提供截图证明；</w:t>
            </w:r>
          </w:p>
          <w:p>
            <w:pPr>
              <w:widowControl/>
              <w:jc w:val="left"/>
              <w:rPr>
                <w:rFonts w:asciiTheme="minorEastAsia" w:hAnsiTheme="minorEastAsia"/>
                <w:szCs w:val="21"/>
              </w:rPr>
            </w:pPr>
            <w:r>
              <w:rPr>
                <w:rFonts w:hint="eastAsia" w:asciiTheme="minorEastAsia" w:hAnsiTheme="minorEastAsia"/>
                <w:kern w:val="0"/>
                <w:szCs w:val="21"/>
              </w:rPr>
              <w:t>(15)投标产品具有国家版权局颁发的《计算机软件著作权登记证书》证明、中国电子技术标准化研究院《信息技术 虚拟机管理通用要求—专业性要求》标准验证测试证明、中国电子技术标准化研究院颁发的《信息技术 云计算 参考架构-引领级》证明、公安部颁发的《计算机信息系统安全专用产品销售许可证—增强级》证明、国家保密科技测评中心颁发的《涉密信息系统产品检测证书》、公安部计算机信息系统安全产品质量监督检验中心《信息安全技术云操作系统安全检测要求-增强级》证明，同时具备9家（含）以上国产化OS厂商兼容性互认证证书、具备3种及以上国产数据库兼容性认证；通过以上各项证明复印件。</w:t>
            </w:r>
          </w:p>
        </w:tc>
        <w:tc>
          <w:tcPr>
            <w:tcW w:w="26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套</w:t>
            </w:r>
          </w:p>
        </w:tc>
        <w:tc>
          <w:tcPr>
            <w:tcW w:w="298"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364"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83310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48</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RFID图书馆自动化管理系统</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1.图书管理软件采用Client/Server、Browse/Server体系结构，运用中间件技术，后台数据库使用MS SQL SERVER数据库，全面兼容主流数据库版本（如 SQL SERVER2000、SQL SERVER2005和SQL SERVER2008等）。</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2.遵循国家著录标准和编目规则，支持MARC数据的导入、导出，支持CNMARC系统并且支持用户自定义CNMARC的字段。支持资料目录的excel文档导入。</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3.支持远程编目，需要输入资料的isbn码就可以从远程编目服务器获取资料目录。</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4.系统会根据资料的分类自动生成索取号、种次号、图书条码编号。</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5.系统允许定义多个读者类型，不同的读者类型分配不同的权限。读者的基本信息属性名称可以自定义修改。</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6.系统具有工作量统计功能，可设定时间范围统计出每个图书管理员的书籍新增、书籍借出、书籍归还、期刊新增、期刊借出、期刊归还、读者新增的工作量。</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7.系统提供书标打印，可以随意设置书标的组成内容、颜色、纸张大小、页边距和补打。</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8.书籍清点支持：按照书籍名称清点、按照分类号清点、按照典藏时间清点、按照典藏批次清点、按照馆藏地清点。</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9.按照分类号清点的时候可以自动统计出每个类别的藏书量、在图书馆中所占的百分比、种数、价格、以及在馆量，支持按照22类清点以及按照5大类清点。</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10.系统中需有详细的借阅排行榜，可以统计某个时间范围内，读者借阅排行、图书借阅排行、分类借阅排行；需要可以以平面图方式、立体图方式、数值字方式显示，再以立体图方式显示时，可以以3D视图角度控制，方便管理人员对于借阅排行榜的查看。</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11.条形码打印可以根据各自图书馆的要求而自定义添加条形码，要求支持打印中文。支持条形码打印纸张的大小和页边距。</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12.过刊管理：系统提供过期期刊合订成本，回溯建库处理。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13.支持期刊远程编目，输入期刊的ISSN码可以从我服务器快速获取资期刊目录，无需要手工录入。</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14.期刊登到、典藏：支持直接进行刊期号管理。单刊管理：对每个当期到的期刊可以直接进行刊期号管理，不用繁琐录入。</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15.系统支持多个馆藏地管理，可设置读者馆藏地借阅权限。</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16.系统支持多个馆藏地通借通还，实现馆际互通，并可在系统中查看图书所在馆以及所属馆，精准追踪图书去向。</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17.图书编目可以自定义添加扩展属性，图书典藏可以根据客户需要自定添加典藏归类，管理员和读者可以通过典藏归类进行图书检索。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18.用户可以在系统内自定义发布公告，让其他用户都能看到。软件的LOGO和软件标题名字用户可以自定义设计。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19.软件生成索取号时，可以使用种次号方式，也可以使用通用汉语著者号方式。</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20.不同客户端的管理用户可以自定义选择所需要的项目字段，用户之间界面显示互不干扰。</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21.系统支持园区校园一卡通和条码扫描枪，兼容国内主流一卡通产品，支持校园卡作为借阅证，同时支持身份证阅读器，方便用身份证登记读者信息。</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22.系统中可以设置直接在软件中写入内容，读取各扇区内容，读卡器需同时支持校内现有校园卡（须与学校现有CPU卡兼容）</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23.系统自带了出版社信息、中图分类号供用户直接获取，可以自定义添加馆藏地和损坏方式。</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24.系统具有“条码检查”功能，在进行编目的时候，可以利用系统的“条码检查”功能根据资料在典藏时所分配的条码编号进行判断。</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25.书籍典藏后即可连接条码打印机直接打印一边条码一边书标的不干胶纸，条码书标无需分步打印。</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26.系统界面采用集成的方式，需将读者状态及权限信息、借书、还书、续借、预借、丢失及借阅历史查询、借阅流水集成在一个用户界面下。</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27.系统具有采购管理功能。</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套</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33330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49</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OPAC查询系统</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1.读者可输入关键词检索图书馆的图书，可通过书名、作者、ISBN、出版社等进行检索，可自行选择检索模式，如：任意匹配、完全匹配、前方一致、后方一致等。</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2.在首页具有相关推荐模块，可以展示最新图书、最热图书、好书推荐。</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3.具有本馆概况、读者指南、公告信息。</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4.读者也可以根据公共检索系统上的最新图书，最热图书以及好书推荐来选择自己感兴趣的图书。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5.读者可以就图书馆的图书进行在线留言评论、评分、读后感等，便于其他读者借阅参考。</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6.系统支持读者图书荐购功能，图书管理人员可根据读者的推荐，后期进行参考采购图书。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7.在我的图书馆功能中，读者可以查阅自己的借阅记录，借阅权限，到期提醒等，并且可以在我的图书馆中对自己推荐的图书评论进行删除修改等操作。</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8.图书公共检索系统本身可以进行分类查询，读者可以选择对应的分类名来检索出该类的图书。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9.图书管理人员可以将图书馆的电子图书内容通过PDF，TXT，WORD等格式上传到公共检索系统的上。管理员上传电子图书后，读者登陆后可以点击进去浏览图书的具体内容并且可以下载电子图书。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10.图书管理人员可以通过公共检索系统后台设置，查阅各地分馆的图书总量，读者数量，图书外借量，流通次数，人均册书和人均借阅量。</w:t>
            </w:r>
            <w:r>
              <w:rPr>
                <w:rFonts w:hint="eastAsia" w:ascii="宋体" w:hAnsi="宋体" w:cs="宋体"/>
                <w:color w:val="000000"/>
                <w:kern w:val="0"/>
                <w:sz w:val="22"/>
                <w:lang w:bidi="ar"/>
              </w:rPr>
              <w:br w:type="textWrapping"/>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套</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Theme="minorEastAsia" w:hAnsiTheme="minorEastAsia"/>
                <w:kern w:val="0"/>
                <w:szCs w:val="21"/>
              </w:rPr>
              <w:t>赠送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50</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RFID自助借还书机</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1.设备具备严格的安全标签读写设计，杜绝借还过程中出现漏读、误读现象。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2.设备各部件可单独更换；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3.自助借还系统需具有自检功能，具有一键检测读卡器模块连接情况的功能。</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4.界面可根据客户要求定制设计。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5.自助借还系统界面具有图片轮播展示区域，可自定义更换展示图片，便于学校展示更多校园风采或者操作指南；</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6.系统支持同时多本图书借还，最少一次5本以上，支持读者借书、还书、查询、续借。</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7.设备可支持多种读者证读写机具协议，可根据要求选配加载各种读写机具，支持各种读者卡比如：RFID读者证读取、二代身份证读取、条码读取、ID卡读取、M1卡、CPU卡读取等。</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8.自助借还书机设备能够在读者完成借书或还书的同时，对所借还的多本图书进行安全标志位的设置，便于和安全通道门之间建立报警感应。</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9.系统密码设置支持两种，一个是读者自助借还操作可以设置密码，一个是管理员退出自助系统的密码，密码设置隐蔽性好。</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10.系统具有凭条打印功能，系统后台可灵活设置是否启用打印凭条功能。打印凭条内容需含：打印日期、读者姓名、读者编号、图书信息、数量、交易类型。</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11.可以根据图书馆需求自定义凭条打印内容，支持添加打印图书馆LOGO，头部标题以及尾部标题。</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12.系统支持多种报警状态修改，支持过滤标签报警，支持EAS报警。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13.读者在操作过程中，全程支持语音指导功能，可根据需要在后台设置是否启用语音功能；</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14.为满足客户个性化需求，系统支持真人语音和TTS语音功能，支持自定义编辑文字语音播报。</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15.自助借还系统具备安全设计，防止借阅过程中一卡登入，被他人冒用身份借阅图书，具有二次验证身份功能。</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16.设备具有良好的兼容性，自助借还系统可以支持高频和超高频，可以通过自助借还系统后台随意设置。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17.为证明自助借还系统可兼容高频和超高频的设备，在自助借还系统后台中，需具有单独的高频和超高频的的设置页面。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18.为方便后期设备维护，自助借还系统后台需具有一键测试读卡器模块连接情况的功能。</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19.在自助借还系统后台中，基本设置里可设置是否在流通操作完成后自动刷新图书标签。</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20.根据客户需要，自助借还书机可加装集成自助借还、自助办证、自助查询三合一的系统。</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技术指标</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标准协议：ISO18000-6C标准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工作频率：902-928MHz</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阅读范围半径：≥300mm</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工作温度： -10℃～+50℃</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工作湿度：10%～85%</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通讯接口：10M/100M自适应网口</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电   源：AC220V±10%</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台</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18210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51</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RFID电子标签（不含加工）</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协议标准：ISO18000-6C标准、EPC　CLASS1 GEN2;</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标签芯片：IMPINJ Monza 4QT芯片，具有良好兼容性；</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标签内存：TID:64Bits；EPC:128Bits；User:512Bits;</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工作频率：860～960MHz;</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标签规格： 5.00×124.00mm</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环境温度范围：-20度-70度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芯片使用寿命：读写 10 万次，有效期10年</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根</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20000</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52</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标签转换工作站</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1.标签转换系统可对一个RFID标签非接触式地进行阅读，有读取RFID图书标签、编写图书标签、改写图书标签的能力。</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2.支持单个图书标签修改，也可以多标签进行修改操作，</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3..标签转换系统中需具有图书典藏的模块，方便在典藏图书的同时转换好标签。</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4.标签转换系统中具有往读者卡（校园卡卡）中写入数据的功能。</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5.标签转换系统可兼容高频和超高频的设备。</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6.标签转换系统中，系统设置模块可以对高频和超高频进行对应的参数设置。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7.系统提供双重功能，可以处理RFID标签，支持扫描图书条形码。</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8.系统可集成多种读写器，选配支持对RFID读者证、条码、二代身份证、校园卡等多种类型证件的识读。</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9.需和本项目参数中提交的图书馆自助借还书机兼容。</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技术指标</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支持UHF EPC Gen2(ISO18000-6C)、ISO18000-6B协议电子标签</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工作频率902～928MHz(可以按不同国家或地区要求调整)</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输出功率达至30dBm（可调）；</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4dbi天线配置选择，典型读取距离0-4米；</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支持usb接口</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套</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53</w:t>
            </w:r>
          </w:p>
        </w:tc>
        <w:tc>
          <w:tcPr>
            <w:tcW w:w="875" w:type="pct"/>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RFID安全门</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RFID智能安全门，起到批量识别、防盗报警的作用。采用超高频RFID射频技术，实现与RFID标签进行快速、批量识别。</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智能安全门禁，符合ISO18000-6C/6B和GB/T29768-2013协议，性能可靠，支持多标签读取，采用红外触发读取模式，集成声光报警为一体，可使用在线/离线EAS报警两种模式，设备支持网口通信，。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产品参数：</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1.工作频率：840MHz～960MHz可设置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2.空口协议：ISO 18000-6C/EPC C1G2 、 ISO 18000-6B、国标GB/T29768-2013（可拓展支持）</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3.读写功能：支持密集读写、多标签识别、支持标签数据过滤、支持RSSI：可感知信号强度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4.功能：两组红外触发读取，可单独设置红外触发延时时长；支持人员进出判断，可做人数统计；支持声光一体报警，可单独设置报警延时时长；EAS防盗位，支持可按标签需要任意设置一位防盗位。</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5.读取距离：0-200cm</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6.前后识别距离：前后90cm范围</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7.通信接口：RJ45;RS232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8.设备材料：铝合金型材外框，轻便、坚固并且不易变形；亚克力面材</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套</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54</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读卡器</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必须可以正确读取园区现使用的校园卡</w:t>
            </w:r>
          </w:p>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电源接口 USB接口取电</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工作电压 5V±0.5V</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通讯方式 USB2.0通讯</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通讯波特率 USB2.0全速12M</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连接线 不小于1.5米</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接触式模块</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支持卡片类型 符合ISO7816标准的T=0，T=1协议的CPU卡，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储存卡，SLE/4442/4428，</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卡座规格 1个推拔式IC大卡座</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卡读写速度 9600bps～115200 bps</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卡座触点 8个，有卡到位信息。所有触点都带有短路保护，还有过流保护，最大程度保护读写器和卡片</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卡座寿命 不小于10万次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非接触式模块</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支持卡片类型 符合ISO14443标准的TypeA协议的CPU卡，mifare Std 1k、mifare Std 4k、mifare UltraLight</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协议 ISO14443 /1/2/3/4 T=CL协议，MIFARE协议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工作频率 13.56MHz±7kHz</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卡读写速率 106 Kbps</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卡读写距离 0-50mm，实际距离与卡片有关</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CPU卡命令长度 读命令数据域最大长度为91字节，写为110字节</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SAM卡安全模块</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数量 最多可支持2个PSAM卡座</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支持卡型 符合ISO7816标准的PSAM卡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符合协议 ISO7816 T=0、T=1协议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读写速率 9600bps～115200bps</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人机界面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指示灯 3个指示灯，其中1个红灯为电源指示灯，1个绿灯为卡到位指示灯，1个绿灯为通讯指示灯</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蜂鸣 单调音</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支持系统 Windows 2000/NT/XP/Vista/Windows 7</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工作环境</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工作温度 0°C ~ 50°C （可选-25°C ~ 85°C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工作湿度 10% ~ 90%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技术支持</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驱动 无驱设备</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API 标准Windows 32位动态库</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台</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55</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条码扫描枪</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丰富的解码种类</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按键寿命高达3000万次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广泛应用于商业、物流等涉及条码行业</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性能指标:</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功能项目  参数</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光源类型  650nm纳米可视激光二极管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使用方式  手持式或支架安装</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误码率  1/500万</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安全性能  符合国家二级激光安全标准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条码类型  EAN-8，EAN-13，UPC-A，UPC-E，Code 39，Code 93，Code 128，EAN128，      Codaber，Industoal 2 of 5，Interleave 2 of 5，Matrix 2 of 5，MSI，中国邮政码等。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支持接口  RS232，PS2键盘，USB等接口。</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扫描方式  自动或手动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传输速率  RS232 Baudeate:2400-38400</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解析度      (4mil)</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景深(可调)  15-600mm(pcs0.9)</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读码速度  100次/秒</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读取仰角  60°</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读取倾角  45°</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操作温度  -20°C-45°C</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储存温度  20°C-45°C</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操作湿度  5%-85%</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储存湿度  5%-85%</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电源  5V</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支</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56</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条形码标签</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自定义条码编号，一般是六到十位数。上门可以打印文字，下面打印编号</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个</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20000</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57</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A4不干胶标纸</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A4大小空白书标纸，每张书标纸有45个小书标。一包有4500个书标</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包</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5</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58</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书标保护膜</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50*40mm  一卷书标膜可以贴2000个书标</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卷</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10</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Theme="minorEastAsia" w:hAnsiTheme="minorEastAsia"/>
                <w:kern w:val="0"/>
                <w:szCs w:val="21"/>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59</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读者借阅卡</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RFID读者证主要用于读者的身份识别，通过RFID非接触式的识别，快速读取读者的信息，借阅卡封面支持定做，可以印制单位logo、文字、图片信息等。</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张</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1000</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60</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移动还书箱</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1. 图书容量：≥150 册</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 材质工艺：电泳型材+铝板材+纤维板+喷涂丝印</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 书箱原理：根据书箱内图书的重量来实现自动升降</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4. 静音轮：前两万向耐磨静音轮。后两万向带刹车耐磨静音轮，方便载 重时推动转向。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 特  点：承载板自由升级，无负载离地面≥ 680mm，行程≥450mm，侧面外封板采用高强度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6．铝合金材料，耐瞬时 强度高，有抗变形能力，耐候性好。</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7. 功能展示：书箱承载板支持根据负荷自动升降（内部结构采用复杂的力学设 计）承载表面采用特殊的处理，有效降低图书放入书箱瞬间撞击力度。</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台</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3" w:type="pc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61</w:t>
            </w:r>
          </w:p>
        </w:tc>
        <w:tc>
          <w:tcPr>
            <w:tcW w:w="875"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触摸屏查询机</w:t>
            </w:r>
          </w:p>
        </w:tc>
        <w:tc>
          <w:tcPr>
            <w:tcW w:w="2959" w:type="pct"/>
            <w:tcBorders>
              <w:top w:val="nil"/>
              <w:left w:val="nil"/>
              <w:bottom w:val="single" w:color="auto" w:sz="4" w:space="0"/>
              <w:right w:val="single" w:color="auto" w:sz="4" w:space="0"/>
            </w:tcBorders>
            <w:vAlign w:val="center"/>
          </w:tcPr>
          <w:p>
            <w:pPr>
              <w:widowControl/>
              <w:jc w:val="left"/>
              <w:textAlignment w:val="center"/>
              <w:rPr>
                <w:rFonts w:asciiTheme="minorEastAsia" w:hAnsiTheme="minorEastAsia"/>
                <w:kern w:val="0"/>
                <w:szCs w:val="21"/>
              </w:rPr>
            </w:pPr>
            <w:r>
              <w:rPr>
                <w:rFonts w:hint="eastAsia" w:ascii="宋体" w:hAnsi="宋体" w:cs="宋体"/>
                <w:color w:val="000000"/>
                <w:kern w:val="0"/>
                <w:sz w:val="22"/>
                <w:lang w:bidi="ar"/>
              </w:rPr>
              <w:t>液晶面板 屏幕品牌 A+原装新屏 亮度 350cd/㎡</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屏幕尺寸 32寸 显示比例 16:9</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显示区域 708.48×398.52 mm 可视角度 89/89/89/89 (Typ.)(CR≥10)</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分辨率 1920*1080 对比度 1000:1</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外壳配置 外壳材质 表面3MM钢化玻璃，边框铝合金型材，后壳1.5MM钣金。</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外壳工艺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外观尺寸  底座纸箱尺寸      机身纸箱尺寸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主板配置 处理器 集成Intel® J1900 2.0G低功耗处理器</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内存 4G  DDR3</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硬盘 120G 固态硬盘</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系统 windows7/10 64位旗舰版</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显卡 集成Intel® HD Graphics核心显卡</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网络功能 RJ45*1，wifi接口</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常规接口VGA/HDMI/2.0USB*2/3.0USB*2/RJ45*1/DC*1/AUDIO*1/MIC-IN*1</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触摸配置 触摸方案 台湾SIS触摸方案</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触摸点数 最大支持32点电容触摸</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触摸效果 水渍、污垢不影响触摸精度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触摸方式 可以用直径大于5mm的任何不透明物体触摸（包括手指/笔）</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环境要求 适用环境 室内</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工作温度 -20℃-40℃</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存储温度 -20℃～60℃</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电气配置 工作电源 AC（100－240）V/50－60HZ</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最大功率 ＜100W</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需提供触摸屏浏览器软件进行使用。</w:t>
            </w:r>
          </w:p>
        </w:tc>
        <w:tc>
          <w:tcPr>
            <w:tcW w:w="26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台</w:t>
            </w:r>
          </w:p>
        </w:tc>
        <w:tc>
          <w:tcPr>
            <w:tcW w:w="298"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1</w:t>
            </w:r>
          </w:p>
        </w:tc>
        <w:tc>
          <w:tcPr>
            <w:tcW w:w="364" w:type="pct"/>
            <w:tcBorders>
              <w:top w:val="nil"/>
              <w:left w:val="nil"/>
              <w:bottom w:val="single" w:color="auto" w:sz="4" w:space="0"/>
              <w:right w:val="single" w:color="auto" w:sz="4" w:space="0"/>
            </w:tcBorders>
            <w:vAlign w:val="center"/>
          </w:tcPr>
          <w:p>
            <w:pPr>
              <w:widowControl/>
              <w:jc w:val="center"/>
              <w:textAlignment w:val="center"/>
              <w:rPr>
                <w:rFonts w:asciiTheme="minorEastAsia" w:hAnsiTheme="minorEastAsia"/>
                <w:kern w:val="0"/>
                <w:szCs w:val="21"/>
              </w:rPr>
            </w:pPr>
            <w:r>
              <w:rPr>
                <w:rFonts w:hint="eastAsia" w:ascii="宋体" w:hAnsi="宋体" w:cs="宋体"/>
                <w:color w:val="000000"/>
                <w:kern w:val="0"/>
                <w:sz w:val="22"/>
                <w:lang w:bidi="ar"/>
              </w:rPr>
              <w:t xml:space="preserve">11200 </w:t>
            </w:r>
          </w:p>
        </w:tc>
      </w:tr>
    </w:tbl>
    <w:p>
      <w:pPr>
        <w:pStyle w:val="2"/>
        <w:ind w:firstLine="440"/>
      </w:pPr>
    </w:p>
    <w:p>
      <w:pPr>
        <w:spacing w:line="360" w:lineRule="auto"/>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pPr>
    </w:p>
    <w:p>
      <w:pPr>
        <w:spacing w:line="360" w:lineRule="auto"/>
        <w:rPr>
          <w:rFonts w:cs="宋体" w:asciiTheme="minorEastAsia" w:hAnsiTheme="minorEastAsia" w:eastAsiaTheme="minorEastAsia"/>
          <w:b/>
          <w:color w:val="000000" w:themeColor="text1"/>
          <w:kern w:val="0"/>
          <w:sz w:val="24"/>
          <w:szCs w:val="24"/>
          <w:lang w:bidi="zh-CN"/>
          <w14:textFill>
            <w14:solidFill>
              <w14:schemeClr w14:val="tx1"/>
            </w14:solidFill>
          </w14:textFill>
        </w:rPr>
      </w:pP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注</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1、标注“▲”货物为本项目核心产品。</w:t>
      </w:r>
    </w:p>
    <w:p>
      <w:pPr>
        <w:spacing w:line="360" w:lineRule="auto"/>
        <w:rPr>
          <w:rFonts w:cs="宋体" w:asciiTheme="minorEastAsia" w:hAnsiTheme="minorEastAsia" w:eastAsiaTheme="minorEastAsia"/>
          <w:b/>
          <w:color w:val="000000" w:themeColor="text1"/>
          <w:kern w:val="0"/>
          <w:sz w:val="24"/>
          <w:szCs w:val="24"/>
          <w:lang w:bidi="zh-CN"/>
          <w14:textFill>
            <w14:solidFill>
              <w14:schemeClr w14:val="tx1"/>
            </w14:solidFill>
          </w14:textFill>
        </w:rPr>
      </w:pP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2、</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以上</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项目采购需求</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中参数</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出现</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的</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品牌</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型号仅作为参考，不作为约束性要求</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w:t>
      </w:r>
    </w:p>
    <w:p>
      <w:pPr>
        <w:spacing w:line="360" w:lineRule="auto"/>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pP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3、</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设备参数中带有</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要求</w:t>
      </w:r>
      <w:r>
        <w:rPr>
          <w:rFonts w:cs="宋体" w:asciiTheme="minorEastAsia" w:hAnsiTheme="minorEastAsia" w:eastAsiaTheme="minorEastAsia"/>
          <w:b/>
          <w:color w:val="000000" w:themeColor="text1"/>
          <w:kern w:val="0"/>
          <w:sz w:val="24"/>
          <w:szCs w:val="24"/>
          <w:lang w:bidi="zh-CN"/>
          <w14:textFill>
            <w14:solidFill>
              <w14:schemeClr w14:val="tx1"/>
            </w14:solidFill>
          </w14:textFill>
        </w:rPr>
        <w:t>为实质性要求</w:t>
      </w:r>
      <w:r>
        <w:rPr>
          <w:rFonts w:hint="eastAsia" w:cs="宋体" w:asciiTheme="minorEastAsia" w:hAnsiTheme="minorEastAsia" w:eastAsiaTheme="minorEastAsia"/>
          <w:b/>
          <w:color w:val="000000" w:themeColor="text1"/>
          <w:kern w:val="0"/>
          <w:sz w:val="24"/>
          <w:szCs w:val="24"/>
          <w:lang w:bidi="zh-CN"/>
          <w14:textFill>
            <w14:solidFill>
              <w14:schemeClr w14:val="tx1"/>
            </w14:solidFill>
          </w14:textFill>
        </w:rPr>
        <w:t>；</w:t>
      </w:r>
    </w:p>
    <w:p>
      <w:pPr>
        <w:pStyle w:val="2"/>
        <w:ind w:left="0" w:leftChars="0" w:firstLine="0" w:firstLineChars="0"/>
        <w:rPr>
          <w:rFonts w:hint="default" w:cs="宋体" w:asciiTheme="minorEastAsia" w:hAnsiTheme="minorEastAsia" w:eastAsiaTheme="minorEastAsia"/>
          <w:b/>
          <w:color w:val="000000" w:themeColor="text1"/>
          <w:kern w:val="0"/>
          <w:sz w:val="24"/>
          <w:szCs w:val="24"/>
          <w:lang w:val="en-US" w:eastAsia="zh-CN" w:bidi="zh-CN"/>
          <w14:textFill>
            <w14:solidFill>
              <w14:schemeClr w14:val="tx1"/>
            </w14:solidFill>
          </w14:textFill>
        </w:rPr>
      </w:pPr>
      <w:r>
        <w:rPr>
          <w:rFonts w:hint="eastAsia" w:cs="宋体" w:asciiTheme="minorEastAsia" w:hAnsiTheme="minorEastAsia" w:eastAsiaTheme="minorEastAsia"/>
          <w:b/>
          <w:color w:val="000000" w:themeColor="text1"/>
          <w:kern w:val="0"/>
          <w:sz w:val="24"/>
          <w:szCs w:val="24"/>
          <w:lang w:val="en-US" w:bidi="zh-CN"/>
          <w14:textFill>
            <w14:solidFill>
              <w14:schemeClr w14:val="tx1"/>
            </w14:solidFill>
          </w14:textFill>
        </w:rPr>
        <w:t>4、</w:t>
      </w:r>
      <w:r>
        <w:rPr>
          <w:rFonts w:hint="eastAsia" w:cs="宋体" w:asciiTheme="minorEastAsia" w:hAnsiTheme="minorEastAsia" w:eastAsiaTheme="minorEastAsia"/>
          <w:b/>
          <w:color w:val="000000" w:themeColor="text1"/>
          <w:kern w:val="0"/>
          <w:sz w:val="24"/>
          <w:szCs w:val="24"/>
          <w:lang w:val="en-US" w:eastAsia="zh-CN" w:bidi="zh-CN"/>
          <w14:textFill>
            <w14:solidFill>
              <w14:schemeClr w14:val="tx1"/>
            </w14:solidFill>
          </w14:textFill>
        </w:rPr>
        <w:t>部分功能模块需提供功能截图或需在开标现场提供功能演示，演示视频为软件实操界面，请做好相关准备工作。</w:t>
      </w:r>
    </w:p>
    <w:sectPr>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Regular">
    <w:altName w:val="Times New Roman"/>
    <w:panose1 w:val="00000000000000000000"/>
    <w:charset w:val="00"/>
    <w:family w:val="roman"/>
    <w:pitch w:val="default"/>
    <w:sig w:usb0="00000000" w:usb1="00000000" w:usb2="00000000" w:usb3="00000000" w:csb0="0000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1</w:t>
    </w:r>
    <w:r>
      <w:rPr>
        <w:lang w:val="zh-CN"/>
      </w:rP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8B4AA"/>
    <w:multiLevelType w:val="singleLevel"/>
    <w:tmpl w:val="0C98B4AA"/>
    <w:lvl w:ilvl="0" w:tentative="0">
      <w:start w:val="1"/>
      <w:numFmt w:val="decimal"/>
      <w:suff w:val="nothing"/>
      <w:lvlText w:val="%1、"/>
      <w:lvlJc w:val="left"/>
    </w:lvl>
  </w:abstractNum>
  <w:abstractNum w:abstractNumId="1">
    <w:nsid w:val="0F311002"/>
    <w:multiLevelType w:val="multilevel"/>
    <w:tmpl w:val="0F311002"/>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CECB99"/>
    <w:multiLevelType w:val="singleLevel"/>
    <w:tmpl w:val="1ACECB99"/>
    <w:lvl w:ilvl="0" w:tentative="0">
      <w:start w:val="5"/>
      <w:numFmt w:val="chineseCounting"/>
      <w:suff w:val="nothing"/>
      <w:lvlText w:val="%1、"/>
      <w:lvlJc w:val="left"/>
      <w:pPr>
        <w:ind w:left="0" w:firstLine="0"/>
      </w:pPr>
    </w:lvl>
  </w:abstractNum>
  <w:abstractNum w:abstractNumId="3">
    <w:nsid w:val="1B5B3409"/>
    <w:multiLevelType w:val="multilevel"/>
    <w:tmpl w:val="1B5B3409"/>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4C565B"/>
    <w:multiLevelType w:val="multilevel"/>
    <w:tmpl w:val="2E4C565B"/>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BC7DE5"/>
    <w:multiLevelType w:val="singleLevel"/>
    <w:tmpl w:val="65BC7DE5"/>
    <w:lvl w:ilvl="0" w:tentative="0">
      <w:start w:val="1"/>
      <w:numFmt w:val="decimal"/>
      <w:suff w:val="nothing"/>
      <w:lvlText w:val="%1．"/>
      <w:lvlJc w:val="left"/>
    </w:lvl>
  </w:abstractNum>
  <w:abstractNum w:abstractNumId="6">
    <w:nsid w:val="6C9C5BEB"/>
    <w:multiLevelType w:val="multilevel"/>
    <w:tmpl w:val="6C9C5BEB"/>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0"/>
  </w:num>
  <w:num w:numId="4">
    <w:abstractNumId w:val="2"/>
    <w:lvlOverride w:ilvl="0">
      <w:startOverride w:val="5"/>
    </w:lvlOverride>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BB"/>
    <w:rsid w:val="00003E0F"/>
    <w:rsid w:val="00006B33"/>
    <w:rsid w:val="00007B2E"/>
    <w:rsid w:val="00012BA3"/>
    <w:rsid w:val="000272D7"/>
    <w:rsid w:val="00044D27"/>
    <w:rsid w:val="00064AA3"/>
    <w:rsid w:val="00065784"/>
    <w:rsid w:val="00077459"/>
    <w:rsid w:val="00091DD6"/>
    <w:rsid w:val="000B2FBA"/>
    <w:rsid w:val="000D2C4B"/>
    <w:rsid w:val="000D35E1"/>
    <w:rsid w:val="000E4240"/>
    <w:rsid w:val="000E7CBB"/>
    <w:rsid w:val="000F6108"/>
    <w:rsid w:val="001221A0"/>
    <w:rsid w:val="00122745"/>
    <w:rsid w:val="00133C99"/>
    <w:rsid w:val="00140F8C"/>
    <w:rsid w:val="001569DA"/>
    <w:rsid w:val="00172011"/>
    <w:rsid w:val="00173E37"/>
    <w:rsid w:val="0018253F"/>
    <w:rsid w:val="00186AD8"/>
    <w:rsid w:val="001872EF"/>
    <w:rsid w:val="001B3B74"/>
    <w:rsid w:val="001B6F76"/>
    <w:rsid w:val="001C073D"/>
    <w:rsid w:val="001D37A7"/>
    <w:rsid w:val="001E44BC"/>
    <w:rsid w:val="00224A35"/>
    <w:rsid w:val="00231F2C"/>
    <w:rsid w:val="00233707"/>
    <w:rsid w:val="00236084"/>
    <w:rsid w:val="00245671"/>
    <w:rsid w:val="00262D46"/>
    <w:rsid w:val="00264811"/>
    <w:rsid w:val="00271C8C"/>
    <w:rsid w:val="0027518E"/>
    <w:rsid w:val="0027567E"/>
    <w:rsid w:val="00286124"/>
    <w:rsid w:val="0029367F"/>
    <w:rsid w:val="00293850"/>
    <w:rsid w:val="002A65B5"/>
    <w:rsid w:val="002C2F33"/>
    <w:rsid w:val="002D20ED"/>
    <w:rsid w:val="002E4637"/>
    <w:rsid w:val="002E7FB3"/>
    <w:rsid w:val="002F41E5"/>
    <w:rsid w:val="00330015"/>
    <w:rsid w:val="00334EDF"/>
    <w:rsid w:val="00335FDD"/>
    <w:rsid w:val="00342D19"/>
    <w:rsid w:val="003538DD"/>
    <w:rsid w:val="00366BC1"/>
    <w:rsid w:val="003670A2"/>
    <w:rsid w:val="003775DF"/>
    <w:rsid w:val="00383423"/>
    <w:rsid w:val="00395785"/>
    <w:rsid w:val="003A46A3"/>
    <w:rsid w:val="003A636D"/>
    <w:rsid w:val="003B3333"/>
    <w:rsid w:val="003B69F6"/>
    <w:rsid w:val="003C4938"/>
    <w:rsid w:val="003C5E57"/>
    <w:rsid w:val="003F590A"/>
    <w:rsid w:val="00404CCF"/>
    <w:rsid w:val="00416C92"/>
    <w:rsid w:val="004268CD"/>
    <w:rsid w:val="00427497"/>
    <w:rsid w:val="0042775B"/>
    <w:rsid w:val="0044718A"/>
    <w:rsid w:val="00460199"/>
    <w:rsid w:val="00460809"/>
    <w:rsid w:val="004628E5"/>
    <w:rsid w:val="00474CA3"/>
    <w:rsid w:val="004846AF"/>
    <w:rsid w:val="00490D89"/>
    <w:rsid w:val="004B3FB5"/>
    <w:rsid w:val="004D4024"/>
    <w:rsid w:val="004E45AD"/>
    <w:rsid w:val="004E535B"/>
    <w:rsid w:val="004F6815"/>
    <w:rsid w:val="004F68F1"/>
    <w:rsid w:val="00501BE6"/>
    <w:rsid w:val="00515DF2"/>
    <w:rsid w:val="00527F86"/>
    <w:rsid w:val="005400C0"/>
    <w:rsid w:val="005552B2"/>
    <w:rsid w:val="005563D9"/>
    <w:rsid w:val="005628BE"/>
    <w:rsid w:val="005842CA"/>
    <w:rsid w:val="005972C1"/>
    <w:rsid w:val="005A334C"/>
    <w:rsid w:val="005A3503"/>
    <w:rsid w:val="005B6802"/>
    <w:rsid w:val="005C02CE"/>
    <w:rsid w:val="005C09FF"/>
    <w:rsid w:val="005C41B5"/>
    <w:rsid w:val="005C4D04"/>
    <w:rsid w:val="005C7738"/>
    <w:rsid w:val="005D0A03"/>
    <w:rsid w:val="005D1C8A"/>
    <w:rsid w:val="005D3B24"/>
    <w:rsid w:val="005F7877"/>
    <w:rsid w:val="00601059"/>
    <w:rsid w:val="0060517B"/>
    <w:rsid w:val="0060596F"/>
    <w:rsid w:val="0061319B"/>
    <w:rsid w:val="00616DAD"/>
    <w:rsid w:val="00617EA2"/>
    <w:rsid w:val="00620CB9"/>
    <w:rsid w:val="0063468D"/>
    <w:rsid w:val="00637419"/>
    <w:rsid w:val="006473EC"/>
    <w:rsid w:val="00650410"/>
    <w:rsid w:val="006514CA"/>
    <w:rsid w:val="006552F0"/>
    <w:rsid w:val="00655C88"/>
    <w:rsid w:val="00657CC4"/>
    <w:rsid w:val="0066564F"/>
    <w:rsid w:val="00672918"/>
    <w:rsid w:val="006743B2"/>
    <w:rsid w:val="006839FF"/>
    <w:rsid w:val="006861E6"/>
    <w:rsid w:val="006907C0"/>
    <w:rsid w:val="006A4CF4"/>
    <w:rsid w:val="006B3966"/>
    <w:rsid w:val="006C42D9"/>
    <w:rsid w:val="006C6497"/>
    <w:rsid w:val="006D3BA7"/>
    <w:rsid w:val="006D5AB1"/>
    <w:rsid w:val="006E0B66"/>
    <w:rsid w:val="006E0E01"/>
    <w:rsid w:val="006F3FA5"/>
    <w:rsid w:val="007005B0"/>
    <w:rsid w:val="0070672E"/>
    <w:rsid w:val="00706E73"/>
    <w:rsid w:val="00711A85"/>
    <w:rsid w:val="0071744D"/>
    <w:rsid w:val="0071771F"/>
    <w:rsid w:val="00717D3C"/>
    <w:rsid w:val="00732965"/>
    <w:rsid w:val="00732D72"/>
    <w:rsid w:val="0073424E"/>
    <w:rsid w:val="00735944"/>
    <w:rsid w:val="007560E8"/>
    <w:rsid w:val="007611B0"/>
    <w:rsid w:val="00791914"/>
    <w:rsid w:val="007942E3"/>
    <w:rsid w:val="007B22D8"/>
    <w:rsid w:val="007B33E2"/>
    <w:rsid w:val="007B6C50"/>
    <w:rsid w:val="007C406A"/>
    <w:rsid w:val="007C481A"/>
    <w:rsid w:val="007D2202"/>
    <w:rsid w:val="007E1D0B"/>
    <w:rsid w:val="007E6D3E"/>
    <w:rsid w:val="007E7A8D"/>
    <w:rsid w:val="007F170D"/>
    <w:rsid w:val="007F43D1"/>
    <w:rsid w:val="007F7394"/>
    <w:rsid w:val="008219C6"/>
    <w:rsid w:val="008322D1"/>
    <w:rsid w:val="008372A6"/>
    <w:rsid w:val="0084395A"/>
    <w:rsid w:val="00883EC6"/>
    <w:rsid w:val="00886126"/>
    <w:rsid w:val="00895BB6"/>
    <w:rsid w:val="008A2DEB"/>
    <w:rsid w:val="008A6777"/>
    <w:rsid w:val="008B08E1"/>
    <w:rsid w:val="008B77DC"/>
    <w:rsid w:val="008D13E4"/>
    <w:rsid w:val="008E4BAA"/>
    <w:rsid w:val="0090403B"/>
    <w:rsid w:val="009123A5"/>
    <w:rsid w:val="0091241F"/>
    <w:rsid w:val="00922A55"/>
    <w:rsid w:val="00945E49"/>
    <w:rsid w:val="0094713D"/>
    <w:rsid w:val="00951486"/>
    <w:rsid w:val="00961E22"/>
    <w:rsid w:val="00967661"/>
    <w:rsid w:val="009907B0"/>
    <w:rsid w:val="009A1701"/>
    <w:rsid w:val="009A2896"/>
    <w:rsid w:val="009D211F"/>
    <w:rsid w:val="009D7555"/>
    <w:rsid w:val="009E3CFC"/>
    <w:rsid w:val="009E5222"/>
    <w:rsid w:val="009F5D22"/>
    <w:rsid w:val="00A00C20"/>
    <w:rsid w:val="00A07A40"/>
    <w:rsid w:val="00A17BE4"/>
    <w:rsid w:val="00A4329B"/>
    <w:rsid w:val="00A5290E"/>
    <w:rsid w:val="00A55641"/>
    <w:rsid w:val="00A571D0"/>
    <w:rsid w:val="00A90B3A"/>
    <w:rsid w:val="00A90DEE"/>
    <w:rsid w:val="00A94D70"/>
    <w:rsid w:val="00AC0EA0"/>
    <w:rsid w:val="00AC6DD3"/>
    <w:rsid w:val="00AE1B5C"/>
    <w:rsid w:val="00AE5327"/>
    <w:rsid w:val="00AE613C"/>
    <w:rsid w:val="00AF3A99"/>
    <w:rsid w:val="00AF54DB"/>
    <w:rsid w:val="00B054E6"/>
    <w:rsid w:val="00B07BDE"/>
    <w:rsid w:val="00B120A5"/>
    <w:rsid w:val="00B20AAD"/>
    <w:rsid w:val="00B25960"/>
    <w:rsid w:val="00B40EF5"/>
    <w:rsid w:val="00B55A8C"/>
    <w:rsid w:val="00B63585"/>
    <w:rsid w:val="00B86F0E"/>
    <w:rsid w:val="00B8754C"/>
    <w:rsid w:val="00B92740"/>
    <w:rsid w:val="00B945BA"/>
    <w:rsid w:val="00BA0319"/>
    <w:rsid w:val="00BA5684"/>
    <w:rsid w:val="00BB279D"/>
    <w:rsid w:val="00BB6A90"/>
    <w:rsid w:val="00BD756D"/>
    <w:rsid w:val="00BE3075"/>
    <w:rsid w:val="00BE5BCD"/>
    <w:rsid w:val="00BF2A01"/>
    <w:rsid w:val="00BF7067"/>
    <w:rsid w:val="00C01D8E"/>
    <w:rsid w:val="00C07B32"/>
    <w:rsid w:val="00C133FC"/>
    <w:rsid w:val="00C13FD8"/>
    <w:rsid w:val="00C14506"/>
    <w:rsid w:val="00C24D4D"/>
    <w:rsid w:val="00C27006"/>
    <w:rsid w:val="00C34088"/>
    <w:rsid w:val="00C40AB8"/>
    <w:rsid w:val="00C45E52"/>
    <w:rsid w:val="00C50952"/>
    <w:rsid w:val="00C554BC"/>
    <w:rsid w:val="00C64A3B"/>
    <w:rsid w:val="00C70183"/>
    <w:rsid w:val="00C73255"/>
    <w:rsid w:val="00C806CD"/>
    <w:rsid w:val="00C9007F"/>
    <w:rsid w:val="00CA6273"/>
    <w:rsid w:val="00CC4652"/>
    <w:rsid w:val="00CC5B1D"/>
    <w:rsid w:val="00CD122B"/>
    <w:rsid w:val="00CD5B03"/>
    <w:rsid w:val="00CD6BDF"/>
    <w:rsid w:val="00CE51F7"/>
    <w:rsid w:val="00D017E5"/>
    <w:rsid w:val="00D0190B"/>
    <w:rsid w:val="00D0574D"/>
    <w:rsid w:val="00D05D8D"/>
    <w:rsid w:val="00D171EB"/>
    <w:rsid w:val="00D20181"/>
    <w:rsid w:val="00D22D69"/>
    <w:rsid w:val="00D24B5F"/>
    <w:rsid w:val="00D35236"/>
    <w:rsid w:val="00D4390D"/>
    <w:rsid w:val="00D5069A"/>
    <w:rsid w:val="00D70923"/>
    <w:rsid w:val="00D73E28"/>
    <w:rsid w:val="00DA1575"/>
    <w:rsid w:val="00DB03AF"/>
    <w:rsid w:val="00DC21A2"/>
    <w:rsid w:val="00DC511D"/>
    <w:rsid w:val="00DC5332"/>
    <w:rsid w:val="00DD0F66"/>
    <w:rsid w:val="00DD5252"/>
    <w:rsid w:val="00DD5C07"/>
    <w:rsid w:val="00DE41CE"/>
    <w:rsid w:val="00DE6B80"/>
    <w:rsid w:val="00DF0923"/>
    <w:rsid w:val="00DF40E8"/>
    <w:rsid w:val="00E23545"/>
    <w:rsid w:val="00E32739"/>
    <w:rsid w:val="00E3536B"/>
    <w:rsid w:val="00E366B2"/>
    <w:rsid w:val="00E4285C"/>
    <w:rsid w:val="00E46383"/>
    <w:rsid w:val="00E5325E"/>
    <w:rsid w:val="00EA139F"/>
    <w:rsid w:val="00EB5649"/>
    <w:rsid w:val="00EC1579"/>
    <w:rsid w:val="00EC6003"/>
    <w:rsid w:val="00EE5DE4"/>
    <w:rsid w:val="00F13967"/>
    <w:rsid w:val="00F17695"/>
    <w:rsid w:val="00F32049"/>
    <w:rsid w:val="00F32480"/>
    <w:rsid w:val="00F377D9"/>
    <w:rsid w:val="00F5034F"/>
    <w:rsid w:val="00F542D1"/>
    <w:rsid w:val="00F56A3D"/>
    <w:rsid w:val="00F67FAC"/>
    <w:rsid w:val="00F758BD"/>
    <w:rsid w:val="00F85B66"/>
    <w:rsid w:val="00F9466F"/>
    <w:rsid w:val="00F97B1D"/>
    <w:rsid w:val="00FA4B87"/>
    <w:rsid w:val="00FA6F8E"/>
    <w:rsid w:val="00FB7FA5"/>
    <w:rsid w:val="00FC58E1"/>
    <w:rsid w:val="00FD183D"/>
    <w:rsid w:val="00FD2CF9"/>
    <w:rsid w:val="00FE5546"/>
    <w:rsid w:val="00FF21AD"/>
    <w:rsid w:val="01803FA2"/>
    <w:rsid w:val="03AB2C1E"/>
    <w:rsid w:val="04D51417"/>
    <w:rsid w:val="069A2663"/>
    <w:rsid w:val="08C97736"/>
    <w:rsid w:val="0A946229"/>
    <w:rsid w:val="0DA22105"/>
    <w:rsid w:val="10840DB0"/>
    <w:rsid w:val="13BF40BE"/>
    <w:rsid w:val="17023A0C"/>
    <w:rsid w:val="178361A8"/>
    <w:rsid w:val="18D3110D"/>
    <w:rsid w:val="1B00578D"/>
    <w:rsid w:val="1E101262"/>
    <w:rsid w:val="1FD51A4F"/>
    <w:rsid w:val="204528AD"/>
    <w:rsid w:val="21114282"/>
    <w:rsid w:val="23DD1866"/>
    <w:rsid w:val="2518780B"/>
    <w:rsid w:val="25D85AA2"/>
    <w:rsid w:val="2701799C"/>
    <w:rsid w:val="27944474"/>
    <w:rsid w:val="296C7EC8"/>
    <w:rsid w:val="2AD52A3A"/>
    <w:rsid w:val="2C285ABA"/>
    <w:rsid w:val="2EE5753F"/>
    <w:rsid w:val="2F822C27"/>
    <w:rsid w:val="2F961E0C"/>
    <w:rsid w:val="31C36B20"/>
    <w:rsid w:val="33687D04"/>
    <w:rsid w:val="34CA5384"/>
    <w:rsid w:val="37992D32"/>
    <w:rsid w:val="37A759C6"/>
    <w:rsid w:val="3B5E5010"/>
    <w:rsid w:val="3E4C23A4"/>
    <w:rsid w:val="423946FD"/>
    <w:rsid w:val="458D3B1A"/>
    <w:rsid w:val="484A61E7"/>
    <w:rsid w:val="49CA782C"/>
    <w:rsid w:val="4FCC35C3"/>
    <w:rsid w:val="50646F74"/>
    <w:rsid w:val="51FE197A"/>
    <w:rsid w:val="56D60B77"/>
    <w:rsid w:val="57655FE7"/>
    <w:rsid w:val="58A46225"/>
    <w:rsid w:val="590E0F92"/>
    <w:rsid w:val="5D9D0631"/>
    <w:rsid w:val="5E351D0A"/>
    <w:rsid w:val="5E522A1C"/>
    <w:rsid w:val="62EA26F2"/>
    <w:rsid w:val="633E0E1D"/>
    <w:rsid w:val="64012BF9"/>
    <w:rsid w:val="69966244"/>
    <w:rsid w:val="6B577E89"/>
    <w:rsid w:val="6ED13E72"/>
    <w:rsid w:val="715651CF"/>
    <w:rsid w:val="72833C89"/>
    <w:rsid w:val="758877E9"/>
    <w:rsid w:val="78CD7B87"/>
    <w:rsid w:val="79341013"/>
    <w:rsid w:val="79356986"/>
    <w:rsid w:val="79B50032"/>
    <w:rsid w:val="7B700345"/>
    <w:rsid w:val="7D6C2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9"/>
    <w:qFormat/>
    <w:uiPriority w:val="0"/>
    <w:pPr>
      <w:keepNext/>
      <w:keepLines/>
      <w:spacing w:line="578" w:lineRule="auto"/>
      <w:jc w:val="center"/>
      <w:outlineLvl w:val="0"/>
    </w:pPr>
    <w:rPr>
      <w:b/>
      <w:bCs/>
      <w:kern w:val="44"/>
      <w:sz w:val="44"/>
      <w:szCs w:val="44"/>
    </w:rPr>
  </w:style>
  <w:style w:type="paragraph" w:styleId="5">
    <w:name w:val="heading 2"/>
    <w:basedOn w:val="1"/>
    <w:next w:val="1"/>
    <w:link w:val="40"/>
    <w:qFormat/>
    <w:uiPriority w:val="0"/>
    <w:pPr>
      <w:keepNext/>
      <w:keepLines/>
      <w:spacing w:line="413" w:lineRule="auto"/>
      <w:jc w:val="center"/>
      <w:outlineLvl w:val="1"/>
    </w:pPr>
    <w:rPr>
      <w:rFonts w:ascii="Arial" w:hAnsi="Arial" w:eastAsia="黑体"/>
      <w:b/>
      <w:sz w:val="30"/>
    </w:rPr>
  </w:style>
  <w:style w:type="paragraph" w:styleId="6">
    <w:name w:val="heading 3"/>
    <w:basedOn w:val="1"/>
    <w:next w:val="1"/>
    <w:link w:val="41"/>
    <w:qFormat/>
    <w:uiPriority w:val="0"/>
    <w:pPr>
      <w:keepNext/>
      <w:keepLines/>
      <w:spacing w:line="413" w:lineRule="auto"/>
      <w:jc w:val="center"/>
      <w:outlineLvl w:val="2"/>
    </w:pPr>
    <w:rPr>
      <w:b/>
      <w:sz w:val="28"/>
    </w:rPr>
  </w:style>
  <w:style w:type="paragraph" w:styleId="7">
    <w:name w:val="heading 4"/>
    <w:basedOn w:val="1"/>
    <w:next w:val="1"/>
    <w:link w:val="42"/>
    <w:qFormat/>
    <w:uiPriority w:val="99"/>
    <w:pPr>
      <w:keepNext/>
      <w:keepLines/>
      <w:spacing w:before="280" w:after="290" w:line="376" w:lineRule="auto"/>
      <w:outlineLvl w:val="3"/>
    </w:pPr>
    <w:rPr>
      <w:rFonts w:ascii="Calibri Light" w:hAnsi="Calibri Light"/>
      <w:b/>
      <w:bCs/>
      <w:sz w:val="28"/>
      <w:szCs w:val="28"/>
    </w:rPr>
  </w:style>
  <w:style w:type="paragraph" w:styleId="8">
    <w:name w:val="heading 5"/>
    <w:basedOn w:val="1"/>
    <w:next w:val="1"/>
    <w:link w:val="43"/>
    <w:qFormat/>
    <w:uiPriority w:val="99"/>
    <w:pPr>
      <w:keepNext/>
      <w:keepLines/>
      <w:spacing w:before="280" w:after="290" w:line="376" w:lineRule="auto"/>
      <w:jc w:val="left"/>
      <w:outlineLvl w:val="4"/>
    </w:pPr>
    <w:rPr>
      <w:b/>
      <w:bCs/>
      <w:sz w:val="24"/>
      <w:szCs w:val="28"/>
    </w:rPr>
  </w:style>
  <w:style w:type="paragraph" w:styleId="9">
    <w:name w:val="heading 6"/>
    <w:basedOn w:val="1"/>
    <w:next w:val="1"/>
    <w:link w:val="44"/>
    <w:qFormat/>
    <w:uiPriority w:val="99"/>
    <w:pPr>
      <w:keepNext/>
      <w:keepLines/>
      <w:spacing w:before="240" w:after="64" w:line="320" w:lineRule="auto"/>
      <w:outlineLvl w:val="5"/>
    </w:pPr>
    <w:rPr>
      <w:rFonts w:ascii="Calibri Light" w:hAnsi="Calibri Light"/>
      <w:b/>
      <w:bCs/>
      <w:sz w:val="24"/>
      <w:szCs w:val="24"/>
    </w:rPr>
  </w:style>
  <w:style w:type="paragraph" w:styleId="10">
    <w:name w:val="heading 7"/>
    <w:basedOn w:val="1"/>
    <w:next w:val="1"/>
    <w:link w:val="45"/>
    <w:qFormat/>
    <w:uiPriority w:val="99"/>
    <w:pPr>
      <w:keepNext/>
      <w:keepLines/>
      <w:spacing w:before="240" w:after="64" w:line="320" w:lineRule="auto"/>
      <w:outlineLvl w:val="6"/>
    </w:pPr>
    <w:rPr>
      <w:b/>
      <w:bCs/>
      <w:sz w:val="24"/>
      <w:szCs w:val="24"/>
    </w:rPr>
  </w:style>
  <w:style w:type="paragraph" w:styleId="11">
    <w:name w:val="heading 8"/>
    <w:basedOn w:val="1"/>
    <w:next w:val="1"/>
    <w:link w:val="46"/>
    <w:qFormat/>
    <w:uiPriority w:val="99"/>
    <w:pPr>
      <w:keepNext/>
      <w:keepLines/>
      <w:spacing w:before="240" w:after="64" w:line="320" w:lineRule="auto"/>
      <w:outlineLvl w:val="7"/>
    </w:pPr>
    <w:rPr>
      <w:rFonts w:ascii="Calibri Light" w:hAnsi="Calibri Light"/>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6"/>
    <w:qFormat/>
    <w:uiPriority w:val="0"/>
    <w:pPr>
      <w:tabs>
        <w:tab w:val="left" w:pos="3075"/>
      </w:tabs>
      <w:ind w:firstLine="420" w:firstLineChars="200"/>
    </w:pPr>
  </w:style>
  <w:style w:type="paragraph" w:styleId="3">
    <w:name w:val="Body Text Indent"/>
    <w:basedOn w:val="1"/>
    <w:link w:val="87"/>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szCs w:val="24"/>
    </w:rPr>
  </w:style>
  <w:style w:type="paragraph" w:styleId="12">
    <w:name w:val="Normal Indent"/>
    <w:basedOn w:val="1"/>
    <w:qFormat/>
    <w:uiPriority w:val="0"/>
    <w:pPr>
      <w:ind w:firstLine="420"/>
    </w:pPr>
    <w:rPr>
      <w:szCs w:val="20"/>
    </w:rPr>
  </w:style>
  <w:style w:type="paragraph" w:styleId="13">
    <w:name w:val="annotation text"/>
    <w:basedOn w:val="1"/>
    <w:link w:val="53"/>
    <w:qFormat/>
    <w:uiPriority w:val="99"/>
    <w:pPr>
      <w:jc w:val="left"/>
    </w:pPr>
  </w:style>
  <w:style w:type="paragraph" w:styleId="14">
    <w:name w:val="Body Text"/>
    <w:basedOn w:val="1"/>
    <w:link w:val="60"/>
    <w:unhideWhenUsed/>
    <w:qFormat/>
    <w:uiPriority w:val="0"/>
    <w:pPr>
      <w:spacing w:after="120"/>
    </w:pPr>
    <w:rPr>
      <w:rFonts w:ascii="Times New Roman" w:hAnsi="Times New Roman"/>
      <w:szCs w:val="24"/>
    </w:r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ind w:left="840" w:leftChars="400"/>
    </w:pPr>
  </w:style>
  <w:style w:type="paragraph" w:styleId="17">
    <w:name w:val="Plain Text"/>
    <w:basedOn w:val="1"/>
    <w:link w:val="47"/>
    <w:qFormat/>
    <w:uiPriority w:val="99"/>
    <w:rPr>
      <w:rFonts w:ascii="宋体" w:hAnsi="Courier New" w:cs="Courier New"/>
      <w:szCs w:val="21"/>
    </w:rPr>
  </w:style>
  <w:style w:type="paragraph" w:styleId="18">
    <w:name w:val="Body Text Indent 2"/>
    <w:basedOn w:val="1"/>
    <w:link w:val="57"/>
    <w:qFormat/>
    <w:uiPriority w:val="0"/>
    <w:pPr>
      <w:ind w:firstLine="480"/>
    </w:pPr>
    <w:rPr>
      <w:rFonts w:ascii="宋体" w:hAnsi="宋体"/>
      <w:sz w:val="30"/>
      <w:szCs w:val="24"/>
    </w:rPr>
  </w:style>
  <w:style w:type="paragraph" w:styleId="19">
    <w:name w:val="Balloon Text"/>
    <w:basedOn w:val="1"/>
    <w:link w:val="48"/>
    <w:qFormat/>
    <w:uiPriority w:val="0"/>
    <w:rPr>
      <w:sz w:val="18"/>
      <w:szCs w:val="18"/>
    </w:rPr>
  </w:style>
  <w:style w:type="paragraph" w:styleId="20">
    <w:name w:val="footer"/>
    <w:basedOn w:val="1"/>
    <w:link w:val="38"/>
    <w:qFormat/>
    <w:uiPriority w:val="99"/>
    <w:pPr>
      <w:tabs>
        <w:tab w:val="center" w:pos="4153"/>
        <w:tab w:val="right" w:pos="8306"/>
      </w:tabs>
      <w:snapToGrid w:val="0"/>
      <w:jc w:val="left"/>
    </w:pPr>
    <w:rPr>
      <w:sz w:val="18"/>
      <w:szCs w:val="18"/>
    </w:rPr>
  </w:style>
  <w:style w:type="paragraph" w:styleId="21">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style>
  <w:style w:type="paragraph" w:styleId="24">
    <w:name w:val="index 9"/>
    <w:basedOn w:val="1"/>
    <w:next w:val="1"/>
    <w:qFormat/>
    <w:uiPriority w:val="0"/>
    <w:pPr>
      <w:ind w:left="1600" w:leftChars="1600"/>
    </w:pPr>
    <w:rPr>
      <w:rFonts w:ascii="Times New Roman" w:hAnsi="Times New Roman"/>
      <w:szCs w:val="20"/>
    </w:rPr>
  </w:style>
  <w:style w:type="paragraph" w:styleId="25">
    <w:name w:val="toc 2"/>
    <w:basedOn w:val="1"/>
    <w:next w:val="1"/>
    <w:unhideWhenUsed/>
    <w:qFormat/>
    <w:uiPriority w:val="39"/>
    <w:pPr>
      <w:ind w:left="420" w:leftChars="200"/>
    </w:p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3"/>
    <w:next w:val="13"/>
    <w:link w:val="54"/>
    <w:qFormat/>
    <w:uiPriority w:val="99"/>
    <w:rPr>
      <w:b/>
      <w:bCs/>
    </w:rPr>
  </w:style>
  <w:style w:type="paragraph" w:styleId="28">
    <w:name w:val="Body Text First Indent"/>
    <w:basedOn w:val="14"/>
    <w:link w:val="68"/>
    <w:qFormat/>
    <w:uiPriority w:val="0"/>
    <w:pPr>
      <w:ind w:firstLine="420" w:firstLineChars="100"/>
    </w:pPr>
    <w:rPr>
      <w:rFonts w:ascii="Calibri" w:hAnsi="Calibri"/>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Hyperlink"/>
    <w:qFormat/>
    <w:uiPriority w:val="99"/>
    <w:rPr>
      <w:color w:val="0563C1"/>
      <w:u w:val="single"/>
    </w:rPr>
  </w:style>
  <w:style w:type="character" w:styleId="35">
    <w:name w:val="annotation reference"/>
    <w:basedOn w:val="31"/>
    <w:qFormat/>
    <w:uiPriority w:val="99"/>
    <w:rPr>
      <w:sz w:val="21"/>
      <w:szCs w:val="21"/>
    </w:rPr>
  </w:style>
  <w:style w:type="character" w:styleId="36">
    <w:name w:val="HTML Sample"/>
    <w:basedOn w:val="31"/>
    <w:semiHidden/>
    <w:unhideWhenUsed/>
    <w:qFormat/>
    <w:uiPriority w:val="99"/>
    <w:rPr>
      <w:rFonts w:ascii="宋体" w:hAnsi="宋体" w:eastAsia="宋体" w:cs="宋体"/>
    </w:rPr>
  </w:style>
  <w:style w:type="character" w:customStyle="1" w:styleId="37">
    <w:name w:val="页眉 Char"/>
    <w:basedOn w:val="31"/>
    <w:link w:val="21"/>
    <w:qFormat/>
    <w:uiPriority w:val="99"/>
    <w:rPr>
      <w:sz w:val="18"/>
      <w:szCs w:val="18"/>
    </w:rPr>
  </w:style>
  <w:style w:type="character" w:customStyle="1" w:styleId="38">
    <w:name w:val="页脚 Char"/>
    <w:basedOn w:val="31"/>
    <w:link w:val="20"/>
    <w:qFormat/>
    <w:uiPriority w:val="99"/>
    <w:rPr>
      <w:sz w:val="18"/>
      <w:szCs w:val="18"/>
    </w:rPr>
  </w:style>
  <w:style w:type="character" w:customStyle="1" w:styleId="39">
    <w:name w:val="标题 1 Char1"/>
    <w:basedOn w:val="31"/>
    <w:link w:val="4"/>
    <w:qFormat/>
    <w:uiPriority w:val="0"/>
    <w:rPr>
      <w:rFonts w:ascii="Calibri" w:hAnsi="Calibri"/>
      <w:b/>
      <w:bCs/>
      <w:kern w:val="44"/>
      <w:sz w:val="44"/>
      <w:szCs w:val="44"/>
    </w:rPr>
  </w:style>
  <w:style w:type="character" w:customStyle="1" w:styleId="40">
    <w:name w:val="标题 2 Char"/>
    <w:basedOn w:val="31"/>
    <w:link w:val="5"/>
    <w:qFormat/>
    <w:uiPriority w:val="0"/>
    <w:rPr>
      <w:rFonts w:ascii="Arial" w:hAnsi="Arial" w:eastAsia="黑体"/>
      <w:b/>
      <w:kern w:val="2"/>
      <w:sz w:val="30"/>
      <w:szCs w:val="22"/>
    </w:rPr>
  </w:style>
  <w:style w:type="character" w:customStyle="1" w:styleId="41">
    <w:name w:val="标题 3 Char"/>
    <w:basedOn w:val="31"/>
    <w:link w:val="6"/>
    <w:qFormat/>
    <w:uiPriority w:val="0"/>
    <w:rPr>
      <w:rFonts w:ascii="Calibri" w:hAnsi="Calibri"/>
      <w:b/>
      <w:kern w:val="2"/>
      <w:sz w:val="28"/>
      <w:szCs w:val="22"/>
    </w:rPr>
  </w:style>
  <w:style w:type="character" w:customStyle="1" w:styleId="42">
    <w:name w:val="标题 4 Char"/>
    <w:basedOn w:val="31"/>
    <w:link w:val="7"/>
    <w:qFormat/>
    <w:uiPriority w:val="99"/>
    <w:rPr>
      <w:rFonts w:ascii="Calibri Light" w:hAnsi="Calibri Light" w:eastAsia="宋体" w:cs="Times New Roman"/>
      <w:b/>
      <w:bCs/>
      <w:sz w:val="28"/>
      <w:szCs w:val="28"/>
    </w:rPr>
  </w:style>
  <w:style w:type="character" w:customStyle="1" w:styleId="43">
    <w:name w:val="标题 5 Char"/>
    <w:basedOn w:val="31"/>
    <w:link w:val="8"/>
    <w:qFormat/>
    <w:uiPriority w:val="99"/>
    <w:rPr>
      <w:rFonts w:ascii="Calibri" w:hAnsi="Calibri"/>
      <w:b/>
      <w:bCs/>
      <w:kern w:val="2"/>
      <w:sz w:val="24"/>
      <w:szCs w:val="28"/>
    </w:rPr>
  </w:style>
  <w:style w:type="character" w:customStyle="1" w:styleId="44">
    <w:name w:val="标题 6 Char"/>
    <w:basedOn w:val="31"/>
    <w:link w:val="9"/>
    <w:qFormat/>
    <w:uiPriority w:val="99"/>
    <w:rPr>
      <w:rFonts w:ascii="Calibri Light" w:hAnsi="Calibri Light" w:eastAsia="宋体" w:cs="Times New Roman"/>
      <w:b/>
      <w:bCs/>
      <w:sz w:val="24"/>
      <w:szCs w:val="24"/>
    </w:rPr>
  </w:style>
  <w:style w:type="character" w:customStyle="1" w:styleId="45">
    <w:name w:val="标题 7 Char"/>
    <w:basedOn w:val="31"/>
    <w:link w:val="10"/>
    <w:qFormat/>
    <w:uiPriority w:val="99"/>
    <w:rPr>
      <w:rFonts w:ascii="Calibri" w:hAnsi="Calibri" w:eastAsia="宋体" w:cs="Times New Roman"/>
      <w:b/>
      <w:bCs/>
      <w:sz w:val="24"/>
      <w:szCs w:val="24"/>
    </w:rPr>
  </w:style>
  <w:style w:type="character" w:customStyle="1" w:styleId="46">
    <w:name w:val="标题 8 Char"/>
    <w:basedOn w:val="31"/>
    <w:link w:val="11"/>
    <w:qFormat/>
    <w:uiPriority w:val="99"/>
    <w:rPr>
      <w:rFonts w:ascii="Calibri Light" w:hAnsi="Calibri Light" w:eastAsia="宋体" w:cs="Times New Roman"/>
      <w:sz w:val="24"/>
      <w:szCs w:val="24"/>
    </w:rPr>
  </w:style>
  <w:style w:type="character" w:customStyle="1" w:styleId="47">
    <w:name w:val="纯文本 Char"/>
    <w:basedOn w:val="31"/>
    <w:link w:val="17"/>
    <w:qFormat/>
    <w:uiPriority w:val="99"/>
    <w:rPr>
      <w:rFonts w:ascii="宋体" w:hAnsi="Courier New" w:eastAsia="宋体" w:cs="Courier New"/>
      <w:szCs w:val="21"/>
    </w:rPr>
  </w:style>
  <w:style w:type="character" w:customStyle="1" w:styleId="48">
    <w:name w:val="批注框文本 Char1"/>
    <w:basedOn w:val="31"/>
    <w:link w:val="19"/>
    <w:qFormat/>
    <w:uiPriority w:val="0"/>
    <w:rPr>
      <w:rFonts w:ascii="Calibri" w:hAnsi="Calibri" w:eastAsia="宋体" w:cs="Times New Roman"/>
      <w:sz w:val="18"/>
      <w:szCs w:val="18"/>
    </w:rPr>
  </w:style>
  <w:style w:type="character" w:customStyle="1" w:styleId="49">
    <w:name w:val="Default Text Char"/>
    <w:link w:val="50"/>
    <w:qFormat/>
    <w:uiPriority w:val="0"/>
    <w:rPr>
      <w:color w:val="000000"/>
      <w:sz w:val="24"/>
    </w:rPr>
  </w:style>
  <w:style w:type="paragraph" w:customStyle="1" w:styleId="50">
    <w:name w:val="Default Text"/>
    <w:link w:val="49"/>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 w:type="paragraph" w:customStyle="1" w:styleId="51">
    <w:name w:val="Table Paragraph"/>
    <w:basedOn w:val="1"/>
    <w:qFormat/>
    <w:uiPriority w:val="1"/>
    <w:pPr>
      <w:jc w:val="left"/>
    </w:pPr>
    <w:rPr>
      <w:rFonts w:ascii="宋体" w:hAnsi="宋体" w:cs="宋体"/>
      <w:kern w:val="0"/>
      <w:sz w:val="22"/>
      <w:lang w:eastAsia="en-US"/>
    </w:rPr>
  </w:style>
  <w:style w:type="paragraph" w:customStyle="1" w:styleId="52">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character" w:customStyle="1" w:styleId="53">
    <w:name w:val="批注文字 Char"/>
    <w:basedOn w:val="31"/>
    <w:link w:val="13"/>
    <w:qFormat/>
    <w:uiPriority w:val="99"/>
    <w:rPr>
      <w:rFonts w:ascii="Calibri" w:hAnsi="Calibri" w:eastAsia="宋体" w:cs="Times New Roman"/>
    </w:rPr>
  </w:style>
  <w:style w:type="character" w:customStyle="1" w:styleId="54">
    <w:name w:val="批注主题 Char"/>
    <w:basedOn w:val="53"/>
    <w:link w:val="27"/>
    <w:qFormat/>
    <w:uiPriority w:val="99"/>
    <w:rPr>
      <w:rFonts w:ascii="Calibri" w:hAnsi="Calibri" w:eastAsia="宋体" w:cs="Times New Roman"/>
      <w:b/>
      <w:bCs/>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6">
    <w:name w:val="bookmark-item"/>
    <w:basedOn w:val="31"/>
    <w:qFormat/>
    <w:uiPriority w:val="0"/>
  </w:style>
  <w:style w:type="character" w:customStyle="1" w:styleId="57">
    <w:name w:val="正文文本缩进 2 Char"/>
    <w:basedOn w:val="31"/>
    <w:link w:val="18"/>
    <w:qFormat/>
    <w:uiPriority w:val="0"/>
    <w:rPr>
      <w:rFonts w:ascii="宋体" w:hAnsi="宋体"/>
      <w:kern w:val="2"/>
      <w:sz w:val="30"/>
      <w:szCs w:val="24"/>
    </w:rPr>
  </w:style>
  <w:style w:type="paragraph" w:customStyle="1" w:styleId="58">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paragraph" w:styleId="59">
    <w:name w:val="List Paragraph"/>
    <w:basedOn w:val="1"/>
    <w:qFormat/>
    <w:uiPriority w:val="0"/>
    <w:pPr>
      <w:widowControl/>
      <w:ind w:firstLine="420" w:firstLineChars="200"/>
      <w:jc w:val="left"/>
    </w:pPr>
    <w:rPr>
      <w:rFonts w:ascii="Times" w:hAnsi="Times"/>
      <w:kern w:val="0"/>
      <w:sz w:val="20"/>
      <w:szCs w:val="20"/>
    </w:rPr>
  </w:style>
  <w:style w:type="character" w:customStyle="1" w:styleId="60">
    <w:name w:val="正文文本 Char"/>
    <w:basedOn w:val="31"/>
    <w:link w:val="14"/>
    <w:qFormat/>
    <w:uiPriority w:val="0"/>
    <w:rPr>
      <w:rFonts w:ascii="Times New Roman" w:hAnsi="Times New Roman"/>
      <w:kern w:val="2"/>
      <w:sz w:val="21"/>
      <w:szCs w:val="24"/>
    </w:rPr>
  </w:style>
  <w:style w:type="paragraph" w:customStyle="1" w:styleId="61">
    <w:name w:val="p15"/>
    <w:basedOn w:val="1"/>
    <w:qFormat/>
    <w:uiPriority w:val="0"/>
    <w:pPr>
      <w:widowControl/>
      <w:spacing w:before="260" w:after="260" w:line="412" w:lineRule="auto"/>
    </w:pPr>
    <w:rPr>
      <w:rFonts w:ascii="Times New Roman" w:hAnsi="Times New Roman"/>
      <w:b/>
      <w:bCs/>
      <w:kern w:val="0"/>
      <w:sz w:val="30"/>
      <w:szCs w:val="30"/>
    </w:rPr>
  </w:style>
  <w:style w:type="paragraph" w:styleId="62">
    <w:name w:val="No Spacing"/>
    <w:qFormat/>
    <w:uiPriority w:val="1"/>
    <w:rPr>
      <w:rFonts w:ascii="Times New Roman" w:hAnsi="Times New Roman" w:eastAsia="宋体" w:cs="Times New Roman"/>
      <w:lang w:val="en-US" w:eastAsia="zh-CN" w:bidi="ar-SA"/>
    </w:rPr>
  </w:style>
  <w:style w:type="character" w:customStyle="1" w:styleId="63">
    <w:name w:val="font51"/>
    <w:qFormat/>
    <w:uiPriority w:val="0"/>
    <w:rPr>
      <w:rFonts w:hint="default" w:ascii="Calibri" w:hAnsi="Calibri" w:cs="Calibri"/>
      <w:color w:val="000000"/>
      <w:sz w:val="21"/>
      <w:szCs w:val="21"/>
      <w:u w:val="none"/>
    </w:rPr>
  </w:style>
  <w:style w:type="paragraph" w:customStyle="1" w:styleId="64">
    <w:name w:val="_Style 30"/>
    <w:basedOn w:val="1"/>
    <w:next w:val="59"/>
    <w:qFormat/>
    <w:uiPriority w:val="0"/>
    <w:pPr>
      <w:widowControl/>
      <w:ind w:firstLine="420" w:firstLineChars="200"/>
      <w:jc w:val="left"/>
    </w:pPr>
    <w:rPr>
      <w:rFonts w:ascii="Times" w:hAnsi="Times"/>
      <w:kern w:val="0"/>
      <w:sz w:val="20"/>
      <w:szCs w:val="20"/>
    </w:rPr>
  </w:style>
  <w:style w:type="character" w:customStyle="1" w:styleId="65">
    <w:name w:val="NormalCharacter"/>
    <w:semiHidden/>
    <w:qFormat/>
    <w:uiPriority w:val="0"/>
  </w:style>
  <w:style w:type="character" w:customStyle="1" w:styleId="66">
    <w:name w:val="font11"/>
    <w:qFormat/>
    <w:uiPriority w:val="0"/>
    <w:rPr>
      <w:rFonts w:ascii="Arial" w:hAnsi="Arial" w:cs="Arial"/>
      <w:color w:val="000000"/>
      <w:sz w:val="24"/>
      <w:szCs w:val="24"/>
      <w:u w:val="single"/>
    </w:rPr>
  </w:style>
  <w:style w:type="character" w:customStyle="1" w:styleId="67">
    <w:name w:val="font41"/>
    <w:qFormat/>
    <w:uiPriority w:val="0"/>
    <w:rPr>
      <w:rFonts w:hint="eastAsia" w:ascii="宋体" w:hAnsi="宋体" w:eastAsia="宋体" w:cs="宋体"/>
      <w:color w:val="000000"/>
      <w:sz w:val="24"/>
      <w:szCs w:val="24"/>
      <w:u w:val="none"/>
    </w:rPr>
  </w:style>
  <w:style w:type="character" w:customStyle="1" w:styleId="68">
    <w:name w:val="正文首行缩进 Char1"/>
    <w:link w:val="28"/>
    <w:qFormat/>
    <w:uiPriority w:val="0"/>
    <w:rPr>
      <w:kern w:val="2"/>
      <w:sz w:val="21"/>
      <w:szCs w:val="24"/>
    </w:rPr>
  </w:style>
  <w:style w:type="character" w:customStyle="1" w:styleId="69">
    <w:name w:val="dbvalue"/>
    <w:basedOn w:val="31"/>
    <w:qFormat/>
    <w:uiPriority w:val="0"/>
  </w:style>
  <w:style w:type="character" w:customStyle="1" w:styleId="70">
    <w:name w:val="head 1.1 Char"/>
    <w:link w:val="71"/>
    <w:qFormat/>
    <w:uiPriority w:val="0"/>
    <w:rPr>
      <w:rFonts w:ascii="宋体" w:hAnsi="宋体"/>
      <w:bCs/>
      <w:kern w:val="2"/>
      <w:sz w:val="21"/>
      <w:szCs w:val="24"/>
    </w:rPr>
  </w:style>
  <w:style w:type="paragraph" w:customStyle="1" w:styleId="71">
    <w:name w:val="head 1.1"/>
    <w:basedOn w:val="59"/>
    <w:link w:val="70"/>
    <w:qFormat/>
    <w:uiPriority w:val="0"/>
    <w:pPr>
      <w:widowControl w:val="0"/>
      <w:spacing w:before="260" w:after="260"/>
      <w:ind w:firstLine="0" w:firstLineChars="0"/>
      <w:jc w:val="both"/>
    </w:pPr>
    <w:rPr>
      <w:rFonts w:ascii="宋体" w:hAnsi="宋体"/>
      <w:bCs/>
      <w:kern w:val="2"/>
      <w:sz w:val="21"/>
      <w:szCs w:val="24"/>
    </w:rPr>
  </w:style>
  <w:style w:type="character" w:customStyle="1" w:styleId="72">
    <w:name w:val="font81"/>
    <w:qFormat/>
    <w:uiPriority w:val="0"/>
    <w:rPr>
      <w:rFonts w:hint="default" w:ascii="Times New Roman" w:hAnsi="Times New Roman" w:cs="Times New Roman"/>
      <w:color w:val="000000"/>
      <w:sz w:val="21"/>
      <w:szCs w:val="21"/>
      <w:u w:val="none"/>
    </w:rPr>
  </w:style>
  <w:style w:type="character" w:customStyle="1" w:styleId="73">
    <w:name w:val="font91"/>
    <w:qFormat/>
    <w:uiPriority w:val="0"/>
    <w:rPr>
      <w:rFonts w:hint="eastAsia" w:ascii="宋体" w:hAnsi="宋体" w:eastAsia="宋体" w:cs="宋体"/>
      <w:color w:val="000000"/>
      <w:sz w:val="24"/>
      <w:szCs w:val="24"/>
      <w:u w:val="single"/>
    </w:rPr>
  </w:style>
  <w:style w:type="character" w:customStyle="1" w:styleId="74">
    <w:name w:val="font101"/>
    <w:qFormat/>
    <w:uiPriority w:val="0"/>
    <w:rPr>
      <w:rFonts w:hint="eastAsia" w:ascii="楷体_GB2312" w:eastAsia="楷体_GB2312" w:cs="楷体_GB2312"/>
      <w:color w:val="000000"/>
      <w:sz w:val="24"/>
      <w:szCs w:val="24"/>
      <w:u w:val="single"/>
    </w:rPr>
  </w:style>
  <w:style w:type="character" w:customStyle="1" w:styleId="75">
    <w:name w:val="font112"/>
    <w:qFormat/>
    <w:uiPriority w:val="0"/>
    <w:rPr>
      <w:rFonts w:hint="eastAsia" w:ascii="宋体" w:hAnsi="宋体" w:eastAsia="宋体" w:cs="宋体"/>
      <w:color w:val="000000"/>
      <w:sz w:val="21"/>
      <w:szCs w:val="21"/>
      <w:u w:val="none"/>
    </w:rPr>
  </w:style>
  <w:style w:type="character" w:customStyle="1" w:styleId="76">
    <w:name w:val="正文文本 字符1"/>
    <w:qFormat/>
    <w:uiPriority w:val="0"/>
    <w:rPr>
      <w:kern w:val="2"/>
      <w:sz w:val="21"/>
      <w:szCs w:val="24"/>
    </w:rPr>
  </w:style>
  <w:style w:type="character" w:customStyle="1" w:styleId="77">
    <w:name w:val="font121"/>
    <w:qFormat/>
    <w:uiPriority w:val="0"/>
    <w:rPr>
      <w:rFonts w:hint="eastAsia" w:ascii="宋体" w:hAnsi="宋体" w:eastAsia="宋体" w:cs="宋体"/>
      <w:color w:val="000000"/>
      <w:sz w:val="21"/>
      <w:szCs w:val="21"/>
      <w:u w:val="none"/>
    </w:rPr>
  </w:style>
  <w:style w:type="character" w:customStyle="1" w:styleId="78">
    <w:name w:val="font71"/>
    <w:qFormat/>
    <w:uiPriority w:val="0"/>
    <w:rPr>
      <w:rFonts w:hint="eastAsia" w:ascii="仿宋" w:hAnsi="仿宋" w:eastAsia="仿宋" w:cs="仿宋"/>
      <w:color w:val="000000"/>
      <w:sz w:val="21"/>
      <w:szCs w:val="21"/>
      <w:u w:val="none"/>
    </w:rPr>
  </w:style>
  <w:style w:type="character" w:customStyle="1" w:styleId="79">
    <w:name w:val="font131"/>
    <w:qFormat/>
    <w:uiPriority w:val="0"/>
    <w:rPr>
      <w:rFonts w:hint="default" w:ascii="Calibri" w:hAnsi="Calibri" w:cs="Calibri"/>
      <w:color w:val="000000"/>
      <w:sz w:val="21"/>
      <w:szCs w:val="21"/>
      <w:u w:val="none"/>
    </w:rPr>
  </w:style>
  <w:style w:type="character" w:customStyle="1" w:styleId="80">
    <w:name w:val="未处理的提及1"/>
    <w:unhideWhenUsed/>
    <w:qFormat/>
    <w:uiPriority w:val="99"/>
    <w:rPr>
      <w:color w:val="605E5C"/>
      <w:shd w:val="clear" w:color="auto" w:fill="E1DFDD"/>
    </w:rPr>
  </w:style>
  <w:style w:type="character" w:customStyle="1" w:styleId="81">
    <w:name w:val="正文首行缩进 Char"/>
    <w:basedOn w:val="76"/>
    <w:qFormat/>
    <w:uiPriority w:val="0"/>
    <w:rPr>
      <w:kern w:val="2"/>
      <w:sz w:val="21"/>
      <w:szCs w:val="24"/>
    </w:rPr>
  </w:style>
  <w:style w:type="character" w:customStyle="1" w:styleId="82">
    <w:name w:val="font61"/>
    <w:qFormat/>
    <w:uiPriority w:val="0"/>
    <w:rPr>
      <w:rFonts w:hint="eastAsia" w:ascii="仿宋" w:hAnsi="仿宋" w:eastAsia="仿宋" w:cs="仿宋"/>
      <w:color w:val="000000"/>
      <w:sz w:val="21"/>
      <w:szCs w:val="21"/>
      <w:u w:val="none"/>
    </w:rPr>
  </w:style>
  <w:style w:type="character" w:customStyle="1" w:styleId="83">
    <w:name w:val="font31"/>
    <w:qFormat/>
    <w:uiPriority w:val="0"/>
    <w:rPr>
      <w:rFonts w:hint="default" w:ascii="Calibri" w:hAnsi="Calibri" w:cs="Calibri"/>
      <w:color w:val="000000"/>
      <w:sz w:val="24"/>
      <w:szCs w:val="24"/>
      <w:u w:val="none"/>
    </w:rPr>
  </w:style>
  <w:style w:type="character" w:customStyle="1" w:styleId="84">
    <w:name w:val="head 1.1.1 Char"/>
    <w:link w:val="85"/>
    <w:qFormat/>
    <w:uiPriority w:val="0"/>
    <w:rPr>
      <w:bCs/>
      <w:kern w:val="2"/>
      <w:sz w:val="21"/>
      <w:szCs w:val="24"/>
    </w:rPr>
  </w:style>
  <w:style w:type="paragraph" w:customStyle="1" w:styleId="85">
    <w:name w:val="head 1.1.1"/>
    <w:basedOn w:val="59"/>
    <w:link w:val="84"/>
    <w:qFormat/>
    <w:uiPriority w:val="0"/>
    <w:pPr>
      <w:widowControl w:val="0"/>
      <w:ind w:firstLine="0" w:firstLineChars="0"/>
      <w:jc w:val="both"/>
    </w:pPr>
    <w:rPr>
      <w:rFonts w:ascii="Calibri" w:hAnsi="Calibri"/>
      <w:bCs/>
      <w:kern w:val="2"/>
      <w:sz w:val="21"/>
      <w:szCs w:val="24"/>
    </w:rPr>
  </w:style>
  <w:style w:type="character" w:customStyle="1" w:styleId="86">
    <w:name w:val="font151"/>
    <w:qFormat/>
    <w:uiPriority w:val="0"/>
    <w:rPr>
      <w:rFonts w:hint="default" w:ascii="Calibri" w:hAnsi="Calibri" w:cs="Calibri"/>
      <w:color w:val="000000"/>
      <w:sz w:val="21"/>
      <w:szCs w:val="21"/>
      <w:u w:val="none"/>
    </w:rPr>
  </w:style>
  <w:style w:type="character" w:customStyle="1" w:styleId="87">
    <w:name w:val="正文文本缩进 Char"/>
    <w:link w:val="3"/>
    <w:qFormat/>
    <w:locked/>
    <w:uiPriority w:val="0"/>
    <w:rPr>
      <w:rFonts w:ascii="仿宋_GB2312" w:hAnsi="华文中宋" w:eastAsia="仿宋_GB2312"/>
      <w:bCs/>
      <w:color w:val="000000"/>
      <w:spacing w:val="-10"/>
      <w:kern w:val="2"/>
      <w:sz w:val="24"/>
      <w:szCs w:val="24"/>
    </w:rPr>
  </w:style>
  <w:style w:type="character" w:customStyle="1" w:styleId="88">
    <w:name w:val="标题 1 Char"/>
    <w:qFormat/>
    <w:uiPriority w:val="0"/>
    <w:rPr>
      <w:b/>
      <w:bCs/>
      <w:kern w:val="44"/>
      <w:sz w:val="44"/>
      <w:szCs w:val="44"/>
    </w:rPr>
  </w:style>
  <w:style w:type="character" w:customStyle="1" w:styleId="89">
    <w:name w:val="font21"/>
    <w:qFormat/>
    <w:uiPriority w:val="0"/>
    <w:rPr>
      <w:rFonts w:hint="default" w:ascii="Calibri" w:hAnsi="Calibri" w:cs="Calibri"/>
      <w:color w:val="000000"/>
      <w:sz w:val="24"/>
      <w:szCs w:val="24"/>
      <w:u w:val="single"/>
    </w:rPr>
  </w:style>
  <w:style w:type="character" w:customStyle="1" w:styleId="90">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91">
    <w:name w:val="批注框文本 Char"/>
    <w:qFormat/>
    <w:uiPriority w:val="0"/>
    <w:rPr>
      <w:kern w:val="2"/>
      <w:sz w:val="18"/>
      <w:szCs w:val="18"/>
    </w:rPr>
  </w:style>
  <w:style w:type="character" w:customStyle="1" w:styleId="92">
    <w:name w:val="fontstyle01"/>
    <w:qFormat/>
    <w:uiPriority w:val="0"/>
    <w:rPr>
      <w:rFonts w:ascii="宋体" w:hAnsi="宋体" w:eastAsia="宋体" w:cs="宋体"/>
      <w:color w:val="000000"/>
      <w:sz w:val="22"/>
      <w:szCs w:val="22"/>
    </w:rPr>
  </w:style>
  <w:style w:type="character" w:customStyle="1" w:styleId="93">
    <w:name w:val="fgray1"/>
    <w:qFormat/>
    <w:uiPriority w:val="0"/>
    <w:rPr>
      <w:color w:val="666666"/>
    </w:rPr>
  </w:style>
  <w:style w:type="paragraph" w:customStyle="1" w:styleId="94">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95">
    <w:name w:val="reader-word-layer reader-word-s1-10 reader-word-s1-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正文1"/>
    <w:basedOn w:val="1"/>
    <w:qFormat/>
    <w:uiPriority w:val="0"/>
    <w:pPr>
      <w:spacing w:line="400" w:lineRule="exact"/>
      <w:ind w:firstLine="1280" w:firstLineChars="200"/>
    </w:pPr>
    <w:rPr>
      <w:sz w:val="24"/>
      <w:szCs w:val="24"/>
    </w:rPr>
  </w:style>
  <w:style w:type="paragraph" w:customStyle="1" w:styleId="97">
    <w:name w:val="reader-word-layer reader-word-s1-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8">
    <w:name w:val="正文首行缩进 字符1"/>
    <w:basedOn w:val="60"/>
    <w:semiHidden/>
    <w:qFormat/>
    <w:uiPriority w:val="99"/>
    <w:rPr>
      <w:rFonts w:ascii="Times New Roman" w:hAnsi="Times New Roman"/>
      <w:kern w:val="2"/>
      <w:sz w:val="21"/>
      <w:szCs w:val="22"/>
    </w:rPr>
  </w:style>
  <w:style w:type="paragraph" w:customStyle="1" w:styleId="99">
    <w:name w:val="Char Char Char Char Char1 Char Char Char Char"/>
    <w:basedOn w:val="1"/>
    <w:qFormat/>
    <w:uiPriority w:val="0"/>
    <w:pPr>
      <w:tabs>
        <w:tab w:val="left" w:pos="1360"/>
      </w:tabs>
      <w:ind w:left="1360" w:hanging="720"/>
    </w:pPr>
    <w:rPr>
      <w:szCs w:val="20"/>
    </w:rPr>
  </w:style>
  <w:style w:type="character" w:customStyle="1" w:styleId="100">
    <w:name w:val="正文文本缩进 字符2"/>
    <w:basedOn w:val="31"/>
    <w:semiHidden/>
    <w:qFormat/>
    <w:uiPriority w:val="99"/>
    <w:rPr>
      <w:kern w:val="2"/>
      <w:sz w:val="21"/>
      <w:szCs w:val="22"/>
    </w:rPr>
  </w:style>
  <w:style w:type="paragraph" w:customStyle="1" w:styleId="101">
    <w:name w:val="表格"/>
    <w:qFormat/>
    <w:uiPriority w:val="0"/>
    <w:pPr>
      <w:jc w:val="center"/>
    </w:pPr>
    <w:rPr>
      <w:rFonts w:ascii="Calibri" w:hAnsi="Calibri" w:eastAsia="宋体" w:cs="Tahoma"/>
      <w:color w:val="000000"/>
      <w:sz w:val="21"/>
      <w:szCs w:val="24"/>
      <w:lang w:val="en-US" w:eastAsia="zh-CN" w:bidi="ar-SA"/>
    </w:rPr>
  </w:style>
  <w:style w:type="paragraph" w:customStyle="1" w:styleId="102">
    <w:name w:val="五号字体"/>
    <w:basedOn w:val="1"/>
    <w:qFormat/>
    <w:uiPriority w:val="0"/>
    <w:pPr>
      <w:spacing w:line="400" w:lineRule="exact"/>
      <w:jc w:val="center"/>
    </w:pPr>
    <w:rPr>
      <w:kern w:val="0"/>
      <w:szCs w:val="21"/>
    </w:rPr>
  </w:style>
  <w:style w:type="paragraph" w:customStyle="1" w:styleId="103">
    <w:name w:val="reader-word-layer reader-word-s2-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reader-word-layer reader-word-s2-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5">
    <w:name w:val="Char Char1 Char Char Char Char Char Char Char Char Char Char Char Char Char Char"/>
    <w:basedOn w:val="1"/>
    <w:qFormat/>
    <w:uiPriority w:val="0"/>
    <w:pPr>
      <w:widowControl/>
      <w:spacing w:after="160" w:line="240" w:lineRule="exact"/>
      <w:jc w:val="left"/>
    </w:pPr>
    <w:rPr>
      <w:szCs w:val="24"/>
    </w:rPr>
  </w:style>
  <w:style w:type="paragraph" w:customStyle="1" w:styleId="106">
    <w:name w:val="_Style 2"/>
    <w:basedOn w:val="1"/>
    <w:qFormat/>
    <w:uiPriority w:val="0"/>
    <w:pPr>
      <w:widowControl/>
      <w:ind w:firstLine="420" w:firstLineChars="200"/>
      <w:jc w:val="left"/>
    </w:pPr>
    <w:rPr>
      <w:rFonts w:ascii="Times" w:hAnsi="Times"/>
      <w:kern w:val="0"/>
      <w:sz w:val="20"/>
      <w:szCs w:val="20"/>
    </w:rPr>
  </w:style>
  <w:style w:type="paragraph" w:customStyle="1" w:styleId="107">
    <w:name w:val="Main_heading"/>
    <w:basedOn w:val="1"/>
    <w:next w:val="1"/>
    <w:qFormat/>
    <w:uiPriority w:val="0"/>
    <w:pPr>
      <w:spacing w:before="240" w:after="240" w:line="240" w:lineRule="atLeast"/>
    </w:pPr>
    <w:rPr>
      <w:rFonts w:eastAsia="MS Mincho"/>
      <w:b/>
      <w:sz w:val="28"/>
      <w:szCs w:val="24"/>
      <w:lang w:eastAsia="ja-JP"/>
    </w:rPr>
  </w:style>
  <w:style w:type="paragraph" w:customStyle="1" w:styleId="108">
    <w:name w:val="Char Char Char Char"/>
    <w:basedOn w:val="1"/>
    <w:qFormat/>
    <w:uiPriority w:val="0"/>
    <w:rPr>
      <w:rFonts w:eastAsia="Times New Roman"/>
      <w:kern w:val="0"/>
      <w:sz w:val="20"/>
      <w:szCs w:val="20"/>
    </w:rPr>
  </w:style>
  <w:style w:type="paragraph" w:customStyle="1" w:styleId="109">
    <w:name w:val="列出段落1"/>
    <w:basedOn w:val="1"/>
    <w:qFormat/>
    <w:uiPriority w:val="0"/>
    <w:pPr>
      <w:ind w:firstLine="420" w:firstLineChars="200"/>
    </w:pPr>
    <w:rPr>
      <w:rFonts w:ascii="等线" w:hAnsi="等线" w:eastAsia="等线"/>
    </w:rPr>
  </w:style>
  <w:style w:type="paragraph" w:customStyle="1" w:styleId="110">
    <w:name w:val="reader-word-layer reader-word-s1-0 reader-word-s1-1 reader-word-s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列表段落1"/>
    <w:basedOn w:val="1"/>
    <w:qFormat/>
    <w:uiPriority w:val="0"/>
    <w:pPr>
      <w:ind w:firstLine="420" w:firstLineChars="200"/>
    </w:pPr>
  </w:style>
  <w:style w:type="paragraph" w:customStyle="1" w:styleId="112">
    <w:name w:val="reader-word-layer reader-word-s2-2"/>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13">
    <w:name w:val="网格型1"/>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detail-info"/>
    <w:basedOn w:val="1"/>
    <w:qFormat/>
    <w:uiPriority w:val="0"/>
    <w:pPr>
      <w:widowControl/>
      <w:pBdr>
        <w:bottom w:val="dotted" w:color="999999" w:sz="6" w:space="8"/>
      </w:pBdr>
      <w:spacing w:before="100" w:beforeAutospacing="1" w:after="300"/>
      <w:jc w:val="left"/>
    </w:pPr>
    <w:rPr>
      <w:rFonts w:ascii="宋体" w:hAnsi="宋体" w:cs="宋体"/>
      <w:color w:val="666666"/>
      <w:kern w:val="0"/>
      <w:szCs w:val="21"/>
    </w:rPr>
  </w:style>
  <w:style w:type="paragraph" w:customStyle="1" w:styleId="115">
    <w:name w:val="采购正文"/>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116">
    <w:name w:val="正文首行缩进 2 Char"/>
    <w:basedOn w:val="87"/>
    <w:link w:val="2"/>
    <w:qFormat/>
    <w:uiPriority w:val="0"/>
    <w:rPr>
      <w:rFonts w:ascii="仿宋_GB2312" w:hAnsi="华文中宋" w:eastAsia="仿宋_GB2312"/>
      <w:color w:val="000000"/>
      <w:spacing w:val="-10"/>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45FC2-F6E6-40DD-9371-B74D4C6C60E6}">
  <ds:schemaRefs/>
</ds:datastoreItem>
</file>

<file path=customXml/itemProps3.xml><?xml version="1.0" encoding="utf-8"?>
<ds:datastoreItem xmlns:ds="http://schemas.openxmlformats.org/officeDocument/2006/customXml" ds:itemID="{FCC81806-0C63-493A-9039-3B271BB0AA48}">
  <ds:schemaRefs/>
</ds:datastoreItem>
</file>

<file path=customXml/itemProps4.xml><?xml version="1.0" encoding="utf-8"?>
<ds:datastoreItem xmlns:ds="http://schemas.openxmlformats.org/officeDocument/2006/customXml" ds:itemID="{07DB9C3B-4F4E-486F-9B1C-13965D4277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104</Pages>
  <Words>10772</Words>
  <Characters>61402</Characters>
  <Lines>511</Lines>
  <Paragraphs>144</Paragraphs>
  <TotalTime>2</TotalTime>
  <ScaleCrop>false</ScaleCrop>
  <LinksUpToDate>false</LinksUpToDate>
  <CharactersWithSpaces>72030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2021-10-14T08:25:00Z</dcterms:created>
  <dc:creator>lenovo</dc:creator>
  <cp:lastModifiedBy>胖胖胖胖</cp:lastModifiedBy>
  <cp:lastPrinted>2021-08-23T10:49:00Z</cp:lastPrinted>
  <dcterms:modified xsi:type="dcterms:W3CDTF">2021-10-21T05:13:54Z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882224806_btnclosed</vt:lpwstr>
  </property>
  <property fmtid="{D5CDD505-2E9C-101B-9397-08002B2CF9AE}" pid="4" name="ICV">
    <vt:lpwstr>2C91EFFE89724B15A4BF86E5A24DA417</vt:lpwstr>
  </property>
</Properties>
</file>