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8"/>
          <w:szCs w:val="48"/>
          <w:lang w:val="en-US" w:eastAsia="zh-CN"/>
        </w:rPr>
      </w:pPr>
      <w:r>
        <w:rPr>
          <w:rFonts w:hint="eastAsia" w:ascii="宋体" w:hAnsi="宋体" w:cs="宋体"/>
          <w:b/>
          <w:color w:val="auto"/>
          <w:sz w:val="48"/>
          <w:szCs w:val="48"/>
          <w:lang w:val="en-US" w:eastAsia="zh-CN"/>
        </w:rPr>
        <w:t xml:space="preserve">                                                             </w:t>
      </w:r>
    </w:p>
    <w:p>
      <w:pPr>
        <w:jc w:val="center"/>
        <w:rPr>
          <w:rFonts w:hint="eastAsia" w:ascii="仿宋_GB2312" w:eastAsia="仿宋_GB2312"/>
          <w:b/>
          <w:color w:val="auto"/>
          <w:sz w:val="48"/>
          <w:szCs w:val="48"/>
          <w:lang w:val="en-US" w:eastAsia="zh-CN"/>
        </w:rPr>
      </w:pPr>
      <w:r>
        <w:rPr>
          <w:rFonts w:hint="eastAsia" w:ascii="仿宋_GB2312" w:eastAsia="仿宋_GB2312"/>
          <w:b/>
          <w:color w:val="auto"/>
          <w:sz w:val="48"/>
          <w:szCs w:val="48"/>
          <w:lang w:val="en-US" w:eastAsia="zh-CN"/>
        </w:rPr>
        <w:t>青河县2021年农业畜牧业产业发展项目</w:t>
      </w:r>
    </w:p>
    <w:p>
      <w:pPr>
        <w:jc w:val="center"/>
        <w:rPr>
          <w:rFonts w:hint="default" w:ascii="仿宋_GB2312" w:eastAsia="仿宋_GB2312"/>
          <w:b/>
          <w:color w:val="auto"/>
          <w:sz w:val="48"/>
          <w:szCs w:val="48"/>
          <w:lang w:val="en-US" w:eastAsia="zh-CN"/>
        </w:rPr>
      </w:pPr>
      <w:r>
        <w:rPr>
          <w:rFonts w:hint="eastAsia" w:ascii="仿宋_GB2312" w:eastAsia="仿宋_GB2312"/>
          <w:b/>
          <w:color w:val="auto"/>
          <w:sz w:val="48"/>
          <w:szCs w:val="48"/>
          <w:lang w:val="en-US" w:eastAsia="zh-CN"/>
        </w:rPr>
        <w:t>-新建</w:t>
      </w:r>
    </w:p>
    <w:p>
      <w:pPr>
        <w:jc w:val="center"/>
        <w:rPr>
          <w:rFonts w:hint="eastAsia" w:ascii="仿宋_GB2312" w:eastAsia="仿宋_GB2312"/>
          <w:b/>
          <w:color w:val="auto"/>
          <w:sz w:val="48"/>
          <w:szCs w:val="48"/>
        </w:rPr>
      </w:pPr>
    </w:p>
    <w:p>
      <w:pPr>
        <w:jc w:val="center"/>
        <w:rPr>
          <w:rFonts w:ascii="仿宋_GB2312" w:eastAsia="仿宋_GB2312"/>
          <w:b/>
          <w:color w:val="auto"/>
          <w:sz w:val="48"/>
          <w:szCs w:val="48"/>
        </w:rPr>
      </w:pPr>
      <w:r>
        <w:rPr>
          <w:rFonts w:hint="eastAsia" w:ascii="仿宋_GB2312" w:eastAsia="仿宋_GB2312"/>
          <w:b/>
          <w:color w:val="auto"/>
          <w:sz w:val="48"/>
          <w:szCs w:val="48"/>
        </w:rPr>
        <w:t>竞</w:t>
      </w:r>
    </w:p>
    <w:p>
      <w:pPr>
        <w:jc w:val="center"/>
        <w:rPr>
          <w:rFonts w:ascii="仿宋_GB2312" w:eastAsia="仿宋_GB2312"/>
          <w:b/>
          <w:color w:val="auto"/>
          <w:sz w:val="48"/>
          <w:szCs w:val="48"/>
        </w:rPr>
      </w:pPr>
      <w:r>
        <w:rPr>
          <w:rFonts w:hint="eastAsia" w:ascii="仿宋_GB2312" w:eastAsia="仿宋_GB2312"/>
          <w:b/>
          <w:color w:val="auto"/>
          <w:sz w:val="48"/>
          <w:szCs w:val="48"/>
        </w:rPr>
        <w:t>争</w:t>
      </w:r>
    </w:p>
    <w:p>
      <w:pPr>
        <w:jc w:val="center"/>
        <w:rPr>
          <w:rFonts w:hint="eastAsia" w:ascii="仿宋_GB2312" w:eastAsia="仿宋_GB2312"/>
          <w:b/>
          <w:color w:val="auto"/>
          <w:sz w:val="48"/>
          <w:szCs w:val="48"/>
        </w:rPr>
      </w:pPr>
      <w:r>
        <w:rPr>
          <w:rFonts w:hint="eastAsia" w:ascii="仿宋_GB2312" w:eastAsia="仿宋_GB2312"/>
          <w:b/>
          <w:color w:val="auto"/>
          <w:sz w:val="48"/>
          <w:szCs w:val="48"/>
        </w:rPr>
        <w:t>性</w:t>
      </w:r>
    </w:p>
    <w:p>
      <w:pPr>
        <w:jc w:val="center"/>
        <w:rPr>
          <w:rFonts w:hint="eastAsia" w:ascii="仿宋_GB2312" w:eastAsia="仿宋_GB2312"/>
          <w:b/>
          <w:color w:val="auto"/>
          <w:sz w:val="48"/>
          <w:szCs w:val="48"/>
        </w:rPr>
      </w:pPr>
      <w:r>
        <w:rPr>
          <w:rFonts w:hint="eastAsia" w:ascii="仿宋_GB2312" w:eastAsia="仿宋_GB2312"/>
          <w:b/>
          <w:color w:val="auto"/>
          <w:sz w:val="48"/>
          <w:szCs w:val="48"/>
          <w:lang w:eastAsia="zh-CN"/>
        </w:rPr>
        <w:t>谈</w:t>
      </w:r>
    </w:p>
    <w:p>
      <w:pPr>
        <w:jc w:val="center"/>
        <w:rPr>
          <w:rFonts w:ascii="仿宋_GB2312" w:eastAsia="仿宋_GB2312"/>
          <w:b/>
          <w:color w:val="auto"/>
          <w:sz w:val="48"/>
          <w:szCs w:val="48"/>
        </w:rPr>
      </w:pPr>
      <w:r>
        <w:rPr>
          <w:rFonts w:hint="eastAsia" w:ascii="仿宋_GB2312" w:eastAsia="仿宋_GB2312"/>
          <w:b/>
          <w:color w:val="auto"/>
          <w:sz w:val="48"/>
          <w:szCs w:val="48"/>
        </w:rPr>
        <w:t>判</w:t>
      </w:r>
    </w:p>
    <w:p>
      <w:pPr>
        <w:jc w:val="center"/>
        <w:rPr>
          <w:rFonts w:ascii="仿宋_GB2312" w:eastAsia="仿宋_GB2312"/>
          <w:b/>
          <w:color w:val="auto"/>
          <w:sz w:val="48"/>
          <w:szCs w:val="48"/>
        </w:rPr>
      </w:pPr>
      <w:r>
        <w:rPr>
          <w:rFonts w:hint="eastAsia" w:ascii="仿宋_GB2312" w:eastAsia="仿宋_GB2312"/>
          <w:b/>
          <w:color w:val="auto"/>
          <w:sz w:val="48"/>
          <w:szCs w:val="48"/>
        </w:rPr>
        <w:t>文</w:t>
      </w:r>
    </w:p>
    <w:p>
      <w:pPr>
        <w:jc w:val="center"/>
        <w:rPr>
          <w:rFonts w:hint="eastAsia" w:ascii="仿宋_GB2312" w:eastAsia="仿宋_GB2312"/>
          <w:b/>
          <w:color w:val="auto"/>
          <w:sz w:val="36"/>
          <w:szCs w:val="36"/>
        </w:rPr>
      </w:pPr>
      <w:r>
        <w:rPr>
          <w:rFonts w:hint="eastAsia" w:ascii="仿宋_GB2312" w:eastAsia="仿宋_GB2312"/>
          <w:b/>
          <w:color w:val="auto"/>
          <w:sz w:val="48"/>
          <w:szCs w:val="48"/>
        </w:rPr>
        <w:t>件</w:t>
      </w:r>
    </w:p>
    <w:p>
      <w:pPr>
        <w:jc w:val="center"/>
        <w:rPr>
          <w:rFonts w:hint="eastAsia" w:ascii="仿宋_GB2312" w:eastAsia="仿宋_GB2312"/>
          <w:b/>
          <w:color w:val="auto"/>
          <w:sz w:val="72"/>
          <w:szCs w:val="72"/>
        </w:rPr>
      </w:pPr>
    </w:p>
    <w:p>
      <w:pPr>
        <w:ind w:firstLine="840" w:firstLineChars="300"/>
        <w:rPr>
          <w:rFonts w:ascii="宋体"/>
          <w:bCs/>
          <w:color w:val="auto"/>
          <w:sz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招标单位：</w:t>
      </w:r>
      <w:r>
        <w:rPr>
          <w:rFonts w:hint="eastAsia" w:ascii="仿宋_GB2312" w:hAnsi="宋体" w:eastAsia="仿宋_GB2312"/>
          <w:b/>
          <w:color w:val="auto"/>
          <w:sz w:val="28"/>
          <w:szCs w:val="28"/>
          <w:lang w:val="en-US" w:eastAsia="zh-CN"/>
        </w:rPr>
        <w:t>青河县农业农村局</w:t>
      </w:r>
      <w:r>
        <w:rPr>
          <w:rFonts w:hint="eastAsia" w:ascii="仿宋_GB2312" w:hAnsi="宋体" w:eastAsia="仿宋_GB2312"/>
          <w:b/>
          <w:color w:val="auto"/>
          <w:sz w:val="28"/>
          <w:szCs w:val="28"/>
          <w:lang w:eastAsia="zh-CN"/>
        </w:rPr>
        <w:t>（盖章）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default" w:ascii="仿宋_GB2312" w:hAnsi="宋体" w:eastAsia="仿宋_GB2312"/>
          <w:b/>
          <w:color w:val="auto"/>
          <w:sz w:val="28"/>
          <w:szCs w:val="28"/>
          <w:lang w:val="en-US" w:eastAsia="zh-CN"/>
        </w:rPr>
      </w:pPr>
      <w:r>
        <w:rPr>
          <w:rFonts w:hint="eastAsia" w:ascii="仿宋_GB2312" w:hAnsi="宋体" w:eastAsia="仿宋_GB2312"/>
          <w:b/>
          <w:color w:val="auto"/>
          <w:sz w:val="28"/>
          <w:szCs w:val="28"/>
        </w:rPr>
        <w:t>文件编号：</w:t>
      </w:r>
      <w:r>
        <w:rPr>
          <w:rFonts w:hint="eastAsia" w:ascii="仿宋_GB2312" w:hAnsi="宋体" w:eastAsia="仿宋_GB2312"/>
          <w:b/>
          <w:color w:val="auto"/>
          <w:sz w:val="28"/>
          <w:szCs w:val="28"/>
          <w:lang w:val="en-US" w:eastAsia="zh-CN"/>
        </w:rPr>
        <w:t>ZFCGQ-JTSZZB2021-38</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rPr>
      </w:pPr>
      <w:r>
        <w:rPr>
          <w:rFonts w:hint="eastAsia" w:ascii="仿宋_GB2312" w:hAnsi="宋体" w:eastAsia="仿宋_GB2312"/>
          <w:b/>
          <w:color w:val="auto"/>
          <w:sz w:val="28"/>
          <w:szCs w:val="28"/>
        </w:rPr>
        <w:t xml:space="preserve">招标代理公司: </w:t>
      </w:r>
      <w:r>
        <w:rPr>
          <w:rFonts w:hint="eastAsia" w:ascii="仿宋_GB2312" w:hAnsi="宋体" w:eastAsia="仿宋_GB2312"/>
          <w:b/>
          <w:color w:val="auto"/>
          <w:sz w:val="28"/>
          <w:szCs w:val="28"/>
          <w:lang w:val="en-US" w:eastAsia="zh-CN"/>
        </w:rPr>
        <w:t>新疆金泰首致项目管理咨询有限公司</w:t>
      </w:r>
      <w:r>
        <w:rPr>
          <w:rFonts w:hint="eastAsia" w:ascii="仿宋_GB2312" w:hAnsi="宋体" w:eastAsia="仿宋_GB2312"/>
          <w:b/>
          <w:color w:val="auto"/>
          <w:sz w:val="28"/>
          <w:szCs w:val="28"/>
        </w:rPr>
        <w:t>(</w:t>
      </w:r>
      <w:r>
        <w:rPr>
          <w:rFonts w:hint="eastAsia" w:ascii="仿宋_GB2312" w:hAnsi="宋体" w:eastAsia="仿宋_GB2312"/>
          <w:b/>
          <w:color w:val="auto"/>
          <w:sz w:val="28"/>
          <w:szCs w:val="28"/>
          <w:lang w:eastAsia="zh-CN"/>
        </w:rPr>
        <w:t>盖章</w:t>
      </w:r>
      <w:r>
        <w:rPr>
          <w:rFonts w:hint="eastAsia" w:ascii="仿宋_GB2312" w:hAnsi="宋体" w:eastAsia="仿宋_GB2312"/>
          <w:b/>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rPr>
      </w:pPr>
      <w:r>
        <w:rPr>
          <w:rFonts w:hint="eastAsia" w:ascii="仿宋_GB2312" w:hAnsi="宋体" w:eastAsia="仿宋_GB2312"/>
          <w:b/>
          <w:color w:val="auto"/>
          <w:sz w:val="28"/>
          <w:szCs w:val="28"/>
        </w:rPr>
        <w:t>法定代表人(签</w:t>
      </w:r>
      <w:r>
        <w:rPr>
          <w:rFonts w:hint="eastAsia" w:ascii="仿宋_GB2312" w:hAnsi="宋体" w:eastAsia="仿宋_GB2312"/>
          <w:b/>
          <w:color w:val="auto"/>
          <w:sz w:val="28"/>
          <w:szCs w:val="28"/>
          <w:lang w:eastAsia="zh-CN"/>
        </w:rPr>
        <w:t>字或盖</w:t>
      </w:r>
      <w:r>
        <w:rPr>
          <w:rFonts w:hint="eastAsia" w:ascii="仿宋_GB2312" w:hAnsi="宋体" w:eastAsia="仿宋_GB2312"/>
          <w:b/>
          <w:color w:val="auto"/>
          <w:sz w:val="28"/>
          <w:szCs w:val="28"/>
        </w:rPr>
        <w:t>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rPr>
      </w:pPr>
      <w:r>
        <w:rPr>
          <w:rFonts w:hint="eastAsia" w:ascii="仿宋_GB2312" w:hAnsi="宋体" w:eastAsia="仿宋_GB2312"/>
          <w:b/>
          <w:color w:val="auto"/>
          <w:sz w:val="28"/>
          <w:szCs w:val="28"/>
        </w:rPr>
        <w:t xml:space="preserve">项目联系人: </w:t>
      </w:r>
      <w:r>
        <w:rPr>
          <w:rFonts w:hint="eastAsia" w:ascii="仿宋_GB2312" w:hAnsi="宋体" w:eastAsia="仿宋_GB2312"/>
          <w:b/>
          <w:color w:val="auto"/>
          <w:sz w:val="28"/>
          <w:szCs w:val="28"/>
          <w:lang w:eastAsia="zh-CN"/>
        </w:rPr>
        <w:t>贾梦华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仿宋_GB2312" w:hAnsi="宋体" w:eastAsia="仿宋_GB2312"/>
          <w:b/>
          <w:color w:val="auto"/>
          <w:sz w:val="28"/>
          <w:szCs w:val="28"/>
          <w:lang w:val="en-US" w:eastAsia="zh-CN"/>
        </w:rPr>
      </w:pPr>
      <w:r>
        <w:rPr>
          <w:rFonts w:hint="eastAsia" w:ascii="仿宋_GB2312" w:hAnsi="宋体" w:eastAsia="仿宋_GB2312"/>
          <w:b/>
          <w:color w:val="auto"/>
          <w:sz w:val="28"/>
          <w:szCs w:val="28"/>
        </w:rPr>
        <w:t>联系电话:</w:t>
      </w:r>
      <w:r>
        <w:rPr>
          <w:rFonts w:hint="eastAsia" w:ascii="仿宋_GB2312" w:hAnsi="宋体" w:eastAsia="仿宋_GB2312"/>
          <w:b/>
          <w:color w:val="auto"/>
          <w:sz w:val="28"/>
          <w:szCs w:val="28"/>
          <w:lang w:val="en-US" w:eastAsia="zh-CN"/>
        </w:rPr>
        <w:t>13669957007</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color w:val="auto"/>
          <w:sz w:val="32"/>
        </w:rPr>
      </w:pPr>
      <w:r>
        <w:rPr>
          <w:rFonts w:hint="eastAsia" w:ascii="宋体" w:hAnsi="宋体"/>
          <w:b/>
          <w:color w:val="auto"/>
          <w:sz w:val="32"/>
        </w:rPr>
        <w:t xml:space="preserve">  </w:t>
      </w:r>
    </w:p>
    <w:p>
      <w:pPr>
        <w:pStyle w:val="6"/>
        <w:rPr>
          <w:rFonts w:hint="eastAsia" w:ascii="宋体" w:hAnsi="宋体"/>
          <w:b/>
          <w:color w:val="auto"/>
          <w:sz w:val="32"/>
        </w:rPr>
      </w:pPr>
    </w:p>
    <w:p>
      <w:pPr>
        <w:tabs>
          <w:tab w:val="left" w:pos="0"/>
        </w:tabs>
        <w:jc w:val="both"/>
        <w:rPr>
          <w:rFonts w:hint="eastAsia" w:ascii="宋体" w:hAnsi="宋体"/>
          <w:b/>
          <w:color w:val="auto"/>
          <w:kern w:val="0"/>
          <w:sz w:val="32"/>
          <w:szCs w:val="32"/>
        </w:rPr>
      </w:pPr>
      <w:bookmarkStart w:id="0" w:name="OLE_LINK13"/>
      <w:bookmarkStart w:id="1" w:name="OLE_LINK9"/>
      <w:bookmarkStart w:id="2" w:name="_Toc395974904"/>
      <w:bookmarkStart w:id="3" w:name="_Toc23865205"/>
      <w:bookmarkStart w:id="4" w:name="_Toc402766553"/>
      <w:bookmarkStart w:id="5" w:name="_Toc402766965"/>
      <w:bookmarkStart w:id="6" w:name="_Toc396102261"/>
      <w:bookmarkStart w:id="7" w:name="_Toc399318696"/>
      <w:bookmarkStart w:id="8" w:name="_Toc396103532"/>
      <w:bookmarkStart w:id="9" w:name="_Toc472081120"/>
      <w:bookmarkStart w:id="10" w:name="_Toc399326440"/>
      <w:bookmarkStart w:id="11" w:name="_Toc396102784"/>
      <w:bookmarkStart w:id="12" w:name="_Toc27894912"/>
      <w:bookmarkStart w:id="13" w:name="_Toc397169058"/>
      <w:bookmarkStart w:id="14" w:name="_Toc396898745"/>
      <w:bookmarkStart w:id="15" w:name="_Toc80616375"/>
      <w:bookmarkStart w:id="16" w:name="_Toc396900362"/>
      <w:bookmarkStart w:id="17" w:name="_Toc398200789"/>
      <w:bookmarkStart w:id="18" w:name="_Toc80457036"/>
    </w:p>
    <w:p>
      <w:pPr>
        <w:tabs>
          <w:tab w:val="left" w:pos="0"/>
        </w:tabs>
        <w:jc w:val="center"/>
        <w:rPr>
          <w:rFonts w:hint="eastAsia" w:ascii="宋体" w:hAnsi="宋体"/>
          <w:b/>
          <w:color w:val="auto"/>
          <w:kern w:val="0"/>
          <w:sz w:val="32"/>
          <w:szCs w:val="32"/>
        </w:rPr>
      </w:pPr>
    </w:p>
    <w:p>
      <w:pPr>
        <w:jc w:val="center"/>
        <w:rPr>
          <w:rFonts w:hint="eastAsia" w:ascii="宋体" w:hAnsi="宋体"/>
          <w:color w:val="auto"/>
          <w:kern w:val="0"/>
          <w:sz w:val="28"/>
          <w:szCs w:val="28"/>
        </w:rPr>
      </w:pPr>
    </w:p>
    <w:p>
      <w:pPr>
        <w:jc w:val="center"/>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3"/>
        <w:tabs>
          <w:tab w:val="left" w:pos="0"/>
        </w:tabs>
        <w:autoSpaceDE w:val="0"/>
        <w:autoSpaceDN w:val="0"/>
        <w:adjustRightInd w:val="0"/>
        <w:spacing w:before="0" w:after="0" w:line="360" w:lineRule="auto"/>
        <w:jc w:val="center"/>
        <w:rPr>
          <w:rFonts w:hint="eastAsia" w:ascii="华文中宋" w:hAnsi="华文中宋" w:eastAsia="华文中宋"/>
          <w:sz w:val="36"/>
          <w:szCs w:val="22"/>
          <w:highlight w:val="none"/>
          <w:lang w:eastAsia="zh-CN"/>
        </w:rPr>
      </w:pPr>
    </w:p>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lang w:eastAsia="zh-CN"/>
        </w:rPr>
        <w:t>竞争性谈判</w:t>
      </w:r>
      <w:r>
        <w:rPr>
          <w:rFonts w:hint="eastAsia" w:ascii="华文中宋" w:hAnsi="华文中宋" w:eastAsia="华文中宋"/>
          <w:highlight w:val="none"/>
        </w:rPr>
        <w:t>公告</w:t>
      </w:r>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rPr>
        <w:t>青河县2021年农业畜牧业产业发展项目-牧民转场服务驿站</w:t>
      </w:r>
      <w:r>
        <w:rPr>
          <w:rFonts w:hint="eastAsia" w:ascii="仿宋" w:hAnsi="仿宋" w:eastAsia="仿宋"/>
          <w:sz w:val="28"/>
          <w:szCs w:val="28"/>
          <w:highlight w:val="none"/>
          <w:u w:val="single"/>
          <w:lang w:eastAsia="zh-CN"/>
        </w:rPr>
        <w:t>（新建）</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lang w:val="en-US" w:eastAsia="zh-CN"/>
        </w:rPr>
        <w:t>新疆金泰首致项目管理咨询有限公司（阿勒泰地区阿勒泰市御华园小区2栋4单元3楼）</w:t>
      </w:r>
      <w:r>
        <w:rPr>
          <w:rFonts w:hint="eastAsia" w:ascii="仿宋" w:hAnsi="仿宋" w:eastAsia="仿宋"/>
          <w:sz w:val="28"/>
          <w:szCs w:val="28"/>
          <w:highlight w:val="none"/>
        </w:rPr>
        <w:t>获取采购文件，并于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2021</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 xml:space="preserve">年 </w:t>
      </w:r>
      <w:r>
        <w:rPr>
          <w:rFonts w:hint="eastAsia" w:ascii="仿宋" w:hAnsi="仿宋" w:eastAsia="仿宋"/>
          <w:bCs/>
          <w:sz w:val="28"/>
          <w:szCs w:val="28"/>
          <w:highlight w:val="none"/>
          <w:u w:val="single"/>
          <w:lang w:val="en-US" w:eastAsia="zh-CN"/>
        </w:rPr>
        <w:t xml:space="preserve">11 </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highlight w:val="none"/>
        </w:rPr>
      </w:pPr>
    </w:p>
    <w:p>
      <w:pPr>
        <w:pStyle w:val="4"/>
        <w:spacing w:line="360" w:lineRule="auto"/>
        <w:rPr>
          <w:rFonts w:ascii="黑体" w:hAnsi="黑体" w:cs="宋体"/>
          <w:b w:val="0"/>
          <w:sz w:val="28"/>
          <w:szCs w:val="28"/>
          <w:highlight w:val="none"/>
        </w:rPr>
      </w:pPr>
      <w:bookmarkStart w:id="19" w:name="_Toc35393629"/>
      <w:bookmarkStart w:id="20" w:name="_Toc28359012"/>
      <w:bookmarkStart w:id="21" w:name="_Toc35393798"/>
      <w:bookmarkStart w:id="22" w:name="_Toc28359089"/>
      <w:r>
        <w:rPr>
          <w:rFonts w:hint="eastAsia" w:ascii="黑体" w:hAnsi="黑体" w:cs="宋体"/>
          <w:b w:val="0"/>
          <w:sz w:val="28"/>
          <w:szCs w:val="28"/>
          <w:highlight w:val="none"/>
        </w:rPr>
        <w:t>一、项目基本情况</w:t>
      </w:r>
      <w:bookmarkEnd w:id="19"/>
      <w:bookmarkEnd w:id="20"/>
      <w:bookmarkEnd w:id="21"/>
      <w:bookmarkEnd w:id="22"/>
    </w:p>
    <w:p>
      <w:pPr>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ZFCGQ-</w:t>
      </w:r>
      <w:r>
        <w:rPr>
          <w:rFonts w:hint="eastAsia" w:ascii="仿宋" w:hAnsi="仿宋" w:eastAsia="仿宋"/>
          <w:sz w:val="28"/>
          <w:szCs w:val="28"/>
          <w:highlight w:val="none"/>
          <w:u w:val="none"/>
          <w:lang w:val="en-US" w:eastAsia="zh-CN"/>
        </w:rPr>
        <w:t>JTSZZB2021-38</w:t>
      </w:r>
    </w:p>
    <w:p>
      <w:pPr>
        <w:ind w:left="1959" w:leftChars="266" w:hanging="1400" w:hangingChars="5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项目名称：青河县2021年农业畜牧业产业发展项目-牧民转场服务驿站</w:t>
      </w:r>
      <w:r>
        <w:rPr>
          <w:rFonts w:hint="eastAsia" w:ascii="仿宋" w:hAnsi="仿宋" w:eastAsia="仿宋"/>
          <w:sz w:val="28"/>
          <w:szCs w:val="28"/>
          <w:highlight w:val="none"/>
          <w:lang w:val="en-US" w:eastAsia="zh-CN"/>
        </w:rPr>
        <w:t>-</w:t>
      </w:r>
      <w:bookmarkStart w:id="60" w:name="_GoBack"/>
      <w:bookmarkEnd w:id="60"/>
      <w:r>
        <w:rPr>
          <w:rFonts w:hint="eastAsia" w:ascii="仿宋" w:hAnsi="仿宋" w:eastAsia="仿宋"/>
          <w:sz w:val="28"/>
          <w:szCs w:val="28"/>
          <w:highlight w:val="none"/>
          <w:lang w:eastAsia="zh-CN"/>
        </w:rPr>
        <w:t>新建</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竞争性谈判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3000000.00元</w:t>
      </w:r>
    </w:p>
    <w:p>
      <w:pPr>
        <w:ind w:left="1959"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详见招标文件</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w:t>
      </w:r>
      <w:bookmarkStart w:id="23" w:name="_Toc35393799"/>
      <w:bookmarkStart w:id="24" w:name="_Toc35393630"/>
      <w:bookmarkStart w:id="25" w:name="_Toc28359090"/>
      <w:bookmarkStart w:id="26" w:name="_Toc28359013"/>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二、申请人的资格要求：</w:t>
      </w:r>
      <w:bookmarkEnd w:id="23"/>
      <w:bookmarkEnd w:id="24"/>
      <w:bookmarkEnd w:id="25"/>
      <w:bookmarkEnd w:id="26"/>
      <w:bookmarkStart w:id="27" w:name="_Toc28359014"/>
      <w:bookmarkStart w:id="28" w:name="_Toc35393800"/>
      <w:bookmarkStart w:id="29" w:name="_Toc28359091"/>
      <w:bookmarkStart w:id="30" w:name="_Toc35393631"/>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1、投标人必须符合《中华人民共和国政府采购法》第二十二条规定。</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1.1具有独立承担民事责任的能力；</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1.2具有良好的商业信誉和健全的财务会计制度；</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1.3具有履行合同所必需的设备和专业技术能力；</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1.4有依法缴纳税收和社会保障资金的良好记录；</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1.5参加政府采购活动前三年内，在经营活动中没有重大违法记录；</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1.6法律、行政法规规定的其他条件。</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2、资质条件： 建筑工程施工总承包叁级（含叁级）及以上资质，有安全生产许可证。疆外单位必须是在新疆维吾尔自治区区外进疆企业信息报送的单位。项目经理资格：项目经理须具备建筑工程专业贰级（含贰级）及以上注册建造师执业资格，具备有效的安全生产考核合格证书，且未担任其他建设工程项目的项目经理。 </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3、投标人参加本次政府采购活动应具备下列条标要求投标人须提供有效的营业执照、并在人员、设备、资金等方面具有相应的能力；</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 需提供“信用中国”网站（www.creditchina.gov.cn）和“中国政府采购网”（ www.ccgp.gov.cn）中“政府采购严重违法失信行为信息记录”查询结果的截图并加盖公章。</w:t>
      </w:r>
    </w:p>
    <w:p>
      <w:pPr>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4、本项目不接受联合体投标。</w:t>
      </w:r>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三、获取采购文件</w:t>
      </w:r>
      <w:bookmarkEnd w:id="27"/>
      <w:bookmarkEnd w:id="28"/>
      <w:bookmarkEnd w:id="29"/>
      <w:bookmarkEnd w:id="30"/>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03</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lang w:val="en-US" w:eastAsia="zh-CN"/>
        </w:rPr>
        <w:t>日上午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 ）</w:t>
      </w:r>
    </w:p>
    <w:p>
      <w:pPr>
        <w:spacing w:line="360" w:lineRule="auto"/>
        <w:rPr>
          <w:rFonts w:hint="default" w:ascii="仿宋" w:hAnsi="仿宋" w:eastAsia="仿宋" w:cs="宋体"/>
          <w:sz w:val="28"/>
          <w:szCs w:val="28"/>
          <w:highlight w:val="none"/>
          <w:u w:val="single"/>
          <w:lang w:val="en-US" w:eastAsia="zh-CN"/>
        </w:rPr>
      </w:pPr>
      <w:r>
        <w:rPr>
          <w:rFonts w:hint="eastAsia" w:ascii="仿宋" w:hAnsi="仿宋" w:eastAsia="仿宋" w:cs="宋体"/>
          <w:sz w:val="28"/>
          <w:szCs w:val="28"/>
          <w:highlight w:val="none"/>
        </w:rPr>
        <w:t>地点：阿勒泰地区阿勒泰市</w:t>
      </w:r>
      <w:r>
        <w:rPr>
          <w:rFonts w:hint="eastAsia" w:ascii="仿宋" w:hAnsi="仿宋" w:eastAsia="仿宋" w:cs="宋体"/>
          <w:sz w:val="28"/>
          <w:szCs w:val="28"/>
          <w:highlight w:val="none"/>
          <w:lang w:eastAsia="zh-CN"/>
        </w:rPr>
        <w:t>御华园小区</w:t>
      </w:r>
      <w:r>
        <w:rPr>
          <w:rFonts w:hint="eastAsia" w:ascii="仿宋" w:hAnsi="仿宋" w:eastAsia="仿宋" w:cs="宋体"/>
          <w:sz w:val="28"/>
          <w:szCs w:val="28"/>
          <w:highlight w:val="none"/>
          <w:lang w:val="en-US" w:eastAsia="zh-CN"/>
        </w:rPr>
        <w:t>2栋4单元3楼</w:t>
      </w:r>
    </w:p>
    <w:p>
      <w:pPr>
        <w:spacing w:line="360" w:lineRule="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售价：</w:t>
      </w:r>
      <w:r>
        <w:rPr>
          <w:rFonts w:hint="eastAsia" w:ascii="仿宋" w:hAnsi="仿宋" w:eastAsia="仿宋" w:cs="宋体"/>
          <w:sz w:val="28"/>
          <w:szCs w:val="28"/>
          <w:highlight w:val="none"/>
          <w:lang w:val="en-US" w:eastAsia="zh-CN"/>
        </w:rPr>
        <w:t>300元/份，售后不退。</w:t>
      </w:r>
      <w:bookmarkStart w:id="31" w:name="_Toc35393801"/>
      <w:bookmarkStart w:id="32" w:name="_Toc28359092"/>
      <w:bookmarkStart w:id="33" w:name="_Toc28359015"/>
      <w:bookmarkStart w:id="34" w:name="_Toc35393632"/>
    </w:p>
    <w:p>
      <w:pPr>
        <w:pStyle w:val="2"/>
        <w:rPr>
          <w:rFonts w:hint="eastAsia" w:ascii="仿宋" w:hAnsi="仿宋" w:eastAsia="仿宋" w:cs="宋体"/>
          <w:sz w:val="28"/>
          <w:szCs w:val="28"/>
          <w:highlight w:val="none"/>
          <w:lang w:val="en-US" w:eastAsia="zh-CN"/>
        </w:rPr>
      </w:pPr>
    </w:p>
    <w:p>
      <w:pPr>
        <w:pStyle w:val="2"/>
        <w:rPr>
          <w:rFonts w:hint="eastAsia" w:ascii="仿宋" w:hAnsi="仿宋" w:eastAsia="仿宋" w:cs="宋体"/>
          <w:sz w:val="28"/>
          <w:szCs w:val="28"/>
          <w:highlight w:val="none"/>
          <w:lang w:val="en-US" w:eastAsia="zh-CN"/>
        </w:rPr>
      </w:pPr>
    </w:p>
    <w:p>
      <w:pPr>
        <w:pStyle w:val="2"/>
        <w:rPr>
          <w:rFonts w:hint="eastAsia" w:ascii="仿宋" w:hAnsi="仿宋" w:eastAsia="仿宋" w:cs="宋体"/>
          <w:sz w:val="28"/>
          <w:szCs w:val="28"/>
          <w:highlight w:val="none"/>
          <w:lang w:val="en-US" w:eastAsia="zh-CN"/>
        </w:rPr>
      </w:pPr>
    </w:p>
    <w:p>
      <w:pPr>
        <w:spacing w:line="360" w:lineRule="auto"/>
        <w:rPr>
          <w:rFonts w:hint="eastAsia" w:ascii="黑体" w:hAnsi="黑体" w:eastAsia="黑体" w:cs="宋体"/>
          <w:b w:val="0"/>
          <w:sz w:val="28"/>
          <w:szCs w:val="28"/>
          <w:highlight w:val="none"/>
          <w:lang w:val="en-US" w:eastAsia="zh-CN"/>
        </w:rPr>
      </w:pPr>
      <w:r>
        <w:rPr>
          <w:rFonts w:hint="eastAsia" w:ascii="黑体" w:hAnsi="黑体" w:cs="宋体"/>
          <w:b w:val="0"/>
          <w:sz w:val="28"/>
          <w:szCs w:val="28"/>
          <w:highlight w:val="none"/>
        </w:rPr>
        <w:t>四、响应文件提交</w:t>
      </w:r>
      <w:bookmarkEnd w:id="31"/>
      <w:bookmarkEnd w:id="32"/>
      <w:bookmarkEnd w:id="33"/>
      <w:bookmarkEnd w:id="34"/>
    </w:p>
    <w:p>
      <w:pPr>
        <w:rPr>
          <w:rFonts w:hint="eastAsia"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2021</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 xml:space="preserve">年 </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 xml:space="preserve">月 </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sz w:val="28"/>
          <w:szCs w:val="28"/>
          <w:highlight w:val="none"/>
        </w:rPr>
        <w:t>（北京时间）</w:t>
      </w:r>
    </w:p>
    <w:p>
      <w:pPr>
        <w:spacing w:line="360" w:lineRule="auto"/>
        <w:rPr>
          <w:rFonts w:ascii="仿宋" w:hAnsi="仿宋" w:eastAsia="仿宋" w:cs="宋体"/>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val="en-US" w:eastAsia="zh-CN"/>
        </w:rPr>
        <w:t>新疆金泰首致项目管理咨询有限公司</w:t>
      </w:r>
      <w:r>
        <w:rPr>
          <w:rFonts w:hint="eastAsia" w:ascii="仿宋" w:hAnsi="仿宋" w:eastAsia="仿宋" w:cs="宋体"/>
          <w:sz w:val="28"/>
          <w:szCs w:val="28"/>
          <w:highlight w:val="none"/>
          <w:lang w:val="en-US" w:eastAsia="zh-CN"/>
        </w:rPr>
        <w:t>（阿勒泰地区阿勒泰市御华园小区2栋4单元3楼）</w:t>
      </w:r>
    </w:p>
    <w:p>
      <w:pPr>
        <w:pStyle w:val="4"/>
        <w:spacing w:line="360" w:lineRule="auto"/>
        <w:rPr>
          <w:rFonts w:ascii="黑体" w:hAnsi="黑体" w:cs="宋体"/>
          <w:b w:val="0"/>
          <w:sz w:val="28"/>
          <w:szCs w:val="28"/>
          <w:highlight w:val="none"/>
        </w:rPr>
      </w:pPr>
      <w:bookmarkStart w:id="35" w:name="_Toc28359094"/>
      <w:bookmarkStart w:id="36" w:name="_Toc35393803"/>
      <w:bookmarkStart w:id="37" w:name="_Toc28359017"/>
      <w:bookmarkStart w:id="38" w:name="_Toc35393634"/>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、公告期限</w:t>
      </w:r>
      <w:bookmarkEnd w:id="35"/>
      <w:bookmarkEnd w:id="36"/>
      <w:bookmarkEnd w:id="37"/>
      <w:bookmarkEnd w:id="38"/>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pStyle w:val="4"/>
        <w:numPr>
          <w:ilvl w:val="0"/>
          <w:numId w:val="2"/>
        </w:numPr>
        <w:spacing w:line="360" w:lineRule="auto"/>
        <w:rPr>
          <w:rFonts w:hint="eastAsia" w:ascii="黑体" w:hAnsi="黑体" w:cs="宋体"/>
          <w:b w:val="0"/>
          <w:sz w:val="28"/>
          <w:szCs w:val="28"/>
          <w:highlight w:val="none"/>
        </w:rPr>
      </w:pPr>
      <w:bookmarkStart w:id="39" w:name="_Toc35393804"/>
      <w:bookmarkStart w:id="40" w:name="_Toc35393635"/>
      <w:r>
        <w:rPr>
          <w:rFonts w:hint="eastAsia" w:ascii="黑体" w:hAnsi="黑体" w:cs="宋体"/>
          <w:b w:val="0"/>
          <w:sz w:val="28"/>
          <w:szCs w:val="28"/>
          <w:highlight w:val="none"/>
        </w:rPr>
        <w:t>其他补充事宜</w:t>
      </w:r>
      <w:bookmarkEnd w:id="39"/>
      <w:bookmarkEnd w:id="40"/>
    </w:p>
    <w:p>
      <w:pPr>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报名资料：</w:t>
      </w:r>
    </w:p>
    <w:p>
      <w:pPr>
        <w:ind w:firstLine="560" w:firstLineChars="200"/>
        <w:rPr>
          <w:rFonts w:hint="eastAsia"/>
          <w:highlight w:val="none"/>
          <w:lang w:val="en-US" w:eastAsia="zh-CN"/>
        </w:rPr>
      </w:pP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企业法人证明或法定代表人授权委托书及委托代理人身份证、营业执照副本、资质证书副本、安全生产许可证副本、项目负责人注册证书及安全考核证、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外省企业需提供进疆企业信息报送手续原件，以上资料需提供原件查验，复印件壹份均应在有效期内加盖公章作为报名资料留存</w:t>
      </w:r>
      <w:r>
        <w:rPr>
          <w:rFonts w:hint="eastAsia" w:ascii="仿宋" w:hAnsi="仿宋" w:eastAsia="仿宋" w:cs="宋体"/>
          <w:sz w:val="28"/>
          <w:szCs w:val="28"/>
          <w:highlight w:val="none"/>
          <w:lang w:val="en-US" w:eastAsia="zh-CN"/>
        </w:rPr>
        <w:fldChar w:fldCharType="end"/>
      </w:r>
      <w:r>
        <w:rPr>
          <w:rFonts w:hint="eastAsia" w:ascii="仿宋" w:hAnsi="仿宋" w:eastAsia="仿宋" w:cs="宋体"/>
          <w:sz w:val="28"/>
          <w:szCs w:val="28"/>
          <w:highlight w:val="none"/>
          <w:lang w:val="en-US" w:eastAsia="zh-CN"/>
        </w:rPr>
        <w:t>，交至</w:t>
      </w:r>
      <w:r>
        <w:rPr>
          <w:rFonts w:hint="eastAsia" w:ascii="仿宋" w:hAnsi="仿宋" w:eastAsia="仿宋"/>
          <w:sz w:val="28"/>
          <w:szCs w:val="28"/>
          <w:highlight w:val="none"/>
          <w:lang w:val="en-US" w:eastAsia="zh-CN"/>
        </w:rPr>
        <w:t>新疆金泰首致项目管理咨询有限公司</w:t>
      </w:r>
      <w:r>
        <w:rPr>
          <w:rFonts w:hint="eastAsia" w:ascii="仿宋" w:hAnsi="仿宋" w:eastAsia="仿宋" w:cs="宋体"/>
          <w:sz w:val="28"/>
          <w:szCs w:val="28"/>
          <w:highlight w:val="none"/>
          <w:lang w:val="en-US" w:eastAsia="zh-CN"/>
        </w:rPr>
        <w:t>（阿勒泰地区阿勒泰市御华园小区2栋4单元3楼）</w:t>
      </w:r>
      <w:r>
        <w:rPr>
          <w:rFonts w:hint="eastAsia"/>
          <w:highlight w:val="none"/>
          <w:lang w:val="en-US" w:eastAsia="zh-CN"/>
        </w:rPr>
        <w:t>。</w:t>
      </w:r>
    </w:p>
    <w:p>
      <w:pPr>
        <w:pStyle w:val="4"/>
        <w:spacing w:line="360" w:lineRule="auto"/>
        <w:rPr>
          <w:rFonts w:ascii="黑体" w:hAnsi="黑体" w:cs="宋体"/>
          <w:b w:val="0"/>
          <w:sz w:val="28"/>
          <w:szCs w:val="28"/>
          <w:highlight w:val="none"/>
        </w:rPr>
      </w:pPr>
      <w:bookmarkStart w:id="41" w:name="_Toc35393805"/>
      <w:bookmarkStart w:id="42" w:name="_Toc35393636"/>
      <w:bookmarkStart w:id="43" w:name="_Toc28359095"/>
      <w:bookmarkStart w:id="44" w:name="_Toc28359018"/>
      <w:r>
        <w:rPr>
          <w:rFonts w:hint="eastAsia" w:ascii="黑体" w:hAnsi="黑体" w:cs="宋体"/>
          <w:b w:val="0"/>
          <w:sz w:val="28"/>
          <w:szCs w:val="28"/>
          <w:highlight w:val="none"/>
          <w:lang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41"/>
      <w:bookmarkEnd w:id="42"/>
      <w:bookmarkEnd w:id="43"/>
      <w:bookmarkEnd w:id="44"/>
    </w:p>
    <w:p>
      <w:pPr>
        <w:pStyle w:val="4"/>
        <w:spacing w:line="360" w:lineRule="auto"/>
        <w:ind w:firstLine="840" w:firstLineChars="300"/>
        <w:rPr>
          <w:rFonts w:ascii="仿宋" w:hAnsi="仿宋" w:eastAsia="仿宋" w:cs="宋体"/>
          <w:b w:val="0"/>
          <w:sz w:val="28"/>
          <w:szCs w:val="28"/>
          <w:highlight w:val="none"/>
        </w:rPr>
      </w:pPr>
      <w:bookmarkStart w:id="45" w:name="_Toc28359096"/>
      <w:bookmarkStart w:id="46" w:name="_Toc35393806"/>
      <w:bookmarkStart w:id="47" w:name="_Toc35393637"/>
      <w:bookmarkStart w:id="48" w:name="_Toc28359019"/>
      <w:r>
        <w:rPr>
          <w:rFonts w:hint="eastAsia" w:ascii="仿宋" w:hAnsi="仿宋" w:eastAsia="仿宋" w:cs="宋体"/>
          <w:b w:val="0"/>
          <w:sz w:val="28"/>
          <w:szCs w:val="28"/>
          <w:highlight w:val="none"/>
        </w:rPr>
        <w:t>1.采购人信息</w:t>
      </w:r>
      <w:bookmarkEnd w:id="45"/>
      <w:bookmarkEnd w:id="46"/>
      <w:bookmarkEnd w:id="47"/>
      <w:bookmarkEnd w:id="48"/>
    </w:p>
    <w:p>
      <w:pPr>
        <w:spacing w:line="360" w:lineRule="auto"/>
        <w:ind w:left="1129" w:leftChars="371" w:hanging="350" w:hangingChars="125"/>
        <w:jc w:val="left"/>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名    称：</w:t>
      </w:r>
      <w:r>
        <w:rPr>
          <w:rFonts w:hint="eastAsia" w:ascii="仿宋" w:hAnsi="仿宋" w:eastAsia="仿宋" w:cs="Times New Roman"/>
          <w:sz w:val="28"/>
          <w:szCs w:val="28"/>
          <w:highlight w:val="none"/>
          <w:u w:val="single"/>
          <w:lang w:val="en-US" w:eastAsia="zh-CN"/>
        </w:rPr>
        <w:t>青河县农业农村局</w:t>
      </w:r>
    </w:p>
    <w:p>
      <w:pPr>
        <w:spacing w:line="360" w:lineRule="auto"/>
        <w:ind w:left="1129" w:leftChars="371" w:hanging="350" w:hangingChars="125"/>
        <w:jc w:val="left"/>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 xml:space="preserve">杨艳芳            </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 xml:space="preserve">18997513031　　　 </w:t>
      </w:r>
    </w:p>
    <w:p>
      <w:pPr>
        <w:pStyle w:val="4"/>
        <w:spacing w:line="360" w:lineRule="auto"/>
        <w:ind w:firstLine="840" w:firstLineChars="300"/>
        <w:rPr>
          <w:rFonts w:ascii="仿宋" w:hAnsi="仿宋" w:eastAsia="仿宋" w:cs="宋体"/>
          <w:b w:val="0"/>
          <w:sz w:val="28"/>
          <w:szCs w:val="28"/>
          <w:highlight w:val="none"/>
        </w:rPr>
      </w:pPr>
      <w:bookmarkStart w:id="49" w:name="_Toc35393807"/>
      <w:bookmarkStart w:id="50" w:name="_Toc35393638"/>
      <w:bookmarkStart w:id="51" w:name="_Toc28359020"/>
      <w:bookmarkStart w:id="52" w:name="_Toc28359097"/>
      <w:r>
        <w:rPr>
          <w:rFonts w:hint="eastAsia" w:ascii="仿宋" w:hAnsi="仿宋" w:eastAsia="仿宋" w:cs="宋体"/>
          <w:b w:val="0"/>
          <w:sz w:val="28"/>
          <w:szCs w:val="28"/>
          <w:highlight w:val="none"/>
        </w:rPr>
        <w:t>2.采购代理机构信息</w:t>
      </w:r>
      <w:bookmarkEnd w:id="49"/>
      <w:bookmarkEnd w:id="50"/>
      <w:bookmarkEnd w:id="51"/>
      <w:bookmarkEnd w:id="52"/>
    </w:p>
    <w:p>
      <w:pPr>
        <w:spacing w:line="360" w:lineRule="auto"/>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新疆金泰首致项目管理咨询有限公司</w:t>
      </w:r>
    </w:p>
    <w:p>
      <w:pPr>
        <w:spacing w:line="360" w:lineRule="auto"/>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cs="Times New Roman"/>
          <w:sz w:val="28"/>
          <w:szCs w:val="28"/>
          <w:highlight w:val="none"/>
          <w:u w:val="none"/>
          <w:lang w:val="en-US" w:eastAsia="zh-CN"/>
        </w:rPr>
        <w:t xml:space="preserve">联 系 人: </w:t>
      </w:r>
      <w:r>
        <w:rPr>
          <w:rFonts w:hint="eastAsia" w:ascii="仿宋" w:hAnsi="仿宋" w:eastAsia="仿宋" w:cs="Times New Roman"/>
          <w:sz w:val="28"/>
          <w:szCs w:val="28"/>
          <w:highlight w:val="none"/>
          <w:u w:val="single"/>
          <w:lang w:val="en-US" w:eastAsia="zh-CN"/>
        </w:rPr>
        <w:t>贾梦华  　　　　　　　　   　　</w:t>
      </w:r>
    </w:p>
    <w:p>
      <w:pPr>
        <w:spacing w:line="360" w:lineRule="auto"/>
        <w:ind w:left="1129" w:leftChars="371" w:hanging="350" w:hangingChars="125"/>
        <w:jc w:val="left"/>
        <w:rPr>
          <w:highlight w:val="none"/>
        </w:rPr>
      </w:pPr>
      <w:r>
        <w:rPr>
          <w:rFonts w:hint="eastAsia" w:ascii="仿宋" w:hAnsi="仿宋" w:eastAsia="仿宋" w:cs="Times New Roman"/>
          <w:sz w:val="28"/>
          <w:szCs w:val="28"/>
          <w:highlight w:val="none"/>
          <w:u w:val="none"/>
          <w:lang w:val="en-US" w:eastAsia="zh-CN"/>
        </w:rPr>
        <w:t>联系方式：</w:t>
      </w:r>
      <w:r>
        <w:rPr>
          <w:rFonts w:hint="eastAsia" w:ascii="仿宋" w:hAnsi="仿宋" w:eastAsia="仿宋" w:cs="Times New Roman"/>
          <w:sz w:val="28"/>
          <w:szCs w:val="28"/>
          <w:highlight w:val="none"/>
          <w:u w:val="single"/>
          <w:lang w:val="en-US" w:eastAsia="zh-CN"/>
        </w:rPr>
        <w:t xml:space="preserve">13669957007　　　　　　　  </w:t>
      </w:r>
      <w:r>
        <w:rPr>
          <w:rFonts w:hint="eastAsia" w:ascii="仿宋" w:hAnsi="仿宋" w:eastAsia="仿宋"/>
          <w:sz w:val="28"/>
          <w:szCs w:val="28"/>
          <w:highlight w:val="none"/>
          <w:u w:val="single"/>
        </w:rPr>
        <w:t>　</w:t>
      </w:r>
    </w:p>
    <w:p>
      <w:pPr>
        <w:widowControl/>
        <w:jc w:val="center"/>
        <w:rPr>
          <w:rFonts w:hint="eastAsia" w:ascii="宋体" w:hAnsi="宋体"/>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Pr>
        <w:ind w:firstLine="4480" w:firstLineChars="16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Pr>
        <w:keepNext w:val="0"/>
        <w:keepLines w:val="0"/>
        <w:widowControl/>
        <w:suppressLineNumbers w:val="0"/>
        <w:spacing w:before="0" w:beforeAutospacing="0" w:after="0" w:afterAutospacing="0" w:line="360" w:lineRule="auto"/>
        <w:ind w:right="-313" w:rightChars="-149"/>
        <w:jc w:val="center"/>
        <w:rPr>
          <w:b/>
          <w:color w:val="auto"/>
          <w:sz w:val="36"/>
          <w:szCs w:val="36"/>
        </w:rPr>
      </w:pPr>
    </w:p>
    <w:p>
      <w:pPr>
        <w:keepNext w:val="0"/>
        <w:keepLines w:val="0"/>
        <w:widowControl/>
        <w:suppressLineNumbers w:val="0"/>
        <w:spacing w:before="0" w:beforeAutospacing="0" w:after="0" w:afterAutospacing="0" w:line="360" w:lineRule="auto"/>
        <w:ind w:right="-313" w:rightChars="-149"/>
        <w:jc w:val="both"/>
        <w:rPr>
          <w:b/>
          <w:color w:val="auto"/>
          <w:sz w:val="36"/>
          <w:szCs w:val="36"/>
        </w:rPr>
      </w:pPr>
    </w:p>
    <w:p>
      <w:pPr>
        <w:jc w:val="center"/>
        <w:rPr>
          <w:rFonts w:hint="eastAsia" w:ascii="宋体" w:hAnsi="宋体"/>
          <w:color w:val="auto"/>
          <w:kern w:val="0"/>
          <w:sz w:val="28"/>
          <w:szCs w:val="28"/>
        </w:rPr>
      </w:pPr>
    </w:p>
    <w:p>
      <w:pPr>
        <w:keepNext w:val="0"/>
        <w:keepLines w:val="0"/>
        <w:widowControl/>
        <w:suppressLineNumbers w:val="0"/>
        <w:spacing w:before="0" w:beforeAutospacing="0" w:after="0" w:afterAutospacing="0" w:line="360" w:lineRule="auto"/>
        <w:ind w:right="-313" w:rightChars="-149"/>
        <w:jc w:val="center"/>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keepNext w:val="0"/>
        <w:keepLines w:val="0"/>
        <w:widowControl/>
        <w:suppressLineNumbers w:val="0"/>
        <w:spacing w:before="0" w:beforeAutospacing="0" w:after="0" w:afterAutospacing="0" w:line="360" w:lineRule="auto"/>
        <w:ind w:right="-313" w:rightChars="-149"/>
        <w:jc w:val="center"/>
        <w:rPr>
          <w:b/>
          <w:color w:val="auto"/>
          <w:sz w:val="36"/>
          <w:szCs w:val="36"/>
        </w:rPr>
      </w:pPr>
    </w:p>
    <w:p>
      <w:pPr>
        <w:pStyle w:val="2"/>
        <w:rPr>
          <w:color w:val="auto"/>
        </w:rPr>
      </w:pPr>
    </w:p>
    <w:p>
      <w:pPr>
        <w:pStyle w:val="23"/>
        <w:rPr>
          <w:b/>
          <w:color w:val="auto"/>
          <w:sz w:val="36"/>
          <w:szCs w:val="36"/>
        </w:rPr>
      </w:pPr>
    </w:p>
    <w:p>
      <w:pPr>
        <w:keepNext w:val="0"/>
        <w:keepLines w:val="0"/>
        <w:widowControl/>
        <w:suppressLineNumbers w:val="0"/>
        <w:spacing w:before="0" w:beforeAutospacing="0" w:after="0" w:afterAutospacing="0" w:line="360" w:lineRule="auto"/>
        <w:ind w:right="-313" w:rightChars="-149"/>
        <w:jc w:val="both"/>
        <w:rPr>
          <w:b/>
          <w:color w:val="auto"/>
          <w:sz w:val="36"/>
          <w:szCs w:val="36"/>
        </w:rPr>
      </w:pPr>
    </w:p>
    <w:bookmarkEnd w:id="0"/>
    <w:bookmarkEnd w:id="1"/>
    <w:p>
      <w:pPr>
        <w:rPr>
          <w:rFonts w:hint="eastAsia" w:ascii="宋体" w:hAnsi="宋体"/>
          <w:bCs/>
          <w:color w:val="auto"/>
          <w:kern w:val="0"/>
          <w:sz w:val="28"/>
          <w:szCs w:val="28"/>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32"/>
        </w:rPr>
      </w:pPr>
      <w:r>
        <w:rPr>
          <w:rFonts w:hint="eastAsia" w:ascii="宋体" w:hAnsi="宋体"/>
          <w:b/>
          <w:color w:val="auto"/>
          <w:sz w:val="36"/>
          <w:szCs w:val="36"/>
        </w:rPr>
        <w:t>投标人须知</w:t>
      </w:r>
      <w:bookmarkStart w:id="53" w:name="_Hlt100115888"/>
      <w:bookmarkEnd w:id="5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color w:val="auto"/>
          <w:kern w:val="2"/>
          <w:sz w:val="36"/>
          <w:szCs w:val="36"/>
          <w:lang w:val="en-US" w:eastAsia="zh-CN" w:bidi="ar-SA"/>
        </w:rPr>
      </w:pPr>
      <w:r>
        <w:rPr>
          <w:rFonts w:hint="eastAsia" w:ascii="宋体" w:hAnsi="宋体" w:eastAsia="宋体" w:cs="宋体"/>
          <w:b/>
          <w:color w:val="auto"/>
          <w:sz w:val="24"/>
          <w:szCs w:val="24"/>
        </w:rPr>
        <w:t>各投标人注意：凡招标文件本章的其他部分相关内容与本《投标人须知前附表》中的相关内容不一致的，以本《前附表》为准。</w:t>
      </w:r>
      <w:r>
        <w:rPr>
          <w:rFonts w:hint="eastAsia" w:ascii="宋体" w:hAnsi="宋体" w:cs="Times New Roman"/>
          <w:b/>
          <w:color w:val="auto"/>
          <w:kern w:val="2"/>
          <w:sz w:val="36"/>
          <w:szCs w:val="36"/>
          <w:lang w:val="en-US" w:eastAsia="zh-CN" w:bidi="ar-SA"/>
        </w:rPr>
        <w:tab/>
      </w:r>
    </w:p>
    <w:tbl>
      <w:tblPr>
        <w:tblStyle w:val="18"/>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both"/>
              <w:rPr>
                <w:rFonts w:hint="eastAsia" w:ascii="仿宋" w:hAnsi="仿宋" w:eastAsia="仿宋"/>
                <w:color w:val="auto"/>
                <w:sz w:val="24"/>
                <w:highlight w:val="none"/>
                <w:lang w:eastAsia="zh-CN"/>
              </w:rPr>
            </w:pPr>
            <w:r>
              <w:rPr>
                <w:rFonts w:hint="eastAsia" w:ascii="宋体" w:hAnsi="宋体" w:cs="宋体"/>
                <w:color w:val="auto"/>
                <w:kern w:val="0"/>
                <w:sz w:val="24"/>
                <w:szCs w:val="22"/>
                <w:highlight w:val="none"/>
                <w:lang w:val="en-US" w:eastAsia="zh-CN"/>
              </w:rPr>
              <w:t>青河县2021年农业畜牧业产业发展项目-牧民转场服务驿站-新建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仿宋" w:hAnsi="仿宋" w:eastAsia="仿宋"/>
                <w:color w:val="auto"/>
                <w:sz w:val="24"/>
                <w:highlight w:val="none"/>
              </w:rPr>
            </w:pPr>
            <w:r>
              <w:rPr>
                <w:rFonts w:hint="eastAsia" w:ascii="宋体" w:hAnsi="宋体" w:cs="宋体"/>
                <w:color w:val="auto"/>
                <w:kern w:val="0"/>
                <w:sz w:val="24"/>
                <w:szCs w:val="22"/>
                <w:highlight w:val="none"/>
                <w:lang w:val="en-US" w:eastAsia="zh-CN"/>
              </w:rPr>
              <w:t>青河县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default"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牧民转场服务驿站新建1座，配套服务站厨房，餐厅，浴室，卫生间等相关设施。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耕地占补平衡资金、青河县国有资产投资经营有限责任公司投资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color w:val="auto"/>
                <w:kern w:val="0"/>
                <w:sz w:val="24"/>
                <w:highlight w:val="none"/>
              </w:rPr>
            </w:pPr>
            <w:r>
              <w:rPr>
                <w:rFonts w:hint="eastAsia" w:ascii="宋体" w:hAnsi="宋体"/>
                <w:b/>
                <w:bCs/>
                <w:color w:val="auto"/>
                <w:kern w:val="0"/>
                <w:sz w:val="24"/>
                <w:highlight w:val="none"/>
              </w:rPr>
              <w:t>概算投资额度</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eastAsia" w:ascii="宋体" w:hAnsi="宋体"/>
                <w:bCs/>
                <w:color w:val="auto"/>
                <w:kern w:val="0"/>
                <w:sz w:val="24"/>
                <w:szCs w:val="24"/>
                <w:highlight w:val="none"/>
              </w:rPr>
            </w:pPr>
            <w:r>
              <w:rPr>
                <w:rFonts w:hint="eastAsia" w:ascii="仿宋" w:hAnsi="仿宋" w:eastAsia="仿宋"/>
                <w:color w:val="auto"/>
                <w:sz w:val="24"/>
                <w:szCs w:val="22"/>
                <w:highlight w:val="none"/>
                <w:u w:val="none"/>
                <w:lang w:val="en-US" w:eastAsia="zh-CN"/>
              </w:rPr>
              <w:t>3000000.00元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0" w:leftChars="0" w:firstLine="0" w:firstLineChars="0"/>
              <w:jc w:val="left"/>
              <w:rPr>
                <w:rFonts w:hint="eastAsia" w:ascii="仿宋" w:hAnsi="仿宋" w:eastAsia="仿宋"/>
                <w:color w:val="auto"/>
                <w:sz w:val="24"/>
                <w:highlight w:val="none"/>
              </w:rPr>
            </w:pPr>
            <w:r>
              <w:rPr>
                <w:rFonts w:hint="eastAsia" w:ascii="宋体" w:hAnsi="宋体" w:cs="宋体"/>
                <w:color w:val="auto"/>
                <w:kern w:val="0"/>
                <w:sz w:val="24"/>
                <w:szCs w:val="22"/>
                <w:highlight w:val="none"/>
                <w:lang w:val="en-US" w:eastAsia="zh-CN"/>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宋体" w:hAnsi="宋体" w:eastAsia="仿宋"/>
                <w:color w:val="auto"/>
                <w:sz w:val="24"/>
                <w:highlight w:val="none"/>
                <w:lang w:val="en-US" w:eastAsia="zh-CN"/>
              </w:rPr>
            </w:pPr>
            <w:r>
              <w:rPr>
                <w:rFonts w:hint="eastAsia" w:ascii="宋体" w:hAnsi="宋体" w:cs="宋体"/>
                <w:color w:val="auto"/>
                <w:kern w:val="0"/>
                <w:sz w:val="24"/>
                <w:szCs w:val="22"/>
                <w:highlight w:val="none"/>
                <w:lang w:val="en-US" w:eastAsia="zh-CN"/>
              </w:rPr>
              <w:t xml:space="preserve">总工期：90天（日历日） 计划：2021年11月15日开工，2022 年2月12日竣工。（如遇冬季施工，工期顺延）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8"/>
              <w:topLinePunct/>
              <w:jc w:val="center"/>
              <w:rPr>
                <w:rFonts w:hint="eastAsia" w:hAnsi="宋体"/>
                <w:color w:val="auto"/>
                <w:sz w:val="21"/>
                <w:szCs w:val="21"/>
                <w:highlight w:val="none"/>
              </w:rPr>
            </w:pPr>
            <w:r>
              <w:rPr>
                <w:rFonts w:hAnsi="宋体"/>
                <w:color w:val="auto"/>
                <w:sz w:val="21"/>
                <w:szCs w:val="21"/>
                <w:highlight w:val="none"/>
              </w:rPr>
              <w:t>封套上</w:t>
            </w:r>
            <w:r>
              <w:rPr>
                <w:rFonts w:hint="eastAsia" w:hAnsi="宋体"/>
                <w:color w:val="auto"/>
                <w:sz w:val="21"/>
                <w:szCs w:val="21"/>
                <w:highlight w:val="none"/>
              </w:rPr>
              <w:t>应载明的</w:t>
            </w:r>
          </w:p>
          <w:p>
            <w:pPr>
              <w:autoSpaceDE w:val="0"/>
              <w:autoSpaceDN w:val="0"/>
              <w:spacing w:line="480" w:lineRule="exact"/>
              <w:jc w:val="center"/>
              <w:rPr>
                <w:rFonts w:hint="eastAsia" w:ascii="宋体" w:hAnsi="宋体"/>
                <w:b/>
                <w:bCs/>
                <w:color w:val="auto"/>
                <w:kern w:val="0"/>
                <w:sz w:val="24"/>
                <w:highlight w:val="none"/>
              </w:rPr>
            </w:pPr>
            <w:r>
              <w:rPr>
                <w:rFonts w:hint="eastAsia" w:hAnsi="宋体"/>
                <w:color w:val="auto"/>
                <w:sz w:val="21"/>
                <w:szCs w:val="21"/>
                <w:highlight w:val="none"/>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8"/>
              <w:topLinePunct/>
              <w:rPr>
                <w:rFonts w:hint="eastAsia"/>
                <w:color w:val="auto"/>
                <w:sz w:val="21"/>
                <w:szCs w:val="21"/>
                <w:highlight w:val="none"/>
                <w:u w:val="none"/>
                <w:lang w:val="en-US" w:eastAsia="zh-CN"/>
              </w:rPr>
            </w:pPr>
            <w:r>
              <w:rPr>
                <w:rFonts w:hAnsi="宋体"/>
                <w:color w:val="auto"/>
                <w:sz w:val="21"/>
                <w:szCs w:val="21"/>
                <w:highlight w:val="none"/>
              </w:rPr>
              <w:t>招标人地址：</w:t>
            </w:r>
            <w:r>
              <w:rPr>
                <w:rFonts w:hint="eastAsia"/>
                <w:color w:val="auto"/>
                <w:sz w:val="21"/>
                <w:szCs w:val="21"/>
                <w:highlight w:val="none"/>
                <w:u w:val="none"/>
                <w:lang w:val="en-US" w:eastAsia="zh-CN"/>
              </w:rPr>
              <w:t xml:space="preserve"> </w:t>
            </w:r>
          </w:p>
          <w:p>
            <w:pPr>
              <w:pStyle w:val="8"/>
              <w:topLinePunct/>
              <w:rPr>
                <w:rFonts w:hint="eastAsia" w:hAnsi="宋体"/>
                <w:color w:val="auto"/>
                <w:sz w:val="21"/>
                <w:szCs w:val="21"/>
                <w:highlight w:val="none"/>
                <w:u w:val="none"/>
              </w:rPr>
            </w:pPr>
            <w:r>
              <w:rPr>
                <w:rFonts w:hAnsi="宋体"/>
                <w:color w:val="auto"/>
                <w:sz w:val="21"/>
                <w:szCs w:val="21"/>
                <w:highlight w:val="none"/>
              </w:rPr>
              <w:t>招标人名</w:t>
            </w:r>
            <w:r>
              <w:rPr>
                <w:rFonts w:hint="eastAsia"/>
                <w:color w:val="auto"/>
                <w:sz w:val="21"/>
                <w:szCs w:val="21"/>
                <w:highlight w:val="none"/>
                <w:u w:val="none"/>
              </w:rPr>
              <w:t>称：</w:t>
            </w:r>
            <w:r>
              <w:rPr>
                <w:rFonts w:hint="eastAsia" w:cs="Times New Roman"/>
                <w:color w:val="auto"/>
                <w:kern w:val="2"/>
                <w:sz w:val="21"/>
                <w:szCs w:val="21"/>
                <w:highlight w:val="none"/>
                <w:u w:val="none"/>
                <w:lang w:val="en-US" w:eastAsia="zh-CN" w:bidi="ar-SA"/>
              </w:rPr>
              <w:t xml:space="preserve"> </w:t>
            </w:r>
          </w:p>
          <w:p>
            <w:pPr>
              <w:widowControl/>
              <w:numPr>
                <w:ilvl w:val="0"/>
                <w:numId w:val="0"/>
              </w:numPr>
              <w:rPr>
                <w:rFonts w:hint="default" w:ascii="宋体"/>
                <w:color w:val="auto"/>
                <w:kern w:val="2"/>
                <w:sz w:val="21"/>
                <w:szCs w:val="21"/>
                <w:highlight w:val="none"/>
                <w:u w:val="none"/>
                <w:lang w:val="en-US" w:eastAsia="zh-CN" w:bidi="ar-SA"/>
              </w:rPr>
            </w:pPr>
            <w:r>
              <w:rPr>
                <w:rFonts w:hAnsi="宋体"/>
                <w:color w:val="auto"/>
                <w:sz w:val="21"/>
                <w:szCs w:val="21"/>
                <w:highlight w:val="none"/>
              </w:rPr>
              <w:t>项</w:t>
            </w:r>
            <w:r>
              <w:rPr>
                <w:rFonts w:hint="eastAsia" w:hAnsi="宋体"/>
                <w:color w:val="auto"/>
                <w:sz w:val="21"/>
                <w:szCs w:val="21"/>
                <w:highlight w:val="none"/>
                <w:lang w:val="en-US" w:eastAsia="zh-CN"/>
              </w:rPr>
              <w:t xml:space="preserve"> </w:t>
            </w:r>
            <w:r>
              <w:rPr>
                <w:rFonts w:hAnsi="宋体"/>
                <w:color w:val="auto"/>
                <w:sz w:val="21"/>
                <w:szCs w:val="21"/>
                <w:highlight w:val="none"/>
              </w:rPr>
              <w:t>目</w:t>
            </w:r>
            <w:r>
              <w:rPr>
                <w:rFonts w:hint="eastAsia" w:hAnsi="宋体"/>
                <w:color w:val="auto"/>
                <w:sz w:val="21"/>
                <w:szCs w:val="21"/>
                <w:highlight w:val="none"/>
                <w:lang w:val="en-US" w:eastAsia="zh-CN"/>
              </w:rPr>
              <w:t xml:space="preserve"> </w:t>
            </w:r>
            <w:r>
              <w:rPr>
                <w:rFonts w:hAnsi="宋体"/>
                <w:color w:val="auto"/>
                <w:sz w:val="21"/>
                <w:szCs w:val="21"/>
                <w:highlight w:val="none"/>
              </w:rPr>
              <w:t>名称</w:t>
            </w:r>
            <w:r>
              <w:rPr>
                <w:rFonts w:hint="eastAsia" w:hAnsi="宋体"/>
                <w:color w:val="auto"/>
                <w:sz w:val="21"/>
                <w:szCs w:val="21"/>
                <w:highlight w:val="none"/>
                <w:lang w:eastAsia="zh-CN"/>
              </w:rPr>
              <w:t>：</w:t>
            </w:r>
            <w:r>
              <w:rPr>
                <w:rFonts w:hint="eastAsia" w:ascii="宋体"/>
                <w:color w:val="auto"/>
                <w:kern w:val="2"/>
                <w:sz w:val="21"/>
                <w:szCs w:val="21"/>
                <w:highlight w:val="none"/>
                <w:u w:val="none"/>
                <w:lang w:val="en-US" w:eastAsia="zh-CN" w:bidi="ar-SA"/>
              </w:rPr>
              <w:t xml:space="preserve"> </w:t>
            </w:r>
          </w:p>
          <w:p>
            <w:pPr>
              <w:pStyle w:val="8"/>
              <w:topLinePunct/>
              <w:ind w:left="1260" w:hanging="1260" w:hangingChars="600"/>
              <w:rPr>
                <w:rFonts w:hint="default"/>
                <w:color w:val="auto"/>
                <w:sz w:val="21"/>
                <w:szCs w:val="21"/>
                <w:highlight w:val="none"/>
                <w:u w:val="none"/>
                <w:lang w:val="en-US" w:eastAsia="zh-CN"/>
              </w:rPr>
            </w:pPr>
            <w:r>
              <w:rPr>
                <w:rFonts w:hint="eastAsia"/>
                <w:color w:val="auto"/>
                <w:sz w:val="21"/>
                <w:szCs w:val="21"/>
                <w:highlight w:val="none"/>
                <w:u w:val="none"/>
                <w:lang w:val="en-US" w:eastAsia="zh-CN"/>
              </w:rPr>
              <w:t xml:space="preserve">投标文件在： </w:t>
            </w:r>
          </w:p>
          <w:p>
            <w:pPr>
              <w:widowControl/>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投标人地址：</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widowControl/>
              <w:spacing w:line="320" w:lineRule="exact"/>
              <w:rPr>
                <w:rFonts w:hint="eastAsia" w:ascii="仿宋" w:hAnsi="仿宋" w:eastAsia="仿宋"/>
                <w:color w:val="auto"/>
                <w:sz w:val="24"/>
                <w:highlight w:val="none"/>
              </w:rPr>
            </w:pPr>
            <w:r>
              <w:rPr>
                <w:rFonts w:hint="eastAsia" w:ascii="宋体" w:hAnsi="宋体"/>
                <w:b/>
                <w:color w:val="auto"/>
                <w:sz w:val="21"/>
                <w:szCs w:val="21"/>
                <w:highlight w:val="none"/>
              </w:rPr>
              <w:t>注：封口处加盖企业公章及法人章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仿宋" w:hAnsi="仿宋" w:eastAsia="仿宋" w:cs="Times New Roman"/>
                <w:sz w:val="28"/>
                <w:szCs w:val="28"/>
                <w:highlight w:val="none"/>
                <w:lang w:val="en-US" w:eastAsia="zh-CN"/>
              </w:rPr>
              <w:t>1</w:t>
            </w:r>
            <w:r>
              <w:rPr>
                <w:rFonts w:hint="eastAsia" w:ascii="宋体" w:hAnsi="宋体"/>
                <w:bCs/>
                <w:color w:val="auto"/>
                <w:kern w:val="0"/>
                <w:sz w:val="24"/>
                <w:highlight w:val="none"/>
                <w:lang w:val="en-US" w:eastAsia="zh-CN"/>
              </w:rPr>
              <w:t>、投标人必须符合《中华人民共和国政府采购法》第二十二条规定。</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1.1具有独立承担民事责任的能力；</w:t>
            </w:r>
            <w:r>
              <w:rPr>
                <w:rFonts w:hint="eastAsia" w:ascii="宋体" w:hAnsi="宋体"/>
                <w:bCs/>
                <w:color w:val="auto"/>
                <w:kern w:val="0"/>
                <w:sz w:val="24"/>
                <w:highlight w:val="none"/>
                <w:lang w:val="en-US" w:eastAsia="zh-CN"/>
              </w:rPr>
              <w:br w:type="textWrapping"/>
            </w:r>
            <w:r>
              <w:rPr>
                <w:rFonts w:hint="eastAsia" w:ascii="宋体" w:hAnsi="宋体"/>
                <w:bCs/>
                <w:color w:val="auto"/>
                <w:kern w:val="0"/>
                <w:sz w:val="24"/>
                <w:highlight w:val="none"/>
                <w:lang w:val="en-US" w:eastAsia="zh-CN"/>
              </w:rPr>
              <w:t>1.2具有良好的商业信誉和健全的财务会计制度；</w:t>
            </w:r>
            <w:r>
              <w:rPr>
                <w:rFonts w:hint="eastAsia" w:ascii="宋体" w:hAnsi="宋体"/>
                <w:bCs/>
                <w:color w:val="auto"/>
                <w:kern w:val="0"/>
                <w:sz w:val="24"/>
                <w:highlight w:val="none"/>
                <w:lang w:val="en-US" w:eastAsia="zh-CN"/>
              </w:rPr>
              <w:br w:type="textWrapping"/>
            </w:r>
            <w:r>
              <w:rPr>
                <w:rFonts w:hint="eastAsia" w:ascii="宋体" w:hAnsi="宋体"/>
                <w:bCs/>
                <w:color w:val="auto"/>
                <w:kern w:val="0"/>
                <w:sz w:val="24"/>
                <w:highlight w:val="none"/>
                <w:lang w:val="en-US" w:eastAsia="zh-CN"/>
              </w:rPr>
              <w:t>1.3具有履行合同所必需的设备和专业技术能力；</w:t>
            </w:r>
            <w:r>
              <w:rPr>
                <w:rFonts w:hint="eastAsia" w:ascii="宋体" w:hAnsi="宋体"/>
                <w:bCs/>
                <w:color w:val="auto"/>
                <w:kern w:val="0"/>
                <w:sz w:val="24"/>
                <w:highlight w:val="none"/>
                <w:lang w:val="en-US" w:eastAsia="zh-CN"/>
              </w:rPr>
              <w:br w:type="textWrapping"/>
            </w:r>
            <w:r>
              <w:rPr>
                <w:rFonts w:hint="eastAsia" w:ascii="宋体" w:hAnsi="宋体"/>
                <w:bCs/>
                <w:color w:val="auto"/>
                <w:kern w:val="0"/>
                <w:sz w:val="24"/>
                <w:highlight w:val="none"/>
                <w:lang w:val="en-US" w:eastAsia="zh-CN"/>
              </w:rPr>
              <w:t>1.4有依法缴纳税收和社会保障资金的良好记录；</w:t>
            </w:r>
            <w:r>
              <w:rPr>
                <w:rFonts w:hint="eastAsia" w:ascii="宋体" w:hAnsi="宋体"/>
                <w:bCs/>
                <w:color w:val="auto"/>
                <w:kern w:val="0"/>
                <w:sz w:val="24"/>
                <w:highlight w:val="none"/>
                <w:lang w:val="en-US" w:eastAsia="zh-CN"/>
              </w:rPr>
              <w:br w:type="textWrapping"/>
            </w:r>
            <w:r>
              <w:rPr>
                <w:rFonts w:hint="eastAsia" w:ascii="宋体" w:hAnsi="宋体"/>
                <w:bCs/>
                <w:color w:val="auto"/>
                <w:kern w:val="0"/>
                <w:sz w:val="24"/>
                <w:highlight w:val="none"/>
                <w:lang w:val="en-US" w:eastAsia="zh-CN"/>
              </w:rPr>
              <w:t>1.5参加政府采购活动前三年内，在经营活动中没有重大违法记录；</w:t>
            </w:r>
            <w:r>
              <w:rPr>
                <w:rFonts w:hint="eastAsia" w:ascii="宋体" w:hAnsi="宋体"/>
                <w:bCs/>
                <w:color w:val="auto"/>
                <w:kern w:val="0"/>
                <w:sz w:val="24"/>
                <w:highlight w:val="none"/>
                <w:lang w:val="en-US" w:eastAsia="zh-CN"/>
              </w:rPr>
              <w:br w:type="textWrapping"/>
            </w:r>
            <w:r>
              <w:rPr>
                <w:rFonts w:hint="eastAsia" w:ascii="宋体" w:hAnsi="宋体"/>
                <w:bCs/>
                <w:color w:val="auto"/>
                <w:kern w:val="0"/>
                <w:sz w:val="24"/>
                <w:highlight w:val="none"/>
                <w:lang w:val="en-US" w:eastAsia="zh-CN"/>
              </w:rPr>
              <w:t>1.6法律、行政法规规定的其他条件。</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 xml:space="preserve">2、资质条件： 建筑工程施工总承包叁级（含叁级）及以上资质，有安全生产许可证。疆外单位必须是在新疆维吾尔自治区区外进疆企业信息报送的单位。项目经理资格：项目经理须具备建筑工程专业贰级（含贰级）及以上注册建造师执业资格，具备有效的安全生产考核合格证书，且未担任其他建设工程项目的项目经理。 </w:t>
            </w:r>
            <w:r>
              <w:rPr>
                <w:rFonts w:hint="eastAsia" w:ascii="宋体" w:hAnsi="宋体"/>
                <w:bCs/>
                <w:color w:val="auto"/>
                <w:kern w:val="0"/>
                <w:sz w:val="24"/>
                <w:highlight w:val="none"/>
                <w:lang w:val="en-US" w:eastAsia="zh-CN"/>
              </w:rPr>
              <w:br w:type="textWrapping"/>
            </w:r>
            <w:r>
              <w:rPr>
                <w:rFonts w:hint="eastAsia" w:ascii="宋体" w:hAnsi="宋体"/>
                <w:bCs/>
                <w:color w:val="auto"/>
                <w:kern w:val="0"/>
                <w:sz w:val="24"/>
                <w:highlight w:val="none"/>
                <w:lang w:val="en-US" w:eastAsia="zh-CN"/>
              </w:rPr>
              <w:t>3、投标人参加本次政府采购活动应具备下列条标要求投标人须提供有效的营业执照、并在人员、设备、资金等方面具有相应的能力；</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3.1 需提供“信用中国”网站（www.creditchina.gov.cn）和“中国政府采购网”（ www.ccgp.gov.cn）中“政府采购严重违法失信行为信息记录”查询结果的截图并加盖公章。</w:t>
            </w:r>
          </w:p>
          <w:p>
            <w:pPr>
              <w:autoSpaceDE w:val="0"/>
              <w:autoSpaceDN w:val="0"/>
              <w:spacing w:line="320" w:lineRule="exact"/>
              <w:jc w:val="left"/>
              <w:rPr>
                <w:rFonts w:hint="eastAsia" w:ascii="宋体" w:hAnsi="宋体" w:eastAsia="宋体"/>
                <w:color w:val="auto"/>
                <w:sz w:val="24"/>
                <w:highlight w:val="none"/>
                <w:lang w:eastAsia="zh-CN"/>
              </w:rPr>
            </w:pPr>
            <w:r>
              <w:rPr>
                <w:rFonts w:hint="eastAsia" w:ascii="宋体" w:hAnsi="宋体"/>
                <w:bCs/>
                <w:color w:val="auto"/>
                <w:kern w:val="0"/>
                <w:sz w:val="24"/>
                <w:highlight w:val="none"/>
                <w:lang w:val="en-US" w:eastAsia="zh-CN"/>
              </w:rPr>
              <w:t>4、本项目不接受联合体投标。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投标文件由</w:t>
            </w:r>
            <w:r>
              <w:rPr>
                <w:rFonts w:hint="eastAsia" w:ascii="宋体" w:hAnsi="宋体"/>
                <w:bCs/>
                <w:color w:val="auto"/>
                <w:kern w:val="0"/>
                <w:sz w:val="24"/>
                <w:highlight w:val="none"/>
                <w:lang w:eastAsia="zh-CN"/>
              </w:rPr>
              <w:t>商务、报价</w:t>
            </w:r>
            <w:r>
              <w:rPr>
                <w:rFonts w:hint="eastAsia" w:ascii="宋体" w:hAnsi="宋体"/>
                <w:bCs/>
                <w:color w:val="auto"/>
                <w:kern w:val="0"/>
                <w:sz w:val="24"/>
                <w:highlight w:val="none"/>
              </w:rPr>
              <w:t>和技术</w:t>
            </w:r>
            <w:r>
              <w:rPr>
                <w:rFonts w:hint="eastAsia" w:ascii="宋体" w:hAnsi="宋体"/>
                <w:bCs/>
                <w:color w:val="auto"/>
                <w:kern w:val="0"/>
                <w:sz w:val="24"/>
                <w:highlight w:val="none"/>
                <w:lang w:eastAsia="zh-CN"/>
              </w:rPr>
              <w:t>三</w:t>
            </w:r>
            <w:r>
              <w:rPr>
                <w:rFonts w:hint="eastAsia" w:ascii="宋体" w:hAnsi="宋体"/>
                <w:bCs/>
                <w:color w:val="auto"/>
                <w:kern w:val="0"/>
                <w:sz w:val="24"/>
                <w:highlight w:val="none"/>
              </w:rPr>
              <w:t>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ascii="宋体" w:hAnsi="宋体"/>
                <w:bCs/>
                <w:color w:val="auto"/>
                <w:kern w:val="0"/>
                <w:sz w:val="24"/>
                <w:highlight w:val="none"/>
              </w:rPr>
            </w:pPr>
            <w:r>
              <w:rPr>
                <w:rFonts w:hint="eastAsia" w:ascii="宋体" w:hAnsi="宋体"/>
                <w:bCs/>
                <w:color w:val="auto"/>
                <w:kern w:val="0"/>
                <w:sz w:val="24"/>
                <w:highlight w:val="none"/>
                <w:lang w:eastAsia="zh-CN"/>
              </w:rPr>
              <w:t>贰</w:t>
            </w:r>
            <w:r>
              <w:rPr>
                <w:rFonts w:hint="eastAsia" w:ascii="宋体" w:hAnsi="宋体"/>
                <w:bCs/>
                <w:color w:val="auto"/>
                <w:kern w:val="0"/>
                <w:sz w:val="24"/>
                <w:highlight w:val="none"/>
              </w:rPr>
              <w:t>份，正本</w:t>
            </w:r>
            <w:r>
              <w:rPr>
                <w:rFonts w:hint="eastAsia" w:ascii="宋体" w:hAnsi="宋体"/>
                <w:bCs/>
                <w:color w:val="auto"/>
                <w:kern w:val="0"/>
                <w:sz w:val="24"/>
                <w:highlight w:val="none"/>
                <w:u w:val="single"/>
              </w:rPr>
              <w:t xml:space="preserve"> 壹 </w:t>
            </w:r>
            <w:r>
              <w:rPr>
                <w:rFonts w:hint="eastAsia" w:ascii="宋体" w:hAnsi="宋体"/>
                <w:bCs/>
                <w:color w:val="auto"/>
                <w:kern w:val="0"/>
                <w:sz w:val="24"/>
                <w:highlight w:val="none"/>
              </w:rPr>
              <w:t>份，副本</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u w:val="single"/>
                <w:lang w:eastAsia="zh-CN"/>
              </w:rPr>
              <w:t>贰</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份</w:t>
            </w:r>
            <w:r>
              <w:rPr>
                <w:rFonts w:hint="eastAsia" w:ascii="宋体" w:hAnsi="宋体"/>
                <w:bCs/>
                <w:color w:val="auto"/>
                <w:kern w:val="0"/>
                <w:sz w:val="24"/>
                <w:highlight w:val="none"/>
                <w:lang w:eastAsia="zh-CN"/>
              </w:rPr>
              <w:t>，</w:t>
            </w:r>
            <w:r>
              <w:rPr>
                <w:rFonts w:hint="eastAsia" w:ascii="宋体" w:hAnsi="宋体"/>
                <w:bCs/>
                <w:color w:val="auto"/>
                <w:kern w:val="0"/>
                <w:sz w:val="24"/>
                <w:highlight w:val="none"/>
                <w:lang w:val="en-US" w:eastAsia="zh-CN"/>
              </w:rPr>
              <w:t>U</w:t>
            </w:r>
            <w:r>
              <w:rPr>
                <w:rFonts w:hint="eastAsia" w:ascii="宋体" w:hAnsi="宋体"/>
                <w:bCs/>
                <w:color w:val="auto"/>
                <w:kern w:val="0"/>
                <w:sz w:val="24"/>
                <w:highlight w:val="none"/>
                <w:lang w:eastAsia="zh-CN"/>
              </w:rPr>
              <w:t>盘</w:t>
            </w:r>
            <w:r>
              <w:rPr>
                <w:rFonts w:hint="eastAsia" w:ascii="宋体" w:hAnsi="宋体"/>
                <w:bCs/>
                <w:color w:val="auto"/>
                <w:kern w:val="0"/>
                <w:sz w:val="24"/>
                <w:highlight w:val="none"/>
                <w:lang w:val="en-US" w:eastAsia="zh-CN"/>
              </w:rPr>
              <w:t>1份（含商务、报价及技术）</w:t>
            </w:r>
            <w:r>
              <w:rPr>
                <w:rFonts w:hint="eastAsia" w:ascii="宋体" w:hAnsi="宋体"/>
                <w:bCs/>
                <w:color w:val="auto"/>
                <w:kern w:val="0"/>
                <w:sz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color w:val="auto"/>
                <w:sz w:val="24"/>
                <w:highlight w:val="none"/>
              </w:rPr>
            </w:pPr>
            <w:r>
              <w:rPr>
                <w:rFonts w:hint="eastAsia" w:ascii="宋体" w:hAnsi="宋体"/>
                <w:color w:val="auto"/>
                <w:sz w:val="24"/>
                <w:highlight w:val="none"/>
              </w:rPr>
              <w:t>截止日期：</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2021 </w:t>
            </w:r>
            <w:r>
              <w:rPr>
                <w:rFonts w:hint="eastAsia" w:ascii="宋体" w:hAnsi="宋体"/>
                <w:color w:val="auto"/>
                <w:sz w:val="24"/>
                <w:highlight w:val="none"/>
              </w:rPr>
              <w:t>年</w:t>
            </w:r>
            <w:r>
              <w:rPr>
                <w:rFonts w:hint="eastAsia" w:ascii="宋体" w:hAnsi="宋体"/>
                <w:color w:val="auto"/>
                <w:sz w:val="24"/>
                <w:highlight w:val="none"/>
                <w:u w:val="single"/>
                <w:lang w:val="en-US" w:eastAsia="zh-CN"/>
              </w:rPr>
              <w:t>11</w:t>
            </w:r>
            <w:r>
              <w:rPr>
                <w:rFonts w:hint="eastAsia" w:ascii="宋体" w:hAnsi="宋体"/>
                <w:color w:val="auto"/>
                <w:sz w:val="24"/>
                <w:highlight w:val="none"/>
              </w:rPr>
              <w:t>月</w:t>
            </w:r>
            <w:r>
              <w:rPr>
                <w:rFonts w:hint="eastAsia" w:ascii="宋体" w:hAnsi="宋体"/>
                <w:color w:val="auto"/>
                <w:sz w:val="24"/>
                <w:highlight w:val="none"/>
                <w:u w:val="single"/>
                <w:lang w:val="en-US" w:eastAsia="zh-CN"/>
              </w:rPr>
              <w:t>11</w:t>
            </w:r>
            <w:r>
              <w:rPr>
                <w:rFonts w:hint="eastAsia" w:ascii="宋体" w:hAnsi="宋体"/>
                <w:color w:val="auto"/>
                <w:sz w:val="24"/>
                <w:highlight w:val="none"/>
              </w:rPr>
              <w:t>日；</w:t>
            </w:r>
          </w:p>
          <w:p>
            <w:pPr>
              <w:autoSpaceDE w:val="0"/>
              <w:autoSpaceDN w:val="0"/>
              <w:spacing w:line="320" w:lineRule="exact"/>
              <w:rPr>
                <w:rFonts w:hint="eastAsia" w:ascii="宋体" w:hAnsi="宋体"/>
                <w:color w:val="auto"/>
                <w:sz w:val="24"/>
                <w:highlight w:val="none"/>
              </w:rPr>
            </w:pPr>
            <w:r>
              <w:rPr>
                <w:rFonts w:hint="eastAsia" w:ascii="宋体" w:hAnsi="宋体"/>
                <w:color w:val="auto"/>
                <w:sz w:val="24"/>
                <w:highlight w:val="none"/>
              </w:rPr>
              <w:t>截止时间：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16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 分</w:t>
            </w:r>
            <w:r>
              <w:rPr>
                <w:rFonts w:hint="eastAsia" w:ascii="宋体" w:hAnsi="宋体"/>
                <w:color w:val="auto"/>
                <w:sz w:val="24"/>
                <w:highlight w:val="none"/>
              </w:rPr>
              <w:t>（北京时</w:t>
            </w:r>
            <w:r>
              <w:rPr>
                <w:rFonts w:hint="eastAsia" w:ascii="宋体" w:hAnsi="宋体"/>
                <w:color w:val="auto"/>
                <w:sz w:val="24"/>
                <w:highlight w:val="none"/>
                <w:lang w:eastAsia="zh-CN"/>
              </w:rPr>
              <w:t>间，下同</w:t>
            </w:r>
            <w:r>
              <w:rPr>
                <w:rFonts w:hint="eastAsia" w:ascii="宋体" w:hAnsi="宋体"/>
                <w:color w:val="auto"/>
                <w:sz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bCs/>
                <w:color w:val="auto"/>
                <w:kern w:val="0"/>
                <w:sz w:val="24"/>
                <w:highlight w:val="none"/>
                <w:u w:val="single"/>
                <w:lang w:val="en-US" w:eastAsia="zh-CN"/>
              </w:rPr>
              <w:t>45</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投标文件递交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bCs/>
                <w:color w:val="auto"/>
                <w:kern w:val="0"/>
                <w:sz w:val="24"/>
                <w:szCs w:val="22"/>
                <w:highlight w:val="none"/>
              </w:rPr>
            </w:pPr>
            <w:r>
              <w:rPr>
                <w:rFonts w:hint="eastAsia" w:ascii="宋体" w:hAnsi="宋体"/>
                <w:bCs/>
                <w:color w:val="auto"/>
                <w:kern w:val="0"/>
                <w:sz w:val="24"/>
                <w:highlight w:val="none"/>
              </w:rPr>
              <w:t>递交地点：</w:t>
            </w:r>
            <w:r>
              <w:rPr>
                <w:rFonts w:hint="eastAsia" w:ascii="宋体" w:hAnsi="宋体"/>
                <w:bCs/>
                <w:color w:val="auto"/>
                <w:kern w:val="0"/>
                <w:sz w:val="24"/>
                <w:highlight w:val="none"/>
                <w:lang w:val="en-US" w:eastAsia="zh-CN"/>
              </w:rPr>
              <w:t>新疆金泰首致项目管理咨询有限公司</w:t>
            </w:r>
            <w:r>
              <w:rPr>
                <w:rFonts w:hint="eastAsia" w:ascii="宋体" w:hAnsi="宋体"/>
                <w:bCs/>
                <w:color w:val="auto"/>
                <w:kern w:val="0"/>
                <w:sz w:val="24"/>
                <w:szCs w:val="22"/>
                <w:highlight w:val="none"/>
                <w:lang w:val="en-US" w:eastAsia="zh-CN"/>
              </w:rPr>
              <w:t>开标厅</w:t>
            </w:r>
          </w:p>
          <w:p>
            <w:pPr>
              <w:autoSpaceDE w:val="0"/>
              <w:autoSpaceDN w:val="0"/>
              <w:spacing w:line="320" w:lineRule="exact"/>
              <w:rPr>
                <w:rFonts w:hint="eastAsia" w:ascii="宋体" w:hAnsi="宋体"/>
                <w:bCs/>
                <w:color w:val="auto"/>
                <w:kern w:val="0"/>
                <w:sz w:val="24"/>
                <w:highlight w:val="none"/>
                <w:u w:val="single"/>
              </w:rPr>
            </w:pPr>
            <w:r>
              <w:rPr>
                <w:rFonts w:hint="eastAsia" w:ascii="宋体" w:hAnsi="宋体"/>
                <w:bCs/>
                <w:color w:val="auto"/>
                <w:kern w:val="0"/>
                <w:sz w:val="24"/>
                <w:highlight w:val="none"/>
              </w:rPr>
              <w:t>详细地址：阿勒泰地区阿勒泰市</w:t>
            </w:r>
            <w:r>
              <w:rPr>
                <w:rFonts w:hint="eastAsia" w:ascii="宋体" w:hAnsi="宋体"/>
                <w:bCs/>
                <w:color w:val="auto"/>
                <w:kern w:val="0"/>
                <w:sz w:val="24"/>
                <w:highlight w:val="none"/>
                <w:lang w:eastAsia="zh-CN"/>
              </w:rPr>
              <w:t>御华园小区</w:t>
            </w:r>
            <w:r>
              <w:rPr>
                <w:rFonts w:hint="eastAsia" w:ascii="宋体" w:hAnsi="宋体"/>
                <w:bCs/>
                <w:color w:val="auto"/>
                <w:kern w:val="0"/>
                <w:sz w:val="24"/>
                <w:highlight w:val="none"/>
                <w:lang w:val="en-US" w:eastAsia="zh-CN"/>
              </w:rPr>
              <w:t>2栋4单元3楼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7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color w:val="auto"/>
                <w:sz w:val="24"/>
                <w:highlight w:val="none"/>
              </w:rPr>
            </w:pPr>
            <w:r>
              <w:rPr>
                <w:rFonts w:hint="eastAsia" w:ascii="宋体" w:hAnsi="宋体"/>
                <w:color w:val="auto"/>
                <w:sz w:val="24"/>
                <w:highlight w:val="none"/>
              </w:rPr>
              <w:t>截止日期：</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2021 </w:t>
            </w:r>
            <w:r>
              <w:rPr>
                <w:rFonts w:hint="eastAsia" w:ascii="宋体" w:hAnsi="宋体"/>
                <w:color w:val="auto"/>
                <w:sz w:val="24"/>
                <w:highlight w:val="none"/>
              </w:rPr>
              <w:t>年</w:t>
            </w:r>
            <w:r>
              <w:rPr>
                <w:rFonts w:hint="eastAsia" w:ascii="宋体" w:hAnsi="宋体"/>
                <w:color w:val="auto"/>
                <w:sz w:val="24"/>
                <w:highlight w:val="none"/>
                <w:u w:val="single"/>
                <w:lang w:val="en-US" w:eastAsia="zh-CN"/>
              </w:rPr>
              <w:t>11</w:t>
            </w:r>
            <w:r>
              <w:rPr>
                <w:rFonts w:hint="eastAsia" w:ascii="宋体" w:hAnsi="宋体"/>
                <w:color w:val="auto"/>
                <w:sz w:val="24"/>
                <w:highlight w:val="none"/>
              </w:rPr>
              <w:t>月</w:t>
            </w:r>
            <w:r>
              <w:rPr>
                <w:rFonts w:hint="eastAsia" w:ascii="宋体" w:hAnsi="宋体"/>
                <w:color w:val="auto"/>
                <w:sz w:val="24"/>
                <w:highlight w:val="none"/>
                <w:u w:val="single"/>
                <w:lang w:val="en-US" w:eastAsia="zh-CN"/>
              </w:rPr>
              <w:t>11</w:t>
            </w:r>
            <w:r>
              <w:rPr>
                <w:rFonts w:hint="eastAsia" w:ascii="宋体" w:hAnsi="宋体"/>
                <w:color w:val="auto"/>
                <w:sz w:val="24"/>
                <w:highlight w:val="none"/>
              </w:rPr>
              <w:t>日；</w:t>
            </w:r>
          </w:p>
          <w:p>
            <w:pPr>
              <w:autoSpaceDE w:val="0"/>
              <w:autoSpaceDN w:val="0"/>
              <w:spacing w:line="400" w:lineRule="exact"/>
              <w:textAlignment w:val="bottom"/>
              <w:rPr>
                <w:rFonts w:hint="eastAsia" w:ascii="宋体" w:hAnsi="宋体"/>
                <w:color w:val="auto"/>
                <w:sz w:val="24"/>
                <w:highlight w:val="none"/>
                <w:u w:val="single"/>
              </w:rPr>
            </w:pPr>
            <w:r>
              <w:rPr>
                <w:rFonts w:hint="eastAsia" w:ascii="宋体" w:hAnsi="宋体"/>
                <w:color w:val="auto"/>
                <w:sz w:val="24"/>
                <w:highlight w:val="none"/>
              </w:rPr>
              <w:t>截止时间：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16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 分</w:t>
            </w:r>
          </w:p>
          <w:p>
            <w:pPr>
              <w:autoSpaceDE w:val="0"/>
              <w:autoSpaceDN w:val="0"/>
              <w:spacing w:line="400" w:lineRule="exact"/>
              <w:textAlignment w:val="bottom"/>
              <w:rPr>
                <w:rFonts w:hint="eastAsia" w:ascii="宋体" w:hAnsi="宋体"/>
                <w:bCs/>
                <w:color w:val="auto"/>
                <w:kern w:val="0"/>
                <w:sz w:val="24"/>
                <w:highlight w:val="none"/>
              </w:rPr>
            </w:pPr>
            <w:r>
              <w:rPr>
                <w:rFonts w:hint="eastAsia" w:ascii="宋体" w:hAnsi="宋体"/>
                <w:bCs/>
                <w:color w:val="auto"/>
                <w:kern w:val="0"/>
                <w:sz w:val="24"/>
                <w:highlight w:val="none"/>
              </w:rPr>
              <w:t>开标地址：</w:t>
            </w:r>
            <w:r>
              <w:rPr>
                <w:rFonts w:hint="eastAsia" w:ascii="宋体" w:hAnsi="宋体"/>
                <w:bCs/>
                <w:color w:val="auto"/>
                <w:kern w:val="0"/>
                <w:sz w:val="24"/>
                <w:highlight w:val="none"/>
                <w:lang w:val="en-US" w:eastAsia="zh-CN"/>
              </w:rPr>
              <w:t>新疆金泰首致项目管理咨询有限公司</w:t>
            </w:r>
            <w:r>
              <w:rPr>
                <w:rFonts w:hint="eastAsia" w:ascii="宋体" w:hAnsi="宋体"/>
                <w:bCs/>
                <w:color w:val="auto"/>
                <w:kern w:val="0"/>
                <w:sz w:val="24"/>
                <w:szCs w:val="22"/>
                <w:highlight w:val="none"/>
                <w:lang w:val="en-US" w:eastAsia="zh-CN"/>
              </w:rPr>
              <w:t>开标厅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eastAsia="zh-CN"/>
              </w:rPr>
            </w:pPr>
            <w:r>
              <w:rPr>
                <w:rFonts w:hint="eastAsia" w:ascii="宋体" w:hAnsi="宋体"/>
                <w:bCs/>
                <w:color w:val="auto"/>
                <w:kern w:val="0"/>
                <w:sz w:val="24"/>
                <w:highlight w:val="none"/>
                <w:lang w:eastAsia="zh-CN"/>
              </w:rPr>
              <w:t>竞争性谈判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投标控制价</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b w:val="0"/>
                <w:bCs/>
                <w:color w:val="auto"/>
                <w:sz w:val="24"/>
                <w:highlight w:val="none"/>
              </w:rPr>
            </w:pPr>
            <w:r>
              <w:rPr>
                <w:rFonts w:hint="eastAsia" w:ascii="宋体" w:hAnsi="宋体"/>
                <w:b w:val="0"/>
                <w:bCs/>
                <w:color w:val="auto"/>
                <w:sz w:val="24"/>
                <w:highlight w:val="none"/>
                <w:lang w:val="en-US" w:eastAsia="zh-CN"/>
              </w:rPr>
              <w:t>2630968.81元</w:t>
            </w:r>
            <w:r>
              <w:rPr>
                <w:rFonts w:hint="eastAsia" w:ascii="宋体" w:hAnsi="宋体"/>
                <w:b w:val="0"/>
                <w:bCs/>
                <w:color w:val="auto"/>
                <w:sz w:val="24"/>
                <w:highlight w:val="none"/>
              </w:rPr>
              <w:t>（大写：</w:t>
            </w:r>
            <w:r>
              <w:rPr>
                <w:rFonts w:hint="eastAsia" w:ascii="宋体" w:hAnsi="宋体"/>
                <w:b w:val="0"/>
                <w:bCs/>
                <w:color w:val="auto"/>
                <w:sz w:val="24"/>
                <w:highlight w:val="none"/>
                <w:lang w:eastAsia="zh-CN"/>
              </w:rPr>
              <w:t>贰佰陆拾叁万零玖佰陆拾捌元捌角壹分</w:t>
            </w:r>
            <w:r>
              <w:rPr>
                <w:rFonts w:hint="eastAsia" w:ascii="宋体" w:hAnsi="宋体"/>
                <w:b w:val="0"/>
                <w:bCs/>
                <w:color w:val="auto"/>
                <w:sz w:val="24"/>
                <w:highlight w:val="none"/>
              </w:rPr>
              <w:t>）</w:t>
            </w:r>
          </w:p>
          <w:p>
            <w:pPr>
              <w:autoSpaceDE w:val="0"/>
              <w:autoSpaceDN w:val="0"/>
              <w:spacing w:line="320" w:lineRule="exact"/>
              <w:rPr>
                <w:rFonts w:hint="eastAsia" w:ascii="宋体" w:hAnsi="宋体"/>
                <w:bCs/>
                <w:color w:val="auto"/>
                <w:kern w:val="0"/>
                <w:sz w:val="24"/>
                <w:highlight w:val="none"/>
                <w:lang w:eastAsia="zh-CN"/>
              </w:rPr>
            </w:pPr>
            <w:r>
              <w:rPr>
                <w:rFonts w:hint="eastAsia" w:ascii="宋体" w:hAnsi="宋体"/>
                <w:b w:val="0"/>
                <w:bCs/>
                <w:color w:val="auto"/>
                <w:sz w:val="24"/>
                <w:highlight w:val="none"/>
              </w:rPr>
              <w:t>（超过</w:t>
            </w:r>
            <w:r>
              <w:rPr>
                <w:rFonts w:hint="eastAsia" w:ascii="宋体" w:hAnsi="宋体"/>
                <w:b w:val="0"/>
                <w:bCs/>
                <w:color w:val="auto"/>
                <w:sz w:val="24"/>
                <w:highlight w:val="none"/>
                <w:lang w:eastAsia="zh-CN"/>
              </w:rPr>
              <w:t>投标控制价</w:t>
            </w:r>
            <w:r>
              <w:rPr>
                <w:rFonts w:hint="eastAsia" w:ascii="宋体" w:hAnsi="宋体"/>
                <w:b w:val="0"/>
                <w:bCs/>
                <w:color w:val="auto"/>
                <w:sz w:val="24"/>
                <w:highlight w:val="none"/>
              </w:rPr>
              <w:t>为无效标书，做出废标处理）</w:t>
            </w:r>
            <w:r>
              <w:rPr>
                <w:rFonts w:hint="eastAsia" w:ascii="宋体" w:hAnsi="宋体"/>
                <w:b w:val="0"/>
                <w:bCs/>
                <w:color w:val="auto"/>
                <w:sz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rPr>
              <w:t>投标保证金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标保证金的形式：转账或电汇</w:t>
            </w:r>
          </w:p>
          <w:p>
            <w:pPr>
              <w:autoSpaceDE w:val="0"/>
              <w:autoSpaceDN w:val="0"/>
              <w:spacing w:line="320" w:lineRule="exact"/>
              <w:rPr>
                <w:rFonts w:hint="default"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投标保证金的金额：30000元（三万元整）/单位</w:t>
            </w:r>
          </w:p>
          <w:p>
            <w:pPr>
              <w:autoSpaceDE w:val="0"/>
              <w:autoSpaceDN w:val="0"/>
              <w:spacing w:line="320" w:lineRule="exac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开户名称：新疆金泰首致项目管理咨询有限公司</w:t>
            </w:r>
          </w:p>
          <w:p>
            <w:pPr>
              <w:autoSpaceDE w:val="0"/>
              <w:autoSpaceDN w:val="0"/>
              <w:spacing w:line="320" w:lineRule="exac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开户银行：中国农业银行股份有限公司阿勒泰市支行</w:t>
            </w:r>
          </w:p>
          <w:p>
            <w:pPr>
              <w:autoSpaceDE w:val="0"/>
              <w:autoSpaceDN w:val="0"/>
              <w:spacing w:line="320" w:lineRule="exac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账    号：30150801040007147</w:t>
            </w:r>
          </w:p>
          <w:p>
            <w:pPr>
              <w:autoSpaceDE w:val="0"/>
              <w:autoSpaceDN w:val="0"/>
              <w:spacing w:line="320" w:lineRule="exact"/>
              <w:rPr>
                <w:rFonts w:hint="eastAsia" w:ascii="宋体" w:hAnsi="宋体"/>
                <w:bCs/>
                <w:color w:val="auto"/>
                <w:kern w:val="0"/>
                <w:sz w:val="24"/>
                <w:highlight w:val="none"/>
                <w:lang w:val="en-US"/>
              </w:rPr>
            </w:pPr>
            <w:r>
              <w:rPr>
                <w:rFonts w:hint="eastAsia" w:ascii="宋体" w:hAnsi="宋体"/>
                <w:bCs/>
                <w:color w:val="auto"/>
                <w:kern w:val="0"/>
                <w:sz w:val="24"/>
                <w:highlight w:val="none"/>
                <w:lang w:val="en-US" w:eastAsia="zh-CN"/>
              </w:rPr>
              <w:t>注：投标保证金须在2021年11月10日19：00前到帐。投标人按上述要求从基本户递交谈判保证金后，请携带银行电汇或转账凭据到阿勒泰地区阿勒泰市御华园小区2栋4单元2楼领取招标代理机构开具的谈判保证金收款收据，联系电话：13669957007。递交谈判保证金时请注明项目编号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1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rFonts w:ascii="宋体" w:hAnsi="宋体"/>
                <w:color w:val="auto"/>
                <w:sz w:val="24"/>
                <w:szCs w:val="24"/>
                <w:highlight w:val="none"/>
              </w:rPr>
            </w:pPr>
            <w:r>
              <w:rPr>
                <w:rFonts w:hint="eastAsia" w:ascii="宋体" w:hAnsi="宋体"/>
                <w:color w:val="auto"/>
                <w:sz w:val="24"/>
                <w:szCs w:val="24"/>
                <w:highlight w:val="none"/>
              </w:rPr>
              <w:t>开标前，请各投标人随身携带下列有效证件以备随时查验：</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1、企业法人证明或法定代表人授权委托书及委托代理人身份证</w:t>
            </w:r>
            <w:r>
              <w:rPr>
                <w:rFonts w:hint="eastAsia" w:ascii="宋体" w:hAnsi="宋体"/>
                <w:b w:val="0"/>
                <w:bCs w:val="0"/>
                <w:color w:val="auto"/>
                <w:sz w:val="24"/>
                <w:szCs w:val="24"/>
                <w:highlight w:val="none"/>
                <w:lang w:eastAsia="zh-CN"/>
              </w:rPr>
              <w:t>；法定代表人授权委托书应当单独提供，并与投标文件中所提供的相一致。以上证件均应当为原件；</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2 、企业有效营业执照副本原件、有效的资质证书原件、有效安全生产许可证原件；</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3 、本工程拟派负责人的证书原件、安全生产考核证原件；</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“信用中国”网站及“中国政府采购网”无不良记录查询页面打印件加盖公章；</w:t>
            </w:r>
          </w:p>
          <w:p>
            <w:pPr>
              <w:numPr>
                <w:ilvl w:val="0"/>
                <w:numId w:val="0"/>
              </w:numPr>
              <w:spacing w:line="350" w:lineRule="exact"/>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eastAsia="zh-CN"/>
              </w:rPr>
              <w:t>保证金收据原件；</w:t>
            </w:r>
          </w:p>
          <w:p>
            <w:pPr>
              <w:numPr>
                <w:ilvl w:val="0"/>
                <w:numId w:val="0"/>
              </w:numPr>
              <w:spacing w:line="350" w:lineRule="exact"/>
              <w:rPr>
                <w:rFonts w:hint="default"/>
                <w:color w:val="auto"/>
                <w:highlight w:val="none"/>
                <w:lang w:val="en-US"/>
              </w:rPr>
            </w:pPr>
            <w:r>
              <w:rPr>
                <w:rFonts w:hint="eastAsia" w:ascii="宋体" w:hAnsi="宋体"/>
                <w:b w:val="0"/>
                <w:bCs w:val="0"/>
                <w:color w:val="auto"/>
                <w:sz w:val="24"/>
                <w:szCs w:val="24"/>
                <w:highlight w:val="none"/>
                <w:lang w:eastAsia="zh-CN"/>
              </w:rPr>
              <w:t>证件齐全、满足要求的投标人为有效投标人。上述证件的公证件，本次招标不予认可。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Times New Roman" w:hAnsi="Times New Roman" w:eastAsia="宋体" w:cs="Times New Roman"/>
                <w:color w:val="auto"/>
                <w:kern w:val="2"/>
                <w:sz w:val="21"/>
                <w:lang w:val="en-US" w:eastAsia="zh-CN" w:bidi="ar-SA"/>
              </w:rPr>
            </w:pPr>
            <w:r>
              <w:rPr>
                <w:rFonts w:hint="eastAsia" w:ascii="宋体" w:hAnsi="宋体" w:cs="宋体"/>
                <w:color w:val="auto"/>
                <w:kern w:val="0"/>
                <w:sz w:val="24"/>
                <w:szCs w:val="24"/>
                <w:highlight w:val="none"/>
                <w:lang w:val="en-US" w:eastAsia="zh-CN"/>
              </w:rPr>
              <w:t xml:space="preserve">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投标人拒绝或者变相拒绝提供有效书面说明或者书面说明不能证明其报价合理性的，评标委员会应当将其投标文件作为无效处理。 </w:t>
            </w:r>
            <w:r>
              <w:rPr>
                <w:rFonts w:hint="eastAsia" w:ascii="宋体" w:hAnsi="宋体" w:cs="宋体"/>
                <w:color w:val="auto"/>
                <w:kern w:val="0"/>
                <w:sz w:val="21"/>
                <w:szCs w:val="21"/>
                <w:highlight w:val="non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3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4"/>
                <w:szCs w:val="24"/>
                <w:highlight w:val="none"/>
                <w:lang w:val="en-US" w:eastAsia="zh-CN"/>
              </w:rPr>
              <w:t xml:space="preserve">根据财库《2011》181号第五条财政部发布的《政府采购促进中小企业发展暂行办法》规定，本项目对小型和微型企业产品的价格给予相应的扣除。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20</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bCs/>
                <w:color w:val="auto"/>
                <w:kern w:val="0"/>
                <w:sz w:val="24"/>
                <w:highlight w:val="none"/>
                <w:lang w:val="en-US" w:eastAsia="zh-CN"/>
              </w:rPr>
              <w:t>以中标金额参照新计价房【2002】1980号文计算，由中标单位支付。</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p>
      <w:pPr>
        <w:jc w:val="both"/>
        <w:outlineLvl w:val="0"/>
        <w:rPr>
          <w:rFonts w:hint="eastAsia" w:ascii="宋体" w:hAnsi="宋体"/>
          <w:b/>
          <w:color w:val="auto"/>
          <w:sz w:val="24"/>
          <w:szCs w:val="24"/>
        </w:rPr>
      </w:pPr>
      <w:bookmarkStart w:id="54" w:name="_Toc41448312"/>
      <w:bookmarkStart w:id="55" w:name="_Toc26256051"/>
      <w:bookmarkStart w:id="56" w:name="_Toc43792838"/>
      <w:bookmarkStart w:id="57" w:name="_Toc44350282"/>
      <w:bookmarkStart w:id="58" w:name="_Toc73526185"/>
    </w:p>
    <w:p>
      <w:pPr>
        <w:pStyle w:val="22"/>
        <w:rPr>
          <w:rFonts w:hint="eastAsia" w:ascii="宋体" w:hAnsi="宋体"/>
          <w:b/>
          <w:color w:val="auto"/>
          <w:sz w:val="24"/>
          <w:szCs w:val="24"/>
        </w:rPr>
      </w:pPr>
    </w:p>
    <w:p>
      <w:pPr>
        <w:rPr>
          <w:rFonts w:hint="eastAsia" w:ascii="宋体" w:hAnsi="宋体"/>
          <w:b/>
          <w:color w:val="auto"/>
          <w:sz w:val="24"/>
          <w:szCs w:val="24"/>
        </w:rPr>
      </w:pPr>
    </w:p>
    <w:bookmarkEnd w:id="54"/>
    <w:bookmarkEnd w:id="55"/>
    <w:bookmarkEnd w:id="56"/>
    <w:bookmarkEnd w:id="57"/>
    <w:bookmarkEnd w:id="58"/>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一、总则</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本竞争性谈判文件适用于本竞争性谈判公告中所述项目的报价和谈判。</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宋体" w:hAnsi="Times New Roman" w:eastAsia="宋体"/>
          <w:color w:val="auto"/>
          <w:w w:val="100"/>
          <w:sz w:val="24"/>
          <w:szCs w:val="24"/>
          <w:lang w:val="en-US" w:eastAsia="zh-CN"/>
        </w:rPr>
      </w:pPr>
      <w:r>
        <w:rPr>
          <w:rFonts w:hint="eastAsia" w:ascii="宋体" w:hAnsi="Times New Roman" w:eastAsia="宋体"/>
          <w:color w:val="auto"/>
          <w:w w:val="100"/>
          <w:sz w:val="24"/>
          <w:szCs w:val="24"/>
        </w:rPr>
        <w:t>工程概况本工程位于</w:t>
      </w:r>
      <w:r>
        <w:rPr>
          <w:rFonts w:hint="eastAsia" w:ascii="宋体"/>
          <w:color w:val="auto"/>
          <w:w w:val="100"/>
          <w:sz w:val="24"/>
          <w:szCs w:val="24"/>
          <w:lang w:val="en-US" w:eastAsia="zh-CN"/>
        </w:rPr>
        <w:t>青河县</w:t>
      </w:r>
      <w:r>
        <w:rPr>
          <w:rFonts w:hint="eastAsia" w:ascii="宋体" w:hAnsi="Times New Roman" w:eastAsia="宋体"/>
          <w:color w:val="auto"/>
          <w:w w:val="100"/>
          <w:sz w:val="24"/>
          <w:szCs w:val="24"/>
        </w:rPr>
        <w:t>，建设内容为：</w:t>
      </w:r>
      <w:r>
        <w:rPr>
          <w:rFonts w:hint="eastAsia" w:ascii="宋体" w:hAnsi="Times New Roman" w:eastAsia="宋体"/>
          <w:color w:val="auto"/>
          <w:w w:val="100"/>
          <w:sz w:val="24"/>
          <w:szCs w:val="24"/>
          <w:lang w:val="en-US" w:eastAsia="zh-CN"/>
        </w:rPr>
        <w:t>牧民转场服务驿站</w:t>
      </w:r>
      <w:r>
        <w:rPr>
          <w:rFonts w:hint="eastAsia" w:ascii="宋体"/>
          <w:color w:val="auto"/>
          <w:w w:val="100"/>
          <w:sz w:val="24"/>
          <w:szCs w:val="24"/>
          <w:lang w:val="en-US" w:eastAsia="zh-CN"/>
        </w:rPr>
        <w:t>新</w:t>
      </w:r>
      <w:r>
        <w:rPr>
          <w:rFonts w:hint="eastAsia" w:ascii="宋体" w:hAnsi="Times New Roman" w:eastAsia="宋体"/>
          <w:color w:val="auto"/>
          <w:w w:val="100"/>
          <w:sz w:val="24"/>
          <w:szCs w:val="24"/>
          <w:lang w:val="en-US" w:eastAsia="zh-CN"/>
        </w:rPr>
        <w:t>建</w:t>
      </w:r>
      <w:r>
        <w:rPr>
          <w:rFonts w:hint="eastAsia" w:ascii="宋体"/>
          <w:color w:val="auto"/>
          <w:w w:val="100"/>
          <w:sz w:val="24"/>
          <w:szCs w:val="24"/>
          <w:lang w:val="en-US" w:eastAsia="zh-CN"/>
        </w:rPr>
        <w:t>1</w:t>
      </w:r>
      <w:r>
        <w:rPr>
          <w:rFonts w:hint="eastAsia" w:ascii="宋体" w:hAnsi="Times New Roman" w:eastAsia="宋体"/>
          <w:color w:val="auto"/>
          <w:w w:val="100"/>
          <w:sz w:val="24"/>
          <w:szCs w:val="24"/>
          <w:lang w:val="en-US" w:eastAsia="zh-CN"/>
        </w:rPr>
        <w:t>座，配套服务站厨房，餐厅，浴室，卫生间等相关设施。</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黑体" w:hAnsi="Verdana" w:eastAsia="黑体"/>
          <w:b/>
          <w:color w:val="auto"/>
          <w:w w:val="100"/>
          <w:sz w:val="32"/>
        </w:rPr>
      </w:pPr>
      <w:r>
        <w:rPr>
          <w:rFonts w:hint="eastAsia" w:ascii="Arial" w:hAnsi="Arial" w:eastAsia="黑体"/>
          <w:b/>
          <w:color w:val="auto"/>
          <w:w w:val="100"/>
          <w:sz w:val="32"/>
        </w:rPr>
        <w:t>二、谈判文件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2、承包人应认真审阅谈判文件所有的内容，如果承包人的投标文件不能实质性地响应谈判文件要求，责任由承包人自负。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黑体" w:hAnsi="Verdana" w:eastAsia="黑体"/>
          <w:color w:val="auto"/>
          <w:w w:val="100"/>
          <w:sz w:val="24"/>
          <w:szCs w:val="24"/>
        </w:rPr>
      </w:pPr>
      <w:r>
        <w:rPr>
          <w:rFonts w:hint="eastAsia" w:ascii="宋体" w:hAnsi="Times New Roman" w:eastAsia="宋体"/>
          <w:color w:val="auto"/>
          <w:w w:val="100"/>
          <w:sz w:val="24"/>
          <w:szCs w:val="24"/>
        </w:rPr>
        <w:t>3、承包人在收到谈判文件（含工程量清单）后，若有疑问需要澄清，应于收到谈判文件后二日内以书面形式（包括书面文字、传真、电子邮件等）向发包人提出，发包人将以书面形式予以解答，解答内容将送达所有参与竞争性谈判的承包人。</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三、投标文件（响应性文件）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1、投标文件（响应性文件）的组成</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投标文件应采用A4规格纸编制并装订成册，主要包含以下几个部分内容：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（1）商务部分，主要包括谈判申请及声明（附件一）、法人代表授权委托书（附件二）、工程投标廉政承诺书（附件三）、投标保证金（附件四）、项目管理机构（附件五）、资格审查资料（附件六）。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技术部分内容字体要求：正文及目录应采用Word文档编写，字间距为“标准”，行间距为“单倍行距”，所有字体均采用四号宋体字。技术标中的施工进度计划表或施工网络图、施工现场平面布置图须采用A3复印纸，图中字体采用宋体字，字迹以清晰为准。采用A3复印纸制作的图纸须放在标书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2、投标文件（响应性文件）的封装要求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（1）投标文件的正本、副本一同封装，并在封套的封口处加盖投标人单位章，电子版报价单光盘与投标文件一同封装。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lang w:eastAsia="zh-CN"/>
        </w:rPr>
      </w:pPr>
      <w:r>
        <w:rPr>
          <w:rFonts w:hint="eastAsia" w:ascii="宋体" w:hAnsi="Times New Roman" w:eastAsia="宋体"/>
          <w:color w:val="auto"/>
          <w:w w:val="100"/>
          <w:sz w:val="24"/>
          <w:szCs w:val="24"/>
        </w:rPr>
        <w:t>（2）封套上应载明的信息：</w:t>
      </w:r>
      <w:r>
        <w:rPr>
          <w:rFonts w:hint="eastAsia" w:ascii="宋体"/>
          <w:color w:val="auto"/>
          <w:w w:val="100"/>
          <w:sz w:val="24"/>
          <w:szCs w:val="24"/>
          <w:lang w:eastAsia="zh-CN"/>
        </w:rPr>
        <w:t>详见投标须知前附表</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四、报价要求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1、承包人应根据所提供的工程项目清单编制单价、合价和总价。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2、报价应是本谈判文件所确定的全部工作内容的价格体现。其应包括施工设备、劳务、管理、材料、安装、维护、利润、税金及政策性文件规定的各项应有费用。</w:t>
      </w:r>
    </w:p>
    <w:p>
      <w:pPr>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宋体" w:hAnsi="Times New Roman" w:eastAsia="宋体"/>
          <w:color w:val="auto"/>
          <w:w w:val="100"/>
          <w:sz w:val="24"/>
          <w:szCs w:val="24"/>
          <w:highlight w:val="yellow"/>
        </w:rPr>
      </w:pPr>
      <w:r>
        <w:rPr>
          <w:rFonts w:hint="eastAsia" w:ascii="宋体" w:hAnsi="Times New Roman" w:eastAsia="宋体"/>
          <w:color w:val="auto"/>
          <w:w w:val="100"/>
          <w:sz w:val="24"/>
          <w:szCs w:val="24"/>
          <w:highlight w:val="none"/>
        </w:rPr>
        <w:t>3、可参考的工程计价表和有关文件</w:t>
      </w:r>
      <w:r>
        <w:rPr>
          <w:rFonts w:hint="eastAsia" w:ascii="宋体" w:hAnsi="Times New Roman" w:eastAsia="宋体"/>
          <w:color w:val="auto"/>
          <w:w w:val="100"/>
          <w:sz w:val="24"/>
          <w:szCs w:val="24"/>
          <w:highlight w:val="none"/>
          <w:lang w:val="en-US" w:eastAsia="zh-CN"/>
        </w:rPr>
        <w:t>（见清单总说明）</w:t>
      </w:r>
    </w:p>
    <w:p>
      <w:pPr>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Times New Roman" w:hAnsi="Times New Roman" w:eastAsia="宋体"/>
          <w:color w:val="auto"/>
          <w:w w:val="100"/>
          <w:sz w:val="24"/>
          <w:szCs w:val="24"/>
        </w:rPr>
      </w:pPr>
      <w:r>
        <w:rPr>
          <w:rFonts w:hint="eastAsia" w:ascii="宋体"/>
          <w:color w:val="auto"/>
          <w:w w:val="100"/>
          <w:sz w:val="24"/>
          <w:szCs w:val="24"/>
          <w:lang w:val="en-US" w:eastAsia="zh-CN"/>
        </w:rPr>
        <w:t>4、</w:t>
      </w:r>
      <w:r>
        <w:rPr>
          <w:rFonts w:hint="eastAsia" w:ascii="宋体" w:hAnsi="Times New Roman" w:eastAsia="宋体"/>
          <w:color w:val="auto"/>
          <w:w w:val="100"/>
          <w:sz w:val="24"/>
          <w:szCs w:val="24"/>
        </w:rPr>
        <w:t>工程量清单另卷</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五、投标文件递交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1、投标文件应于竞争性谈判文件规定的截止时间之前密封递交至指定的地点，逾时视为自动放弃。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2、投标文件需提供指定的份数，且须法定代表人或授权代表签署并加盖单位公章。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3、有下列情形之一时，承包人的投标文件将被拒绝：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（1）逾期送达的；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（2）投标文件少于指定份数，或未密封的；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（3）投标文件中的谈判申请及声明未加盖承包人公章及法定代表人或者委托代理人印章（签字）的；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（4）未按谈判文件要求提供保证金，或保证金的缴纳主体与投标人不一致的；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（5）投标人的项目负责人不是投标人（备案的）注册执业人员，或者不具备项目负责人资格条件的；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（6）组成一个联合体投标，未提交联合体各方签订的共同投标协议，或者联合体一方以自己名义对同一招标项目投标的；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（7）投标的施工、装修、附属材料设备采购、工程监理完成期限超过招标文件规定期限的；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（8）没有按招标文件要求提供电子版报价文件的；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（9）未按招标文件规定的格式填写，内容不全或关键字迹模糊、无法辨认的；（包括分部分项工程量清单中暂估价、暂列金额的改动）；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（10）改变谈判文件提供的工程量清单中的计量单位、工程数量的；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（11）将工程排污费、社会保障费、住房公积金、危险作业意外伤害保险等规费和</w:t>
      </w:r>
      <w:r>
        <w:rPr>
          <w:rFonts w:hint="eastAsia" w:ascii="宋体" w:hAnsi="Times New Roman"/>
          <w:color w:val="auto"/>
          <w:w w:val="100"/>
          <w:sz w:val="24"/>
          <w:szCs w:val="24"/>
          <w:lang w:eastAsia="zh-CN"/>
        </w:rPr>
        <w:t>增值</w:t>
      </w:r>
      <w:r>
        <w:rPr>
          <w:rFonts w:hint="eastAsia" w:ascii="宋体" w:hAnsi="Times New Roman" w:eastAsia="宋体"/>
          <w:color w:val="auto"/>
          <w:w w:val="100"/>
          <w:sz w:val="24"/>
          <w:szCs w:val="24"/>
        </w:rPr>
        <w:t>税、城市维护建设税、教育费附加等税金，以及安全文明施工费列入招标投标竞争性费用的；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（12）投标人之间或者投标人与招标人串通投标的；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（13）以行贿手段谋取中标或者以其他弄虚作假方式投标的；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（14）经谈判小组认定承包人以低于成本价报价，恶意竞争的；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（15）投标文件中提出发包人不能接受的条件的。</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六、开标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主持人按下列程序进行开标：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（1）宣布开标纪律；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（2）公布在投标截止时间前递交投标文件的投标人名称，并点名确认投标人是否派人到场；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（3）宣布开标人、唱标人、记录人、监标人等有关人员姓名；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（4）监督人查验投标人的相关证件，证件齐全、满足要求的投标人为有效投标人；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（5）按照投标人须知前附表规定检查投标文件的密封情况；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（6）召开评标预备会，组建谈判小组，推荐小组组长；</w:t>
      </w:r>
    </w:p>
    <w:p>
      <w:pPr>
        <w:autoSpaceDE w:val="0"/>
        <w:autoSpaceDN w:val="0"/>
        <w:snapToGrid/>
        <w:spacing w:before="0" w:after="0" w:line="360" w:lineRule="auto"/>
        <w:ind w:left="0" w:firstLine="56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w:t>
      </w:r>
      <w:r>
        <w:rPr>
          <w:rFonts w:hint="eastAsia" w:ascii="宋体" w:hAnsi="Times New Roman"/>
          <w:color w:val="auto"/>
          <w:w w:val="100"/>
          <w:sz w:val="24"/>
          <w:szCs w:val="24"/>
          <w:lang w:val="en-US" w:eastAsia="zh-CN"/>
        </w:rPr>
        <w:t>7</w:t>
      </w:r>
      <w:r>
        <w:rPr>
          <w:rFonts w:hint="eastAsia" w:ascii="宋体" w:hAnsi="Times New Roman" w:eastAsia="宋体"/>
          <w:color w:val="auto"/>
          <w:w w:val="100"/>
          <w:sz w:val="24"/>
          <w:szCs w:val="24"/>
        </w:rPr>
        <w:t>）开标结束。</w:t>
      </w: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pStyle w:val="2"/>
        <w:rPr>
          <w:rFonts w:hint="eastAsia"/>
        </w:rPr>
      </w:pPr>
    </w:p>
    <w:p>
      <w:pPr>
        <w:keepNext/>
        <w:keepLines/>
        <w:numPr>
          <w:ilvl w:val="0"/>
          <w:numId w:val="2"/>
        </w:numPr>
        <w:autoSpaceDE/>
        <w:autoSpaceDN/>
        <w:snapToGrid/>
        <w:spacing w:before="260" w:after="260" w:line="415" w:lineRule="auto"/>
        <w:ind w:left="0" w:leftChars="0" w:firstLine="0" w:firstLineChars="0"/>
        <w:jc w:val="both"/>
        <w:rPr>
          <w:rFonts w:hint="eastAsia" w:ascii="Arial" w:hAnsi="Arial" w:eastAsia="黑体"/>
          <w:b/>
          <w:color w:val="auto"/>
          <w:w w:val="100"/>
          <w:sz w:val="32"/>
        </w:rPr>
      </w:pPr>
      <w:r>
        <w:rPr>
          <w:rFonts w:hint="eastAsia" w:ascii="Arial" w:hAnsi="Arial" w:eastAsia="黑体"/>
          <w:b/>
          <w:color w:val="auto"/>
          <w:w w:val="100"/>
          <w:sz w:val="32"/>
        </w:rPr>
        <w:t>评标</w:t>
      </w:r>
    </w:p>
    <w:p>
      <w:pPr>
        <w:keepNext/>
        <w:keepLines/>
        <w:numPr>
          <w:ilvl w:val="0"/>
          <w:numId w:val="0"/>
        </w:numPr>
        <w:autoSpaceDE/>
        <w:autoSpaceDN/>
        <w:snapToGrid/>
        <w:spacing w:before="260" w:after="260" w:line="415" w:lineRule="auto"/>
        <w:ind w:leftChars="0"/>
        <w:jc w:val="both"/>
        <w:rPr>
          <w:rFonts w:hint="eastAsia" w:ascii="Arial" w:hAnsi="Arial" w:eastAsia="黑体"/>
          <w:b/>
          <w:color w:val="auto"/>
          <w:w w:val="100"/>
          <w:sz w:val="24"/>
          <w:szCs w:val="24"/>
        </w:rPr>
      </w:pPr>
      <w:r>
        <w:rPr>
          <w:rFonts w:hint="eastAsia" w:ascii="宋体" w:hAnsi="Arial" w:eastAsia="黑体"/>
          <w:b w:val="0"/>
          <w:color w:val="auto"/>
          <w:w w:val="100"/>
          <w:sz w:val="28"/>
        </w:rPr>
        <w:t>1</w:t>
      </w:r>
      <w:r>
        <w:rPr>
          <w:rFonts w:hint="eastAsia" w:ascii="宋体" w:hAnsi="Arial" w:eastAsia="黑体"/>
          <w:b/>
          <w:color w:val="auto"/>
          <w:w w:val="100"/>
          <w:sz w:val="28"/>
        </w:rPr>
        <w:t>、</w:t>
      </w:r>
      <w:r>
        <w:rPr>
          <w:rFonts w:hint="eastAsia" w:ascii="Arial" w:hAnsi="Arial" w:eastAsia="黑体"/>
          <w:b w:val="0"/>
          <w:color w:val="auto"/>
          <w:w w:val="100"/>
          <w:sz w:val="24"/>
          <w:szCs w:val="24"/>
        </w:rPr>
        <w:t>评标方法</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color w:val="auto"/>
          <w:sz w:val="24"/>
          <w:szCs w:val="24"/>
        </w:rPr>
      </w:pPr>
      <w:r>
        <w:rPr>
          <w:rFonts w:hint="eastAsia" w:ascii="宋体" w:hAnsi="Times New Roman" w:eastAsia="宋体"/>
          <w:color w:val="auto"/>
          <w:w w:val="100"/>
          <w:sz w:val="24"/>
          <w:szCs w:val="24"/>
        </w:rPr>
        <w:t>1.1本次评标采用经评审的最低投标价法（工程量清单报价法）。根据《中华人民共和国招投标法》、《房屋建筑和市政基础设施工程施工招投标管理办法》、《评标委员会和评标方法暂行规定》和《新疆维吾尔自治区建筑工程施工评标规则》（新建建[2010]7号文）中所规定的标准和补充规定等法律法规和有关实施办法。</w:t>
      </w:r>
    </w:p>
    <w:p>
      <w:pPr>
        <w:autoSpaceDE/>
        <w:autoSpaceDN/>
        <w:snapToGrid/>
        <w:spacing w:before="0" w:after="0" w:line="240" w:lineRule="auto"/>
        <w:ind w:left="0" w:firstLine="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1.2 评标办法如下：</w:t>
      </w:r>
    </w:p>
    <w:tbl>
      <w:tblPr>
        <w:tblStyle w:val="18"/>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rPr>
            </w:pPr>
            <w:r>
              <w:rPr>
                <w:rFonts w:hint="eastAsia" w:asciiTheme="minorEastAsia" w:hAnsiTheme="minorEastAsia" w:eastAsiaTheme="minorEastAsia" w:cstheme="minorEastAsia"/>
                <w:b w:val="0"/>
                <w:bCs/>
                <w:color w:val="auto"/>
                <w:w w:val="100"/>
                <w:sz w:val="24"/>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rPr>
            </w:pPr>
            <w:r>
              <w:rPr>
                <w:rFonts w:hint="eastAsia" w:asciiTheme="minorEastAsia" w:hAnsiTheme="minorEastAsia" w:eastAsiaTheme="minorEastAsia" w:cstheme="minorEastAsia"/>
                <w:b w:val="0"/>
                <w:bCs/>
                <w:color w:val="auto"/>
                <w:w w:val="100"/>
                <w:sz w:val="24"/>
              </w:rPr>
              <w:t>评分内容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rPr>
            </w:pPr>
            <w:r>
              <w:rPr>
                <w:rFonts w:hint="eastAsia" w:asciiTheme="minorEastAsia" w:hAnsiTheme="minorEastAsia" w:eastAsiaTheme="minorEastAsia" w:cstheme="minorEastAsia"/>
                <w:b w:val="0"/>
                <w:bCs/>
                <w:color w:val="auto"/>
                <w:w w:val="100"/>
                <w:sz w:val="24"/>
              </w:rPr>
              <w:t>评分方法（工程量清单计价方式）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技术标评定</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符合性审查（参照附表三）</w:t>
            </w:r>
          </w:p>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评标委员会对于认定不合格的技术标书，应出具书面评标报告。对于无法律法规及招标文件明确规定，施工工艺、技术按照国家规范能满足招标项目施工要求的技术标书，不得随意判定不合格。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谈判小组所有成员集中与单一投标人分别进行谈判，根据响应性文件请各投标人作最后报价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以谈判最终投标报价最低的为第一中标人</w:t>
            </w:r>
          </w:p>
        </w:tc>
      </w:tr>
    </w:tbl>
    <w:p>
      <w:pPr>
        <w:autoSpaceDE w:val="0"/>
        <w:autoSpaceDN w:val="0"/>
        <w:snapToGrid/>
        <w:spacing w:before="0" w:after="0" w:line="360" w:lineRule="auto"/>
        <w:ind w:left="0" w:firstLine="480"/>
        <w:jc w:val="both"/>
        <w:rPr>
          <w:rFonts w:hint="eastAsia" w:ascii="宋体" w:hAnsi="Times New Roman" w:eastAsia="宋体"/>
          <w:color w:val="auto"/>
          <w:w w:val="100"/>
          <w:sz w:val="24"/>
        </w:rPr>
      </w:pP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 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1.3.1 给予小型和微型企业价格扣除：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1.3.1.1根据财政部、工业和信息化部（财库〔2011〕181号）文件规定，供应商属小型或微型企业并以其自身产品和服务投标，质量和服务均能满足谈判文件实质性响应要求的前提下，可给予小型和微型企业（包括相互之间组成的联合体）产品的价格6～10%的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供应商须提供相关证明原件，否则不给予价格扣除。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1.3.1.2大中型企业和小型、微型企业组成联合体投标，联合协议中约定，小型、微型企业的协议合同金额占到联合体协议合同金额30%以上的，可给予联合体2～3%的价格扣除，否则不予扣除。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供应商须同时提供相关证明原件和联合体协议原件，否则不给予价格扣除。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1.3.2 节能、环保产品的优先采购</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在满足采购需求、质量和服务相等的情况下，节能、环保产品报价不高于一般产品最低报价10%的，应当确定节能、环保产品供应商为成交供应商。</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供应商须提供最新发布“节能产品政府采购清单”和“环境标志产品政府采购清单”中相应页面的复印件并加盖公章。</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凡涉及国家强制采购节能、环保产品，投标供应商必须提供生产制造商 使用节能环保材料的有效证明，并应将纳入国家节能产品清单的产品要以  “”</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作标注；对于获得中国环境标志认证证书的产品要以  “”作标注。否则，经 核实情况后，其投标将可能被拒绝。</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1.3.3 给予监狱企业和戒毒企业价格扣除：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根据《关于政府采购支持监狱企业发展有关问题的通知》（ 财库[2014]68号）文件规定：在政府采购活动中，监狱企业和戒毒企业视同小型、微型企业，评审中享受国家优惠政策。</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（1）制服、消防设备和特种车辆采购，在项目评审时，对其产品给予8%的价格扣除。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（2）省级以上政府部门组织的公务员考试、招生考试、等级考试、资格考试的试卷印刷政府采购项目，应当以相适应的采购方式采购或给予6%的价格优惠扣除政策，优先面向监狱企业采购。</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（3）监狱企业生产或提供的办公用品、家具用具、车辆维修和保养服务等，可给予6%的价格扣除。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1"/>
        </w:rPr>
      </w:pPr>
      <w:r>
        <w:rPr>
          <w:rFonts w:hint="eastAsia" w:ascii="Times New Roman" w:hAnsi="Times New Roman" w:eastAsia="宋体"/>
          <w:color w:val="auto"/>
          <w:w w:val="100"/>
          <w:sz w:val="24"/>
        </w:rPr>
        <w:t>监狱企业和戒毒企业参加政府采购活动时，应当提供由省级以上监狱管理局、戒毒管理局（含新疆生产建设兵团）出具的属于监狱企业的证明文件。</w:t>
      </w:r>
    </w:p>
    <w:p>
      <w:pPr>
        <w:autoSpaceDE w:val="0"/>
        <w:autoSpaceDN w:val="0"/>
        <w:snapToGrid/>
        <w:spacing w:before="0" w:after="0" w:line="360" w:lineRule="auto"/>
        <w:ind w:left="0" w:firstLine="560"/>
        <w:jc w:val="both"/>
        <w:rPr>
          <w:rFonts w:hint="eastAsia" w:ascii="宋体" w:hAnsi="Times New Roman" w:eastAsia="宋体"/>
          <w:color w:val="auto"/>
          <w:w w:val="100"/>
          <w:sz w:val="28"/>
        </w:rPr>
      </w:pPr>
      <w:r>
        <w:rPr>
          <w:rFonts w:hint="eastAsia" w:ascii="宋体" w:hAnsi="Times New Roman" w:eastAsia="宋体"/>
          <w:color w:val="auto"/>
          <w:w w:val="100"/>
          <w:sz w:val="28"/>
        </w:rPr>
        <w:t>2.评标程序</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评标活动将按以下</w:t>
      </w:r>
      <w:r>
        <w:rPr>
          <w:rFonts w:hint="eastAsia" w:ascii="宋体" w:hAnsi="Times New Roman"/>
          <w:color w:val="auto"/>
          <w:w w:val="100"/>
          <w:sz w:val="24"/>
          <w:lang w:eastAsia="zh-CN"/>
        </w:rPr>
        <w:t>六</w:t>
      </w:r>
      <w:r>
        <w:rPr>
          <w:rFonts w:hint="eastAsia" w:ascii="宋体" w:hAnsi="Times New Roman" w:eastAsia="宋体"/>
          <w:color w:val="auto"/>
          <w:w w:val="100"/>
          <w:sz w:val="24"/>
        </w:rPr>
        <w:t>个步骤进行：</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（1）初步评审；</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（2）淸标；</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（3）重大偏差评审；</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（4）技术标评审；</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（5）谈判；</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（6）推荐中标候选人或者直接确定中标人及提交评标报告。</w:t>
      </w:r>
    </w:p>
    <w:p>
      <w:pPr>
        <w:autoSpaceDE/>
        <w:autoSpaceDN/>
        <w:snapToGrid/>
        <w:spacing w:before="0" w:after="0" w:line="240" w:lineRule="auto"/>
        <w:ind w:left="0" w:firstLine="0"/>
        <w:jc w:val="center"/>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pStyle w:val="22"/>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2"/>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2"/>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2"/>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2"/>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2"/>
        <w:rPr>
          <w:rFonts w:hint="eastAsia" w:ascii="宋体" w:hAnsi="Times New Roman" w:eastAsia="宋体"/>
          <w:b/>
          <w:color w:val="auto"/>
          <w:w w:val="100"/>
          <w:sz w:val="24"/>
        </w:rPr>
      </w:pPr>
    </w:p>
    <w:p>
      <w:pPr>
        <w:autoSpaceDE/>
        <w:autoSpaceDN/>
        <w:snapToGrid/>
        <w:spacing w:before="0" w:after="0" w:line="240" w:lineRule="auto"/>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Times New Roman" w:hAnsi="Times New Roman" w:eastAsia="宋体"/>
          <w:color w:val="auto"/>
          <w:w w:val="100"/>
          <w:sz w:val="21"/>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r>
        <w:rPr>
          <w:rFonts w:hint="eastAsia" w:ascii="Times New Roman" w:hAnsi="Times New Roman" w:eastAsia="宋体"/>
          <w:color w:val="auto"/>
          <w:w w:val="100"/>
          <w:sz w:val="28"/>
        </w:rPr>
        <w:t xml:space="preserve">附表一        </w:t>
      </w:r>
      <w:r>
        <w:rPr>
          <w:rFonts w:hint="eastAsia"/>
          <w:color w:val="auto"/>
          <w:w w:val="100"/>
          <w:sz w:val="28"/>
          <w:lang w:val="en-US" w:eastAsia="zh-CN"/>
        </w:rPr>
        <w:t xml:space="preserve">          </w:t>
      </w:r>
      <w:r>
        <w:rPr>
          <w:rFonts w:hint="eastAsia" w:ascii="Times New Roman" w:hAnsi="Times New Roman" w:eastAsia="宋体"/>
          <w:color w:val="auto"/>
          <w:w w:val="100"/>
          <w:sz w:val="28"/>
        </w:rPr>
        <w:t xml:space="preserve">  </w:t>
      </w:r>
      <w:bookmarkStart w:id="59" w:name="RANGE!A1:J22"/>
      <w:r>
        <w:rPr>
          <w:rFonts w:hint="eastAsia" w:ascii="Times New Roman" w:hAnsi="Times New Roman" w:eastAsia="宋体"/>
          <w:color w:val="auto"/>
          <w:w w:val="100"/>
          <w:sz w:val="28"/>
        </w:rPr>
        <w:t>初步评审标准</w:t>
      </w:r>
    </w:p>
    <w:p>
      <w:pPr>
        <w:pStyle w:val="2"/>
        <w:rPr>
          <w:rFonts w:hint="eastAsia"/>
          <w:sz w:val="28"/>
          <w:szCs w:val="28"/>
        </w:rPr>
      </w:pPr>
    </w:p>
    <w:p>
      <w:pPr>
        <w:pStyle w:val="22"/>
        <w:rPr>
          <w:rFonts w:hint="eastAsia"/>
          <w:color w:val="auto"/>
        </w:rPr>
      </w:pPr>
    </w:p>
    <w:tbl>
      <w:tblPr>
        <w:tblStyle w:val="18"/>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strike w:val="0"/>
                <w:dstrike w:val="0"/>
                <w:color w:val="auto"/>
                <w:w w:val="100"/>
                <w:sz w:val="24"/>
                <w:shd w:val="clear" w:color="auto" w:fill="auto"/>
                <w:vertAlign w:val="baseline"/>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7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投标文件中的谈判申请及声明未加盖承包人公章及法定代表人或者委托代理人印章（签字）的；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未按谈判文件要求提供保证金，或保证金的缴纳主体与投标人不一致的；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投标人的项目负责人不是投标人（备案的）注册执业人员，或者不具备项目负责人资格条件的；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组成一个联合体投标，未提交联合体各方签订的共同投标协议，或者联合体一方以自己名义对同一招标项目投标的；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投标的施工、装修、附属材料设备采购、工程监理完成期限超过招标文件规定期限的；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08"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没有按招标文件要求提供电子版报价文件的；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投标文件附有招标人不能接受条件的；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90"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不满足招标文件实质性要求的其他情形；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4"/>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是否具有满足招标项目需要的资质等级；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类似项目业绩是否满足招标文件的要求；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企业信誉是否满足招标文件的要求；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项目负责人（建造师）条件是否满足招标文件的要求；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自治区区外投标单位是否提供建设行政主管部门的合格备案书；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现场管理班子中是否配备管理人员，其中安全员还必须具备两证（岗位证、安全考核证）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附表二</w:t>
      </w:r>
      <w:bookmarkEnd w:id="59"/>
    </w:p>
    <w:p>
      <w:pPr>
        <w:autoSpaceDE/>
        <w:autoSpaceDN/>
        <w:snapToGrid/>
        <w:spacing w:before="0" w:after="0" w:line="240" w:lineRule="auto"/>
        <w:ind w:left="0" w:firstLine="0"/>
        <w:jc w:val="both"/>
        <w:rPr>
          <w:rFonts w:hint="eastAsia" w:ascii="Times New Roman" w:hAnsi="Times New Roman" w:eastAsia="宋体"/>
          <w:b w:val="0"/>
          <w:color w:val="auto"/>
          <w:w w:val="100"/>
          <w:sz w:val="28"/>
        </w:rPr>
      </w:pPr>
      <w:r>
        <w:rPr>
          <w:rFonts w:hint="eastAsia" w:ascii="Times New Roman" w:hAnsi="Times New Roman" w:eastAsia="宋体"/>
          <w:b w:val="0"/>
          <w:color w:val="auto"/>
          <w:w w:val="100"/>
          <w:sz w:val="28"/>
        </w:rPr>
        <w:t>建筑工程施工招标评标标准——重大偏差评审标准</w:t>
      </w:r>
    </w:p>
    <w:tbl>
      <w:tblPr>
        <w:tblStyle w:val="18"/>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143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blPrEx>
          <w:tblCellMar>
            <w:top w:w="0" w:type="dxa"/>
            <w:left w:w="0" w:type="dxa"/>
            <w:bottom w:w="0" w:type="dxa"/>
            <w:right w:w="0" w:type="dxa"/>
          </w:tblCellMar>
        </w:tblPrEx>
        <w:trPr>
          <w:trHeight w:val="978"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审</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查</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标</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由政府立项核准、审批的建筑工程, 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blPrEx>
          <w:tblCellMar>
            <w:top w:w="0" w:type="dxa"/>
            <w:left w:w="0" w:type="dxa"/>
            <w:bottom w:w="0" w:type="dxa"/>
            <w:right w:w="0" w:type="dxa"/>
          </w:tblCellMar>
        </w:tblPrEx>
        <w:trPr>
          <w:trHeight w:val="71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b/>
                <w:color w:val="auto"/>
                <w:w w:val="100"/>
                <w:sz w:val="24"/>
              </w:rPr>
            </w:pPr>
            <w:r>
              <w:rPr>
                <w:rFonts w:hint="eastAsia" w:ascii="宋体" w:hAnsi="Times New Roman" w:eastAsia="宋体"/>
                <w:color w:val="auto"/>
                <w:w w:val="100"/>
                <w:sz w:val="24"/>
              </w:rPr>
              <w:t>投标人对同一招标项目作出两个以上报价未明确效力的；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blPrEx>
          <w:tblCellMar>
            <w:top w:w="0" w:type="dxa"/>
            <w:left w:w="0" w:type="dxa"/>
            <w:bottom w:w="0" w:type="dxa"/>
            <w:right w:w="0" w:type="dxa"/>
          </w:tblCellMar>
        </w:tblPrEx>
        <w:trPr>
          <w:trHeight w:val="1360"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未按招标文件规定的格式填写，内容不全或关键字迹模糊、无法辨认的（包括分部分项工程量清单中暂估价、暂列金额的改动）；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改变招标文件提供的工程量清单的计量单位、工程量的；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132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将工程排污费、社会保障费、住房公积金、危险作业意外伤害保险等规费和、城市维护建设税、教育费附加等税金，以及安全文明施工费列入招标投标竞争性费用的；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投标人之间或者投标人与招标人串通投标的；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经谈判小组认定承包人以低于成本价报价，恶意竞争的；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color w:val="auto"/>
        </w:rPr>
        <w:br w:type="page"/>
      </w:r>
      <w:r>
        <w:rPr>
          <w:rFonts w:hint="eastAsia" w:ascii="Arial" w:hAnsi="Arial" w:eastAsia="黑体"/>
          <w:b/>
          <w:color w:val="auto"/>
          <w:w w:val="100"/>
          <w:sz w:val="32"/>
        </w:rPr>
        <w:t>附表三</w:t>
      </w:r>
    </w:p>
    <w:p>
      <w:pPr>
        <w:autoSpaceDE/>
        <w:autoSpaceDN/>
        <w:snapToGrid/>
        <w:spacing w:before="0" w:after="0" w:line="240" w:lineRule="auto"/>
        <w:ind w:left="0" w:firstLine="0"/>
        <w:jc w:val="both"/>
        <w:rPr>
          <w:rFonts w:hint="eastAsia" w:ascii="Times New Roman" w:hAnsi="Times New Roman" w:eastAsia="宋体"/>
          <w:color w:val="auto"/>
          <w:w w:val="100"/>
          <w:sz w:val="21"/>
        </w:rPr>
      </w:pPr>
      <w:r>
        <w:rPr>
          <w:rFonts w:hint="eastAsia" w:ascii="Times New Roman" w:hAnsi="Times New Roman" w:eastAsia="宋体"/>
          <w:color w:val="auto"/>
          <w:w w:val="100"/>
          <w:sz w:val="28"/>
        </w:rPr>
        <w:t>经评审最低投标报价法——技术标评定标准</w:t>
      </w:r>
    </w:p>
    <w:tbl>
      <w:tblPr>
        <w:tblStyle w:val="18"/>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807"/>
        <w:gridCol w:w="1726"/>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项目</w:t>
            </w:r>
          </w:p>
        </w:tc>
        <w:tc>
          <w:tcPr>
            <w:tcW w:w="5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评分方法</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5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否</w:t>
            </w:r>
          </w:p>
        </w:tc>
      </w:tr>
      <w:tr>
        <w:tblPrEx>
          <w:tblCellMar>
            <w:top w:w="0" w:type="dxa"/>
            <w:left w:w="0" w:type="dxa"/>
            <w:bottom w:w="0" w:type="dxa"/>
            <w:right w:w="0" w:type="dxa"/>
          </w:tblCellMar>
        </w:tblPrEx>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4"/>
              </w:rPr>
            </w:pPr>
            <w:r>
              <w:rPr>
                <w:rFonts w:hint="eastAsia" w:ascii="宋体" w:hAnsi="Times New Roman" w:eastAsia="宋体"/>
                <w:b/>
                <w:color w:val="auto"/>
                <w:w w:val="100"/>
                <w:sz w:val="22"/>
                <w:szCs w:val="24"/>
              </w:rPr>
              <w:t>技术标评审标准</w:t>
            </w:r>
          </w:p>
          <w:p>
            <w:pPr>
              <w:autoSpaceDE/>
              <w:autoSpaceDN/>
              <w:snapToGrid/>
              <w:spacing w:before="0" w:after="0" w:line="480" w:lineRule="auto"/>
              <w:ind w:left="0" w:firstLine="0"/>
              <w:jc w:val="center"/>
              <w:rPr>
                <w:rFonts w:hint="eastAsia" w:ascii="宋体" w:hAnsi="Times New Roman" w:eastAsia="宋体"/>
                <w:b/>
                <w:color w:val="auto"/>
                <w:w w:val="100"/>
                <w:sz w:val="22"/>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施工方案与技术措施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质量保证措施和创优计划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施工总进度计划及保证措施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46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施工安全措施计划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0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5</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文明施工措施计划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6</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施工场地治安保卫管理计划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2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7</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施工环保措施计划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8</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施工现场总平面布置（附图）</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9</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项目组织管理机构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33"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10</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成品保护和工程保修工作的管理和承诺</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任何可能的紧急情况的处理措施、预案以及抵抗风险的措施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对总包管理的认识以及对专业分包工程的配合、协调、管理、服务方案</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24"/>
          <w:szCs w:val="24"/>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八、合同授予</w:t>
      </w:r>
    </w:p>
    <w:p>
      <w:pPr>
        <w:autoSpaceDE w:val="0"/>
        <w:autoSpaceDN w:val="0"/>
        <w:snapToGrid/>
        <w:spacing w:before="0" w:after="0" w:line="360" w:lineRule="auto"/>
        <w:ind w:left="0" w:firstLine="56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w:t>
      </w:r>
      <w:r>
        <w:rPr>
          <w:rFonts w:hint="eastAsia" w:ascii="宋体" w:hAnsi="宋体" w:eastAsia="宋体"/>
          <w:color w:val="auto"/>
          <w:w w:val="100"/>
          <w:sz w:val="24"/>
          <w:szCs w:val="24"/>
        </w:rPr>
        <w:t>招标人依据谈判小组推荐的中标候选人确定中标人后，将在</w:t>
      </w:r>
      <w:r>
        <w:rPr>
          <w:rFonts w:hint="eastAsia" w:ascii="宋体" w:hAnsi="宋体" w:eastAsia="宋体"/>
          <w:b/>
          <w:color w:val="auto"/>
          <w:w w:val="100"/>
          <w:sz w:val="24"/>
          <w:szCs w:val="24"/>
        </w:rPr>
        <w:t>新疆政府采购网（</w:t>
      </w:r>
      <w:r>
        <w:rPr>
          <w:rFonts w:hint="eastAsia" w:ascii="宋体" w:hAnsi="宋体" w:eastAsia="宋体"/>
          <w:color w:val="auto"/>
          <w:w w:val="100"/>
          <w:sz w:val="24"/>
          <w:szCs w:val="24"/>
        </w:rPr>
        <w:t>www.ccgp-xinjiang.gov.cn/ZcyAnnounce.）对中标结果公示1个工作日后，向中标人发出中标通知书，该通知书将是合同的组成部分。</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2、未中标的投标人对中标结果持有异议的，可以在接到中标结果通知书之日起10日内，按照《工程建设项目招标投标活动投诉处理办法》（七部委令第11号）的有关规定，以书面报告的形式向住房和城乡建设行政主管部门或招标投标监管部门提出核查申请。</w:t>
      </w:r>
    </w:p>
    <w:p>
      <w:pPr>
        <w:autoSpaceDE/>
        <w:autoSpaceDN/>
        <w:snapToGrid/>
        <w:spacing w:before="0" w:after="0" w:line="360" w:lineRule="auto"/>
        <w:ind w:left="0" w:firstLine="606"/>
        <w:jc w:val="left"/>
        <w:rPr>
          <w:rFonts w:hint="eastAsia" w:ascii="宋体" w:hAnsi="宋体" w:eastAsia="宋体"/>
          <w:color w:val="auto"/>
          <w:w w:val="100"/>
          <w:sz w:val="24"/>
          <w:szCs w:val="24"/>
        </w:rPr>
      </w:pPr>
      <w:r>
        <w:rPr>
          <w:rFonts w:hint="eastAsia" w:ascii="宋体" w:hAnsi="宋体" w:eastAsia="宋体"/>
          <w:color w:val="auto"/>
          <w:w w:val="100"/>
          <w:sz w:val="24"/>
          <w:szCs w:val="24"/>
        </w:rPr>
        <w:t xml:space="preserve">3、中标通知书对中标人和中标人具有法律约束力。中标通知书发出后，招标人改变中标结果或者中标人放弃中标项目的，应当承担法律责任。 </w:t>
      </w:r>
    </w:p>
    <w:p>
      <w:pPr>
        <w:autoSpaceDE/>
        <w:autoSpaceDN/>
        <w:snapToGrid/>
        <w:spacing w:before="0" w:after="0" w:line="360" w:lineRule="auto"/>
        <w:ind w:left="0" w:firstLine="606"/>
        <w:jc w:val="left"/>
        <w:rPr>
          <w:rFonts w:hint="eastAsia" w:ascii="宋体" w:hAnsi="宋体" w:eastAsia="宋体"/>
          <w:color w:val="auto"/>
          <w:w w:val="100"/>
          <w:sz w:val="24"/>
          <w:szCs w:val="24"/>
        </w:rPr>
      </w:pPr>
      <w:r>
        <w:rPr>
          <w:rFonts w:hint="eastAsia" w:ascii="宋体" w:hAnsi="宋体" w:eastAsia="宋体"/>
          <w:color w:val="auto"/>
          <w:w w:val="100"/>
          <w:sz w:val="24"/>
          <w:szCs w:val="24"/>
        </w:rPr>
        <w:t>4、招标人应当自发出中标通知书之日起15日内，向有关行政监督部门提交招标投标情况的书面报告。</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5、中标后，中标人严格按照《关于印发阿勒泰地区综合治税工作实施方案的通知》阿行办发（2013）109号的文件精神在相关部门办理相关手续。</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6、招标人与中标人将于中标通知书发出之日起30日内，按照谈判文件和中标人的投标文件订立书面合同。招标人与中标人不得再行订立背离合同实质性内容的其他协议。</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7、招标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pPr>
        <w:autoSpaceDE w:val="0"/>
        <w:autoSpaceDN w:val="0"/>
        <w:snapToGrid/>
        <w:spacing w:before="0" w:after="0" w:line="360" w:lineRule="auto"/>
        <w:ind w:left="0" w:firstLine="600"/>
        <w:jc w:val="both"/>
        <w:rPr>
          <w:rFonts w:hint="eastAsia" w:ascii="宋体" w:hAnsi="Times New Roman" w:eastAsia="宋体"/>
          <w:color w:val="auto"/>
          <w:w w:val="100"/>
          <w:sz w:val="24"/>
          <w:szCs w:val="24"/>
        </w:rPr>
      </w:pPr>
      <w:r>
        <w:rPr>
          <w:rFonts w:hint="eastAsia" w:ascii="宋体" w:hAnsi="宋体" w:eastAsia="宋体"/>
          <w:color w:val="auto"/>
          <w:w w:val="100"/>
          <w:sz w:val="24"/>
          <w:szCs w:val="24"/>
        </w:rPr>
        <w:t>8、招标文件和中标人的投标文件均是该书面合同的附件。</w:t>
      </w:r>
    </w:p>
    <w:p>
      <w:pPr>
        <w:autoSpaceDE w:val="0"/>
        <w:autoSpaceDN w:val="0"/>
        <w:snapToGrid/>
        <w:spacing w:before="0" w:after="0" w:line="360" w:lineRule="auto"/>
        <w:ind w:left="0" w:firstLine="643"/>
        <w:jc w:val="both"/>
        <w:rPr>
          <w:rFonts w:hint="eastAsia" w:ascii="Arial" w:hAnsi="Arial" w:eastAsia="黑体"/>
          <w:b/>
          <w:color w:val="auto"/>
          <w:w w:val="100"/>
          <w:sz w:val="24"/>
          <w:szCs w:val="24"/>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黑体" w:hAnsi="Verdana" w:eastAsia="黑体"/>
          <w:color w:val="auto"/>
          <w:w w:val="100"/>
          <w:sz w:val="28"/>
        </w:rPr>
      </w:pPr>
      <w:r>
        <w:rPr>
          <w:rFonts w:hint="eastAsia" w:ascii="Arial" w:hAnsi="Arial" w:eastAsia="黑体"/>
          <w:b/>
          <w:color w:val="auto"/>
          <w:w w:val="100"/>
          <w:sz w:val="32"/>
        </w:rPr>
        <w:t>九、合同条款及格式</w:t>
      </w: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r>
        <w:rPr>
          <w:rFonts w:hint="eastAsia" w:ascii="Arial" w:hAnsi="Arial" w:eastAsia="黑体"/>
          <w:b/>
          <w:color w:val="auto"/>
          <w:w w:val="100"/>
          <w:sz w:val="32"/>
        </w:rPr>
        <w:t>第一节  合同条款</w:t>
      </w:r>
    </w:p>
    <w:p>
      <w:pPr>
        <w:autoSpaceDE/>
        <w:autoSpaceDN/>
        <w:snapToGrid/>
        <w:spacing w:before="0" w:after="0" w:line="460" w:lineRule="exact"/>
        <w:ind w:left="0" w:firstLine="42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通用合同条款直接引用住房城乡建设部、国家工商行政管理总局“关于印发建设工程施工合同（示范文本）的通知”（建市【2013】56号）中《建设工程施工合同》（GF-2013-0201）第二部分“通用合同条款”。</w:t>
      </w: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both"/>
        <w:rPr>
          <w:rFonts w:hint="eastAsia" w:ascii="黑体" w:hAnsi="Times New Roman" w:eastAsia="黑体"/>
          <w:b/>
          <w:color w:val="auto"/>
          <w:w w:val="100"/>
          <w:sz w:val="32"/>
        </w:rPr>
      </w:pPr>
    </w:p>
    <w:p>
      <w:pPr>
        <w:autoSpaceDE/>
        <w:autoSpaceDN/>
        <w:snapToGrid/>
        <w:spacing w:before="0" w:after="0" w:line="240" w:lineRule="auto"/>
        <w:ind w:left="0" w:firstLine="0"/>
        <w:jc w:val="center"/>
        <w:rPr>
          <w:rFonts w:hint="eastAsia" w:ascii="宋体" w:hAnsi="Times New Roman" w:eastAsia="宋体"/>
          <w:color w:val="auto"/>
          <w:w w:val="100"/>
          <w:sz w:val="24"/>
        </w:rPr>
      </w:pPr>
    </w:p>
    <w:p>
      <w:pPr>
        <w:keepNext/>
        <w:keepLines/>
        <w:autoSpaceDE/>
        <w:autoSpaceDN/>
        <w:snapToGrid/>
        <w:spacing w:before="100" w:after="0" w:line="400" w:lineRule="exact"/>
        <w:ind w:left="0" w:firstLine="0"/>
        <w:jc w:val="center"/>
        <w:rPr>
          <w:rFonts w:hint="eastAsia"/>
          <w:color w:val="auto"/>
        </w:rPr>
      </w:pPr>
      <w:r>
        <w:rPr>
          <w:rFonts w:hint="eastAsia" w:ascii="黑体" w:hAnsi="Times New Roman" w:eastAsia="黑体"/>
          <w:b/>
          <w:color w:val="auto"/>
          <w:w w:val="100"/>
          <w:sz w:val="32"/>
        </w:rPr>
        <w:t>第二节  专用合同条款</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 一般约定</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 词语定义</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1.1.1合同</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1.1.1.10其他合同文件包括：</w:t>
      </w:r>
      <w:r>
        <w:rPr>
          <w:rFonts w:hint="eastAsia" w:asciiTheme="minorEastAsia" w:hAnsiTheme="minorEastAsia" w:eastAsiaTheme="minorEastAsia" w:cstheme="minorEastAsia"/>
          <w:color w:val="auto"/>
          <w:w w:val="100"/>
          <w:sz w:val="24"/>
          <w:szCs w:val="24"/>
          <w:u w:val="single"/>
        </w:rPr>
        <w:t>履行合同过程中双方总经理以上管理者（或双方工地代表人）书面确认的对合同内容有实质性影响的会议纪要、签证、设计变更等资料</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1.1.2 合同当事人及其他相关方</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1.1.2.4监理人：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名    称：</w:t>
      </w:r>
      <w:r>
        <w:rPr>
          <w:rFonts w:hint="eastAsia" w:asciiTheme="minorEastAsia" w:hAnsiTheme="minorEastAsia" w:eastAsiaTheme="minorEastAsia" w:cstheme="minorEastAsia"/>
          <w:color w:val="auto"/>
          <w:w w:val="100"/>
          <w:sz w:val="24"/>
          <w:szCs w:val="24"/>
          <w:u w:val="single"/>
        </w:rPr>
        <w:t xml:space="preserve">           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资质类别和等级：</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1.1.2.5 设计人：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名    称：</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资质类别和等级：</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 工程和设备</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1.1.3.7 作为施工现场组成部分的其他场所包括：</w:t>
      </w:r>
      <w:r>
        <w:rPr>
          <w:rFonts w:hint="eastAsia" w:asciiTheme="minorEastAsia" w:hAnsiTheme="minorEastAsia" w:eastAsiaTheme="minorEastAsia" w:cstheme="minorEastAsia"/>
          <w:color w:val="auto"/>
          <w:w w:val="100"/>
          <w:sz w:val="24"/>
          <w:szCs w:val="24"/>
          <w:u w:val="single"/>
        </w:rPr>
        <w:t xml:space="preserve"> 通用条款规定的发包方提供的施工场地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1.1.3.9 永久占地包括：</w:t>
      </w:r>
      <w:r>
        <w:rPr>
          <w:rFonts w:hint="eastAsia" w:asciiTheme="minorEastAsia" w:hAnsiTheme="minorEastAsia" w:eastAsiaTheme="minorEastAsia" w:cstheme="minorEastAsia"/>
          <w:color w:val="auto"/>
          <w:w w:val="100"/>
          <w:sz w:val="24"/>
          <w:szCs w:val="24"/>
          <w:u w:val="single"/>
        </w:rPr>
        <w:t xml:space="preserve">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1.1.3.10 临时占地包括：</w:t>
      </w:r>
      <w:r>
        <w:rPr>
          <w:rFonts w:hint="eastAsia" w:asciiTheme="minorEastAsia" w:hAnsiTheme="minorEastAsia" w:eastAsiaTheme="minorEastAsia" w:cstheme="minorEastAsia"/>
          <w:color w:val="auto"/>
          <w:w w:val="100"/>
          <w:sz w:val="24"/>
          <w:szCs w:val="24"/>
          <w:u w:val="single"/>
        </w:rPr>
        <w:t xml:space="preserve">        双方在合同履行过程中确定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 xml:space="preserve">1.3法律 </w:t>
      </w:r>
    </w:p>
    <w:p>
      <w:pPr>
        <w:autoSpaceDE w:val="0"/>
        <w:autoSpaceDN w:val="0"/>
        <w:snapToGrid/>
        <w:spacing w:before="0" w:after="0" w:line="460" w:lineRule="exact"/>
        <w:ind w:left="596" w:firstLine="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适用于合同的其他规范性文件：</w:t>
      </w:r>
      <w:r>
        <w:rPr>
          <w:rFonts w:hint="eastAsia" w:asciiTheme="minorEastAsia" w:hAnsiTheme="minorEastAsia" w:eastAsiaTheme="minorEastAsia" w:cstheme="minorEastAsia"/>
          <w:color w:val="auto"/>
          <w:w w:val="100"/>
          <w:sz w:val="24"/>
          <w:szCs w:val="24"/>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 标准和规范</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1.4.1适用于工程的标准规范包括：</w:t>
      </w:r>
      <w:r>
        <w:rPr>
          <w:rFonts w:hint="eastAsia" w:asciiTheme="minorEastAsia" w:hAnsiTheme="minorEastAsia" w:eastAsiaTheme="minorEastAsia" w:cstheme="minorEastAsia"/>
          <w:color w:val="auto"/>
          <w:w w:val="100"/>
          <w:sz w:val="24"/>
          <w:szCs w:val="24"/>
          <w:u w:val="single"/>
        </w:rPr>
        <w:t>国家和地方现行的有关标准、规范、详细施工图</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1.4.2 发包人提供国外标准、规范的名称：</w:t>
      </w:r>
      <w:r>
        <w:rPr>
          <w:rFonts w:hint="eastAsia" w:asciiTheme="minorEastAsia" w:hAnsiTheme="minorEastAsia" w:eastAsiaTheme="minorEastAsia" w:cstheme="minorEastAsia"/>
          <w:color w:val="auto"/>
          <w:w w:val="100"/>
          <w:sz w:val="24"/>
          <w:szCs w:val="24"/>
          <w:u w:val="single"/>
        </w:rPr>
        <w:t xml:space="preserve">      不采用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发包人提供国外标准、规范的份数：</w:t>
      </w:r>
      <w:r>
        <w:rPr>
          <w:rFonts w:hint="eastAsia" w:asciiTheme="minorEastAsia" w:hAnsiTheme="minorEastAsia" w:eastAsiaTheme="minorEastAsia" w:cstheme="minorEastAsia"/>
          <w:color w:val="auto"/>
          <w:w w:val="100"/>
          <w:sz w:val="24"/>
          <w:szCs w:val="24"/>
          <w:u w:val="single"/>
        </w:rPr>
        <w:t xml:space="preserve">          不采用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发包人提供国外标准、规范的名称：</w:t>
      </w:r>
      <w:r>
        <w:rPr>
          <w:rFonts w:hint="eastAsia" w:asciiTheme="minorEastAsia" w:hAnsiTheme="minorEastAsia" w:eastAsiaTheme="minorEastAsia" w:cstheme="minorEastAsia"/>
          <w:color w:val="auto"/>
          <w:w w:val="100"/>
          <w:sz w:val="24"/>
          <w:szCs w:val="24"/>
          <w:u w:val="single"/>
        </w:rPr>
        <w:t xml:space="preserve">         不采用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1.4.3发包人对工程的技术标准和功能要求的特殊要求：</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 合同文件的优先顺序</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合同文件组成及优先顺序为：</w:t>
      </w:r>
      <w:r>
        <w:rPr>
          <w:rFonts w:hint="eastAsia" w:asciiTheme="minorEastAsia" w:hAnsiTheme="minorEastAsia" w:eastAsiaTheme="minorEastAsia" w:cstheme="minorEastAsia"/>
          <w:color w:val="auto"/>
          <w:w w:val="100"/>
          <w:sz w:val="24"/>
          <w:szCs w:val="24"/>
          <w:u w:val="single"/>
        </w:rPr>
        <w:t>执行通用条款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 图纸和承包人文件</w:t>
      </w:r>
      <w:r>
        <w:rPr>
          <w:rFonts w:hint="eastAsia" w:asciiTheme="minorEastAsia" w:hAnsiTheme="minorEastAsia" w:eastAsiaTheme="minorEastAsia" w:cstheme="minorEastAsia"/>
          <w:color w:val="auto"/>
          <w:w w:val="100"/>
          <w:sz w:val="24"/>
          <w:szCs w:val="24"/>
        </w:rPr>
        <w:tab/>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 图纸的提供</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发包人向承包人提供图纸的期限：</w:t>
      </w:r>
      <w:r>
        <w:rPr>
          <w:rFonts w:hint="eastAsia" w:asciiTheme="minorEastAsia" w:hAnsiTheme="minorEastAsia" w:eastAsiaTheme="minorEastAsia" w:cstheme="minorEastAsia"/>
          <w:color w:val="auto"/>
          <w:w w:val="100"/>
          <w:sz w:val="24"/>
          <w:szCs w:val="24"/>
          <w:u w:val="single"/>
        </w:rPr>
        <w:t>/</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发包人向承包人提供图纸的数量：</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发包人向承包人提供图纸的内容：</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1.6.4 承包人文件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需要由承包人提供的文件，包括：</w:t>
      </w:r>
      <w:r>
        <w:rPr>
          <w:rFonts w:hint="eastAsia" w:asciiTheme="minorEastAsia" w:hAnsiTheme="minorEastAsia" w:eastAsiaTheme="minorEastAsia" w:cstheme="minorEastAsia"/>
          <w:color w:val="auto"/>
          <w:w w:val="100"/>
          <w:sz w:val="24"/>
          <w:szCs w:val="24"/>
          <w:u w:val="single"/>
        </w:rPr>
        <w:t>实施性施工组织设计及方案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承包人提供的文件的期限为：</w:t>
      </w:r>
      <w:r>
        <w:rPr>
          <w:rFonts w:hint="eastAsia" w:asciiTheme="minorEastAsia" w:hAnsiTheme="minorEastAsia" w:eastAsiaTheme="minorEastAsia" w:cstheme="minorEastAsia"/>
          <w:color w:val="auto"/>
          <w:w w:val="100"/>
          <w:sz w:val="24"/>
          <w:szCs w:val="24"/>
          <w:u w:val="single"/>
        </w:rPr>
        <w:t>   开工前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承包人提供的文件的数量为：</w:t>
      </w:r>
      <w:r>
        <w:rPr>
          <w:rFonts w:hint="eastAsia" w:asciiTheme="minorEastAsia" w:hAnsiTheme="minorEastAsia" w:eastAsiaTheme="minorEastAsia" w:cstheme="minorEastAsia"/>
          <w:color w:val="auto"/>
          <w:w w:val="100"/>
          <w:sz w:val="24"/>
          <w:szCs w:val="24"/>
          <w:u w:val="single"/>
        </w:rPr>
        <w:t>肆份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承包人提供的文件的形式为：</w:t>
      </w:r>
      <w:r>
        <w:rPr>
          <w:rFonts w:hint="eastAsia" w:asciiTheme="minorEastAsia" w:hAnsiTheme="minorEastAsia" w:eastAsiaTheme="minorEastAsia" w:cstheme="minorEastAsia"/>
          <w:color w:val="auto"/>
          <w:w w:val="100"/>
          <w:sz w:val="24"/>
          <w:szCs w:val="24"/>
          <w:u w:val="single"/>
        </w:rPr>
        <w:t> 书面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发包人审批承包人文件的期限：</w:t>
      </w:r>
      <w:r>
        <w:rPr>
          <w:rFonts w:hint="eastAsia" w:asciiTheme="minorEastAsia" w:hAnsiTheme="minorEastAsia" w:eastAsiaTheme="minorEastAsia" w:cstheme="minorEastAsia"/>
          <w:color w:val="auto"/>
          <w:w w:val="100"/>
          <w:sz w:val="24"/>
          <w:szCs w:val="24"/>
          <w:u w:val="single"/>
        </w:rPr>
        <w:t>收到文件后7天内审查完毕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1.6.5 现场图纸准备</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关于现场图纸准备的约定：</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 联络</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1.7.1发包人和承包人应当在</w:t>
      </w:r>
      <w:r>
        <w:rPr>
          <w:rFonts w:hint="eastAsia" w:asciiTheme="minorEastAsia" w:hAnsiTheme="minorEastAsia" w:eastAsiaTheme="minorEastAsia" w:cstheme="minorEastAsia"/>
          <w:color w:val="auto"/>
          <w:w w:val="100"/>
          <w:sz w:val="24"/>
          <w:szCs w:val="24"/>
          <w:u w:val="single"/>
        </w:rPr>
        <w:t xml:space="preserve"> 7   </w:t>
      </w:r>
      <w:r>
        <w:rPr>
          <w:rFonts w:hint="eastAsia" w:asciiTheme="minorEastAsia" w:hAnsiTheme="minorEastAsia" w:eastAsiaTheme="minorEastAsia" w:cstheme="minorEastAsia"/>
          <w:color w:val="auto"/>
          <w:w w:val="100"/>
          <w:sz w:val="24"/>
          <w:szCs w:val="24"/>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1.7.2 发包人接收文件的地点：</w:t>
      </w:r>
      <w:r>
        <w:rPr>
          <w:rFonts w:hint="eastAsia" w:asciiTheme="minorEastAsia" w:hAnsiTheme="minorEastAsia" w:eastAsiaTheme="minorEastAsia" w:cstheme="minorEastAsia"/>
          <w:color w:val="auto"/>
          <w:w w:val="100"/>
          <w:sz w:val="24"/>
          <w:szCs w:val="24"/>
          <w:u w:val="single"/>
        </w:rPr>
        <w:t>项目所在地发包人办公室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发包人指定的接收人为：</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承包人接收文件的地点：</w:t>
      </w:r>
      <w:r>
        <w:rPr>
          <w:rFonts w:hint="eastAsia" w:asciiTheme="minorEastAsia" w:hAnsiTheme="minorEastAsia" w:eastAsiaTheme="minorEastAsia" w:cstheme="minorEastAsia"/>
          <w:color w:val="auto"/>
          <w:w w:val="100"/>
          <w:sz w:val="24"/>
          <w:szCs w:val="24"/>
          <w:u w:val="single"/>
        </w:rPr>
        <w:t>项目所在地承包人项目部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承包人指定的接收人为：</w:t>
      </w:r>
      <w:r>
        <w:rPr>
          <w:rFonts w:hint="eastAsia" w:asciiTheme="minorEastAsia" w:hAnsiTheme="minorEastAsia" w:eastAsiaTheme="minorEastAsia" w:cstheme="minorEastAsia"/>
          <w:color w:val="auto"/>
          <w:w w:val="100"/>
          <w:sz w:val="24"/>
          <w:szCs w:val="24"/>
          <w:u w:val="single"/>
        </w:rPr>
        <w:t>承包方项目经理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监理人接收文件的地点：</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监理人指定的接收人为：</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 交通运输</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1.10.1 出入现场的权利</w:t>
      </w:r>
    </w:p>
    <w:p>
      <w:pPr>
        <w:autoSpaceDE/>
        <w:autoSpaceDN/>
        <w:snapToGrid/>
        <w:spacing w:before="0" w:after="0" w:line="460" w:lineRule="exact"/>
        <w:ind w:left="596"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关于出入现场的权利的约定：</w:t>
      </w:r>
      <w:r>
        <w:rPr>
          <w:rFonts w:hint="eastAsia" w:asciiTheme="minorEastAsia" w:hAnsiTheme="minorEastAsia" w:eastAsiaTheme="minorEastAsia" w:cstheme="minorEastAsia"/>
          <w:color w:val="auto"/>
          <w:w w:val="100"/>
          <w:sz w:val="24"/>
          <w:szCs w:val="24"/>
          <w:u w:val="single"/>
        </w:rPr>
        <w:t xml:space="preserve">由承包人按发包人要求取得出入现场所需的批准手续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1.10.3 场内交通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关于场外交通和场内交通的边界的约定：</w:t>
      </w:r>
      <w:r>
        <w:rPr>
          <w:rFonts w:hint="eastAsia" w:asciiTheme="minorEastAsia" w:hAnsiTheme="minorEastAsia" w:eastAsiaTheme="minorEastAsia" w:cstheme="minorEastAsia"/>
          <w:color w:val="auto"/>
          <w:w w:val="100"/>
          <w:sz w:val="24"/>
          <w:szCs w:val="24"/>
          <w:u w:val="single"/>
        </w:rPr>
        <w:t xml:space="preserve">本项目施工现场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关于发包人向承包人免费提供满足工程施工需要的场内道路和交通设施的约定：</w:t>
      </w:r>
      <w:r>
        <w:rPr>
          <w:rFonts w:hint="eastAsia" w:asciiTheme="minorEastAsia" w:hAnsiTheme="minorEastAsia" w:eastAsiaTheme="minorEastAsia" w:cstheme="minorEastAsia"/>
          <w:color w:val="auto"/>
          <w:w w:val="100"/>
          <w:sz w:val="24"/>
          <w:szCs w:val="24"/>
          <w:u w:val="single"/>
        </w:rPr>
        <w:t xml:space="preserve">以现场实际施工条件为准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1.10.4超大件和超重件的运输</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运输超大件或超重件所需的道路和桥梁临时加固改造费用和其他有关费用由</w:t>
      </w:r>
      <w:r>
        <w:rPr>
          <w:rFonts w:hint="eastAsia" w:asciiTheme="minorEastAsia" w:hAnsiTheme="minorEastAsia" w:eastAsiaTheme="minorEastAsia" w:cstheme="minorEastAsia"/>
          <w:color w:val="auto"/>
          <w:w w:val="100"/>
          <w:sz w:val="24"/>
          <w:szCs w:val="24"/>
          <w:u w:val="single"/>
        </w:rPr>
        <w:t xml:space="preserve">承包人  </w:t>
      </w:r>
      <w:r>
        <w:rPr>
          <w:rFonts w:hint="eastAsia" w:asciiTheme="minorEastAsia" w:hAnsiTheme="minorEastAsia" w:eastAsiaTheme="minorEastAsia" w:cstheme="minorEastAsia"/>
          <w:color w:val="auto"/>
          <w:w w:val="100"/>
          <w:sz w:val="24"/>
          <w:szCs w:val="24"/>
        </w:rPr>
        <w:t>承担。</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 知识产权</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596"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关于发包人提供的上述文件的使用限制的要求：</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1.11.2 关于承包人为实施工程所编制文件的著作权的归属：</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关于承包人提供的上述文件的使用限制的要求：</w:t>
      </w:r>
      <w:r>
        <w:rPr>
          <w:rFonts w:hint="eastAsia" w:asciiTheme="minorEastAsia" w:hAnsiTheme="minorEastAsia" w:eastAsiaTheme="minorEastAsia" w:cstheme="minorEastAsia"/>
          <w:color w:val="auto"/>
          <w:w w:val="100"/>
          <w:sz w:val="24"/>
          <w:szCs w:val="24"/>
          <w:u w:val="single"/>
        </w:rPr>
        <w:t xml:space="preserve">执行通用条款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1.11.4 承包人在施工过程中所采用的专利、专有技术、技术秘密的使用费的承担方式：</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1.13工程量清单错误的修正</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出现工程量清单错误时，是否调整合同价格：</w:t>
      </w:r>
      <w:r>
        <w:rPr>
          <w:rFonts w:hint="eastAsia" w:asciiTheme="minorEastAsia" w:hAnsiTheme="minorEastAsia" w:eastAsiaTheme="minorEastAsia" w:cstheme="minorEastAsia"/>
          <w:color w:val="auto"/>
          <w:w w:val="100"/>
          <w:sz w:val="24"/>
          <w:szCs w:val="24"/>
          <w:u w:val="single"/>
        </w:rPr>
        <w:t xml:space="preserve">         是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允许调整合同价格的工程量偏差范围：</w:t>
      </w:r>
      <w:r>
        <w:rPr>
          <w:rFonts w:hint="eastAsia" w:asciiTheme="minorEastAsia" w:hAnsiTheme="minorEastAsia" w:eastAsiaTheme="minorEastAsia" w:cstheme="minorEastAsia"/>
          <w:color w:val="auto"/>
          <w:w w:val="100"/>
          <w:sz w:val="24"/>
          <w:szCs w:val="24"/>
          <w:u w:val="single"/>
        </w:rPr>
        <w:t xml:space="preserve">      超过±3%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2. 发包人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2.2 发包人代表</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发包人代表：</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姓    名：</w:t>
      </w:r>
      <w:r>
        <w:rPr>
          <w:rFonts w:hint="eastAsia" w:asciiTheme="minorEastAsia" w:hAnsiTheme="minorEastAsia" w:eastAsiaTheme="minorEastAsia" w:cstheme="minorEastAsia"/>
          <w:color w:val="auto"/>
          <w:w w:val="100"/>
          <w:sz w:val="24"/>
          <w:szCs w:val="24"/>
          <w:u w:val="single"/>
        </w:rPr>
        <w:t>       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身份证号：</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职    务：</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发包人对发包人代表的授权范围如下：</w:t>
      </w:r>
      <w:r>
        <w:rPr>
          <w:rFonts w:hint="eastAsia" w:asciiTheme="minorEastAsia" w:hAnsiTheme="minorEastAsia" w:eastAsiaTheme="minorEastAsia" w:cstheme="minorEastAsia"/>
          <w:color w:val="auto"/>
          <w:w w:val="100"/>
          <w:sz w:val="24"/>
          <w:szCs w:val="24"/>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2.4 施工现场、施工条件和基础资料的提供</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2.4.1 提供施工现场</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关于发包人移交施工现场的期限要求：</w:t>
      </w:r>
      <w:r>
        <w:rPr>
          <w:rFonts w:hint="eastAsia" w:asciiTheme="minorEastAsia" w:hAnsiTheme="minorEastAsia" w:eastAsiaTheme="minorEastAsia" w:cstheme="minorEastAsia"/>
          <w:color w:val="auto"/>
          <w:w w:val="100"/>
          <w:sz w:val="24"/>
          <w:szCs w:val="24"/>
          <w:u w:val="single"/>
        </w:rPr>
        <w:t>开工前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2.4.2 提供施工条件</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关于发包人应负责提供施工所需要的条件，包括：</w:t>
      </w:r>
      <w:r>
        <w:rPr>
          <w:rFonts w:hint="eastAsia" w:asciiTheme="minorEastAsia" w:hAnsiTheme="minorEastAsia" w:eastAsiaTheme="minorEastAsia" w:cstheme="minorEastAsia"/>
          <w:color w:val="auto"/>
          <w:w w:val="100"/>
          <w:sz w:val="24"/>
          <w:szCs w:val="24"/>
          <w:u w:val="single"/>
        </w:rPr>
        <w:t xml:space="preserve"> 执行通用条款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2.5 资金来源证明及支付担保</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发包人提供资金来源证明的期限要求：</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发包人是否提供支付担保：</w:t>
      </w:r>
      <w:r>
        <w:rPr>
          <w:rFonts w:hint="eastAsia" w:asciiTheme="minorEastAsia" w:hAnsiTheme="minorEastAsia" w:eastAsiaTheme="minorEastAsia" w:cstheme="minorEastAsia"/>
          <w:color w:val="auto"/>
          <w:w w:val="100"/>
          <w:sz w:val="24"/>
          <w:szCs w:val="24"/>
          <w:u w:val="single"/>
        </w:rPr>
        <w:t xml:space="preserve">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发包人提供支付担保的形式：</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3. 承包人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3.1 承包人的一般义务</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（5）承包人提交的竣工资料的内容：</w:t>
      </w:r>
      <w:r>
        <w:rPr>
          <w:rFonts w:hint="eastAsia" w:asciiTheme="minorEastAsia" w:hAnsiTheme="minorEastAsia" w:eastAsiaTheme="minorEastAsia" w:cstheme="minorEastAsia"/>
          <w:color w:val="auto"/>
          <w:w w:val="100"/>
          <w:sz w:val="24"/>
          <w:szCs w:val="24"/>
          <w:u w:val="single"/>
        </w:rPr>
        <w:t xml:space="preserve">    竣工图及资料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承包人需要提交的竣工资料套数：</w:t>
      </w:r>
      <w:r>
        <w:rPr>
          <w:rFonts w:hint="eastAsia" w:asciiTheme="minorEastAsia" w:hAnsiTheme="minorEastAsia" w:eastAsiaTheme="minorEastAsia" w:cstheme="minorEastAsia"/>
          <w:color w:val="auto"/>
          <w:w w:val="100"/>
          <w:sz w:val="24"/>
          <w:szCs w:val="24"/>
          <w:u w:val="single"/>
        </w:rPr>
        <w:t xml:space="preserve">        两套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638"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承包人提交的竣工资料的费用承担：</w:t>
      </w:r>
      <w:r>
        <w:rPr>
          <w:rFonts w:hint="eastAsia" w:asciiTheme="minorEastAsia" w:hAnsiTheme="minorEastAsia" w:eastAsiaTheme="minorEastAsia" w:cstheme="minorEastAsia"/>
          <w:color w:val="auto"/>
          <w:w w:val="100"/>
          <w:sz w:val="24"/>
          <w:szCs w:val="24"/>
          <w:u w:val="single"/>
        </w:rPr>
        <w:t xml:space="preserve">  由承包人承担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638"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承包人提交的竣工资料移交时间：</w:t>
      </w:r>
      <w:r>
        <w:rPr>
          <w:rFonts w:hint="eastAsia" w:asciiTheme="minorEastAsia" w:hAnsiTheme="minorEastAsia" w:eastAsiaTheme="minorEastAsia" w:cstheme="minorEastAsia"/>
          <w:color w:val="auto"/>
          <w:w w:val="100"/>
          <w:sz w:val="24"/>
          <w:szCs w:val="24"/>
          <w:u w:val="single"/>
        </w:rPr>
        <w:t xml:space="preserve">   工程竣工后壹个月内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承包人提交的竣工资料形式要求：</w:t>
      </w:r>
      <w:r>
        <w:rPr>
          <w:rFonts w:hint="eastAsia" w:asciiTheme="minorEastAsia" w:hAnsiTheme="minorEastAsia" w:eastAsiaTheme="minorEastAsia" w:cstheme="minorEastAsia"/>
          <w:color w:val="auto"/>
          <w:w w:val="100"/>
          <w:sz w:val="24"/>
          <w:szCs w:val="24"/>
          <w:u w:val="single"/>
        </w:rPr>
        <w:t xml:space="preserve">    书面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（6）承包人应履行的其他义务：</w:t>
      </w:r>
      <w:r>
        <w:rPr>
          <w:rFonts w:hint="eastAsia" w:asciiTheme="minorEastAsia" w:hAnsiTheme="minorEastAsia" w:eastAsiaTheme="minorEastAsia" w:cstheme="minorEastAsia"/>
          <w:color w:val="auto"/>
          <w:w w:val="100"/>
          <w:sz w:val="24"/>
          <w:szCs w:val="24"/>
          <w:u w:val="single"/>
        </w:rPr>
        <w:t xml:space="preserve"> 双方协商确定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 项目负责人</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3.2.1 项目负责人：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姓    名：</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身份证号：</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建造师执业资格等级：</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建造师注册证书号：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建造师执业印章号：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安全生产考核合格证书号：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承包人对项目负责人的授权范围如下：</w:t>
      </w:r>
      <w:r>
        <w:rPr>
          <w:rFonts w:hint="eastAsia" w:asciiTheme="minorEastAsia" w:hAnsiTheme="minorEastAsia" w:eastAsiaTheme="minorEastAsia" w:cstheme="minorEastAsia"/>
          <w:color w:val="auto"/>
          <w:w w:val="100"/>
          <w:sz w:val="24"/>
          <w:szCs w:val="24"/>
          <w:u w:val="single"/>
        </w:rPr>
        <w:t>全面负责项目施工过程中质量、安全、进度管理工作</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关于项目负责人每月在施工现场的时间要求：</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承包人未提交劳动合同，以及没有为项目负责人缴纳社会保险证明的违约责任：</w:t>
      </w:r>
      <w:r>
        <w:rPr>
          <w:rFonts w:hint="eastAsia" w:asciiTheme="minorEastAsia" w:hAnsiTheme="minorEastAsia" w:eastAsiaTheme="minorEastAsia" w:cstheme="minorEastAsia"/>
          <w:color w:val="auto"/>
          <w:w w:val="100"/>
          <w:sz w:val="24"/>
          <w:szCs w:val="24"/>
          <w:u w:val="single"/>
        </w:rPr>
        <w:t>承包人承担上述违约责任给发包人造成的损失</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项目负责人未经批准，擅自离开施工现场的违约责任：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3.2.3 承包人擅自更换项目负责人的违约责任：</w:t>
      </w:r>
      <w:r>
        <w:rPr>
          <w:rFonts w:hint="eastAsia" w:asciiTheme="minorEastAsia" w:hAnsiTheme="minorEastAsia" w:eastAsiaTheme="minorEastAsia" w:cstheme="minorEastAsia"/>
          <w:color w:val="auto"/>
          <w:w w:val="100"/>
          <w:sz w:val="24"/>
          <w:szCs w:val="24"/>
          <w:u w:val="single"/>
        </w:rPr>
        <w:t>承包人承担上述违约责任给发包人造成的损失</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3.2.4 承包人无正当理由拒绝更换项目负责人的违约责任：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 承包人人员</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3.3.1 承包人提交项目管理机构及施工现场管理人员安排报告的期限：</w:t>
      </w:r>
      <w:r>
        <w:rPr>
          <w:rFonts w:hint="eastAsia" w:asciiTheme="minorEastAsia" w:hAnsiTheme="minorEastAsia" w:eastAsiaTheme="minorEastAsia" w:cstheme="minorEastAsia"/>
          <w:color w:val="auto"/>
          <w:w w:val="100"/>
          <w:sz w:val="24"/>
          <w:szCs w:val="24"/>
          <w:u w:val="single"/>
        </w:rPr>
        <w:t xml:space="preserve">工程开工前2天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3.3.3 承包人无正当理由拒绝撤换主要施工管理人员的违约责任：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 xml:space="preserve">3.3.4 承包人主要施工管理人员离开施工现场的批准要求： </w:t>
      </w:r>
      <w:r>
        <w:rPr>
          <w:rFonts w:hint="eastAsia" w:asciiTheme="minorEastAsia" w:hAnsiTheme="minorEastAsia" w:eastAsiaTheme="minorEastAsia" w:cstheme="minorEastAsia"/>
          <w:color w:val="auto"/>
          <w:w w:val="100"/>
          <w:sz w:val="24"/>
          <w:szCs w:val="24"/>
          <w:u w:val="single"/>
        </w:rPr>
        <w:t xml:space="preserve">由发包人师批准后方可离开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3.3.5承包人擅自更换主要施工管理人员的违约责任：</w:t>
      </w:r>
      <w:r>
        <w:rPr>
          <w:rFonts w:hint="eastAsia" w:asciiTheme="minorEastAsia" w:hAnsiTheme="minorEastAsia" w:eastAsiaTheme="minorEastAsia" w:cstheme="minorEastAsia"/>
          <w:color w:val="auto"/>
          <w:w w:val="100"/>
          <w:sz w:val="24"/>
          <w:szCs w:val="24"/>
          <w:u w:val="single"/>
        </w:rPr>
        <w:t xml:space="preserve">承包人承担上述违约责任给发包人造成的损失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承包人主要施工管理人员擅自离开施工现场的违约责任：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 分包</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3.5.1 分包的一般约定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禁止分包的工程包括：</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主体结构、关键性工作的范围：</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3.5.2分包的确定</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允许分包的专业工程包括：</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其他关于分包的约定：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3.5.4 分包合同价款</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关于分包合同价款支付的约定：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3.6 工程照管与成品、半成品保护</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承包人负责照管工程及工程相关的材料、工程设备的起始时间：</w:t>
      </w:r>
      <w:r>
        <w:rPr>
          <w:rFonts w:hint="eastAsia" w:asciiTheme="minorEastAsia" w:hAnsiTheme="minorEastAsia" w:eastAsiaTheme="minorEastAsia" w:cstheme="minorEastAsia"/>
          <w:color w:val="auto"/>
          <w:w w:val="100"/>
          <w:sz w:val="24"/>
          <w:szCs w:val="24"/>
          <w:u w:val="single"/>
        </w:rPr>
        <w:t xml:space="preserve"> 材料、设备进场至验交付使用前由承包人负责保修，交付使用后由发包人做成品保护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3.7 履约担保</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承包人是否提供履约担保：</w:t>
      </w:r>
      <w:r>
        <w:rPr>
          <w:rFonts w:hint="eastAsia" w:asciiTheme="minorEastAsia" w:hAnsiTheme="minorEastAsia" w:eastAsiaTheme="minorEastAsia" w:cstheme="minorEastAsia"/>
          <w:color w:val="auto"/>
          <w:w w:val="100"/>
          <w:sz w:val="24"/>
          <w:szCs w:val="24"/>
          <w:u w:val="single"/>
        </w:rPr>
        <w:t xml:space="preserve">   发包人与承包人协商确定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承包人提供履约担保的形式、金额及期限的：</w:t>
      </w:r>
      <w:r>
        <w:rPr>
          <w:rFonts w:hint="eastAsia" w:asciiTheme="minorEastAsia" w:hAnsiTheme="minorEastAsia" w:eastAsiaTheme="minorEastAsia" w:cstheme="minorEastAsia"/>
          <w:color w:val="auto"/>
          <w:w w:val="100"/>
          <w:sz w:val="24"/>
          <w:szCs w:val="24"/>
          <w:u w:val="single"/>
        </w:rPr>
        <w:t xml:space="preserve">   发包人与承包人协商确定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4. 监理人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4.1监理人的一般规定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关于监理人的监理内容：</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关于监理人的监理权限：</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关于监理人在施工现场的办公场所、生活场所的提供和费用承担的约定：</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4.2 监理人员</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总监理工程师：</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姓    名：</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职    务：</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监理工程师执业资格证书号：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关于监理人的其他约定：</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4.4 商定或确定</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5. 工程质量</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5.1 质量要求</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5.1.1 特殊质量标准和要求：</w:t>
      </w:r>
      <w:r>
        <w:rPr>
          <w:rFonts w:hint="eastAsia" w:asciiTheme="minorEastAsia" w:hAnsiTheme="minorEastAsia" w:eastAsiaTheme="minorEastAsia" w:cstheme="minorEastAsia"/>
          <w:color w:val="auto"/>
          <w:w w:val="100"/>
          <w:sz w:val="24"/>
          <w:szCs w:val="24"/>
          <w:u w:val="single"/>
        </w:rPr>
        <w:t xml:space="preserve">     合格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关于工程奖项的约定：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5.3 隐蔽工程检查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5.3.2承包人提前通知监理人隐蔽工程检查的期限的约定：</w:t>
      </w:r>
      <w:r>
        <w:rPr>
          <w:rFonts w:hint="eastAsia" w:asciiTheme="minorEastAsia" w:hAnsiTheme="minorEastAsia" w:eastAsiaTheme="minorEastAsia" w:cstheme="minorEastAsia"/>
          <w:color w:val="auto"/>
          <w:w w:val="100"/>
          <w:sz w:val="24"/>
          <w:szCs w:val="24"/>
          <w:u w:val="single"/>
        </w:rPr>
        <w:t>共同检查前48小时书面通知监理人</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监理人不能按时进行检查时，应提前</w:t>
      </w:r>
      <w:r>
        <w:rPr>
          <w:rFonts w:hint="eastAsia" w:asciiTheme="minorEastAsia" w:hAnsiTheme="minorEastAsia" w:eastAsiaTheme="minorEastAsia" w:cstheme="minorEastAsia"/>
          <w:color w:val="auto"/>
          <w:w w:val="100"/>
          <w:sz w:val="24"/>
          <w:szCs w:val="24"/>
          <w:u w:val="single"/>
        </w:rPr>
        <w:t xml:space="preserve">    24   </w:t>
      </w:r>
      <w:r>
        <w:rPr>
          <w:rFonts w:hint="eastAsia" w:asciiTheme="minorEastAsia" w:hAnsiTheme="minorEastAsia" w:eastAsiaTheme="minorEastAsia" w:cstheme="minorEastAsia"/>
          <w:color w:val="auto"/>
          <w:w w:val="100"/>
          <w:sz w:val="24"/>
          <w:szCs w:val="24"/>
        </w:rPr>
        <w:t>小时提交书面延期要求。</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关于延期最长不得超过：</w:t>
      </w:r>
      <w:r>
        <w:rPr>
          <w:rFonts w:hint="eastAsia" w:asciiTheme="minorEastAsia" w:hAnsiTheme="minorEastAsia" w:eastAsiaTheme="minorEastAsia" w:cstheme="minorEastAsia"/>
          <w:color w:val="auto"/>
          <w:w w:val="100"/>
          <w:sz w:val="24"/>
          <w:szCs w:val="24"/>
          <w:u w:val="single"/>
        </w:rPr>
        <w:t xml:space="preserve">    48     </w:t>
      </w:r>
      <w:r>
        <w:rPr>
          <w:rFonts w:hint="eastAsia" w:asciiTheme="minorEastAsia" w:hAnsiTheme="minorEastAsia" w:eastAsiaTheme="minorEastAsia" w:cstheme="minorEastAsia"/>
          <w:color w:val="auto"/>
          <w:w w:val="100"/>
          <w:sz w:val="24"/>
          <w:szCs w:val="24"/>
        </w:rPr>
        <w:t>小时。</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6. 安全文明施工与环境保护</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6.1安全文明施工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6.1.1 项目安全生产的达标目标及相应事项的约定：</w:t>
      </w:r>
      <w:r>
        <w:rPr>
          <w:rFonts w:hint="eastAsia" w:asciiTheme="minorEastAsia" w:hAnsiTheme="minorEastAsia" w:eastAsiaTheme="minorEastAsia" w:cstheme="minorEastAsia"/>
          <w:color w:val="auto"/>
          <w:w w:val="100"/>
          <w:sz w:val="24"/>
          <w:szCs w:val="24"/>
          <w:u w:val="single"/>
        </w:rPr>
        <w:t>达到《建筑工程安全检查标准》（JGJ59-2011）标准</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6.1.4 关于治安保卫的特别约定：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关于编制施工场地治安管理计划的约定：</w:t>
      </w:r>
      <w:r>
        <w:rPr>
          <w:rFonts w:hint="eastAsia" w:asciiTheme="minorEastAsia" w:hAnsiTheme="minorEastAsia" w:eastAsiaTheme="minorEastAsia" w:cstheme="minorEastAsia"/>
          <w:color w:val="auto"/>
          <w:w w:val="100"/>
          <w:sz w:val="24"/>
          <w:szCs w:val="24"/>
          <w:u w:val="single"/>
        </w:rPr>
        <w:t xml:space="preserve">     开工前提供场地治安管理计划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6.1.5 文明施工</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合同当事人对文明施工的要求：</w:t>
      </w:r>
      <w:r>
        <w:rPr>
          <w:rFonts w:hint="eastAsia" w:asciiTheme="minorEastAsia" w:hAnsiTheme="minorEastAsia" w:eastAsiaTheme="minorEastAsia" w:cstheme="minorEastAsia"/>
          <w:color w:val="auto"/>
          <w:w w:val="100"/>
          <w:sz w:val="24"/>
          <w:szCs w:val="24"/>
          <w:u w:val="single"/>
        </w:rPr>
        <w:t>达到《建筑施工现场环境与卫生标准》（JGJ146-2004）标准</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6.1.6 关于安全文明施工费支付比例和支付期限的约定：</w:t>
      </w:r>
      <w:r>
        <w:rPr>
          <w:rFonts w:hint="eastAsia" w:asciiTheme="minorEastAsia" w:hAnsiTheme="minorEastAsia" w:eastAsiaTheme="minorEastAsia" w:cstheme="minorEastAsia"/>
          <w:color w:val="auto"/>
          <w:w w:val="100"/>
          <w:sz w:val="24"/>
          <w:szCs w:val="24"/>
          <w:u w:val="single"/>
        </w:rPr>
        <w:t xml:space="preserve">     纳入合同价格支付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7. 工期和进度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7.1 施工组织设计</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7.1.1 合同当事人约定的施工组织设计应包括的其他内容：</w:t>
      </w:r>
      <w:r>
        <w:rPr>
          <w:rFonts w:hint="eastAsia" w:asciiTheme="minorEastAsia" w:hAnsiTheme="minorEastAsia" w:eastAsiaTheme="minorEastAsia" w:cstheme="minorEastAsia"/>
          <w:color w:val="auto"/>
          <w:w w:val="100"/>
          <w:sz w:val="24"/>
          <w:szCs w:val="24"/>
          <w:u w:val="single"/>
        </w:rPr>
        <w:t xml:space="preserve">按通用条款执行   </w:t>
      </w:r>
      <w:r>
        <w:rPr>
          <w:rFonts w:hint="eastAsia" w:asciiTheme="minorEastAsia" w:hAnsiTheme="minorEastAsia" w:eastAsiaTheme="minorEastAsia" w:cstheme="minorEastAsia"/>
          <w:color w:val="auto"/>
          <w:w w:val="100"/>
          <w:sz w:val="24"/>
          <w:szCs w:val="24"/>
        </w:rPr>
        <w:t>。</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7.1.2 施工组织设计的提交和修改</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承包人提交详细施工组织设计的期限的约定：</w:t>
      </w:r>
      <w:r>
        <w:rPr>
          <w:rFonts w:hint="eastAsia" w:asciiTheme="minorEastAsia" w:hAnsiTheme="minorEastAsia" w:eastAsiaTheme="minorEastAsia" w:cstheme="minorEastAsia"/>
          <w:color w:val="auto"/>
          <w:w w:val="100"/>
          <w:sz w:val="24"/>
          <w:szCs w:val="24"/>
          <w:u w:val="single"/>
        </w:rPr>
        <w:t xml:space="preserve">        开工前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发包人和监理人在收到详细的施工组织设计后确认或提出修改意见的期限：</w:t>
      </w:r>
      <w:r>
        <w:rPr>
          <w:rFonts w:hint="eastAsia" w:asciiTheme="minorEastAsia" w:hAnsiTheme="minorEastAsia" w:eastAsiaTheme="minorEastAsia" w:cstheme="minorEastAsia"/>
          <w:color w:val="auto"/>
          <w:w w:val="100"/>
          <w:sz w:val="24"/>
          <w:szCs w:val="24"/>
          <w:u w:val="single"/>
        </w:rPr>
        <w:t>收到后7天内</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7.2 施工进度计划</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7.2.2 施工进度计划的修订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发包人和监理人在收到修订的施工进度计划后确认或提出修改意见的期限：</w:t>
      </w:r>
      <w:r>
        <w:rPr>
          <w:rFonts w:hint="eastAsia" w:asciiTheme="minorEastAsia" w:hAnsiTheme="minorEastAsia" w:eastAsiaTheme="minorEastAsia" w:cstheme="minorEastAsia"/>
          <w:color w:val="auto"/>
          <w:w w:val="100"/>
          <w:sz w:val="24"/>
          <w:szCs w:val="24"/>
          <w:u w:val="single"/>
        </w:rPr>
        <w:t xml:space="preserve"> 收到后5日内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7.3 开工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7.3.1 开工准备</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关于承包人提交工程开工报审表的期限：</w:t>
      </w:r>
      <w:r>
        <w:rPr>
          <w:rFonts w:hint="eastAsia" w:asciiTheme="minorEastAsia" w:hAnsiTheme="minorEastAsia" w:eastAsiaTheme="minorEastAsia" w:cstheme="minorEastAsia"/>
          <w:color w:val="auto"/>
          <w:w w:val="100"/>
          <w:sz w:val="24"/>
          <w:szCs w:val="24"/>
          <w:u w:val="single"/>
        </w:rPr>
        <w:t xml:space="preserve">  合同签订后、开工前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关于发包人应完成的其他开工准备工作及期限：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关于承包人应完成的其他开工准备工作及期限：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7.3.2开工通知</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因发包人原因造成监理人未能在计划开工日期之日起</w:t>
      </w:r>
      <w:r>
        <w:rPr>
          <w:rFonts w:hint="eastAsia" w:asciiTheme="minorEastAsia" w:hAnsiTheme="minorEastAsia" w:eastAsiaTheme="minorEastAsia" w:cstheme="minorEastAsia"/>
          <w:color w:val="auto"/>
          <w:w w:val="100"/>
          <w:sz w:val="24"/>
          <w:szCs w:val="24"/>
          <w:u w:val="single"/>
          <w:lang w:val="en-US" w:eastAsia="zh-CN"/>
        </w:rPr>
        <w:t>30</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天内发出开工通知的，承包人有权提出价格调整要求，或者解除合同。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7.4 测量放线</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7.4.1发包人通过监理人向承包人提供测量基准点、基准线和水准点及其书面资料的期限：</w:t>
      </w:r>
      <w:r>
        <w:rPr>
          <w:rFonts w:hint="eastAsia" w:asciiTheme="minorEastAsia" w:hAnsiTheme="minorEastAsia" w:eastAsiaTheme="minorEastAsia" w:cstheme="minorEastAsia"/>
          <w:color w:val="auto"/>
          <w:w w:val="100"/>
          <w:sz w:val="24"/>
          <w:szCs w:val="24"/>
          <w:u w:val="single"/>
        </w:rPr>
        <w:t xml:space="preserve">  合同签订后、开工前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7.5 工期延误</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7.5.1 因发包人原因导致工期延误</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（7）因发包人原因导致工期延误的其他情形：</w:t>
      </w:r>
      <w:r>
        <w:rPr>
          <w:rFonts w:hint="eastAsia" w:asciiTheme="minorEastAsia" w:hAnsiTheme="minorEastAsia" w:eastAsiaTheme="minorEastAsia" w:cstheme="minorEastAsia"/>
          <w:color w:val="auto"/>
          <w:w w:val="100"/>
          <w:sz w:val="24"/>
          <w:szCs w:val="24"/>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7.5.2 因承包人原因导致工期延误</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因承包人原因造成工期延误，逾期竣工违约金的计算方法为：</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u w:val="single"/>
        </w:rPr>
        <w:t xml:space="preserve">       每推延一天，赔偿合同价款的0.1%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因承包人原因造成工期延误，逾期竣工违约金的上限：</w:t>
      </w:r>
      <w:r>
        <w:rPr>
          <w:rFonts w:hint="eastAsia" w:asciiTheme="minorEastAsia" w:hAnsiTheme="minorEastAsia" w:eastAsiaTheme="minorEastAsia" w:cstheme="minorEastAsia"/>
          <w:color w:val="auto"/>
          <w:w w:val="100"/>
          <w:sz w:val="24"/>
          <w:szCs w:val="24"/>
          <w:u w:val="single"/>
        </w:rPr>
        <w:t xml:space="preserve">   合同价款的2％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7.6 不利物质条件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不利物质条件的其他情形和有关约定：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7.7异常恶劣的气候条件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发包人和承包人同意以下情形视为异常恶劣的气候条件：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w:t>
      </w:r>
      <w:r>
        <w:rPr>
          <w:rFonts w:hint="eastAsia" w:asciiTheme="minorEastAsia" w:hAnsiTheme="minorEastAsia" w:eastAsiaTheme="minorEastAsia" w:cstheme="minorEastAsia"/>
          <w:color w:val="auto"/>
          <w:w w:val="100"/>
          <w:sz w:val="24"/>
          <w:szCs w:val="24"/>
          <w:u w:val="single"/>
        </w:rPr>
        <w:t xml:space="preserve">               地震、暴风雪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7.9 提前竣工的奖励</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7.9.2提前竣工的奖励：</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8. 材料与设备</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8.4材料与工程设备的保管与使用</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8.4.1发包人供应的材料设备的保管费用的承担：</w:t>
      </w:r>
      <w:r>
        <w:rPr>
          <w:rFonts w:hint="eastAsia" w:asciiTheme="minorEastAsia" w:hAnsiTheme="minorEastAsia" w:eastAsiaTheme="minorEastAsia" w:cstheme="minorEastAsia"/>
          <w:color w:val="auto"/>
          <w:w w:val="100"/>
          <w:sz w:val="24"/>
          <w:szCs w:val="24"/>
          <w:u w:val="single"/>
        </w:rPr>
        <w:t xml:space="preserve">   由承包人承担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8.6 样品</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8.6.1</w:t>
      </w:r>
      <w:r>
        <w:rPr>
          <w:rFonts w:hint="eastAsia" w:asciiTheme="minorEastAsia" w:hAnsiTheme="minorEastAsia" w:eastAsiaTheme="minorEastAsia" w:cstheme="minorEastAsia"/>
          <w:color w:val="auto"/>
          <w:w w:val="100"/>
          <w:sz w:val="24"/>
          <w:szCs w:val="24"/>
        </w:rPr>
        <w:tab/>
      </w:r>
      <w:r>
        <w:rPr>
          <w:rFonts w:hint="eastAsia" w:asciiTheme="minorEastAsia" w:hAnsiTheme="minorEastAsia" w:eastAsiaTheme="minorEastAsia" w:cstheme="minorEastAsia"/>
          <w:color w:val="auto"/>
          <w:w w:val="100"/>
          <w:sz w:val="24"/>
          <w:szCs w:val="24"/>
        </w:rPr>
        <w:t>样品的报送与封存</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需要承包人报送样品的材料或工程设备，样品的种类、名称、规格、数量要求：</w:t>
      </w:r>
      <w:r>
        <w:rPr>
          <w:rFonts w:hint="eastAsia" w:asciiTheme="minorEastAsia" w:hAnsiTheme="minorEastAsia" w:eastAsiaTheme="minorEastAsia" w:cstheme="minorEastAsia"/>
          <w:color w:val="auto"/>
          <w:w w:val="100"/>
          <w:sz w:val="24"/>
          <w:szCs w:val="24"/>
          <w:u w:val="single"/>
        </w:rPr>
        <w:t xml:space="preserve"> 执行通用条款，按发包人需求确定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8.8 施工设备和临时设施</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8.8.1 承包人提供的施工设备和临时设施</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关于修建临时设施费用承担的约定：</w:t>
      </w:r>
      <w:r>
        <w:rPr>
          <w:rFonts w:hint="eastAsia" w:asciiTheme="minorEastAsia" w:hAnsiTheme="minorEastAsia" w:eastAsiaTheme="minorEastAsia" w:cstheme="minorEastAsia"/>
          <w:color w:val="auto"/>
          <w:w w:val="100"/>
          <w:sz w:val="24"/>
          <w:szCs w:val="24"/>
          <w:u w:val="single"/>
        </w:rPr>
        <w:t xml:space="preserve">   由承包人承担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9. 试验与检验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9.1试验设备与试验人员</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9.1.2 试验设备</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施工现场需要配置的试验场所：</w:t>
      </w:r>
      <w:r>
        <w:rPr>
          <w:rFonts w:hint="eastAsia" w:asciiTheme="minorEastAsia" w:hAnsiTheme="minorEastAsia" w:eastAsiaTheme="minorEastAsia" w:cstheme="minorEastAsia"/>
          <w:color w:val="auto"/>
          <w:w w:val="100"/>
          <w:sz w:val="24"/>
          <w:szCs w:val="24"/>
          <w:u w:val="single"/>
        </w:rPr>
        <w:t xml:space="preserve">    按有关规定执行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施工现场需要配备的试验设备：</w:t>
      </w:r>
      <w:r>
        <w:rPr>
          <w:rFonts w:hint="eastAsia" w:asciiTheme="minorEastAsia" w:hAnsiTheme="minorEastAsia" w:eastAsiaTheme="minorEastAsia" w:cstheme="minorEastAsia"/>
          <w:color w:val="auto"/>
          <w:w w:val="100"/>
          <w:sz w:val="24"/>
          <w:szCs w:val="24"/>
          <w:u w:val="single"/>
        </w:rPr>
        <w:t xml:space="preserve">    按有关规定执行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施工现场需要具备的其他试验条件：</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 xml:space="preserve">9.4 现场工艺试验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现场工艺试验的有关约定：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10. 变更</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10.1变更的范围</w:t>
      </w:r>
    </w:p>
    <w:p>
      <w:pPr>
        <w:autoSpaceDE/>
        <w:autoSpaceDN/>
        <w:snapToGrid/>
        <w:spacing w:before="0" w:after="0" w:line="460" w:lineRule="exact"/>
        <w:ind w:left="0" w:firstLine="60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关于变更的范围的约定：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10.4 变更估价</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10.4.1 变更估价原则</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 xml:space="preserve">关于变更估价的约定: </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10.5承包人的合理化建议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监理人审查承包人合理化建议的期限：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发包人审批承包人合理化建议的期限：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承包人提出的合理化建议降低了合同价格或者提高了工程经济效益的奖励的方法和金额为：</w:t>
      </w:r>
      <w:r>
        <w:rPr>
          <w:rFonts w:hint="eastAsia" w:asciiTheme="minorEastAsia" w:hAnsiTheme="minorEastAsia" w:eastAsiaTheme="minorEastAsia" w:cstheme="minorEastAsia"/>
          <w:color w:val="auto"/>
          <w:w w:val="100"/>
          <w:sz w:val="24"/>
          <w:szCs w:val="24"/>
          <w:u w:val="single"/>
        </w:rPr>
        <w:t>/</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10.7 暂估价</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暂估价材料和工程设备的明细详见附件11：《暂估价一览表》。</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10.7.1 依法必须招标的暂估价项目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对于依法必须招标的暂估价项目的确认和批准采取第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种方式确定。</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10.7.2 不属于依法必须招标的暂估价项目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对于不属于依法必须招标的暂估价项目的确认和批准采取第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种方式确定。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第3种方式：承包人直接实施的暂估价项目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承包人直接实施的暂估价项目的约定：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10.8 暂列金额</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合同当事人关于暂列金额使用的约定：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11. 价格调整</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 市场价格波动引起的调整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市场价格波动是否调整合同价格的约定：</w:t>
      </w:r>
      <w:r>
        <w:rPr>
          <w:rFonts w:hint="eastAsia" w:asciiTheme="minorEastAsia" w:hAnsiTheme="minorEastAsia" w:eastAsiaTheme="minorEastAsia" w:cstheme="minorEastAsia"/>
          <w:color w:val="auto"/>
          <w:w w:val="100"/>
          <w:sz w:val="24"/>
          <w:szCs w:val="24"/>
          <w:highlight w:val="none"/>
          <w:u w:val="single"/>
        </w:rPr>
        <w:t xml:space="preserve">   不调整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因市场价格波动调整合同价格，采用以下第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种方式对合同价格进行调整：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第1种方式：采用价格指数进行价格调整。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关于各可调因子、定值和变值权重，以及基本价格指数及其来源的约定：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第2种方式：采用造价信息进行价格调整。</w:t>
      </w:r>
    </w:p>
    <w:p>
      <w:pPr>
        <w:autoSpaceDE w:val="0"/>
        <w:autoSpaceDN w:val="0"/>
        <w:snapToGrid/>
        <w:spacing w:before="0" w:after="0" w:line="360" w:lineRule="auto"/>
        <w:ind w:left="0" w:firstLine="0"/>
        <w:jc w:val="both"/>
        <w:rPr>
          <w:rFonts w:hint="eastAsia" w:asciiTheme="minorEastAsia" w:hAnsiTheme="minorEastAsia" w:eastAsiaTheme="minorEastAsia" w:cstheme="minorEastAsia"/>
          <w:color w:val="auto"/>
          <w:w w:val="100"/>
          <w:sz w:val="24"/>
          <w:szCs w:val="24"/>
          <w:highlight w:val="none"/>
          <w:u w:val="single"/>
          <w:lang w:eastAsia="zh-CN"/>
        </w:rPr>
      </w:pPr>
      <w:r>
        <w:rPr>
          <w:rFonts w:hint="eastAsia" w:asciiTheme="minorEastAsia" w:hAnsiTheme="minorEastAsia" w:eastAsiaTheme="minorEastAsia" w:cstheme="minorEastAsia"/>
          <w:color w:val="auto"/>
          <w:w w:val="100"/>
          <w:sz w:val="24"/>
          <w:szCs w:val="24"/>
          <w:highlight w:val="none"/>
        </w:rPr>
        <w:t>关于基准价格的约定：</w:t>
      </w:r>
      <w:r>
        <w:rPr>
          <w:rFonts w:hint="eastAsia" w:asciiTheme="minorEastAsia" w:hAnsiTheme="minorEastAsia" w:eastAsiaTheme="minorEastAsia" w:cstheme="minorEastAsia"/>
          <w:color w:val="auto"/>
          <w:w w:val="100"/>
          <w:sz w:val="24"/>
          <w:szCs w:val="24"/>
          <w:highlight w:val="none"/>
          <w:u w:val="single"/>
          <w:lang w:val="en-US" w:eastAsia="zh-CN"/>
        </w:rPr>
        <w:t>执行阿勒泰地区建设工程造价管理站发布《阿勒泰 市2021年8月份建设工程综合价格信息》</w:t>
      </w:r>
      <w:r>
        <w:rPr>
          <w:rFonts w:hint="eastAsia" w:asciiTheme="minorEastAsia" w:hAnsiTheme="minorEastAsia" w:eastAsiaTheme="minorEastAsia" w:cstheme="minorEastAsia"/>
          <w:color w:val="auto"/>
          <w:w w:val="100"/>
          <w:sz w:val="24"/>
          <w:szCs w:val="24"/>
          <w:highlight w:val="none"/>
          <w:u w:val="single"/>
          <w:lang w:eastAsia="zh-CN"/>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%时，或材料单价跌幅以已标价工程量清单或预算书中载明材料单价为基础超过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%时，材料单价涨幅以已标价工程量清单或预算书中载明材料单价为基础超过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highlight w:val="none"/>
        </w:rPr>
        <w:t>③承包人在已标价工程量清单或预算书中载明的材料单价等于基准单价的</w:t>
      </w:r>
      <w:r>
        <w:rPr>
          <w:rFonts w:hint="eastAsia" w:asciiTheme="minorEastAsia" w:hAnsiTheme="minorEastAsia" w:eastAsiaTheme="minorEastAsia" w:cstheme="minorEastAsia"/>
          <w:color w:val="auto"/>
          <w:w w:val="100"/>
          <w:sz w:val="24"/>
          <w:szCs w:val="24"/>
        </w:rPr>
        <w:t>：专用合同条款合同履行期间材料单价涨跌幅以基准单价为基础超过±</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%时，其超过部分据实调整。</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第3种方式：其他价格调整方式：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12. 合同价格、计量与支付</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12.1 合同价格形式</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1、单价合同。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综合单价包含的风险范围：</w:t>
      </w:r>
      <w:r>
        <w:rPr>
          <w:rFonts w:hint="eastAsia" w:asciiTheme="minorEastAsia" w:hAnsiTheme="minorEastAsia" w:eastAsiaTheme="minorEastAsia" w:cstheme="minorEastAsia"/>
          <w:color w:val="auto"/>
          <w:w w:val="100"/>
          <w:sz w:val="24"/>
          <w:szCs w:val="24"/>
          <w:u w:val="single"/>
        </w:rPr>
        <w:t>除经济签证、设计变更以外的所有风险</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风险费用的计算方法：</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风险范围以外合同价格的调整方法：</w:t>
      </w:r>
      <w:r>
        <w:rPr>
          <w:rFonts w:hint="eastAsia" w:asciiTheme="minorEastAsia" w:hAnsiTheme="minorEastAsia" w:eastAsiaTheme="minorEastAsia" w:cstheme="minorEastAsia"/>
          <w:color w:val="auto"/>
          <w:w w:val="100"/>
          <w:sz w:val="24"/>
          <w:szCs w:val="24"/>
          <w:u w:val="single"/>
        </w:rPr>
        <w:t xml:space="preserve">  经济签证、设计变更引起工程总价变化幅度超过3%时予以调整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2、总价合同。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总价包含的风险范围：</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风险费用的计算方法：</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风险范围以外合同价格的调整方法：</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3、其他价格方式：</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12.2 预付款</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12.2.1 预付款的支付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预付款支付比例或金额：</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lang w:eastAsia="zh-CN"/>
        </w:rPr>
        <w:t>甲乙双方协商确定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预付款支付期限：</w:t>
      </w:r>
      <w:r>
        <w:rPr>
          <w:rFonts w:hint="eastAsia" w:asciiTheme="minorEastAsia" w:hAnsiTheme="minorEastAsia" w:eastAsiaTheme="minorEastAsia" w:cstheme="minorEastAsia"/>
          <w:color w:val="auto"/>
          <w:w w:val="100"/>
          <w:sz w:val="24"/>
          <w:szCs w:val="24"/>
          <w:u w:val="single"/>
        </w:rPr>
        <w:t xml:space="preserve">签订合同、承包方提交履约保证金，完成后并在开工以前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预付款扣回的方式：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lang w:val="en-US" w:eastAsia="zh-CN"/>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12.2.2 预付款担保</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承包人提交预付款担保的期限：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预付款担保的形式为：</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 计量</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12.3.1 计量原则</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工程量计算规则：</w:t>
      </w:r>
      <w:r>
        <w:rPr>
          <w:rFonts w:hint="eastAsia" w:asciiTheme="minorEastAsia" w:hAnsiTheme="minorEastAsia" w:eastAsiaTheme="minorEastAsia" w:cstheme="minorEastAsia"/>
          <w:color w:val="auto"/>
          <w:w w:val="100"/>
          <w:sz w:val="24"/>
          <w:szCs w:val="24"/>
          <w:u w:val="single"/>
        </w:rPr>
        <w:t xml:space="preserve">  按阿勒泰地区现行工程量计算规则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12.3.2 计量周期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关于计量周期的约定：</w:t>
      </w:r>
      <w:r>
        <w:rPr>
          <w:rFonts w:hint="eastAsia" w:asciiTheme="minorEastAsia" w:hAnsiTheme="minorEastAsia" w:eastAsiaTheme="minorEastAsia" w:cstheme="minorEastAsia"/>
          <w:color w:val="auto"/>
          <w:w w:val="100"/>
          <w:sz w:val="24"/>
          <w:szCs w:val="24"/>
          <w:u w:val="single"/>
        </w:rPr>
        <w:t xml:space="preserve">   按月计量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12.3.3 单价合同的计量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关于单价合同计量的约定：</w:t>
      </w:r>
      <w:r>
        <w:rPr>
          <w:rFonts w:hint="eastAsia" w:asciiTheme="minorEastAsia" w:hAnsiTheme="minorEastAsia" w:eastAsiaTheme="minorEastAsia" w:cstheme="minorEastAsia"/>
          <w:color w:val="auto"/>
          <w:w w:val="100"/>
          <w:sz w:val="24"/>
          <w:szCs w:val="24"/>
          <w:u w:val="single"/>
        </w:rPr>
        <w:t xml:space="preserve">   按月计量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12.3.4 总价合同的计量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关于总价合同计量的约定：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12.3.5总价合同采用支付分解表计量支付的，是否适用第12.3.4 项〔总价合同的计量〕约定进行计量：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12.3.6 其他价格形式合同的计量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其他价格形式的计量方式和程序：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 工程进度款支付</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12.4.1 付款周期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关于付款周期的约定：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lang w:eastAsia="zh-CN"/>
        </w:rPr>
        <w:t>甲乙双方协商确定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12.4.2 进度付款申请单的编制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关于进度付款申请单编制的约定：</w:t>
      </w:r>
      <w:r>
        <w:rPr>
          <w:rFonts w:hint="eastAsia" w:asciiTheme="minorEastAsia" w:hAnsiTheme="minorEastAsia" w:eastAsiaTheme="minorEastAsia" w:cstheme="minorEastAsia"/>
          <w:color w:val="auto"/>
          <w:w w:val="100"/>
          <w:sz w:val="24"/>
          <w:szCs w:val="24"/>
          <w:u w:val="single"/>
        </w:rPr>
        <w:t xml:space="preserve">按发包方工程款支付管理规定执行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12.4.3 进度付款申请单的提交</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（1）单价合同进度付款申请单提交的约定：</w:t>
      </w:r>
      <w:r>
        <w:rPr>
          <w:rFonts w:hint="eastAsia" w:asciiTheme="minorEastAsia" w:hAnsiTheme="minorEastAsia" w:eastAsiaTheme="minorEastAsia" w:cstheme="minorEastAsia"/>
          <w:color w:val="auto"/>
          <w:w w:val="100"/>
          <w:sz w:val="24"/>
          <w:szCs w:val="24"/>
          <w:u w:val="single"/>
        </w:rPr>
        <w:t xml:space="preserve">    按发包方工程款支付管理规定执行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（2）总价合同进度付款申请单提交的约定：</w:t>
      </w:r>
      <w:r>
        <w:rPr>
          <w:rFonts w:hint="eastAsia" w:asciiTheme="minorEastAsia" w:hAnsiTheme="minorEastAsia" w:eastAsiaTheme="minorEastAsia" w:cstheme="minorEastAsia"/>
          <w:color w:val="auto"/>
          <w:w w:val="100"/>
          <w:sz w:val="24"/>
          <w:szCs w:val="24"/>
          <w:u w:val="single"/>
        </w:rPr>
        <w:t xml:space="preserve">  按发包方工程款支付管理规定执行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（3）其他价格形式合同进度付款申请单提交的约定：</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12.4.4 进度款审核和支付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（1）监理人审查并报送发包人的期限：</w:t>
      </w:r>
      <w:r>
        <w:rPr>
          <w:rFonts w:hint="eastAsia" w:asciiTheme="minorEastAsia" w:hAnsiTheme="minorEastAsia" w:eastAsiaTheme="minorEastAsia" w:cstheme="minorEastAsia"/>
          <w:color w:val="auto"/>
          <w:w w:val="100"/>
          <w:sz w:val="24"/>
          <w:szCs w:val="24"/>
          <w:u w:val="single"/>
        </w:rPr>
        <w:t xml:space="preserve">  收到申请7日内审查并报送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发包人完成审批并签发进度款支付证书的期限：</w:t>
      </w:r>
      <w:r>
        <w:rPr>
          <w:rFonts w:hint="eastAsia" w:asciiTheme="minorEastAsia" w:hAnsiTheme="minorEastAsia" w:eastAsiaTheme="minorEastAsia" w:cstheme="minorEastAsia"/>
          <w:color w:val="auto"/>
          <w:w w:val="100"/>
          <w:sz w:val="24"/>
          <w:szCs w:val="24"/>
          <w:u w:val="single"/>
        </w:rPr>
        <w:t xml:space="preserve"> 收到7日内完成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（2）发包人支付进度款的期限：</w:t>
      </w:r>
      <w:r>
        <w:rPr>
          <w:rFonts w:hint="eastAsia" w:asciiTheme="minorEastAsia" w:hAnsiTheme="minorEastAsia" w:eastAsiaTheme="minorEastAsia" w:cstheme="minorEastAsia"/>
          <w:color w:val="auto"/>
          <w:w w:val="100"/>
          <w:sz w:val="24"/>
          <w:szCs w:val="24"/>
          <w:u w:val="single"/>
        </w:rPr>
        <w:t xml:space="preserve">  14日内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发包人逾期支付进度款的违约金的计算方式：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12.4.6 支付分解表的编制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2、总价合同支付分解表的编制与审批：</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3、单价合同的总价项目支付分解表的编制与审批：</w:t>
      </w:r>
      <w:r>
        <w:rPr>
          <w:rFonts w:hint="eastAsia" w:asciiTheme="minorEastAsia" w:hAnsiTheme="minorEastAsia" w:eastAsiaTheme="minorEastAsia" w:cstheme="minorEastAsia"/>
          <w:color w:val="auto"/>
          <w:w w:val="100"/>
          <w:sz w:val="24"/>
          <w:szCs w:val="24"/>
          <w:u w:val="single"/>
        </w:rPr>
        <w:t xml:space="preserve">  按合同通用条款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13. 验收和工程试车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13.1 分部分项工程验收</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13.1.2监理人不能按时进行验收时，应提前</w:t>
      </w:r>
      <w:r>
        <w:rPr>
          <w:rFonts w:hint="eastAsia" w:asciiTheme="minorEastAsia" w:hAnsiTheme="minorEastAsia" w:eastAsiaTheme="minorEastAsia" w:cstheme="minorEastAsia"/>
          <w:color w:val="auto"/>
          <w:w w:val="100"/>
          <w:sz w:val="24"/>
          <w:szCs w:val="24"/>
          <w:u w:val="single"/>
        </w:rPr>
        <w:t xml:space="preserve">   24   </w:t>
      </w:r>
      <w:r>
        <w:rPr>
          <w:rFonts w:hint="eastAsia" w:asciiTheme="minorEastAsia" w:hAnsiTheme="minorEastAsia" w:eastAsiaTheme="minorEastAsia" w:cstheme="minorEastAsia"/>
          <w:color w:val="auto"/>
          <w:w w:val="100"/>
          <w:sz w:val="24"/>
          <w:szCs w:val="24"/>
        </w:rPr>
        <w:t>小时提交书面延期要求。</w:t>
      </w:r>
    </w:p>
    <w:p>
      <w:pPr>
        <w:autoSpaceDE/>
        <w:autoSpaceDN/>
        <w:snapToGrid/>
        <w:spacing w:before="0" w:after="0" w:line="460" w:lineRule="exact"/>
        <w:ind w:left="0" w:firstLine="420"/>
        <w:jc w:val="left"/>
        <w:rPr>
          <w:rFonts w:hint="eastAsia" w:asciiTheme="minorEastAsia" w:hAnsiTheme="minorEastAsia" w:eastAsiaTheme="minorEastAsia" w:cstheme="minorEastAsia"/>
          <w:b/>
          <w:color w:val="auto"/>
          <w:w w:val="100"/>
          <w:sz w:val="24"/>
          <w:szCs w:val="24"/>
        </w:rPr>
      </w:pPr>
      <w:r>
        <w:rPr>
          <w:rFonts w:hint="eastAsia" w:asciiTheme="minorEastAsia" w:hAnsiTheme="minorEastAsia" w:eastAsiaTheme="minorEastAsia" w:cstheme="minorEastAsia"/>
          <w:color w:val="auto"/>
          <w:w w:val="100"/>
          <w:sz w:val="24"/>
          <w:szCs w:val="24"/>
        </w:rPr>
        <w:t>关于延期最长不得超过：</w:t>
      </w:r>
      <w:r>
        <w:rPr>
          <w:rFonts w:hint="eastAsia" w:asciiTheme="minorEastAsia" w:hAnsiTheme="minorEastAsia" w:eastAsiaTheme="minorEastAsia" w:cstheme="minorEastAsia"/>
          <w:color w:val="auto"/>
          <w:w w:val="100"/>
          <w:sz w:val="24"/>
          <w:szCs w:val="24"/>
          <w:u w:val="single"/>
        </w:rPr>
        <w:t xml:space="preserve">   48   </w:t>
      </w:r>
      <w:r>
        <w:rPr>
          <w:rFonts w:hint="eastAsia" w:asciiTheme="minorEastAsia" w:hAnsiTheme="minorEastAsia" w:eastAsiaTheme="minorEastAsia" w:cstheme="minorEastAsia"/>
          <w:color w:val="auto"/>
          <w:w w:val="100"/>
          <w:sz w:val="24"/>
          <w:szCs w:val="24"/>
        </w:rPr>
        <w:t>小时。</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13.2 竣工验收</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13.2.2竣工验收程序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关于竣工验收程序的约定：</w:t>
      </w:r>
      <w:r>
        <w:rPr>
          <w:rFonts w:hint="eastAsia" w:asciiTheme="minorEastAsia" w:hAnsiTheme="minorEastAsia" w:eastAsiaTheme="minorEastAsia" w:cstheme="minorEastAsia"/>
          <w:color w:val="auto"/>
          <w:w w:val="100"/>
          <w:sz w:val="24"/>
          <w:szCs w:val="24"/>
          <w:u w:val="single"/>
        </w:rPr>
        <w:t xml:space="preserve">     按合同通用条款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发包人不按照本项约定组织竣工验收、颁发工程接收证书的违约金的计算方法：</w:t>
      </w:r>
      <w:r>
        <w:rPr>
          <w:rFonts w:hint="eastAsia" w:asciiTheme="minorEastAsia" w:hAnsiTheme="minorEastAsia" w:eastAsiaTheme="minorEastAsia" w:cstheme="minorEastAsia"/>
          <w:color w:val="auto"/>
          <w:w w:val="100"/>
          <w:sz w:val="24"/>
          <w:szCs w:val="24"/>
          <w:u w:val="single"/>
        </w:rPr>
        <w:t xml:space="preserve"> 按合同通用条款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13.2.5移交、接收全部与部分工程</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承包人向发包人移交工程的期限：</w:t>
      </w:r>
      <w:r>
        <w:rPr>
          <w:rFonts w:hint="eastAsia" w:asciiTheme="minorEastAsia" w:hAnsiTheme="minorEastAsia" w:eastAsiaTheme="minorEastAsia" w:cstheme="minorEastAsia"/>
          <w:color w:val="auto"/>
          <w:w w:val="100"/>
          <w:sz w:val="24"/>
          <w:szCs w:val="24"/>
          <w:u w:val="single"/>
        </w:rPr>
        <w:t xml:space="preserve">   颁发工程接收证书后7日内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发包人未按本合同约定接收全部或部分工程的，违约金的计算方法为：</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承包人未按时移交工程的，违约金的计算方法为：</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13.3 工程试车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13.3.1 试车程序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工程试车内容：</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（1）单机无负荷试车费用由</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承担；</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（2）无负荷联动试车费用由</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承担。</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13.3.3 投料试车</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关于投料试车相关事项的约定：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13.6 竣工退场</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13.6.1 竣工退场</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承包人完成竣工退场的期限：</w:t>
      </w:r>
      <w:r>
        <w:rPr>
          <w:rFonts w:hint="eastAsia" w:asciiTheme="minorEastAsia" w:hAnsiTheme="minorEastAsia" w:eastAsiaTheme="minorEastAsia" w:cstheme="minorEastAsia"/>
          <w:color w:val="auto"/>
          <w:w w:val="100"/>
          <w:sz w:val="24"/>
          <w:szCs w:val="24"/>
          <w:u w:val="single"/>
        </w:rPr>
        <w:t xml:space="preserve">   颁发工程接收证书后3日内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14. 竣工结算</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14.1 竣工付款申请</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承包人提交竣工付款申请单的期限：</w:t>
      </w:r>
      <w:r>
        <w:rPr>
          <w:rFonts w:hint="eastAsia" w:asciiTheme="minorEastAsia" w:hAnsiTheme="minorEastAsia" w:eastAsiaTheme="minorEastAsia" w:cstheme="minorEastAsia"/>
          <w:color w:val="auto"/>
          <w:w w:val="100"/>
          <w:sz w:val="24"/>
          <w:szCs w:val="24"/>
          <w:u w:val="single"/>
        </w:rPr>
        <w:t xml:space="preserve">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竣工付款申请单应包括的内容：</w:t>
      </w:r>
      <w:r>
        <w:rPr>
          <w:rFonts w:hint="eastAsia" w:asciiTheme="minorEastAsia" w:hAnsiTheme="minorEastAsia" w:eastAsiaTheme="minorEastAsia" w:cstheme="minorEastAsia"/>
          <w:color w:val="auto"/>
          <w:w w:val="100"/>
          <w:sz w:val="24"/>
          <w:szCs w:val="24"/>
          <w:u w:val="single"/>
        </w:rPr>
        <w:t xml:space="preserve">   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14.2 竣工结算审核</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发包人审批竣工付款申请单的期限：</w:t>
      </w:r>
      <w:r>
        <w:rPr>
          <w:rFonts w:hint="eastAsia" w:asciiTheme="minorEastAsia" w:hAnsiTheme="minorEastAsia" w:eastAsiaTheme="minorEastAsia" w:cstheme="minorEastAsia"/>
          <w:color w:val="auto"/>
          <w:w w:val="100"/>
          <w:sz w:val="24"/>
          <w:szCs w:val="24"/>
          <w:u w:val="single"/>
        </w:rPr>
        <w:t xml:space="preserve">  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发包人完成竣工付款的期限：</w:t>
      </w:r>
      <w:r>
        <w:rPr>
          <w:rFonts w:hint="eastAsia" w:asciiTheme="minorEastAsia" w:hAnsiTheme="minorEastAsia" w:eastAsiaTheme="minorEastAsia" w:cstheme="minorEastAsia"/>
          <w:color w:val="auto"/>
          <w:w w:val="100"/>
          <w:sz w:val="24"/>
          <w:szCs w:val="24"/>
          <w:u w:val="single"/>
        </w:rPr>
        <w:t xml:space="preserve">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关于竣工付款证书异议部分复核的方式和程序：</w:t>
      </w:r>
      <w:r>
        <w:rPr>
          <w:rFonts w:hint="eastAsia" w:asciiTheme="minorEastAsia" w:hAnsiTheme="minorEastAsia" w:eastAsiaTheme="minorEastAsia" w:cstheme="minorEastAsia"/>
          <w:color w:val="auto"/>
          <w:w w:val="100"/>
          <w:sz w:val="24"/>
          <w:szCs w:val="24"/>
          <w:u w:val="single"/>
        </w:rPr>
        <w:t xml:space="preserve"> 发包方支付工程款必须进入本合同约定账户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14.4 最终结清</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14.4.1 最终结清申请单</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承包人提交最终结清申请单的份数：</w:t>
      </w:r>
      <w:r>
        <w:rPr>
          <w:rFonts w:hint="eastAsia" w:asciiTheme="minorEastAsia" w:hAnsiTheme="minorEastAsia" w:eastAsiaTheme="minorEastAsia" w:cstheme="minorEastAsia"/>
          <w:color w:val="auto"/>
          <w:w w:val="100"/>
          <w:sz w:val="24"/>
          <w:szCs w:val="24"/>
          <w:u w:val="single"/>
        </w:rPr>
        <w:t xml:space="preserve">     肆份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承包人提交最终结算申请单的期限：</w:t>
      </w:r>
      <w:r>
        <w:rPr>
          <w:rFonts w:hint="eastAsia" w:asciiTheme="minorEastAsia" w:hAnsiTheme="minorEastAsia" w:eastAsiaTheme="minorEastAsia" w:cstheme="minorEastAsia"/>
          <w:color w:val="auto"/>
          <w:w w:val="100"/>
          <w:sz w:val="24"/>
          <w:szCs w:val="24"/>
          <w:u w:val="single"/>
        </w:rPr>
        <w:t xml:space="preserve">  缺陷责任期终止证书颁发后7天内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14.4.2 最终结清证书和支付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（1）发包人完成最终结清申请单的审批并颁发最终结清证书的期限：</w:t>
      </w:r>
      <w:r>
        <w:rPr>
          <w:rFonts w:hint="eastAsia" w:asciiTheme="minorEastAsia" w:hAnsiTheme="minorEastAsia" w:eastAsiaTheme="minorEastAsia" w:cstheme="minorEastAsia"/>
          <w:color w:val="auto"/>
          <w:w w:val="100"/>
          <w:sz w:val="24"/>
          <w:szCs w:val="24"/>
          <w:u w:val="single"/>
        </w:rPr>
        <w:t xml:space="preserve">   收到最终结算申请单后14天内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（2）发包人完成支付的期限：</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15. 缺陷责任期与保修</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15.2缺陷责任期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缺陷责任期的具体期限：</w:t>
      </w:r>
      <w:r>
        <w:rPr>
          <w:rFonts w:hint="eastAsia" w:asciiTheme="minorEastAsia" w:hAnsiTheme="minorEastAsia" w:eastAsiaTheme="minorEastAsia" w:cstheme="minorEastAsia"/>
          <w:color w:val="auto"/>
          <w:w w:val="100"/>
          <w:sz w:val="24"/>
          <w:szCs w:val="24"/>
          <w:u w:val="single"/>
        </w:rPr>
        <w:t xml:space="preserve">  自实际竣工日期起计算为12个月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15.3 质量保证金</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关于是否扣留质量保证金的约定：</w:t>
      </w:r>
      <w:r>
        <w:rPr>
          <w:rFonts w:hint="eastAsia" w:asciiTheme="minorEastAsia" w:hAnsiTheme="minorEastAsia" w:eastAsiaTheme="minorEastAsia" w:cstheme="minorEastAsia"/>
          <w:color w:val="auto"/>
          <w:w w:val="100"/>
          <w:sz w:val="24"/>
          <w:szCs w:val="24"/>
          <w:u w:val="single"/>
        </w:rPr>
        <w:t xml:space="preserve">         扣留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15.3.1 承包人提供质量保证金的方式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质量保证金采用以下第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2</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种方式：</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（1）质量保证金保函，保证金额为：</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w:t>
      </w:r>
      <w:r>
        <w:rPr>
          <w:rFonts w:hint="eastAsia" w:asciiTheme="minorEastAsia" w:hAnsiTheme="minorEastAsia" w:eastAsiaTheme="minorEastAsia" w:cstheme="minorEastAsia"/>
          <w:color w:val="auto"/>
          <w:w w:val="100"/>
          <w:sz w:val="24"/>
          <w:szCs w:val="24"/>
          <w:u w:val="single"/>
        </w:rPr>
        <w:t xml:space="preserve">  3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%的工程款；</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 xml:space="preserve">15.3.2 质量保证金的扣留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质量保证金的扣留采取以下第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2</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种方式：</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（2）工程竣工结算时一次性扣留质量保证金；</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（3）其他扣留方式: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关于质量保证金的补充约定：</w:t>
      </w:r>
      <w:r>
        <w:rPr>
          <w:rFonts w:hint="eastAsia" w:asciiTheme="minorEastAsia" w:hAnsiTheme="minorEastAsia" w:eastAsiaTheme="minorEastAsia" w:cstheme="minorEastAsia"/>
          <w:color w:val="auto"/>
          <w:w w:val="100"/>
          <w:sz w:val="24"/>
          <w:szCs w:val="24"/>
          <w:u w:val="single"/>
        </w:rPr>
        <w:t xml:space="preserve">   按照国家、自治区现行规定执行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15.4保修</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15.4.1 保修责任</w:t>
      </w:r>
    </w:p>
    <w:p>
      <w:pPr>
        <w:autoSpaceDE/>
        <w:autoSpaceDN/>
        <w:snapToGrid/>
        <w:spacing w:before="0" w:after="0" w:line="460" w:lineRule="exact"/>
        <w:ind w:left="0" w:firstLine="409"/>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工程保修期为：</w:t>
      </w:r>
      <w:r>
        <w:rPr>
          <w:rFonts w:hint="eastAsia" w:asciiTheme="minorEastAsia" w:hAnsiTheme="minorEastAsia" w:eastAsiaTheme="minorEastAsia" w:cstheme="minorEastAsia"/>
          <w:color w:val="auto"/>
          <w:w w:val="100"/>
          <w:sz w:val="24"/>
          <w:szCs w:val="24"/>
          <w:u w:val="single"/>
        </w:rPr>
        <w:t xml:space="preserve">     见工程质量保修书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15.4.3 修复通知</w:t>
      </w:r>
    </w:p>
    <w:p>
      <w:pPr>
        <w:autoSpaceDE/>
        <w:autoSpaceDN/>
        <w:snapToGrid/>
        <w:spacing w:before="0" w:after="0" w:line="460" w:lineRule="exact"/>
        <w:ind w:left="0" w:firstLine="409"/>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承包人收到保修通知并到达工程现场的合理时间：</w:t>
      </w:r>
      <w:r>
        <w:rPr>
          <w:rFonts w:hint="eastAsia" w:asciiTheme="minorEastAsia" w:hAnsiTheme="minorEastAsia" w:eastAsiaTheme="minorEastAsia" w:cstheme="minorEastAsia"/>
          <w:color w:val="auto"/>
          <w:w w:val="100"/>
          <w:sz w:val="24"/>
          <w:szCs w:val="24"/>
          <w:u w:val="single"/>
        </w:rPr>
        <w:t xml:space="preserve">      24小时内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16. 违约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 发包人违约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16.1.1发包人违约的情形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发包人违约的其他情形：</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1050" w:hanging="105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16.1.2 发包人违约的责任</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发包人违约责任的承担方式和计算方法：</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（1）因发包人原因未能在计划开工日期前7天内下达开工通知的违约责任：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（2）因发包人原因未能按合同约定支付合同价款的违约责任：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（3）发包人违反第10.1款〔变更的范围〕第（2）项约定，自行实施被取消的工作或转由他人实施的违约责任：</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（5）因发包人违反合同约定造成暂停施工的违约责任：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（6）发包人无正当理由没有在约定期限内发出复工指示，导致承包人无法复工的违约责任：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（7）其他：</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16.1.3 因发包人违约解除合同</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承包人按16.1.1项〔发包人违约的情形〕约定暂停施工满</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 承包人违约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16.2.1 承包人违约的情形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承包人违约的其他情形：</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16.2.2承包人违约的责任</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承包人违约责任的承担方式和计算方法：</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16.2.3 因承包人违约解除合同</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关于承包人违约解除合同的特别约定：</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w w:val="100"/>
          <w:sz w:val="24"/>
          <w:szCs w:val="24"/>
          <w:u w:val="single"/>
        </w:rPr>
        <w:t xml:space="preserve"> 由发包人承担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 xml:space="preserve">17. 不可抗力 </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17.1 不可抗力的确认</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 xml:space="preserve">除通用合同条款约定的不可抗力事件之外，视为不可抗力的其他情形：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17.4 因不可抗力解除合同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合同解除后，发包人应在商定或确定发包人应支付款项后</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天内完成款项的支付。</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18. 保险</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18.1 工程保险</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关于工程保险的特别约定：</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18.3 其他保险</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关于其他保险的约定：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承包人是否应为其施工设备等办理财产保险：</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18.7 通知义务</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关于变更保险合同时的通知义务的约定：</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20. 争议解决</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20.3 争议评审</w:t>
      </w:r>
    </w:p>
    <w:p>
      <w:pPr>
        <w:autoSpaceDE/>
        <w:autoSpaceDN/>
        <w:snapToGrid/>
        <w:spacing w:before="0" w:after="0" w:line="460" w:lineRule="exact"/>
        <w:ind w:left="149" w:firstLine="31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合同当事人是否同意将工程争议提交争议评审小组决定：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20.3.1 争议评审小组的确定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争议评审小组成员的确定：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选定争议评审员的期限：</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争议评审小组成员的报酬承担方式：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其他事项的约定：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20.3.2 争议评审小组的决定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合同当事人关于本项的约定：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20.4仲裁或诉讼</w:t>
      </w:r>
    </w:p>
    <w:p>
      <w:pPr>
        <w:autoSpaceDE/>
        <w:autoSpaceDN/>
        <w:snapToGrid/>
        <w:spacing w:before="0" w:after="12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因合同及合同有关事项发生的争议，按下列第</w:t>
      </w:r>
      <w:r>
        <w:rPr>
          <w:rFonts w:hint="eastAsia" w:asciiTheme="minorEastAsia" w:hAnsiTheme="minorEastAsia" w:eastAsiaTheme="minorEastAsia" w:cstheme="minorEastAsia"/>
          <w:color w:val="auto"/>
          <w:w w:val="100"/>
          <w:sz w:val="24"/>
          <w:szCs w:val="24"/>
          <w:u w:val="single"/>
        </w:rPr>
        <w:t xml:space="preserve">  2   </w:t>
      </w:r>
      <w:r>
        <w:rPr>
          <w:rFonts w:hint="eastAsia" w:asciiTheme="minorEastAsia" w:hAnsiTheme="minorEastAsia" w:eastAsiaTheme="minorEastAsia" w:cstheme="minorEastAsia"/>
          <w:color w:val="auto"/>
          <w:w w:val="100"/>
          <w:sz w:val="24"/>
          <w:szCs w:val="24"/>
        </w:rPr>
        <w:t>种方式解决：</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（1）向</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仲裁委员会申请仲裁；</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（2）向</w:t>
      </w:r>
      <w:r>
        <w:rPr>
          <w:rFonts w:hint="eastAsia" w:asciiTheme="minorEastAsia" w:hAnsiTheme="minorEastAsia" w:eastAsiaTheme="minorEastAsia" w:cstheme="minorEastAsia"/>
          <w:color w:val="auto"/>
          <w:w w:val="100"/>
          <w:sz w:val="24"/>
          <w:szCs w:val="24"/>
          <w:u w:val="single"/>
        </w:rPr>
        <w:t xml:space="preserve">       工程所在地      </w:t>
      </w:r>
      <w:r>
        <w:rPr>
          <w:rFonts w:hint="eastAsia" w:asciiTheme="minorEastAsia" w:hAnsiTheme="minorEastAsia" w:eastAsiaTheme="minorEastAsia" w:cstheme="minorEastAsia"/>
          <w:color w:val="auto"/>
          <w:w w:val="100"/>
          <w:sz w:val="24"/>
          <w:szCs w:val="24"/>
        </w:rPr>
        <w:t>人民法院起诉。</w:t>
      </w:r>
    </w:p>
    <w:p>
      <w:pPr>
        <w:autoSpaceDE/>
        <w:autoSpaceDN/>
        <w:snapToGrid/>
        <w:spacing w:before="0" w:after="0" w:line="240" w:lineRule="auto"/>
        <w:ind w:left="0" w:firstLine="0"/>
        <w:jc w:val="both"/>
        <w:rPr>
          <w:rFonts w:hint="eastAsia" w:asciiTheme="minorEastAsia" w:hAnsiTheme="minorEastAsia" w:eastAsiaTheme="minorEastAsia" w:cstheme="minorEastAsia"/>
          <w:color w:val="auto"/>
          <w:w w:val="100"/>
          <w:sz w:val="24"/>
          <w:szCs w:val="24"/>
        </w:rPr>
      </w:pPr>
    </w:p>
    <w:p>
      <w:pPr>
        <w:autoSpaceDE/>
        <w:autoSpaceDN/>
        <w:snapToGrid/>
        <w:spacing w:before="0" w:after="0" w:line="240" w:lineRule="auto"/>
        <w:ind w:left="0" w:firstLine="0"/>
        <w:jc w:val="both"/>
        <w:rPr>
          <w:rFonts w:hint="eastAsia" w:asciiTheme="minorEastAsia" w:hAnsiTheme="minorEastAsia" w:eastAsiaTheme="minorEastAsia" w:cstheme="minorEastAsia"/>
          <w:color w:val="auto"/>
          <w:w w:val="100"/>
          <w:sz w:val="24"/>
          <w:szCs w:val="24"/>
        </w:rPr>
      </w:pPr>
    </w:p>
    <w:p>
      <w:pPr>
        <w:autoSpaceDE/>
        <w:autoSpaceDN/>
        <w:snapToGrid/>
        <w:spacing w:before="0" w:after="0" w:line="240" w:lineRule="auto"/>
        <w:ind w:left="0" w:firstLine="0"/>
        <w:jc w:val="both"/>
        <w:rPr>
          <w:rFonts w:hint="eastAsia" w:ascii="宋体" w:hAnsi="Times New Roman" w:eastAsia="宋体"/>
          <w:color w:val="auto"/>
          <w:w w:val="100"/>
          <w:sz w:val="24"/>
        </w:rPr>
      </w:pPr>
    </w:p>
    <w:p>
      <w:pPr>
        <w:keepNext/>
        <w:keepLines/>
        <w:autoSpaceDE/>
        <w:autoSpaceDN/>
        <w:snapToGrid/>
        <w:spacing w:before="260" w:after="260" w:line="360" w:lineRule="exact"/>
        <w:ind w:left="0" w:firstLine="0"/>
        <w:jc w:val="both"/>
        <w:rPr>
          <w:rFonts w:hint="eastAsia" w:ascii="Arial" w:hAnsi="Arial" w:eastAsia="黑体"/>
          <w:b/>
          <w:color w:val="auto"/>
          <w:w w:val="100"/>
          <w:sz w:val="32"/>
        </w:rPr>
      </w:pPr>
    </w:p>
    <w:p>
      <w:pPr>
        <w:pStyle w:val="6"/>
        <w:rPr>
          <w:rFonts w:hint="eastAsia"/>
          <w:color w:val="auto"/>
        </w:rPr>
      </w:pPr>
    </w:p>
    <w:p>
      <w:pPr>
        <w:keepNext/>
        <w:keepLines/>
        <w:autoSpaceDE/>
        <w:autoSpaceDN/>
        <w:snapToGrid/>
        <w:spacing w:before="260" w:after="260" w:line="360" w:lineRule="exact"/>
        <w:ind w:left="0" w:firstLine="0"/>
        <w:jc w:val="both"/>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autoSpaceDE/>
        <w:autoSpaceDN/>
        <w:snapToGrid/>
        <w:spacing w:before="0" w:after="0" w:line="500" w:lineRule="exact"/>
        <w:ind w:left="0" w:firstLine="0"/>
        <w:jc w:val="both"/>
        <w:rPr>
          <w:rFonts w:hint="eastAsia" w:ascii="宋体" w:hAnsi="Times New Roman" w:eastAsia="宋体"/>
          <w:b/>
          <w:color w:val="auto"/>
          <w:w w:val="100"/>
          <w:sz w:val="21"/>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宋体" w:hAnsi="Times New Roman" w:eastAsia="宋体"/>
          <w:b/>
          <w:color w:val="auto"/>
          <w:w w:val="100"/>
          <w:sz w:val="21"/>
        </w:rPr>
      </w:pPr>
      <w:r>
        <w:rPr>
          <w:rFonts w:hint="eastAsia" w:ascii="Arial" w:hAnsi="Arial" w:eastAsia="黑体"/>
          <w:b/>
          <w:color w:val="auto"/>
          <w:w w:val="100"/>
          <w:sz w:val="32"/>
        </w:rPr>
        <w:t>第二节  合 同 文 件 格 式</w:t>
      </w:r>
    </w:p>
    <w:p>
      <w:pPr>
        <w:autoSpaceDE/>
        <w:autoSpaceDN/>
        <w:snapToGrid/>
        <w:spacing w:before="0" w:after="0" w:line="500" w:lineRule="exact"/>
        <w:ind w:left="0" w:firstLine="0"/>
        <w:jc w:val="both"/>
        <w:rPr>
          <w:rFonts w:hint="eastAsia" w:ascii="宋体" w:hAnsi="Times New Roman" w:eastAsia="宋体"/>
          <w:color w:val="auto"/>
          <w:w w:val="100"/>
          <w:sz w:val="21"/>
        </w:rPr>
      </w:pPr>
      <w:r>
        <w:rPr>
          <w:rFonts w:hint="eastAsia" w:ascii="宋体" w:hAnsi="Times New Roman" w:eastAsia="宋体"/>
          <w:b/>
          <w:color w:val="auto"/>
          <w:w w:val="100"/>
          <w:sz w:val="21"/>
        </w:rPr>
        <w:t>1.合同文件格式</w:t>
      </w:r>
    </w:p>
    <w:p>
      <w:pPr>
        <w:autoSpaceDE/>
        <w:autoSpaceDN/>
        <w:snapToGrid/>
        <w:spacing w:before="0" w:after="0" w:line="500" w:lineRule="exact"/>
        <w:ind w:left="0" w:firstLine="42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1.2 建设工程施工合同的“合同条件”采用国家工商行政管理局和建设部颁发的《建设工程施工合同》（</w:t>
      </w:r>
      <w:r>
        <w:rPr>
          <w:rFonts w:hint="eastAsia" w:ascii="宋体" w:hAnsi="Times New Roman" w:eastAsia="宋体"/>
          <w:b/>
          <w:color w:val="auto"/>
          <w:w w:val="100"/>
          <w:sz w:val="24"/>
          <w:szCs w:val="24"/>
        </w:rPr>
        <w:t xml:space="preserve"> </w:t>
      </w:r>
      <w:r>
        <w:rPr>
          <w:rFonts w:hint="eastAsia" w:ascii="宋体" w:hAnsi="Times New Roman" w:eastAsia="宋体"/>
          <w:b/>
          <w:color w:val="auto"/>
          <w:w w:val="100"/>
          <w:sz w:val="24"/>
          <w:szCs w:val="24"/>
          <w:u w:val="single"/>
        </w:rPr>
        <w:t>GF-2013-0201</w:t>
      </w:r>
      <w:r>
        <w:rPr>
          <w:rFonts w:hint="eastAsia" w:ascii="宋体" w:hAnsi="Times New Roman" w:eastAsia="宋体"/>
          <w:color w:val="auto"/>
          <w:w w:val="100"/>
          <w:sz w:val="24"/>
          <w:szCs w:val="24"/>
        </w:rPr>
        <w:t xml:space="preserve"> ）的合同条件。</w:t>
      </w:r>
    </w:p>
    <w:p>
      <w:pPr>
        <w:autoSpaceDE/>
        <w:autoSpaceDN/>
        <w:snapToGrid/>
        <w:spacing w:before="0" w:after="0" w:line="500" w:lineRule="exact"/>
        <w:ind w:left="0" w:firstLine="42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十、投标文件格式</w:t>
      </w: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0"/>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（项目名称）</w:t>
      </w:r>
    </w:p>
    <w:p>
      <w:pPr>
        <w:autoSpaceDE/>
        <w:autoSpaceDN/>
        <w:snapToGrid/>
        <w:spacing w:before="0" w:after="0" w:line="240" w:lineRule="auto"/>
        <w:ind w:left="0" w:firstLine="0"/>
        <w:jc w:val="center"/>
        <w:rPr>
          <w:rFonts w:hint="eastAsia" w:ascii="Times New Roman" w:hAnsi="Times New Roman" w:eastAsia="黑体"/>
          <w:color w:val="auto"/>
          <w:w w:val="100"/>
          <w:sz w:val="20"/>
        </w:rPr>
      </w:pPr>
    </w:p>
    <w:p>
      <w:pPr>
        <w:autoSpaceDE/>
        <w:autoSpaceDN/>
        <w:snapToGrid/>
        <w:spacing w:before="0" w:after="0" w:line="240" w:lineRule="auto"/>
        <w:ind w:left="0" w:firstLine="0"/>
        <w:jc w:val="both"/>
        <w:rPr>
          <w:rFonts w:hint="eastAsia" w:ascii="Times New Roman" w:hAnsi="Times New Roman" w:eastAsia="黑体"/>
          <w:color w:val="auto"/>
          <w:w w:val="100"/>
          <w:sz w:val="20"/>
        </w:rPr>
      </w:pPr>
    </w:p>
    <w:p>
      <w:pPr>
        <w:autoSpaceDE/>
        <w:autoSpaceDN/>
        <w:snapToGrid/>
        <w:spacing w:before="0" w:after="0" w:line="240" w:lineRule="auto"/>
        <w:ind w:left="0" w:firstLine="0"/>
        <w:jc w:val="center"/>
        <w:rPr>
          <w:rFonts w:hint="eastAsia" w:ascii="Times New Roman" w:hAnsi="Times New Roman" w:eastAsia="黑体"/>
          <w:color w:val="auto"/>
          <w:w w:val="100"/>
          <w:sz w:val="44"/>
        </w:rPr>
      </w:pPr>
      <w:r>
        <w:rPr>
          <w:rFonts w:hint="eastAsia" w:ascii="Times New Roman" w:hAnsi="Times New Roman" w:eastAsia="黑体"/>
          <w:color w:val="auto"/>
          <w:w w:val="100"/>
          <w:sz w:val="44"/>
        </w:rPr>
        <w:t>投  标  文  件</w:t>
      </w:r>
    </w:p>
    <w:p>
      <w:pPr>
        <w:autoSpaceDE/>
        <w:autoSpaceDN/>
        <w:snapToGrid/>
        <w:spacing w:before="0" w:after="0" w:line="240" w:lineRule="auto"/>
        <w:ind w:left="0" w:firstLine="0"/>
        <w:jc w:val="center"/>
        <w:rPr>
          <w:rFonts w:hint="eastAsia" w:ascii="Times New Roman" w:hAnsi="Times New Roman" w:eastAsia="黑体"/>
          <w:color w:val="auto"/>
          <w:w w:val="100"/>
          <w:sz w:val="44"/>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r>
        <w:rPr>
          <w:rFonts w:hint="eastAsia" w:ascii="Times New Roman" w:hAnsi="Times New Roman" w:eastAsia="黑体"/>
          <w:color w:val="auto"/>
          <w:w w:val="100"/>
          <w:sz w:val="28"/>
        </w:rPr>
        <w:t>投标人：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（盖单位章）</w:t>
      </w:r>
    </w:p>
    <w:p>
      <w:pPr>
        <w:autoSpaceDE/>
        <w:autoSpaceDN/>
        <w:snapToGrid/>
        <w:spacing w:before="0" w:after="0" w:line="240" w:lineRule="auto"/>
        <w:ind w:left="0" w:firstLine="0"/>
        <w:jc w:val="center"/>
        <w:rPr>
          <w:rFonts w:hint="eastAsia" w:ascii="Times New Roman" w:hAnsi="Times New Roman" w:eastAsia="黑体"/>
          <w:color w:val="auto"/>
          <w:w w:val="100"/>
          <w:sz w:val="28"/>
        </w:rPr>
      </w:pPr>
      <w:r>
        <w:rPr>
          <w:rFonts w:hint="eastAsia" w:ascii="Times New Roman" w:hAnsi="Times New Roman" w:eastAsia="黑体"/>
          <w:color w:val="auto"/>
          <w:w w:val="100"/>
          <w:sz w:val="28"/>
        </w:rPr>
        <w:t>法定代表人或其委托代理人：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（签字或盖章）</w:t>
      </w:r>
    </w:p>
    <w:p>
      <w:pPr>
        <w:autoSpaceDE w:val="0"/>
        <w:autoSpaceDN w:val="0"/>
        <w:snapToGrid/>
        <w:spacing w:before="0" w:after="0" w:line="360" w:lineRule="auto"/>
        <w:ind w:left="0" w:firstLine="560"/>
        <w:jc w:val="center"/>
        <w:rPr>
          <w:rFonts w:hint="eastAsia" w:ascii="黑体" w:hAnsi="Times New Roman" w:eastAsia="黑体"/>
          <w:color w:val="auto"/>
          <w:w w:val="100"/>
          <w:sz w:val="28"/>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年</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月</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日</w:t>
      </w: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Times New Roman" w:hAnsi="Times New Roman" w:eastAsia="宋体"/>
          <w:color w:val="auto"/>
          <w:w w:val="100"/>
          <w:sz w:val="44"/>
        </w:rPr>
      </w:pPr>
      <w:r>
        <w:rPr>
          <w:rFonts w:hint="eastAsia" w:ascii="Times New Roman" w:hAnsi="Times New Roman" w:eastAsia="宋体"/>
          <w:color w:val="auto"/>
          <w:w w:val="100"/>
          <w:sz w:val="44"/>
        </w:rPr>
        <w:t>目    录</w:t>
      </w:r>
    </w:p>
    <w:p>
      <w:pPr>
        <w:autoSpaceDE/>
        <w:autoSpaceDN/>
        <w:snapToGrid/>
        <w:spacing w:before="0" w:after="0" w:line="400" w:lineRule="exact"/>
        <w:ind w:left="0" w:firstLine="0"/>
        <w:jc w:val="both"/>
        <w:rPr>
          <w:rFonts w:hint="eastAsia" w:ascii="Times New Roman" w:hAnsi="Times New Roman" w:eastAsia="宋体"/>
          <w:color w:val="auto"/>
          <w:w w:val="100"/>
          <w:sz w:val="21"/>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一、谈判申请及声明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二、法定代表人的授权委托书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三、工程投标廉政承诺书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四、投标保证金</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五、项目管理机构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六、资格审查资料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七、已标价工程量清单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八、技术部分</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rPr>
      </w:pP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宋体" w:hAnsi="Arial" w:eastAsia="黑体"/>
          <w:b w:val="0"/>
          <w:color w:val="auto"/>
          <w:w w:val="100"/>
          <w:sz w:val="32"/>
        </w:rPr>
      </w:pPr>
      <w:r>
        <w:rPr>
          <w:rFonts w:hint="eastAsia" w:ascii="Arial" w:hAnsi="Arial" w:eastAsia="黑体"/>
          <w:b/>
          <w:color w:val="auto"/>
          <w:w w:val="100"/>
          <w:sz w:val="32"/>
        </w:rPr>
        <w:t>附件一：谈判申请及声明</w:t>
      </w:r>
    </w:p>
    <w:p>
      <w:pPr>
        <w:autoSpaceDE w:val="0"/>
        <w:autoSpaceDN w:val="0"/>
        <w:snapToGrid/>
        <w:spacing w:before="0" w:after="0" w:line="360" w:lineRule="auto"/>
        <w:ind w:left="0" w:firstLine="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致：</w:t>
      </w:r>
      <w:r>
        <w:rPr>
          <w:rFonts w:hint="eastAsia" w:ascii="宋体" w:hAnsi="Times New Roman" w:eastAsia="宋体"/>
          <w:color w:val="auto"/>
          <w:w w:val="100"/>
          <w:sz w:val="24"/>
          <w:szCs w:val="24"/>
          <w:u w:val="single"/>
        </w:rPr>
        <w:t xml:space="preserve">                         </w:t>
      </w:r>
      <w:r>
        <w:rPr>
          <w:rFonts w:hint="eastAsia" w:ascii="宋体" w:hAnsi="Times New Roman" w:eastAsia="宋体"/>
          <w:color w:val="auto"/>
          <w:w w:val="100"/>
          <w:sz w:val="24"/>
          <w:szCs w:val="24"/>
        </w:rPr>
        <w:t>（建设单位）</w:t>
      </w:r>
    </w:p>
    <w:p>
      <w:pPr>
        <w:autoSpaceDE w:val="0"/>
        <w:autoSpaceDN w:val="0"/>
        <w:snapToGrid/>
        <w:spacing w:before="0" w:after="0" w:line="360" w:lineRule="auto"/>
        <w:ind w:left="139" w:firstLine="56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根据贵方项目编号</w:t>
      </w:r>
      <w:r>
        <w:rPr>
          <w:rFonts w:hint="eastAsia" w:ascii="宋体" w:hAnsi="Times New Roman" w:eastAsia="宋体"/>
          <w:color w:val="auto"/>
          <w:w w:val="100"/>
          <w:sz w:val="24"/>
          <w:szCs w:val="24"/>
          <w:u w:val="single"/>
        </w:rPr>
        <w:t xml:space="preserve">        </w:t>
      </w:r>
      <w:r>
        <w:rPr>
          <w:rFonts w:hint="eastAsia" w:ascii="宋体" w:hAnsi="Times New Roman" w:eastAsia="宋体"/>
          <w:color w:val="auto"/>
          <w:w w:val="100"/>
          <w:sz w:val="24"/>
          <w:szCs w:val="24"/>
        </w:rPr>
        <w:t>的谈判文件，我方正式提交投标文件正本壹份，副本</w:t>
      </w:r>
      <w:r>
        <w:rPr>
          <w:rFonts w:hint="eastAsia" w:ascii="宋体" w:hAnsi="Times New Roman" w:eastAsia="宋体"/>
          <w:color w:val="auto"/>
          <w:w w:val="100"/>
          <w:sz w:val="24"/>
          <w:szCs w:val="24"/>
          <w:u w:val="single"/>
        </w:rPr>
        <w:t xml:space="preserve">     </w:t>
      </w:r>
      <w:r>
        <w:rPr>
          <w:rFonts w:hint="eastAsia" w:ascii="宋体" w:hAnsi="Times New Roman" w:eastAsia="宋体"/>
          <w:color w:val="auto"/>
          <w:w w:val="100"/>
          <w:sz w:val="24"/>
          <w:szCs w:val="24"/>
        </w:rPr>
        <w:t>份。</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据此函，签字人兹同意如下：</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1、总报价为</w:t>
      </w:r>
      <w:r>
        <w:rPr>
          <w:rFonts w:hint="eastAsia" w:ascii="宋体" w:hAnsi="宋体"/>
          <w:color w:val="auto"/>
          <w:w w:val="100"/>
          <w:sz w:val="24"/>
          <w:szCs w:val="24"/>
          <w:lang w:eastAsia="zh-CN"/>
        </w:rPr>
        <w:t>小写</w:t>
      </w:r>
      <w:r>
        <w:rPr>
          <w:rFonts w:hint="eastAsia" w:ascii="宋体" w:hAnsi="宋体"/>
          <w:color w:val="auto"/>
          <w:w w:val="100"/>
          <w:sz w:val="24"/>
          <w:szCs w:val="24"/>
          <w:u w:val="single"/>
          <w:lang w:val="en-US" w:eastAsia="zh-CN"/>
        </w:rPr>
        <w:t xml:space="preserve">       </w:t>
      </w:r>
      <w:r>
        <w:rPr>
          <w:rFonts w:hint="eastAsia" w:ascii="宋体" w:hAnsi="宋体"/>
          <w:color w:val="auto"/>
          <w:w w:val="100"/>
          <w:sz w:val="24"/>
          <w:szCs w:val="24"/>
          <w:u w:val="none"/>
          <w:lang w:val="en-US" w:eastAsia="zh-CN"/>
        </w:rPr>
        <w:t>元</w:t>
      </w:r>
      <w:r>
        <w:rPr>
          <w:rFonts w:hint="eastAsia" w:ascii="宋体" w:hAnsi="宋体" w:eastAsia="宋体"/>
          <w:color w:val="auto"/>
          <w:w w:val="100"/>
          <w:sz w:val="24"/>
          <w:szCs w:val="24"/>
        </w:rPr>
        <w:t>（大写）</w:t>
      </w:r>
      <w:r>
        <w:rPr>
          <w:rFonts w:hint="eastAsia" w:ascii="宋体" w:hAnsi="宋体" w:eastAsia="宋体"/>
          <w:b/>
          <w:color w:val="auto"/>
          <w:w w:val="100"/>
          <w:sz w:val="24"/>
          <w:szCs w:val="24"/>
          <w:u w:val="single"/>
        </w:rPr>
        <w:t xml:space="preserve">             </w:t>
      </w:r>
      <w:r>
        <w:rPr>
          <w:rFonts w:hint="eastAsia" w:ascii="宋体" w:hAnsi="宋体" w:eastAsia="宋体"/>
          <w:color w:val="auto"/>
          <w:w w:val="100"/>
          <w:sz w:val="24"/>
          <w:szCs w:val="24"/>
        </w:rPr>
        <w:t>元人民币。</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4、我方指派</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（姓名）为项目经理，保证于承诺的时间</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5、我方决不提供虚假材料谋取成交，决不采取不正当手段诋毁、排挤其他承包人，决不与发包人、其它承包人恶意串通，决不向发包人及谈判小组进行商业贿赂。如有违反，愿无条件接受贵方及相关管理部门的处罚。</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6、与本申请有关的正式通讯地址为：</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地   址：</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电   话：</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传   真：</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授权代表姓名（签字）：</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承包人名称（章）：</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日    期：</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年</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月</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日</w:t>
      </w: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Times New Roman" w:hAnsi="Times New Roman" w:eastAsia="宋体"/>
          <w:color w:val="auto"/>
          <w:w w:val="100"/>
          <w:sz w:val="24"/>
        </w:rPr>
      </w:pPr>
      <w:r>
        <w:rPr>
          <w:rFonts w:hint="eastAsia" w:ascii="宋体" w:hAnsi="Times New Roman" w:eastAsia="宋体"/>
          <w:color w:val="auto"/>
          <w:w w:val="100"/>
          <w:sz w:val="32"/>
        </w:rPr>
        <w:t>附  录</w:t>
      </w:r>
    </w:p>
    <w:tbl>
      <w:tblPr>
        <w:tblStyle w:val="18"/>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招标人要求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 xml:space="preserve">投标人承诺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color w:val="auto"/>
                <w:w w:val="100"/>
                <w:sz w:val="21"/>
                <w:szCs w:val="22"/>
                <w:highlight w:val="none"/>
                <w:lang w:val="en-US" w:eastAsia="zh-CN"/>
              </w:rPr>
              <w:t>90</w:t>
            </w:r>
            <w:r>
              <w:rPr>
                <w:rFonts w:hint="eastAsia" w:ascii="宋体" w:hAnsi="Times New Roman" w:eastAsia="宋体"/>
                <w:color w:val="auto"/>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承包人履约担保金额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双方在合同中约定</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每推延一天，赔偿合同价款的0.1%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赔偿合同价款的0.1%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18"/>
                <w:highlight w:val="none"/>
              </w:rPr>
            </w:pPr>
            <w:r>
              <w:rPr>
                <w:rFonts w:hint="eastAsia" w:ascii="宋体" w:hAnsi="Times New Roman" w:eastAsia="宋体"/>
                <w:color w:val="auto"/>
                <w:w w:val="100"/>
                <w:sz w:val="21"/>
                <w:highlight w:val="none"/>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合同价款的2％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不调整。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3 %的工程款</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为设计文件规定的该工程合理使用年限；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lang w:val="en-US" w:eastAsia="zh-CN"/>
              </w:rPr>
            </w:pPr>
            <w:r>
              <w:rPr>
                <w:rFonts w:hint="eastAsia" w:ascii="宋体" w:hAnsi="Times New Roman" w:eastAsia="宋体"/>
                <w:color w:val="auto"/>
                <w:w w:val="100"/>
                <w:sz w:val="21"/>
                <w:szCs w:val="22"/>
                <w:highlight w:val="none"/>
              </w:rPr>
              <w:t>其他工程</w:t>
            </w:r>
            <w:r>
              <w:rPr>
                <w:rFonts w:hint="eastAsia" w:ascii="宋体" w:hAnsi="Times New Roman" w:eastAsia="宋体"/>
                <w:color w:val="auto"/>
                <w:w w:val="100"/>
                <w:sz w:val="21"/>
                <w:szCs w:val="22"/>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2 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备注：投标人在响应招标文件中规定的实质性要求和条件的基础上，可做出其他有利于招标人的承诺。此类承诺可在本表中予以补充填写。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highlight w:val="none"/>
        </w:rPr>
        <w:t xml:space="preserve">　　　　　　　　　　　 </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投 标 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（盖单位章）</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法定代表人或其委托代理人：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（签字或盖章）</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地址：</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网址：</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电话：</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传真：</w:t>
      </w:r>
    </w:p>
    <w:p>
      <w:pPr>
        <w:autoSpaceDE/>
        <w:autoSpaceDN/>
        <w:snapToGrid/>
        <w:spacing w:before="0" w:after="0" w:line="440" w:lineRule="exact"/>
        <w:ind w:left="0" w:firstLine="0"/>
        <w:jc w:val="left"/>
        <w:rPr>
          <w:rFonts w:hint="eastAsia" w:ascii="宋体" w:hAnsi="Times New Roman" w:eastAsia="宋体"/>
          <w:color w:val="auto"/>
          <w:w w:val="100"/>
          <w:sz w:val="24"/>
          <w:u w:val="single"/>
        </w:rPr>
      </w:pPr>
      <w:r>
        <w:rPr>
          <w:rFonts w:hint="eastAsia" w:ascii="宋体" w:hAnsi="Times New Roman" w:eastAsia="宋体"/>
          <w:color w:val="auto"/>
          <w:w w:val="100"/>
          <w:sz w:val="24"/>
        </w:rPr>
        <w:t>邮政编码：</w:t>
      </w:r>
    </w:p>
    <w:p>
      <w:pPr>
        <w:autoSpaceDE/>
        <w:autoSpaceDN/>
        <w:snapToGrid/>
        <w:spacing w:before="0" w:after="0" w:line="440" w:lineRule="exact"/>
        <w:ind w:left="0" w:firstLine="0"/>
        <w:jc w:val="left"/>
        <w:rPr>
          <w:rFonts w:hint="eastAsia" w:ascii="宋体" w:hAnsi="Times New Roman" w:eastAsia="宋体"/>
          <w:color w:val="auto"/>
          <w:w w:val="100"/>
          <w:sz w:val="24"/>
          <w:u w:val="single"/>
        </w:rPr>
      </w:pPr>
    </w:p>
    <w:p>
      <w:pPr>
        <w:autoSpaceDE w:val="0"/>
        <w:autoSpaceDN w:val="0"/>
        <w:snapToGrid/>
        <w:spacing w:before="0" w:after="0" w:line="360" w:lineRule="auto"/>
        <w:ind w:left="0" w:firstLine="0"/>
        <w:jc w:val="left"/>
        <w:rPr>
          <w:rFonts w:hint="eastAsia" w:ascii="宋体" w:hAnsi="Times New Roman" w:eastAsia="宋体"/>
          <w:color w:val="auto"/>
          <w:w w:val="100"/>
          <w:sz w:val="24"/>
        </w:rPr>
      </w:pPr>
    </w:p>
    <w:p>
      <w:pPr>
        <w:autoSpaceDE w:val="0"/>
        <w:autoSpaceDN w:val="0"/>
        <w:snapToGrid/>
        <w:spacing w:before="0" w:after="0" w:line="360" w:lineRule="auto"/>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年</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月</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日</w:t>
      </w:r>
    </w:p>
    <w:p>
      <w:pPr>
        <w:autoSpaceDE/>
        <w:autoSpaceDN/>
        <w:snapToGrid/>
        <w:spacing w:before="0" w:after="0" w:line="240" w:lineRule="auto"/>
        <w:ind w:left="0" w:firstLine="420"/>
        <w:jc w:val="left"/>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附件二：授权委托书</w:t>
      </w:r>
    </w:p>
    <w:p>
      <w:pPr>
        <w:autoSpaceDE w:val="0"/>
        <w:autoSpaceDN w:val="0"/>
        <w:snapToGrid/>
        <w:spacing w:before="0" w:after="0" w:line="360" w:lineRule="auto"/>
        <w:ind w:left="0" w:firstLine="420"/>
        <w:jc w:val="both"/>
        <w:rPr>
          <w:rFonts w:hint="eastAsia" w:ascii="宋体" w:hAnsi="宋体" w:eastAsia="宋体"/>
          <w:b/>
          <w:color w:val="auto"/>
          <w:w w:val="100"/>
          <w:sz w:val="28"/>
        </w:rPr>
      </w:pPr>
    </w:p>
    <w:p>
      <w:pPr>
        <w:autoSpaceDE/>
        <w:autoSpaceDN/>
        <w:snapToGrid w:val="0"/>
        <w:spacing w:before="0" w:after="0" w:line="300" w:lineRule="auto"/>
        <w:ind w:left="0" w:firstLine="0"/>
        <w:jc w:val="center"/>
        <w:rPr>
          <w:rFonts w:hint="eastAsia" w:ascii="宋体" w:hAnsi="宋体" w:eastAsia="宋体"/>
          <w:b/>
          <w:color w:val="auto"/>
          <w:w w:val="100"/>
          <w:sz w:val="28"/>
        </w:rPr>
      </w:pPr>
      <w:r>
        <w:rPr>
          <w:rFonts w:hint="eastAsia" w:ascii="宋体" w:hAnsi="宋体" w:eastAsia="宋体"/>
          <w:b/>
          <w:color w:val="auto"/>
          <w:w w:val="100"/>
          <w:sz w:val="28"/>
        </w:rPr>
        <w:t>授权委托书</w:t>
      </w:r>
    </w:p>
    <w:p>
      <w:pPr>
        <w:autoSpaceDE/>
        <w:autoSpaceDN/>
        <w:snapToGrid w:val="0"/>
        <w:spacing w:before="0" w:after="0" w:line="300" w:lineRule="auto"/>
        <w:ind w:left="0" w:firstLine="0"/>
        <w:jc w:val="both"/>
        <w:rPr>
          <w:rFonts w:hint="eastAsia" w:ascii="宋体" w:hAnsi="宋体" w:eastAsia="宋体"/>
          <w:color w:val="auto"/>
          <w:w w:val="100"/>
          <w:sz w:val="28"/>
        </w:rPr>
      </w:pPr>
    </w:p>
    <w:p>
      <w:pPr>
        <w:autoSpaceDE/>
        <w:autoSpaceDN/>
        <w:snapToGrid w:val="0"/>
        <w:spacing w:before="0" w:after="0" w:line="30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本授权委托书声明：我</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 xml:space="preserve"> (姓名)系</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 xml:space="preserve">(承包人名称)的法定代表人，现授权委托 </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(姓名)为我公司代理人，参加</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(发包人)的</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工程的竞争性谈判活动。代理人在谈判、合同签订过程中所签署的一切文件和处理与之有关的一切事务，我均予以承认。</w:t>
      </w:r>
    </w:p>
    <w:p>
      <w:pPr>
        <w:autoSpaceDE/>
        <w:autoSpaceDN/>
        <w:snapToGrid w:val="0"/>
        <w:spacing w:before="0" w:after="0" w:line="300" w:lineRule="auto"/>
        <w:ind w:left="0" w:firstLine="0"/>
        <w:jc w:val="both"/>
        <w:rPr>
          <w:rFonts w:hint="eastAsia" w:ascii="宋体" w:hAnsi="宋体" w:eastAsia="宋体"/>
          <w:color w:val="auto"/>
          <w:w w:val="100"/>
          <w:sz w:val="24"/>
          <w:szCs w:val="24"/>
        </w:rPr>
      </w:pPr>
    </w:p>
    <w:p>
      <w:pPr>
        <w:autoSpaceDE/>
        <w:autoSpaceDN/>
        <w:snapToGrid w:val="0"/>
        <w:spacing w:before="0" w:after="0" w:line="300" w:lineRule="auto"/>
        <w:ind w:left="412" w:firstLine="0"/>
        <w:jc w:val="both"/>
        <w:rPr>
          <w:rFonts w:hint="eastAsia" w:ascii="宋体" w:hAnsi="宋体" w:eastAsia="宋体"/>
          <w:color w:val="auto"/>
          <w:w w:val="100"/>
          <w:sz w:val="24"/>
          <w:szCs w:val="24"/>
        </w:rPr>
      </w:pPr>
      <w:r>
        <w:rPr>
          <w:rFonts w:hint="eastAsia" w:ascii="宋体" w:hAnsi="宋体" w:eastAsia="宋体"/>
          <w:color w:val="auto"/>
          <w:w w:val="100"/>
          <w:sz w:val="24"/>
          <w:szCs w:val="24"/>
        </w:rPr>
        <w:t>代理人无转委权。特此委托。</w:t>
      </w:r>
      <w:r>
        <w:rPr>
          <w:rFonts w:hint="eastAsia" w:ascii="宋体" w:hAnsi="宋体" w:eastAsia="宋体"/>
          <w:color w:val="auto"/>
          <w:w w:val="100"/>
          <w:sz w:val="24"/>
          <w:szCs w:val="24"/>
        </w:rPr>
        <w:br w:type="textWrapping"/>
      </w:r>
    </w:p>
    <w:p>
      <w:pPr>
        <w:autoSpaceDE/>
        <w:autoSpaceDN/>
        <w:snapToGrid w:val="0"/>
        <w:spacing w:before="0" w:after="0" w:line="300" w:lineRule="auto"/>
        <w:ind w:left="412" w:firstLine="0"/>
        <w:jc w:val="both"/>
        <w:rPr>
          <w:rFonts w:hint="eastAsia" w:ascii="宋体" w:hAnsi="宋体" w:eastAsia="宋体"/>
          <w:color w:val="auto"/>
          <w:w w:val="100"/>
          <w:sz w:val="24"/>
          <w:szCs w:val="24"/>
        </w:rPr>
      </w:pPr>
      <w:r>
        <w:rPr>
          <w:rFonts w:hint="eastAsia" w:ascii="宋体" w:hAnsi="宋体" w:eastAsia="宋体"/>
          <w:color w:val="auto"/>
          <w:w w:val="100"/>
          <w:sz w:val="24"/>
          <w:szCs w:val="24"/>
        </w:rPr>
        <w:t>代理人：             性别：                 年龄：</w:t>
      </w:r>
    </w:p>
    <w:p>
      <w:pPr>
        <w:autoSpaceDE/>
        <w:autoSpaceDN/>
        <w:snapToGrid w:val="0"/>
        <w:spacing w:before="0" w:after="0" w:line="300" w:lineRule="auto"/>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单位：               部门：                 职务：</w:t>
      </w:r>
    </w:p>
    <w:p>
      <w:pPr>
        <w:autoSpaceDE/>
        <w:autoSpaceDN/>
        <w:snapToGrid w:val="0"/>
        <w:spacing w:before="0" w:after="0" w:line="300" w:lineRule="auto"/>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承包人：(盖章)</w:t>
      </w:r>
    </w:p>
    <w:p>
      <w:pPr>
        <w:autoSpaceDE/>
        <w:autoSpaceDN/>
        <w:snapToGrid w:val="0"/>
        <w:spacing w:before="0" w:after="0" w:line="300" w:lineRule="auto"/>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法定代表人：(签字或盖章)</w:t>
      </w:r>
    </w:p>
    <w:p>
      <w:pPr>
        <w:autoSpaceDE/>
        <w:autoSpaceDN/>
        <w:snapToGrid w:val="0"/>
        <w:spacing w:before="0" w:after="0" w:line="300" w:lineRule="auto"/>
        <w:ind w:left="0" w:firstLine="0"/>
        <w:jc w:val="both"/>
        <w:rPr>
          <w:rFonts w:hint="eastAsia" w:ascii="宋体" w:hAnsi="宋体" w:eastAsia="宋体"/>
          <w:color w:val="auto"/>
          <w:w w:val="100"/>
          <w:sz w:val="24"/>
          <w:szCs w:val="24"/>
        </w:rPr>
      </w:pPr>
    </w:p>
    <w:p>
      <w:pPr>
        <w:autoSpaceDE/>
        <w:autoSpaceDN/>
        <w:snapToGrid w:val="0"/>
        <w:spacing w:before="0" w:after="0" w:line="300" w:lineRule="auto"/>
        <w:ind w:left="0" w:firstLine="0"/>
        <w:jc w:val="right"/>
        <w:rPr>
          <w:rFonts w:hint="eastAsia" w:ascii="宋体" w:hAnsi="宋体" w:eastAsia="宋体"/>
          <w:color w:val="auto"/>
          <w:w w:val="100"/>
          <w:sz w:val="24"/>
          <w:szCs w:val="24"/>
        </w:rPr>
      </w:pPr>
      <w:r>
        <w:rPr>
          <w:rFonts w:hint="eastAsia" w:ascii="宋体" w:hAnsi="宋体" w:eastAsia="宋体"/>
          <w:color w:val="auto"/>
          <w:w w:val="100"/>
          <w:sz w:val="24"/>
          <w:szCs w:val="24"/>
        </w:rPr>
        <w:t>日期：</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年</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月</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日</w:t>
      </w:r>
    </w:p>
    <w:p>
      <w:pPr>
        <w:autoSpaceDE/>
        <w:autoSpaceDN/>
        <w:snapToGrid w:val="0"/>
        <w:spacing w:before="0" w:after="0" w:line="300" w:lineRule="auto"/>
        <w:ind w:left="0" w:firstLine="0"/>
        <w:jc w:val="center"/>
        <w:rPr>
          <w:rFonts w:hint="eastAsia" w:ascii="宋体" w:hAnsi="宋体" w:eastAsia="宋体"/>
          <w:color w:val="auto"/>
          <w:w w:val="100"/>
          <w:sz w:val="28"/>
        </w:rPr>
      </w:pPr>
    </w:p>
    <w:p>
      <w:pPr>
        <w:autoSpaceDE w:val="0"/>
        <w:autoSpaceDN w:val="0"/>
        <w:snapToGrid/>
        <w:spacing w:before="0" w:after="0" w:line="360" w:lineRule="auto"/>
        <w:ind w:left="0" w:firstLine="0"/>
        <w:jc w:val="both"/>
        <w:rPr>
          <w:rFonts w:hint="eastAsia" w:ascii="宋体" w:hAnsi="宋体" w:eastAsia="宋体"/>
          <w:color w:val="auto"/>
          <w:w w:val="100"/>
          <w:sz w:val="28"/>
        </w:rPr>
      </w:pPr>
    </w:p>
    <w:p>
      <w:pPr>
        <w:autoSpaceDE w:val="0"/>
        <w:autoSpaceDN w:val="0"/>
        <w:snapToGrid/>
        <w:spacing w:before="0" w:after="0" w:line="360" w:lineRule="auto"/>
        <w:ind w:left="0" w:firstLine="0"/>
        <w:jc w:val="both"/>
        <w:rPr>
          <w:rFonts w:hint="eastAsia" w:ascii="宋体" w:hAnsi="宋体" w:eastAsia="宋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pStyle w:val="6"/>
        <w:rPr>
          <w:rFonts w:hint="eastAsia"/>
          <w:color w:val="auto"/>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p>
    <w:p>
      <w:pPr>
        <w:autoSpaceDE/>
        <w:autoSpaceDN/>
        <w:snapToGrid/>
        <w:spacing w:before="0" w:after="0" w:line="240" w:lineRule="auto"/>
        <w:ind w:left="0" w:firstLine="0"/>
        <w:jc w:val="both"/>
        <w:rPr>
          <w:rFonts w:hint="eastAsia" w:ascii="Times New Roman" w:hAnsi="Times New Roman" w:eastAsia="宋体"/>
          <w:color w:val="auto"/>
          <w:w w:val="100"/>
          <w:sz w:val="24"/>
          <w:szCs w:val="24"/>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附件三：工程投标廉政承诺书</w:t>
      </w:r>
    </w:p>
    <w:p>
      <w:pPr>
        <w:keepNext/>
        <w:keepLines/>
        <w:pageBreakBefore w:val="0"/>
        <w:widowControl w:val="0"/>
        <w:kinsoku/>
        <w:wordWrap/>
        <w:overflowPunct/>
        <w:topLinePunct w:val="0"/>
        <w:autoSpaceDE/>
        <w:autoSpaceDN/>
        <w:bidi w:val="0"/>
        <w:adjustRightInd/>
        <w:snapToGrid/>
        <w:spacing w:before="260" w:after="260" w:line="416" w:lineRule="auto"/>
        <w:ind w:left="0" w:firstLine="0"/>
        <w:jc w:val="left"/>
        <w:textAlignment w:val="auto"/>
        <w:rPr>
          <w:rFonts w:hint="eastAsia" w:ascii="宋体" w:hAnsi="宋体" w:eastAsia="宋体"/>
          <w:color w:val="auto"/>
          <w:w w:val="100"/>
          <w:sz w:val="24"/>
          <w:szCs w:val="24"/>
        </w:rPr>
      </w:pPr>
      <w:r>
        <w:rPr>
          <w:rFonts w:hint="eastAsia" w:ascii="Arial" w:hAnsi="Arial" w:eastAsia="黑体"/>
          <w:b/>
          <w:color w:val="auto"/>
          <w:w w:val="100"/>
          <w:sz w:val="32"/>
          <w:lang w:val="en-US" w:eastAsia="zh-CN"/>
        </w:rPr>
        <w:t xml:space="preserve">   </w:t>
      </w:r>
      <w:r>
        <w:rPr>
          <w:rFonts w:hint="eastAsia" w:ascii="宋体" w:hAnsi="宋体" w:eastAsia="宋体"/>
          <w:color w:val="auto"/>
          <w:w w:val="100"/>
          <w:sz w:val="24"/>
          <w:szCs w:val="24"/>
        </w:rPr>
        <w:t>为充分体现公开、公平、公正诚实信用原则，共同维护招投标市场秩序，确保企业在招投标活动中无任何违规、违纪行为，主动接受社会各界监督。</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1、不以不正当手段向招标人谋取资格预审及投标的不正当照顾。</w:t>
      </w:r>
    </w:p>
    <w:p>
      <w:pPr>
        <w:autoSpaceDE/>
        <w:autoSpaceDN/>
        <w:snapToGrid/>
        <w:spacing w:before="0" w:after="0" w:line="440" w:lineRule="exact"/>
        <w:ind w:left="0" w:firstLine="420"/>
        <w:jc w:val="left"/>
        <w:rPr>
          <w:rFonts w:hint="eastAsia" w:ascii="宋体" w:hAnsi="宋体" w:eastAsia="宋体"/>
          <w:color w:val="auto"/>
          <w:w w:val="100"/>
          <w:sz w:val="24"/>
          <w:szCs w:val="24"/>
        </w:rPr>
      </w:pPr>
      <w:r>
        <w:rPr>
          <w:rFonts w:hint="eastAsia" w:ascii="宋体" w:hAnsi="宋体" w:eastAsia="宋体"/>
          <w:color w:val="auto"/>
          <w:w w:val="100"/>
          <w:sz w:val="24"/>
          <w:szCs w:val="24"/>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3、在确定中标人前，不向评标专家打招呼谋求照顾，不与招标人就投标价格、投标方案等实质性内容进行谈判。</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6、不采用不正当手段诋毁、排挤其他投标人。</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9、中标后，与招标人按照招标文件和中标人的投标文件订立合同，不订立背离合同实质性内容的协议。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12、主动接受、配合监督部门的监督检查。</w:t>
      </w:r>
    </w:p>
    <w:p>
      <w:pPr>
        <w:autoSpaceDE/>
        <w:autoSpaceDN/>
        <w:snapToGrid/>
        <w:spacing w:before="0" w:after="0" w:line="440" w:lineRule="exact"/>
        <w:ind w:left="0" w:firstLine="420"/>
        <w:jc w:val="both"/>
        <w:rPr>
          <w:rFonts w:hint="eastAsia" w:ascii="宋体" w:hAnsi="宋体" w:eastAsia="宋体"/>
          <w:color w:val="auto"/>
          <w:w w:val="100"/>
          <w:sz w:val="24"/>
          <w:szCs w:val="24"/>
        </w:rPr>
      </w:pPr>
    </w:p>
    <w:p>
      <w:pPr>
        <w:autoSpaceDE/>
        <w:autoSpaceDN/>
        <w:snapToGrid/>
        <w:spacing w:before="0" w:after="0" w:line="440" w:lineRule="exact"/>
        <w:ind w:left="0" w:firstLine="420"/>
        <w:jc w:val="both"/>
        <w:rPr>
          <w:rFonts w:hint="eastAsia" w:ascii="宋体" w:hAnsi="宋体" w:eastAsia="宋体"/>
          <w:color w:val="auto"/>
          <w:w w:val="100"/>
          <w:sz w:val="24"/>
          <w:szCs w:val="24"/>
        </w:rPr>
      </w:pPr>
    </w:p>
    <w:p>
      <w:pPr>
        <w:autoSpaceDE/>
        <w:autoSpaceDN/>
        <w:snapToGrid/>
        <w:spacing w:before="0" w:after="0" w:line="240" w:lineRule="auto"/>
        <w:ind w:left="0" w:firstLine="0"/>
        <w:jc w:val="both"/>
        <w:rPr>
          <w:rFonts w:hint="eastAsia" w:ascii="黑体" w:hAnsi="宋体" w:eastAsia="黑体"/>
          <w:color w:val="auto"/>
          <w:w w:val="100"/>
          <w:sz w:val="24"/>
          <w:szCs w:val="24"/>
        </w:rPr>
      </w:pPr>
      <w:r>
        <w:rPr>
          <w:rFonts w:hint="eastAsia" w:ascii="宋体" w:hAnsi="宋体" w:eastAsia="宋体"/>
          <w:color w:val="auto"/>
          <w:w w:val="100"/>
          <w:sz w:val="24"/>
          <w:szCs w:val="24"/>
        </w:rPr>
        <w:t>承诺单位（盖章）　　　　　法人代表（盖章）</w:t>
      </w: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pStyle w:val="6"/>
        <w:rPr>
          <w:rFonts w:hint="eastAsia" w:ascii="黑体" w:hAnsi="宋体" w:eastAsia="黑体"/>
          <w:color w:val="auto"/>
          <w:w w:val="100"/>
          <w:sz w:val="28"/>
        </w:rPr>
      </w:pPr>
    </w:p>
    <w:p>
      <w:pPr>
        <w:pStyle w:val="6"/>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center"/>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附件四：投标保证金</w:t>
      </w:r>
    </w:p>
    <w:p>
      <w:pPr>
        <w:autoSpaceDE/>
        <w:autoSpaceDN/>
        <w:snapToGrid/>
        <w:spacing w:before="0" w:after="0" w:line="240" w:lineRule="auto"/>
        <w:ind w:left="0" w:firstLine="0"/>
        <w:jc w:val="center"/>
        <w:rPr>
          <w:rFonts w:hint="eastAsia" w:ascii="宋体" w:hAnsi="宋体" w:eastAsia="宋体"/>
          <w:b/>
          <w:color w:val="auto"/>
          <w:w w:val="100"/>
          <w:sz w:val="28"/>
        </w:rPr>
      </w:pPr>
    </w:p>
    <w:p>
      <w:pPr>
        <w:autoSpaceDE/>
        <w:autoSpaceDN/>
        <w:snapToGrid/>
        <w:spacing w:before="0" w:after="0" w:line="240" w:lineRule="auto"/>
        <w:ind w:left="0" w:firstLine="0"/>
        <w:jc w:val="center"/>
        <w:rPr>
          <w:rFonts w:hint="eastAsia" w:ascii="黑体" w:hAnsi="Times New Roman" w:eastAsia="黑体"/>
          <w:b/>
          <w:color w:val="auto"/>
          <w:w w:val="100"/>
          <w:sz w:val="28"/>
        </w:rPr>
      </w:pPr>
      <w:r>
        <w:rPr>
          <w:rFonts w:hint="eastAsia" w:ascii="宋体" w:hAnsi="宋体" w:eastAsia="宋体"/>
          <w:b/>
          <w:color w:val="auto"/>
          <w:w w:val="100"/>
          <w:sz w:val="28"/>
        </w:rPr>
        <w:t>（附</w:t>
      </w:r>
      <w:r>
        <w:rPr>
          <w:rFonts w:hint="eastAsia" w:ascii="宋体" w:hAnsi="宋体"/>
          <w:b/>
          <w:color w:val="auto"/>
          <w:w w:val="100"/>
          <w:sz w:val="28"/>
          <w:lang w:eastAsia="zh-CN"/>
        </w:rPr>
        <w:t>基</w:t>
      </w:r>
      <w:r>
        <w:rPr>
          <w:rFonts w:hint="eastAsia" w:ascii="宋体" w:hAnsi="宋体" w:eastAsia="宋体"/>
          <w:b/>
          <w:color w:val="auto"/>
          <w:w w:val="100"/>
          <w:sz w:val="28"/>
        </w:rPr>
        <w:t>付款凭证</w:t>
      </w:r>
      <w:r>
        <w:rPr>
          <w:rFonts w:hint="eastAsia" w:ascii="宋体" w:hAnsi="宋体"/>
          <w:b/>
          <w:color w:val="auto"/>
          <w:w w:val="100"/>
          <w:sz w:val="28"/>
          <w:lang w:eastAsia="zh-CN"/>
        </w:rPr>
        <w:t>、</w:t>
      </w:r>
      <w:r>
        <w:rPr>
          <w:rFonts w:hint="eastAsia" w:ascii="宋体" w:hAnsi="宋体" w:eastAsia="宋体"/>
          <w:b/>
          <w:color w:val="auto"/>
          <w:w w:val="100"/>
          <w:sz w:val="28"/>
        </w:rPr>
        <w:t>代理公司出具的保证金收据复印件）</w:t>
      </w: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pStyle w:val="6"/>
        <w:rPr>
          <w:rFonts w:hint="eastAsia"/>
          <w:color w:val="auto"/>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附件五：项目管理机构</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（一）项目管理机构组成表</w:t>
      </w:r>
    </w:p>
    <w:tbl>
      <w:tblPr>
        <w:tblStyle w:val="18"/>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bl>
    <w:p>
      <w:pPr>
        <w:autoSpaceDE/>
        <w:autoSpaceDN/>
        <w:snapToGrid/>
        <w:spacing w:before="0" w:after="0" w:line="240" w:lineRule="auto"/>
        <w:ind w:left="0" w:firstLine="525"/>
        <w:jc w:val="both"/>
        <w:rPr>
          <w:rFonts w:hint="eastAsia" w:ascii="Times New Roman" w:hAnsi="Times New Roman" w:eastAsia="宋体"/>
          <w:b/>
          <w:color w:val="auto"/>
          <w:w w:val="100"/>
          <w:sz w:val="21"/>
          <w:u w:val="single"/>
        </w:rPr>
      </w:pPr>
      <w:r>
        <w:rPr>
          <w:rFonts w:hint="eastAsia" w:ascii="宋体" w:hAnsi="Times New Roman" w:eastAsia="宋体"/>
          <w:color w:val="auto"/>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（二）项目经理简历表</w:t>
      </w:r>
    </w:p>
    <w:p>
      <w:pPr>
        <w:autoSpaceDE/>
        <w:autoSpaceDN/>
        <w:snapToGrid/>
        <w:spacing w:before="0" w:after="0" w:line="420" w:lineRule="exact"/>
        <w:ind w:left="0" w:firstLine="0"/>
        <w:jc w:val="center"/>
        <w:rPr>
          <w:rFonts w:hint="eastAsia" w:ascii="宋体" w:hAnsi="Times New Roman" w:eastAsia="宋体"/>
          <w:color w:val="auto"/>
          <w:w w:val="100"/>
          <w:sz w:val="28"/>
        </w:rPr>
      </w:pPr>
    </w:p>
    <w:p>
      <w:pPr>
        <w:autoSpaceDE/>
        <w:autoSpaceDN/>
        <w:snapToGrid/>
        <w:spacing w:before="0" w:after="0" w:line="420" w:lineRule="exact"/>
        <w:ind w:left="0" w:firstLine="96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项目负责人应附建造师注册证书、安全生产考核合格证书、身份证、养老保险复印件等，管理过的项目业绩须附合同协议书或竣工验收备案登记表复印件。类似项目限于以项目负责人身份参与的项目。</w:t>
      </w:r>
    </w:p>
    <w:tbl>
      <w:tblPr>
        <w:tblStyle w:val="18"/>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bl>
    <w:p>
      <w:pPr>
        <w:autoSpaceDE/>
        <w:autoSpaceDN/>
        <w:snapToGrid/>
        <w:spacing w:before="0" w:after="120" w:line="240" w:lineRule="auto"/>
        <w:ind w:left="1" w:hanging="60"/>
        <w:jc w:val="both"/>
        <w:rPr>
          <w:rFonts w:hint="eastAsia" w:ascii="Times New Roman" w:hAnsi="Times New Roman" w:eastAsia="宋体"/>
          <w:color w:val="auto"/>
          <w:w w:val="100"/>
          <w:sz w:val="21"/>
        </w:rPr>
      </w:pPr>
    </w:p>
    <w:p>
      <w:pPr>
        <w:autoSpaceDE/>
        <w:autoSpaceDN/>
        <w:snapToGrid/>
        <w:spacing w:before="0" w:after="0" w:line="240" w:lineRule="auto"/>
        <w:ind w:left="0" w:firstLine="420"/>
        <w:jc w:val="both"/>
        <w:rPr>
          <w:rFonts w:hint="eastAsia" w:ascii="宋体" w:hAnsi="Times New Roman" w:eastAsia="宋体"/>
          <w:color w:val="auto"/>
          <w:w w:val="100"/>
          <w:sz w:val="21"/>
        </w:rPr>
      </w:pPr>
      <w:r>
        <w:rPr>
          <w:rFonts w:hint="eastAsia" w:ascii="Times New Roman" w:hAnsi="Times New Roman" w:eastAsia="宋体"/>
          <w:color w:val="auto"/>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440" w:lineRule="exact"/>
        <w:ind w:left="0" w:firstLine="0"/>
        <w:jc w:val="center"/>
        <w:rPr>
          <w:rFonts w:hint="eastAsia" w:ascii="宋体" w:hAnsi="Times New Roman" w:eastAsia="宋体"/>
          <w:b/>
          <w:color w:val="auto"/>
          <w:w w:val="100"/>
          <w:sz w:val="28"/>
        </w:rPr>
      </w:pPr>
      <w:r>
        <w:rPr>
          <w:rFonts w:hint="eastAsia" w:ascii="黑体" w:hAnsi="Times New Roman" w:eastAsia="黑体"/>
          <w:color w:val="auto"/>
          <w:w w:val="100"/>
          <w:sz w:val="36"/>
        </w:rPr>
        <w:t>（三）</w:t>
      </w:r>
      <w:r>
        <w:rPr>
          <w:rFonts w:hint="eastAsia" w:ascii="黑体" w:hAnsi="Times New Roman" w:eastAsia="黑体"/>
          <w:b/>
          <w:color w:val="auto"/>
          <w:w w:val="100"/>
          <w:sz w:val="36"/>
        </w:rPr>
        <w:t>主要项目管理人员简历表</w:t>
      </w:r>
    </w:p>
    <w:p>
      <w:pPr>
        <w:autoSpaceDE/>
        <w:autoSpaceDN/>
        <w:snapToGrid/>
        <w:spacing w:before="0" w:after="0" w:line="42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    </w:t>
      </w:r>
    </w:p>
    <w:p>
      <w:pPr>
        <w:autoSpaceDE/>
        <w:autoSpaceDN/>
        <w:snapToGrid/>
        <w:spacing w:before="0" w:after="0" w:line="42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主要项目管理人员指技术负责人、专职安全生产管理人员等岗位人员。应附身份证、注册证书、养老保险复印件等，专职安全生产管理人员应附安全生产考核合格证书，主要业绩须附合同协议书。</w:t>
      </w:r>
    </w:p>
    <w:p>
      <w:pPr>
        <w:topLinePunct w:val="0"/>
        <w:autoSpaceDE/>
        <w:autoSpaceDN/>
        <w:snapToGrid/>
        <w:spacing w:before="0" w:after="0" w:line="440" w:lineRule="exact"/>
        <w:ind w:left="0" w:firstLine="0"/>
        <w:jc w:val="center"/>
        <w:rPr>
          <w:rFonts w:hint="eastAsia" w:ascii="宋体" w:hAnsi="Times New Roman" w:eastAsia="宋体"/>
          <w:color w:val="auto"/>
          <w:w w:val="100"/>
          <w:sz w:val="23"/>
        </w:rPr>
      </w:pPr>
    </w:p>
    <w:tbl>
      <w:tblPr>
        <w:tblStyle w:val="18"/>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主要工作业绩及担任的主要工作</w:t>
            </w:r>
          </w:p>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tc>
      </w:tr>
    </w:tbl>
    <w:p>
      <w:pPr>
        <w:autoSpaceDE/>
        <w:autoSpaceDN/>
        <w:snapToGrid/>
        <w:spacing w:before="0" w:after="0" w:line="240" w:lineRule="auto"/>
        <w:ind w:left="0" w:firstLine="0"/>
        <w:jc w:val="center"/>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附件六：资格审查资料</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（一）投标人基本情况表</w:t>
      </w:r>
    </w:p>
    <w:tbl>
      <w:tblPr>
        <w:tblStyle w:val="18"/>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其中</w:t>
            </w:r>
          </w:p>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bl>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r>
        <w:rPr>
          <w:rFonts w:hint="eastAsia" w:ascii="Times New Roman" w:hAnsi="Times New Roman" w:eastAsia="宋体"/>
          <w:color w:val="auto"/>
          <w:w w:val="100"/>
          <w:sz w:val="20"/>
        </w:rPr>
        <w:t>附：营业执照、资质证书、安全生产许可证、疆外企业的进疆备案资料</w:t>
      </w: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（二）近年完成的类似项目情况表</w:t>
      </w:r>
    </w:p>
    <w:tbl>
      <w:tblPr>
        <w:tblStyle w:val="18"/>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black"/>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bl>
    <w:p>
      <w:pPr>
        <w:autoSpaceDE/>
        <w:autoSpaceDN/>
        <w:snapToGrid/>
        <w:spacing w:before="0" w:after="0" w:line="240" w:lineRule="auto"/>
        <w:ind w:left="0" w:firstLine="0"/>
        <w:jc w:val="center"/>
        <w:rPr>
          <w:rFonts w:hint="eastAsia" w:ascii="Times New Roman" w:hAnsi="Times New Roman" w:eastAsia="黑体"/>
          <w:color w:val="auto"/>
          <w:w w:val="100"/>
          <w:sz w:val="23"/>
          <w:highlight w:val="none"/>
        </w:rPr>
      </w:pPr>
      <w:r>
        <w:rPr>
          <w:rFonts w:hint="eastAsia" w:ascii="Times New Roman" w:hAnsi="Times New Roman" w:eastAsia="黑体"/>
          <w:color w:val="auto"/>
          <w:w w:val="100"/>
          <w:sz w:val="23"/>
        </w:rPr>
        <w:t>附</w:t>
      </w:r>
      <w:r>
        <w:rPr>
          <w:rFonts w:hint="eastAsia" w:ascii="Times New Roman" w:hAnsi="Times New Roman" w:eastAsia="黑体"/>
          <w:color w:val="auto"/>
          <w:w w:val="100"/>
          <w:sz w:val="23"/>
          <w:highlight w:val="none"/>
        </w:rPr>
        <w:t>：中标通知书或协议书、竣工验收意见书</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（三）其他资格审查资料</w:t>
      </w: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2"/>
        <w:rPr>
          <w:rFonts w:hint="eastAsia" w:ascii="Times New Roman" w:hAnsi="Times New Roman" w:eastAsia="宋体"/>
          <w:color w:val="auto"/>
          <w:w w:val="100"/>
          <w:sz w:val="21"/>
        </w:rPr>
      </w:pPr>
    </w:p>
    <w:p>
      <w:pPr>
        <w:rPr>
          <w:rFonts w:hint="eastAsia"/>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420"/>
        <w:jc w:val="both"/>
        <w:rPr>
          <w:rFonts w:hint="eastAsia" w:ascii="宋体" w:hAnsi="宋体" w:eastAsia="宋体"/>
          <w:b/>
          <w:color w:val="auto"/>
          <w:w w:val="100"/>
          <w:sz w:val="24"/>
        </w:rPr>
      </w:pPr>
    </w:p>
    <w:p>
      <w:pPr>
        <w:autoSpaceDE/>
        <w:autoSpaceDN/>
        <w:snapToGrid/>
        <w:spacing w:before="0" w:after="0" w:line="360" w:lineRule="auto"/>
        <w:ind w:left="0" w:firstLine="0"/>
        <w:jc w:val="both"/>
        <w:rPr>
          <w:rFonts w:hint="eastAsia" w:ascii="宋体" w:hAnsi="Courier New" w:eastAsia="宋体"/>
          <w:b/>
          <w:color w:val="auto"/>
          <w:w w:val="100"/>
          <w:sz w:val="28"/>
        </w:rPr>
      </w:pPr>
      <w:r>
        <w:rPr>
          <w:rFonts w:hint="eastAsia" w:ascii="Arial" w:hAnsi="Arial" w:eastAsia="黑体"/>
          <w:b/>
          <w:color w:val="auto"/>
          <w:w w:val="100"/>
          <w:sz w:val="32"/>
        </w:rPr>
        <w:t>附件七：已标价工程量清单</w:t>
      </w:r>
      <w:r>
        <w:rPr>
          <w:rFonts w:hint="eastAsia" w:ascii="宋体" w:hAnsi="Courier New" w:eastAsia="宋体"/>
          <w:b/>
          <w:color w:val="auto"/>
          <w:w w:val="100"/>
          <w:sz w:val="28"/>
        </w:rPr>
        <w:t>（格式）</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2"/>
        </w:rPr>
      </w:pPr>
      <w:r>
        <w:rPr>
          <w:rFonts w:hint="eastAsia" w:ascii="Times New Roman" w:hAnsi="Times New Roman" w:eastAsia="宋体"/>
          <w:color w:val="auto"/>
          <w:w w:val="100"/>
          <w:sz w:val="32"/>
        </w:rPr>
        <w:t>__________________________工程</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6"/>
        </w:rPr>
      </w:pPr>
      <w:r>
        <w:rPr>
          <w:rFonts w:hint="eastAsia" w:ascii="Times New Roman" w:hAnsi="Times New Roman" w:eastAsia="宋体"/>
          <w:color w:val="auto"/>
          <w:w w:val="100"/>
          <w:sz w:val="36"/>
        </w:rPr>
        <w:t>工程量清单报价表</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承包人：_________________________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法定代表人：____________________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编制时间：___________________________</w:t>
      </w:r>
    </w:p>
    <w:p>
      <w:pPr>
        <w:autoSpaceDE/>
        <w:autoSpaceDN/>
        <w:snapToGrid/>
        <w:spacing w:before="0" w:after="0" w:line="360" w:lineRule="auto"/>
        <w:ind w:left="0" w:firstLine="0"/>
        <w:jc w:val="center"/>
        <w:rPr>
          <w:rFonts w:hint="eastAsia" w:ascii="Times New Roman" w:hAnsi="Times New Roman" w:eastAsia="宋体"/>
          <w:color w:val="auto"/>
          <w:w w:val="100"/>
          <w:sz w:val="44"/>
        </w:rPr>
      </w:pPr>
      <w:r>
        <w:rPr>
          <w:color w:val="auto"/>
        </w:rPr>
        <w:br w:type="page"/>
      </w:r>
      <w:r>
        <w:rPr>
          <w:rFonts w:hint="eastAsia" w:ascii="Times New Roman" w:hAnsi="Times New Roman" w:eastAsia="宋体"/>
          <w:color w:val="auto"/>
          <w:w w:val="100"/>
          <w:sz w:val="44"/>
        </w:rPr>
        <w:t>投标总价</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招标人：_________________________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工程名称：_________________________</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投标总价（小写）：_________________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        （大写）：_________________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投标人：_________________________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法定代表人或其授权人：____________________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编制人：___________________________</w:t>
      </w:r>
    </w:p>
    <w:p>
      <w:pPr>
        <w:autoSpaceDE/>
        <w:autoSpaceDN/>
        <w:snapToGrid/>
        <w:spacing w:before="0" w:after="0" w:line="360" w:lineRule="auto"/>
        <w:ind w:left="0" w:firstLine="0"/>
        <w:jc w:val="both"/>
        <w:rPr>
          <w:rFonts w:hint="eastAsia" w:ascii="宋体" w:hAnsi="Courier New" w:eastAsia="宋体"/>
          <w:color w:val="auto"/>
          <w:w w:val="100"/>
          <w:sz w:val="21"/>
        </w:rPr>
      </w:pPr>
      <w:r>
        <w:rPr>
          <w:rFonts w:hint="eastAsia" w:ascii="Times New Roman" w:hAnsi="Times New Roman" w:eastAsia="宋体"/>
          <w:color w:val="auto"/>
          <w:w w:val="100"/>
          <w:sz w:val="32"/>
        </w:rPr>
        <w:t>编制时间：_________________________</w:t>
      </w:r>
    </w:p>
    <w:p>
      <w:pPr>
        <w:rPr>
          <w:color w:val="auto"/>
          <w:sz w:val="24"/>
          <w:szCs w:val="24"/>
        </w:rPr>
      </w:pPr>
    </w:p>
    <w:sectPr>
      <w:headerReference r:id="rId3" w:type="default"/>
      <w:footerReference r:id="rId4"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right"/>
      <w:rPr>
        <w:rFonts w:hint="eastAsia" w:eastAsia="宋体"/>
        <w:lang w:eastAsia="zh-CN"/>
      </w:rPr>
    </w:pPr>
  </w:p>
  <w:p>
    <w:pPr>
      <w:pStyle w:val="13"/>
      <w:pBdr>
        <w:bottom w:val="none" w:color="auto" w:sz="0" w:space="1"/>
      </w:pBdr>
      <w:jc w:val="right"/>
      <w:rPr>
        <w:rFonts w:hint="eastAsia" w:eastAsia="宋体"/>
        <w:lang w:eastAsia="zh-CN"/>
      </w:rPr>
    </w:pPr>
  </w:p>
  <w:p>
    <w:pPr>
      <w:pStyle w:val="13"/>
      <w:pBdr>
        <w:bottom w:val="single" w:color="auto" w:sz="4" w:space="1"/>
      </w:pBdr>
      <w:jc w:val="center"/>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D9B9CD99"/>
    <w:multiLevelType w:val="singleLevel"/>
    <w:tmpl w:val="D9B9CD99"/>
    <w:lvl w:ilvl="0" w:tentative="0">
      <w:start w:val="1"/>
      <w:numFmt w:val="chineseCounting"/>
      <w:suff w:val="space"/>
      <w:lvlText w:val="第%1章"/>
      <w:lvlJc w:val="left"/>
      <w:rPr>
        <w:rFonts w:hint="eastAsia"/>
      </w:rPr>
    </w:lvl>
  </w:abstractNum>
  <w:abstractNum w:abstractNumId="2">
    <w:nsid w:val="00000005"/>
    <w:multiLevelType w:val="multilevel"/>
    <w:tmpl w:val="00000005"/>
    <w:lvl w:ilvl="0" w:tentative="0">
      <w:start w:val="1"/>
      <w:numFmt w:val="upperRoman"/>
      <w:pStyle w:val="5"/>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62A25"/>
    <w:rsid w:val="006B5A1C"/>
    <w:rsid w:val="00F41BCB"/>
    <w:rsid w:val="01086959"/>
    <w:rsid w:val="0150210A"/>
    <w:rsid w:val="01DC6681"/>
    <w:rsid w:val="020517F8"/>
    <w:rsid w:val="02443EC8"/>
    <w:rsid w:val="027F0223"/>
    <w:rsid w:val="02B32E6E"/>
    <w:rsid w:val="035374A5"/>
    <w:rsid w:val="03A860C0"/>
    <w:rsid w:val="03D12A14"/>
    <w:rsid w:val="048F2763"/>
    <w:rsid w:val="050D7836"/>
    <w:rsid w:val="059877CD"/>
    <w:rsid w:val="05A51F7B"/>
    <w:rsid w:val="05CD43F5"/>
    <w:rsid w:val="05E00910"/>
    <w:rsid w:val="05EC620D"/>
    <w:rsid w:val="067512B7"/>
    <w:rsid w:val="06955516"/>
    <w:rsid w:val="06997085"/>
    <w:rsid w:val="06D24F84"/>
    <w:rsid w:val="07127485"/>
    <w:rsid w:val="07172810"/>
    <w:rsid w:val="075C79AE"/>
    <w:rsid w:val="076B4690"/>
    <w:rsid w:val="078A3DC6"/>
    <w:rsid w:val="07B60616"/>
    <w:rsid w:val="07D20BF3"/>
    <w:rsid w:val="07E17257"/>
    <w:rsid w:val="07EF017D"/>
    <w:rsid w:val="08167498"/>
    <w:rsid w:val="08331546"/>
    <w:rsid w:val="08642128"/>
    <w:rsid w:val="087631C1"/>
    <w:rsid w:val="08827E03"/>
    <w:rsid w:val="08A14823"/>
    <w:rsid w:val="09256B96"/>
    <w:rsid w:val="096E5C5A"/>
    <w:rsid w:val="09F831CB"/>
    <w:rsid w:val="0A4E5FB3"/>
    <w:rsid w:val="0A4F5F74"/>
    <w:rsid w:val="0A5A55BF"/>
    <w:rsid w:val="0A9D16DA"/>
    <w:rsid w:val="0AC56245"/>
    <w:rsid w:val="0ACA45D2"/>
    <w:rsid w:val="0ACE55EE"/>
    <w:rsid w:val="0ADE7C31"/>
    <w:rsid w:val="0AF51C28"/>
    <w:rsid w:val="0C0106CA"/>
    <w:rsid w:val="0C3D6A69"/>
    <w:rsid w:val="0C6954ED"/>
    <w:rsid w:val="0C9E6658"/>
    <w:rsid w:val="0CC86375"/>
    <w:rsid w:val="0CED2C2F"/>
    <w:rsid w:val="0D69049F"/>
    <w:rsid w:val="0D69402F"/>
    <w:rsid w:val="0D7642DA"/>
    <w:rsid w:val="0D842ED4"/>
    <w:rsid w:val="0E1B32CF"/>
    <w:rsid w:val="0E434CFE"/>
    <w:rsid w:val="0E7E69F0"/>
    <w:rsid w:val="0EA47E2B"/>
    <w:rsid w:val="0EBC0A2F"/>
    <w:rsid w:val="0ED97CCE"/>
    <w:rsid w:val="0EF538CE"/>
    <w:rsid w:val="0F1D30B6"/>
    <w:rsid w:val="0F4A6D5A"/>
    <w:rsid w:val="0F911060"/>
    <w:rsid w:val="0F9E54A1"/>
    <w:rsid w:val="0FF466D2"/>
    <w:rsid w:val="10225EBE"/>
    <w:rsid w:val="10A40399"/>
    <w:rsid w:val="10CC5679"/>
    <w:rsid w:val="111052BA"/>
    <w:rsid w:val="11443971"/>
    <w:rsid w:val="11A357F0"/>
    <w:rsid w:val="11D5085A"/>
    <w:rsid w:val="11E006E0"/>
    <w:rsid w:val="12171CE5"/>
    <w:rsid w:val="12307DC9"/>
    <w:rsid w:val="128927C0"/>
    <w:rsid w:val="12F84EC8"/>
    <w:rsid w:val="130A36E0"/>
    <w:rsid w:val="132252F1"/>
    <w:rsid w:val="135D743F"/>
    <w:rsid w:val="14104630"/>
    <w:rsid w:val="14403B43"/>
    <w:rsid w:val="14457588"/>
    <w:rsid w:val="150D6A2E"/>
    <w:rsid w:val="15AF31CC"/>
    <w:rsid w:val="164E03F1"/>
    <w:rsid w:val="16887E08"/>
    <w:rsid w:val="16BE1336"/>
    <w:rsid w:val="16C653AB"/>
    <w:rsid w:val="16E159C7"/>
    <w:rsid w:val="170A63FA"/>
    <w:rsid w:val="170C1351"/>
    <w:rsid w:val="17BD579C"/>
    <w:rsid w:val="17E14DCC"/>
    <w:rsid w:val="17E249FF"/>
    <w:rsid w:val="17EE4129"/>
    <w:rsid w:val="17F96A9B"/>
    <w:rsid w:val="188A661C"/>
    <w:rsid w:val="18EA4C98"/>
    <w:rsid w:val="18F10D4E"/>
    <w:rsid w:val="191C24B7"/>
    <w:rsid w:val="197704C9"/>
    <w:rsid w:val="198C2F4E"/>
    <w:rsid w:val="19F3267A"/>
    <w:rsid w:val="1A1A2523"/>
    <w:rsid w:val="1A2F6B35"/>
    <w:rsid w:val="1AC060A8"/>
    <w:rsid w:val="1AD9066B"/>
    <w:rsid w:val="1AEC6CBD"/>
    <w:rsid w:val="1B1339A5"/>
    <w:rsid w:val="1B3451F3"/>
    <w:rsid w:val="1BDD5599"/>
    <w:rsid w:val="1C10439D"/>
    <w:rsid w:val="1C710A73"/>
    <w:rsid w:val="1CBA6FF3"/>
    <w:rsid w:val="1CCD7348"/>
    <w:rsid w:val="1CEA028B"/>
    <w:rsid w:val="1D5F7304"/>
    <w:rsid w:val="1DC4562B"/>
    <w:rsid w:val="1DD36226"/>
    <w:rsid w:val="1DE7026A"/>
    <w:rsid w:val="1DFA4DBB"/>
    <w:rsid w:val="1E020997"/>
    <w:rsid w:val="1E0A4775"/>
    <w:rsid w:val="1E5523DC"/>
    <w:rsid w:val="1E634523"/>
    <w:rsid w:val="1E63672D"/>
    <w:rsid w:val="1E937D5C"/>
    <w:rsid w:val="1EDC36BF"/>
    <w:rsid w:val="1F0C7848"/>
    <w:rsid w:val="1F6274E2"/>
    <w:rsid w:val="20256080"/>
    <w:rsid w:val="20513CB4"/>
    <w:rsid w:val="205C3817"/>
    <w:rsid w:val="20691773"/>
    <w:rsid w:val="206D12DE"/>
    <w:rsid w:val="209A5769"/>
    <w:rsid w:val="20B06F92"/>
    <w:rsid w:val="20BE67DF"/>
    <w:rsid w:val="212B2377"/>
    <w:rsid w:val="21562D57"/>
    <w:rsid w:val="216A7BBA"/>
    <w:rsid w:val="216B4092"/>
    <w:rsid w:val="218656FF"/>
    <w:rsid w:val="219D2992"/>
    <w:rsid w:val="21A6694B"/>
    <w:rsid w:val="224A7058"/>
    <w:rsid w:val="22B30736"/>
    <w:rsid w:val="23012D1D"/>
    <w:rsid w:val="24295DAC"/>
    <w:rsid w:val="24314CBB"/>
    <w:rsid w:val="24F4492B"/>
    <w:rsid w:val="25EF1E42"/>
    <w:rsid w:val="25EF38B7"/>
    <w:rsid w:val="25F164FE"/>
    <w:rsid w:val="260E6E56"/>
    <w:rsid w:val="261D6C0B"/>
    <w:rsid w:val="263061FC"/>
    <w:rsid w:val="263A0684"/>
    <w:rsid w:val="26507812"/>
    <w:rsid w:val="2676652B"/>
    <w:rsid w:val="26864004"/>
    <w:rsid w:val="26A17195"/>
    <w:rsid w:val="26A35330"/>
    <w:rsid w:val="26A85C60"/>
    <w:rsid w:val="26E70E4A"/>
    <w:rsid w:val="275B25A6"/>
    <w:rsid w:val="27DD0E2D"/>
    <w:rsid w:val="280F7CBD"/>
    <w:rsid w:val="28306607"/>
    <w:rsid w:val="285C2568"/>
    <w:rsid w:val="2872294B"/>
    <w:rsid w:val="28782091"/>
    <w:rsid w:val="287E25B8"/>
    <w:rsid w:val="287F75F7"/>
    <w:rsid w:val="289E6543"/>
    <w:rsid w:val="28D170B8"/>
    <w:rsid w:val="290F6E35"/>
    <w:rsid w:val="299E32F5"/>
    <w:rsid w:val="29DF1B36"/>
    <w:rsid w:val="29F90419"/>
    <w:rsid w:val="2A176BC9"/>
    <w:rsid w:val="2A2E64BE"/>
    <w:rsid w:val="2A697EC4"/>
    <w:rsid w:val="2A950CB9"/>
    <w:rsid w:val="2AA702DF"/>
    <w:rsid w:val="2AD8147B"/>
    <w:rsid w:val="2AEF1BC9"/>
    <w:rsid w:val="2AFB6D6E"/>
    <w:rsid w:val="2B320798"/>
    <w:rsid w:val="2B555187"/>
    <w:rsid w:val="2B9176D3"/>
    <w:rsid w:val="2BE76072"/>
    <w:rsid w:val="2BFE1A45"/>
    <w:rsid w:val="2C406B6C"/>
    <w:rsid w:val="2C46561F"/>
    <w:rsid w:val="2CD05135"/>
    <w:rsid w:val="2CEC489C"/>
    <w:rsid w:val="2D1E7DAB"/>
    <w:rsid w:val="2D295E69"/>
    <w:rsid w:val="2DC0588F"/>
    <w:rsid w:val="2E3C491E"/>
    <w:rsid w:val="2E625356"/>
    <w:rsid w:val="2EA14416"/>
    <w:rsid w:val="2EA9171C"/>
    <w:rsid w:val="2ED844FF"/>
    <w:rsid w:val="2F587061"/>
    <w:rsid w:val="30047BD9"/>
    <w:rsid w:val="307A2208"/>
    <w:rsid w:val="308A6A63"/>
    <w:rsid w:val="309D50A7"/>
    <w:rsid w:val="30B3469D"/>
    <w:rsid w:val="317D3FAE"/>
    <w:rsid w:val="31A338C9"/>
    <w:rsid w:val="31F2235E"/>
    <w:rsid w:val="31F7172F"/>
    <w:rsid w:val="323827ED"/>
    <w:rsid w:val="32570FC3"/>
    <w:rsid w:val="32854398"/>
    <w:rsid w:val="32BC087B"/>
    <w:rsid w:val="32CC7242"/>
    <w:rsid w:val="32D638FF"/>
    <w:rsid w:val="337D662F"/>
    <w:rsid w:val="339C6C14"/>
    <w:rsid w:val="33B7665E"/>
    <w:rsid w:val="33BD17AD"/>
    <w:rsid w:val="34004B4E"/>
    <w:rsid w:val="343F1CF7"/>
    <w:rsid w:val="34805414"/>
    <w:rsid w:val="351D481E"/>
    <w:rsid w:val="353A6D54"/>
    <w:rsid w:val="355B03DE"/>
    <w:rsid w:val="35AB23A0"/>
    <w:rsid w:val="35F0162B"/>
    <w:rsid w:val="369F0B19"/>
    <w:rsid w:val="36A0181E"/>
    <w:rsid w:val="36D848C1"/>
    <w:rsid w:val="36EB53B7"/>
    <w:rsid w:val="37076F15"/>
    <w:rsid w:val="371E3F26"/>
    <w:rsid w:val="372D396C"/>
    <w:rsid w:val="37331B6E"/>
    <w:rsid w:val="37804883"/>
    <w:rsid w:val="37940F74"/>
    <w:rsid w:val="37B47D17"/>
    <w:rsid w:val="38123928"/>
    <w:rsid w:val="38585F55"/>
    <w:rsid w:val="38842052"/>
    <w:rsid w:val="389278CD"/>
    <w:rsid w:val="38A95558"/>
    <w:rsid w:val="38D74A59"/>
    <w:rsid w:val="38EB4F14"/>
    <w:rsid w:val="390A165B"/>
    <w:rsid w:val="395D13FD"/>
    <w:rsid w:val="398049C4"/>
    <w:rsid w:val="398910D8"/>
    <w:rsid w:val="39D655F7"/>
    <w:rsid w:val="39DC4814"/>
    <w:rsid w:val="3A9A51B2"/>
    <w:rsid w:val="3AC90E9A"/>
    <w:rsid w:val="3ACB1CFD"/>
    <w:rsid w:val="3AEA19A5"/>
    <w:rsid w:val="3B5750CB"/>
    <w:rsid w:val="3B805F1D"/>
    <w:rsid w:val="3B920954"/>
    <w:rsid w:val="3BAE0E8F"/>
    <w:rsid w:val="3BAE3D71"/>
    <w:rsid w:val="3BEA1607"/>
    <w:rsid w:val="3C6C70D1"/>
    <w:rsid w:val="3CC44935"/>
    <w:rsid w:val="3CED545A"/>
    <w:rsid w:val="3D772AEA"/>
    <w:rsid w:val="3D796205"/>
    <w:rsid w:val="3DAF7A29"/>
    <w:rsid w:val="3DB532F3"/>
    <w:rsid w:val="3DC114A9"/>
    <w:rsid w:val="3DE5558A"/>
    <w:rsid w:val="3DF569F9"/>
    <w:rsid w:val="3E02581D"/>
    <w:rsid w:val="3E4D1764"/>
    <w:rsid w:val="3E607162"/>
    <w:rsid w:val="3EA762A9"/>
    <w:rsid w:val="3F8126A8"/>
    <w:rsid w:val="3FB12A98"/>
    <w:rsid w:val="3FB90340"/>
    <w:rsid w:val="3FDF647F"/>
    <w:rsid w:val="40467430"/>
    <w:rsid w:val="40BD7F07"/>
    <w:rsid w:val="40F44AA9"/>
    <w:rsid w:val="41362681"/>
    <w:rsid w:val="41537580"/>
    <w:rsid w:val="415C2386"/>
    <w:rsid w:val="41775CE9"/>
    <w:rsid w:val="41903EA6"/>
    <w:rsid w:val="41AB26EA"/>
    <w:rsid w:val="41C11849"/>
    <w:rsid w:val="41F777FC"/>
    <w:rsid w:val="42C13B2C"/>
    <w:rsid w:val="431179AA"/>
    <w:rsid w:val="436A55E6"/>
    <w:rsid w:val="43FF7B61"/>
    <w:rsid w:val="443731D1"/>
    <w:rsid w:val="444E61A5"/>
    <w:rsid w:val="453569D1"/>
    <w:rsid w:val="45A341DC"/>
    <w:rsid w:val="45AD2BF7"/>
    <w:rsid w:val="46255DC3"/>
    <w:rsid w:val="46405990"/>
    <w:rsid w:val="469323F0"/>
    <w:rsid w:val="46E90EB9"/>
    <w:rsid w:val="47041A4C"/>
    <w:rsid w:val="47D40580"/>
    <w:rsid w:val="47DC618C"/>
    <w:rsid w:val="481B3A7B"/>
    <w:rsid w:val="4844307C"/>
    <w:rsid w:val="486B0A43"/>
    <w:rsid w:val="487C2D07"/>
    <w:rsid w:val="48830E65"/>
    <w:rsid w:val="48B2215B"/>
    <w:rsid w:val="48B260F7"/>
    <w:rsid w:val="48C6339D"/>
    <w:rsid w:val="48E05F94"/>
    <w:rsid w:val="48E85AC0"/>
    <w:rsid w:val="49103943"/>
    <w:rsid w:val="49481452"/>
    <w:rsid w:val="49503565"/>
    <w:rsid w:val="495C64DB"/>
    <w:rsid w:val="49D715B6"/>
    <w:rsid w:val="49F46D0A"/>
    <w:rsid w:val="4A3914B2"/>
    <w:rsid w:val="4AEE7414"/>
    <w:rsid w:val="4B0F47F6"/>
    <w:rsid w:val="4B1C51A0"/>
    <w:rsid w:val="4B892B10"/>
    <w:rsid w:val="4BA868E6"/>
    <w:rsid w:val="4C260A2E"/>
    <w:rsid w:val="4CA335B2"/>
    <w:rsid w:val="4CB032F7"/>
    <w:rsid w:val="4CEB521F"/>
    <w:rsid w:val="4D3A4B52"/>
    <w:rsid w:val="4D564504"/>
    <w:rsid w:val="4D6B7C4F"/>
    <w:rsid w:val="4DA87E78"/>
    <w:rsid w:val="4DE90B71"/>
    <w:rsid w:val="4E1B1DA4"/>
    <w:rsid w:val="4EC73140"/>
    <w:rsid w:val="4ED321BE"/>
    <w:rsid w:val="4F766C99"/>
    <w:rsid w:val="4FC074F2"/>
    <w:rsid w:val="50566D3C"/>
    <w:rsid w:val="50632B3C"/>
    <w:rsid w:val="506867E5"/>
    <w:rsid w:val="50780C9F"/>
    <w:rsid w:val="507F7D6B"/>
    <w:rsid w:val="50831D5D"/>
    <w:rsid w:val="50BE2545"/>
    <w:rsid w:val="50D21C7D"/>
    <w:rsid w:val="510478AE"/>
    <w:rsid w:val="51207F80"/>
    <w:rsid w:val="520C4FFA"/>
    <w:rsid w:val="5224782D"/>
    <w:rsid w:val="52255FB9"/>
    <w:rsid w:val="52A4462E"/>
    <w:rsid w:val="52BE3696"/>
    <w:rsid w:val="52DE2852"/>
    <w:rsid w:val="52FE5480"/>
    <w:rsid w:val="5346439E"/>
    <w:rsid w:val="534659F5"/>
    <w:rsid w:val="538C23AA"/>
    <w:rsid w:val="53BA7E43"/>
    <w:rsid w:val="54106EC2"/>
    <w:rsid w:val="54173EE3"/>
    <w:rsid w:val="550B4102"/>
    <w:rsid w:val="55377B59"/>
    <w:rsid w:val="55786F64"/>
    <w:rsid w:val="55A72B10"/>
    <w:rsid w:val="55AB0F58"/>
    <w:rsid w:val="55BB7B48"/>
    <w:rsid w:val="55CB729C"/>
    <w:rsid w:val="55E271C0"/>
    <w:rsid w:val="55F54FC6"/>
    <w:rsid w:val="5692372A"/>
    <w:rsid w:val="56AF5424"/>
    <w:rsid w:val="57CA3A60"/>
    <w:rsid w:val="582F3F3F"/>
    <w:rsid w:val="5854571B"/>
    <w:rsid w:val="5857532B"/>
    <w:rsid w:val="588A27AD"/>
    <w:rsid w:val="5891090A"/>
    <w:rsid w:val="58CB1333"/>
    <w:rsid w:val="58E50037"/>
    <w:rsid w:val="590C1DE3"/>
    <w:rsid w:val="59570A2E"/>
    <w:rsid w:val="596D132A"/>
    <w:rsid w:val="59877BFC"/>
    <w:rsid w:val="59D61823"/>
    <w:rsid w:val="59FF46E4"/>
    <w:rsid w:val="5A162A25"/>
    <w:rsid w:val="5A857FA3"/>
    <w:rsid w:val="5A9173C0"/>
    <w:rsid w:val="5AF61706"/>
    <w:rsid w:val="5B5C125D"/>
    <w:rsid w:val="5B6F4AAC"/>
    <w:rsid w:val="5B764948"/>
    <w:rsid w:val="5B90729B"/>
    <w:rsid w:val="5BC74A79"/>
    <w:rsid w:val="5BF207D1"/>
    <w:rsid w:val="5CB25E49"/>
    <w:rsid w:val="5CDE2ABB"/>
    <w:rsid w:val="5CE763F4"/>
    <w:rsid w:val="5D3D6019"/>
    <w:rsid w:val="5D40787B"/>
    <w:rsid w:val="5D6B5583"/>
    <w:rsid w:val="5E1B2CA8"/>
    <w:rsid w:val="5E7968CE"/>
    <w:rsid w:val="5E8545C5"/>
    <w:rsid w:val="5EDE552C"/>
    <w:rsid w:val="5EF66DCE"/>
    <w:rsid w:val="5F5D2CD1"/>
    <w:rsid w:val="5F7A169E"/>
    <w:rsid w:val="5FDB75FB"/>
    <w:rsid w:val="60777127"/>
    <w:rsid w:val="60A31C83"/>
    <w:rsid w:val="60AA7C0C"/>
    <w:rsid w:val="617E0CBA"/>
    <w:rsid w:val="61966529"/>
    <w:rsid w:val="621054B7"/>
    <w:rsid w:val="62B5360D"/>
    <w:rsid w:val="62B55E5C"/>
    <w:rsid w:val="62EC246D"/>
    <w:rsid w:val="633B3246"/>
    <w:rsid w:val="63786296"/>
    <w:rsid w:val="639577B4"/>
    <w:rsid w:val="63B4243A"/>
    <w:rsid w:val="644A2A96"/>
    <w:rsid w:val="64781857"/>
    <w:rsid w:val="64885612"/>
    <w:rsid w:val="64AB29BF"/>
    <w:rsid w:val="64C648BF"/>
    <w:rsid w:val="64FC0797"/>
    <w:rsid w:val="6521784D"/>
    <w:rsid w:val="652C6B28"/>
    <w:rsid w:val="65893BC4"/>
    <w:rsid w:val="65B85F53"/>
    <w:rsid w:val="66306622"/>
    <w:rsid w:val="66330777"/>
    <w:rsid w:val="666724E3"/>
    <w:rsid w:val="66DB6097"/>
    <w:rsid w:val="66EF18D2"/>
    <w:rsid w:val="670341FC"/>
    <w:rsid w:val="671825D0"/>
    <w:rsid w:val="67401990"/>
    <w:rsid w:val="675D2DD9"/>
    <w:rsid w:val="67631968"/>
    <w:rsid w:val="67663034"/>
    <w:rsid w:val="67953A60"/>
    <w:rsid w:val="67BD3179"/>
    <w:rsid w:val="683A711C"/>
    <w:rsid w:val="689802DB"/>
    <w:rsid w:val="68A1206B"/>
    <w:rsid w:val="68C3583F"/>
    <w:rsid w:val="68C50193"/>
    <w:rsid w:val="69026F3E"/>
    <w:rsid w:val="699D691A"/>
    <w:rsid w:val="69A34FB8"/>
    <w:rsid w:val="69B1276C"/>
    <w:rsid w:val="69B837CF"/>
    <w:rsid w:val="69D50284"/>
    <w:rsid w:val="69DC3AAF"/>
    <w:rsid w:val="69FA1369"/>
    <w:rsid w:val="6A411454"/>
    <w:rsid w:val="6A7852CB"/>
    <w:rsid w:val="6A82527F"/>
    <w:rsid w:val="6A887732"/>
    <w:rsid w:val="6AA327B9"/>
    <w:rsid w:val="6B0E0860"/>
    <w:rsid w:val="6B183633"/>
    <w:rsid w:val="6B517161"/>
    <w:rsid w:val="6C0E776D"/>
    <w:rsid w:val="6C332407"/>
    <w:rsid w:val="6C6B6BA9"/>
    <w:rsid w:val="6CBA202D"/>
    <w:rsid w:val="6CFF7E75"/>
    <w:rsid w:val="6D1368DF"/>
    <w:rsid w:val="6D1C29C8"/>
    <w:rsid w:val="6D3652D2"/>
    <w:rsid w:val="6D535020"/>
    <w:rsid w:val="6D6852DC"/>
    <w:rsid w:val="6D8E23F7"/>
    <w:rsid w:val="6DDC2507"/>
    <w:rsid w:val="6E0D0201"/>
    <w:rsid w:val="6E3B73E6"/>
    <w:rsid w:val="6E454244"/>
    <w:rsid w:val="6EA5341B"/>
    <w:rsid w:val="6EAF1E6A"/>
    <w:rsid w:val="6EDA3E5F"/>
    <w:rsid w:val="6F072421"/>
    <w:rsid w:val="6F0B14CD"/>
    <w:rsid w:val="6F62518A"/>
    <w:rsid w:val="6F8944FC"/>
    <w:rsid w:val="6FF35BF4"/>
    <w:rsid w:val="70D821AA"/>
    <w:rsid w:val="710230D2"/>
    <w:rsid w:val="713D38E8"/>
    <w:rsid w:val="71444C05"/>
    <w:rsid w:val="7150106E"/>
    <w:rsid w:val="71574D34"/>
    <w:rsid w:val="71602F39"/>
    <w:rsid w:val="71645CA3"/>
    <w:rsid w:val="71D37463"/>
    <w:rsid w:val="72894571"/>
    <w:rsid w:val="72C646CF"/>
    <w:rsid w:val="72D705F9"/>
    <w:rsid w:val="7337257B"/>
    <w:rsid w:val="734E22DC"/>
    <w:rsid w:val="735B409A"/>
    <w:rsid w:val="73B77FCA"/>
    <w:rsid w:val="74031700"/>
    <w:rsid w:val="749F7E89"/>
    <w:rsid w:val="74D00D52"/>
    <w:rsid w:val="74E465C9"/>
    <w:rsid w:val="753F4C57"/>
    <w:rsid w:val="755F50BB"/>
    <w:rsid w:val="76094AAF"/>
    <w:rsid w:val="765B72FD"/>
    <w:rsid w:val="76646417"/>
    <w:rsid w:val="769626E2"/>
    <w:rsid w:val="76B311AD"/>
    <w:rsid w:val="76CE38DC"/>
    <w:rsid w:val="77167BA1"/>
    <w:rsid w:val="771779B7"/>
    <w:rsid w:val="771D49DF"/>
    <w:rsid w:val="77251E84"/>
    <w:rsid w:val="774F0870"/>
    <w:rsid w:val="77550843"/>
    <w:rsid w:val="7767204D"/>
    <w:rsid w:val="7768451F"/>
    <w:rsid w:val="77812918"/>
    <w:rsid w:val="77BD1970"/>
    <w:rsid w:val="77CE5838"/>
    <w:rsid w:val="783D55FE"/>
    <w:rsid w:val="78AD5091"/>
    <w:rsid w:val="78B55B5F"/>
    <w:rsid w:val="7920216B"/>
    <w:rsid w:val="7945240A"/>
    <w:rsid w:val="7979246B"/>
    <w:rsid w:val="797F5127"/>
    <w:rsid w:val="798658E0"/>
    <w:rsid w:val="79CD00CF"/>
    <w:rsid w:val="79E0182F"/>
    <w:rsid w:val="79F62394"/>
    <w:rsid w:val="7A5964AE"/>
    <w:rsid w:val="7AC9794B"/>
    <w:rsid w:val="7B014D5A"/>
    <w:rsid w:val="7B8A2372"/>
    <w:rsid w:val="7BE25774"/>
    <w:rsid w:val="7C80437D"/>
    <w:rsid w:val="7D007538"/>
    <w:rsid w:val="7D453F9C"/>
    <w:rsid w:val="7D6C5E3C"/>
    <w:rsid w:val="7DF048A7"/>
    <w:rsid w:val="7E19015A"/>
    <w:rsid w:val="7E235BB8"/>
    <w:rsid w:val="7E7836D7"/>
    <w:rsid w:val="7EBE70B3"/>
    <w:rsid w:val="7EDA3F7C"/>
    <w:rsid w:val="7F09629C"/>
    <w:rsid w:val="7F1B445E"/>
    <w:rsid w:val="7FD65AD2"/>
    <w:rsid w:val="7FD9476E"/>
    <w:rsid w:val="7FFB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4"/>
    <w:basedOn w:val="1"/>
    <w:next w:val="6"/>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黑体"/>
      <w:b/>
      <w:bCs/>
      <w:spacing w:val="20"/>
      <w:kern w:val="52"/>
      <w:sz w:val="56"/>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Indent"/>
    <w:basedOn w:val="1"/>
    <w:qFormat/>
    <w:uiPriority w:val="0"/>
    <w:pPr>
      <w:spacing w:after="120" w:afterLines="0" w:afterAutospacing="0"/>
      <w:ind w:left="420" w:leftChars="200"/>
    </w:pPr>
  </w:style>
  <w:style w:type="paragraph" w:styleId="10">
    <w:name w:val="Plain Text"/>
    <w:basedOn w:val="1"/>
    <w:qFormat/>
    <w:uiPriority w:val="0"/>
    <w:rPr>
      <w:rFonts w:ascii="宋体" w:hAnsi="Courier New"/>
    </w:rPr>
  </w:style>
  <w:style w:type="paragraph" w:styleId="11">
    <w:name w:val="Date"/>
    <w:basedOn w:val="1"/>
    <w:next w:val="1"/>
    <w:qFormat/>
    <w:uiPriority w:val="0"/>
    <w:pPr>
      <w:adjustRightInd w:val="0"/>
      <w:spacing w:line="360" w:lineRule="atLeast"/>
      <w:textAlignment w:val="baseline"/>
    </w:pPr>
    <w:rPr>
      <w:rFonts w:ascii="宋体"/>
      <w:kern w:val="0"/>
      <w:sz w:val="24"/>
    </w:rPr>
  </w:style>
  <w:style w:type="paragraph" w:styleId="12">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9000"/>
      </w:tabs>
      <w:spacing w:line="500" w:lineRule="atLeast"/>
      <w:jc w:val="left"/>
    </w:pPr>
    <w:rPr>
      <w:caps/>
      <w:snapToGrid w:val="0"/>
      <w:kern w:val="0"/>
      <w:sz w:val="28"/>
    </w:rPr>
  </w:style>
  <w:style w:type="paragraph" w:styleId="15">
    <w:name w:val="Body Text Indent 3"/>
    <w:basedOn w:val="1"/>
    <w:qFormat/>
    <w:uiPriority w:val="0"/>
    <w:pPr>
      <w:spacing w:after="120" w:afterLines="0" w:afterAutospacing="0"/>
      <w:ind w:left="420" w:leftChars="200"/>
    </w:pPr>
    <w:rPr>
      <w:sz w:val="16"/>
    </w:rPr>
  </w:style>
  <w:style w:type="paragraph" w:styleId="16">
    <w:name w:val="toc 2"/>
    <w:basedOn w:val="1"/>
    <w:next w:val="1"/>
    <w:qFormat/>
    <w:uiPriority w:val="39"/>
    <w:pPr>
      <w:tabs>
        <w:tab w:val="right" w:leader="dot" w:pos="8302"/>
      </w:tabs>
    </w:pPr>
    <w:rPr>
      <w:smallCaps/>
      <w:sz w:val="24"/>
    </w:rPr>
  </w:style>
  <w:style w:type="paragraph" w:styleId="17">
    <w:name w:val="Normal (Web)"/>
    <w:basedOn w:val="1"/>
    <w:qFormat/>
    <w:uiPriority w:val="0"/>
    <w:rPr>
      <w:sz w:val="24"/>
    </w:rPr>
  </w:style>
  <w:style w:type="character" w:styleId="20">
    <w:name w:val="page number"/>
    <w:basedOn w:val="19"/>
    <w:qFormat/>
    <w:uiPriority w:val="0"/>
  </w:style>
  <w:style w:type="character" w:styleId="21">
    <w:name w:val="Hyperlink"/>
    <w:qFormat/>
    <w:uiPriority w:val="99"/>
    <w:rPr>
      <w:color w:val="0000FF"/>
      <w:u w:val="single"/>
    </w:rPr>
  </w:style>
  <w:style w:type="paragraph" w:customStyle="1" w:styleId="22">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4">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5">
    <w:name w:val="样式2"/>
    <w:basedOn w:val="5"/>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26">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27">
    <w:name w:val="List Paragraph"/>
    <w:basedOn w:val="1"/>
    <w:qFormat/>
    <w:uiPriority w:val="0"/>
    <w:pPr>
      <w:suppressAutoHyphens/>
      <w:ind w:firstLine="420" w:firstLineChars="200"/>
    </w:pPr>
    <w:rPr>
      <w:szCs w:val="24"/>
      <w:lang w:eastAsia="ar-SA"/>
    </w:rPr>
  </w:style>
  <w:style w:type="paragraph" w:customStyle="1" w:styleId="28">
    <w:name w:val="s4"/>
    <w:basedOn w:val="1"/>
    <w:next w:val="15"/>
    <w:qFormat/>
    <w:uiPriority w:val="0"/>
    <w:pPr>
      <w:adjustRightInd w:val="0"/>
      <w:snapToGrid w:val="0"/>
      <w:spacing w:before="156" w:beforeLines="50" w:beforeAutospacing="0"/>
      <w:ind w:firstLine="454" w:firstLineChars="189"/>
    </w:pPr>
    <w:rPr>
      <w:sz w:val="24"/>
    </w:rPr>
  </w:style>
  <w:style w:type="character" w:customStyle="1" w:styleId="29">
    <w:name w:val="font61"/>
    <w:basedOn w:val="19"/>
    <w:qFormat/>
    <w:uiPriority w:val="0"/>
    <w:rPr>
      <w:rFonts w:hint="eastAsia" w:ascii="宋体" w:hAnsi="宋体" w:eastAsia="宋体" w:cs="宋体"/>
      <w:color w:val="000000"/>
      <w:sz w:val="30"/>
      <w:szCs w:val="30"/>
      <w:u w:val="single"/>
    </w:rPr>
  </w:style>
  <w:style w:type="character" w:customStyle="1" w:styleId="30">
    <w:name w:val="font51"/>
    <w:basedOn w:val="19"/>
    <w:qFormat/>
    <w:uiPriority w:val="0"/>
    <w:rPr>
      <w:rFonts w:hint="eastAsia" w:ascii="宋体" w:hAnsi="宋体" w:eastAsia="宋体" w:cs="宋体"/>
      <w:color w:val="000000"/>
      <w:sz w:val="30"/>
      <w:szCs w:val="30"/>
      <w:u w:val="none"/>
    </w:rPr>
  </w:style>
  <w:style w:type="paragraph" w:customStyle="1" w:styleId="31">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2">
    <w:name w:val="样式1"/>
    <w:basedOn w:val="4"/>
    <w:qFormat/>
    <w:uiPriority w:val="0"/>
    <w:pPr>
      <w:keepLines/>
      <w:spacing w:before="260" w:beforeLines="0" w:after="260" w:afterLines="0" w:line="416" w:lineRule="auto"/>
      <w:jc w:val="center"/>
    </w:pPr>
    <w:rPr>
      <w:rFonts w:hAnsi="宋体" w:eastAsia="黑体"/>
      <w:bCs/>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NTKO</cp:lastModifiedBy>
  <cp:lastPrinted>2020-03-30T05:08:00Z</cp:lastPrinted>
  <dcterms:modified xsi:type="dcterms:W3CDTF">2021-11-08T02:59:51Z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B0EF1E0559524CAA97DE23D9BC4661A5</vt:lpwstr>
  </property>
</Properties>
</file>