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60"/>
          <w:tab w:val="left" w:pos="3480"/>
          <w:tab w:val="left" w:pos="4980"/>
        </w:tabs>
        <w:spacing w:line="0" w:lineRule="atLeast"/>
        <w:jc w:val="center"/>
        <w:rPr>
          <w:rFonts w:hint="eastAsia" w:ascii="宋体" w:hAnsi="宋体" w:eastAsia="宋体" w:cs="宋体"/>
          <w:b/>
          <w:sz w:val="84"/>
        </w:rPr>
      </w:pPr>
    </w:p>
    <w:p>
      <w:pPr>
        <w:tabs>
          <w:tab w:val="left" w:pos="1960"/>
          <w:tab w:val="left" w:pos="3480"/>
          <w:tab w:val="left" w:pos="4980"/>
        </w:tabs>
        <w:spacing w:line="0" w:lineRule="atLeast"/>
        <w:jc w:val="center"/>
        <w:rPr>
          <w:rFonts w:hint="eastAsia" w:ascii="宋体" w:hAnsi="宋体" w:eastAsia="宋体" w:cs="宋体"/>
          <w:b/>
          <w:sz w:val="84"/>
        </w:rPr>
      </w:pPr>
      <w:r>
        <w:rPr>
          <w:rFonts w:hint="eastAsia" w:ascii="宋体" w:hAnsi="宋体" w:eastAsia="宋体" w:cs="宋体"/>
          <w:b/>
          <w:sz w:val="56"/>
          <w:szCs w:val="16"/>
          <w:lang w:val="en-US" w:eastAsia="zh-CN"/>
        </w:rPr>
        <w:t xml:space="preserve">乌鲁木齐市水磨沟区第十二幼儿园幼儿园玩、教具设备采购项目 </w:t>
      </w:r>
      <w:r>
        <w:rPr>
          <w:rFonts w:hint="eastAsia" w:ascii="宋体" w:hAnsi="宋体" w:eastAsia="宋体" w:cs="宋体"/>
          <w:b/>
          <w:sz w:val="84"/>
          <w:lang w:val="en-US" w:eastAsia="zh-CN"/>
        </w:rPr>
        <w:t xml:space="preserve"> </w:t>
      </w:r>
    </w:p>
    <w:p>
      <w:pPr>
        <w:spacing w:line="200" w:lineRule="exact"/>
        <w:rPr>
          <w:rFonts w:ascii="宋体" w:hAnsi="宋体" w:cs="宋体"/>
          <w:sz w:val="24"/>
        </w:rPr>
      </w:pPr>
    </w:p>
    <w:p>
      <w:pPr>
        <w:spacing w:line="200" w:lineRule="exact"/>
        <w:rPr>
          <w:rFonts w:ascii="宋体" w:hAnsi="宋体" w:cs="宋体"/>
          <w:sz w:val="24"/>
        </w:rPr>
      </w:pPr>
    </w:p>
    <w:p>
      <w:pPr>
        <w:spacing w:line="213" w:lineRule="exact"/>
        <w:rPr>
          <w:rFonts w:ascii="宋体" w:hAnsi="宋体" w:cs="宋体"/>
          <w:sz w:val="24"/>
        </w:rPr>
      </w:pPr>
    </w:p>
    <w:p>
      <w:pPr>
        <w:spacing w:line="213" w:lineRule="exact"/>
        <w:rPr>
          <w:rFonts w:ascii="宋体" w:hAnsi="宋体" w:cs="宋体"/>
          <w:sz w:val="24"/>
        </w:rPr>
      </w:pPr>
    </w:p>
    <w:p>
      <w:pPr>
        <w:tabs>
          <w:tab w:val="left" w:pos="1960"/>
          <w:tab w:val="left" w:pos="3480"/>
          <w:tab w:val="left" w:pos="4980"/>
        </w:tabs>
        <w:spacing w:line="0" w:lineRule="atLeast"/>
        <w:jc w:val="center"/>
        <w:rPr>
          <w:rFonts w:ascii="宋体" w:hAnsi="宋体" w:cs="宋体"/>
          <w:b/>
          <w:sz w:val="83"/>
        </w:rPr>
      </w:pPr>
      <w:r>
        <w:rPr>
          <w:rFonts w:hint="eastAsia" w:ascii="宋体" w:hAnsi="宋体" w:cs="宋体"/>
          <w:b/>
          <w:sz w:val="84"/>
        </w:rPr>
        <w:t>竞争性磋商文</w:t>
      </w:r>
      <w:r>
        <w:rPr>
          <w:rFonts w:hint="eastAsia" w:ascii="宋体" w:hAnsi="宋体" w:cs="宋体"/>
          <w:b/>
          <w:sz w:val="83"/>
        </w:rPr>
        <w:t>件</w:t>
      </w:r>
    </w:p>
    <w:p>
      <w:pPr>
        <w:spacing w:line="200" w:lineRule="exact"/>
        <w:rPr>
          <w:rFonts w:ascii="宋体" w:hAnsi="宋体" w:cs="宋体"/>
          <w:sz w:val="24"/>
        </w:rPr>
      </w:pPr>
    </w:p>
    <w:p>
      <w:pPr>
        <w:spacing w:line="200" w:lineRule="exact"/>
        <w:rPr>
          <w:rFonts w:ascii="宋体" w:hAnsi="宋体" w:cs="宋体"/>
          <w:sz w:val="24"/>
        </w:rPr>
      </w:pPr>
    </w:p>
    <w:p>
      <w:pPr>
        <w:spacing w:line="200" w:lineRule="exact"/>
        <w:rPr>
          <w:rFonts w:ascii="宋体" w:hAnsi="宋体" w:cs="宋体"/>
          <w:sz w:val="24"/>
        </w:rPr>
      </w:pPr>
    </w:p>
    <w:p>
      <w:pPr>
        <w:spacing w:line="273" w:lineRule="exact"/>
        <w:rPr>
          <w:rFonts w:ascii="宋体" w:hAnsi="宋体" w:cs="宋体"/>
          <w:sz w:val="24"/>
        </w:rPr>
      </w:pPr>
    </w:p>
    <w:p>
      <w:pPr>
        <w:spacing w:line="0" w:lineRule="atLeast"/>
        <w:jc w:val="center"/>
        <w:rPr>
          <w:rFonts w:hint="eastAsia" w:ascii="宋体" w:hAnsi="宋体" w:eastAsia="宋体" w:cs="宋体"/>
          <w:b/>
          <w:sz w:val="36"/>
          <w:lang w:val="en-US" w:eastAsia="zh-CN"/>
        </w:rPr>
      </w:pPr>
      <w:r>
        <w:rPr>
          <w:rFonts w:hint="eastAsia" w:ascii="宋体" w:hAnsi="宋体" w:cs="宋体"/>
          <w:b/>
          <w:sz w:val="36"/>
        </w:rPr>
        <w:t>项目编号：</w:t>
      </w:r>
      <w:r>
        <w:rPr>
          <w:rFonts w:hint="eastAsia" w:ascii="宋体" w:hAnsi="宋体" w:cs="宋体"/>
          <w:b/>
          <w:sz w:val="36"/>
          <w:lang w:eastAsia="zh-CN"/>
        </w:rPr>
        <w:t>hcxjczt-2021-342</w:t>
      </w:r>
    </w:p>
    <w:p>
      <w:pPr>
        <w:spacing w:line="200" w:lineRule="exact"/>
        <w:rPr>
          <w:rFonts w:ascii="宋体" w:hAnsi="宋体" w:cs="宋体"/>
          <w:sz w:val="24"/>
        </w:rPr>
      </w:pPr>
    </w:p>
    <w:p>
      <w:pPr>
        <w:spacing w:line="200" w:lineRule="exact"/>
        <w:rPr>
          <w:rFonts w:ascii="宋体" w:hAnsi="宋体" w:cs="宋体"/>
          <w:sz w:val="24"/>
        </w:rPr>
      </w:pPr>
    </w:p>
    <w:p>
      <w:pPr>
        <w:spacing w:line="360" w:lineRule="exact"/>
        <w:rPr>
          <w:rFonts w:ascii="宋体" w:hAnsi="宋体" w:cs="宋体"/>
          <w:sz w:val="24"/>
        </w:rPr>
      </w:pPr>
    </w:p>
    <w:p>
      <w:pPr>
        <w:spacing w:line="720" w:lineRule="exact"/>
        <w:ind w:right="2520" w:firstLine="840" w:firstLineChars="300"/>
        <w:rPr>
          <w:rFonts w:hint="eastAsia" w:ascii="宋体" w:hAnsi="宋体" w:eastAsia="宋体" w:cs="宋体"/>
          <w:sz w:val="28"/>
          <w:szCs w:val="28"/>
          <w:lang w:eastAsia="zh-CN"/>
        </w:rPr>
      </w:pPr>
      <w:r>
        <w:rPr>
          <w:rFonts w:hint="eastAsia" w:ascii="宋体" w:hAnsi="宋体" w:cs="宋体"/>
          <w:sz w:val="28"/>
          <w:szCs w:val="28"/>
        </w:rPr>
        <w:t>采购人：</w:t>
      </w:r>
      <w:r>
        <w:rPr>
          <w:rFonts w:hint="eastAsia" w:ascii="宋体" w:hAnsi="宋体" w:cs="宋体"/>
          <w:sz w:val="28"/>
          <w:szCs w:val="28"/>
          <w:lang w:eastAsia="zh-CN"/>
        </w:rPr>
        <w:t>乌鲁木齐市水磨沟区第十二幼儿园</w:t>
      </w:r>
    </w:p>
    <w:p>
      <w:pPr>
        <w:spacing w:line="720" w:lineRule="exact"/>
        <w:ind w:right="2520" w:firstLine="840" w:firstLineChars="300"/>
        <w:rPr>
          <w:rFonts w:hint="eastAsia" w:ascii="宋体" w:hAnsi="宋体" w:eastAsia="宋体" w:cs="宋体"/>
          <w:sz w:val="28"/>
          <w:szCs w:val="28"/>
          <w:lang w:eastAsia="zh-CN"/>
        </w:rPr>
      </w:pPr>
      <w:r>
        <w:rPr>
          <w:rFonts w:hint="eastAsia" w:ascii="宋体" w:hAnsi="宋体" w:cs="宋体"/>
          <w:sz w:val="28"/>
          <w:szCs w:val="28"/>
        </w:rPr>
        <w:t>联系人：</w:t>
      </w:r>
      <w:r>
        <w:rPr>
          <w:rFonts w:hint="eastAsia" w:ascii="宋体" w:hAnsi="宋体" w:cs="宋体"/>
          <w:sz w:val="28"/>
          <w:szCs w:val="28"/>
          <w:lang w:eastAsia="zh-CN"/>
        </w:rPr>
        <w:t>陆老师</w:t>
      </w:r>
    </w:p>
    <w:p>
      <w:pPr>
        <w:spacing w:line="720" w:lineRule="exact"/>
        <w:ind w:right="2520" w:firstLine="840" w:firstLineChars="300"/>
        <w:rPr>
          <w:rFonts w:hint="eastAsia" w:ascii="宋体" w:hAnsi="宋体" w:eastAsia="宋体" w:cs="宋体"/>
          <w:sz w:val="28"/>
          <w:szCs w:val="28"/>
          <w:lang w:eastAsia="zh-CN"/>
        </w:rPr>
      </w:pPr>
      <w:r>
        <w:rPr>
          <w:rFonts w:hint="eastAsia" w:ascii="宋体" w:hAnsi="宋体" w:cs="宋体"/>
          <w:sz w:val="28"/>
          <w:szCs w:val="28"/>
        </w:rPr>
        <w:t>联系电话：</w:t>
      </w:r>
      <w:r>
        <w:rPr>
          <w:rFonts w:hint="eastAsia" w:ascii="宋体" w:hAnsi="宋体" w:cs="宋体"/>
          <w:sz w:val="28"/>
          <w:szCs w:val="28"/>
          <w:lang w:eastAsia="zh-CN"/>
        </w:rPr>
        <w:t>13999183244</w:t>
      </w:r>
    </w:p>
    <w:p>
      <w:pPr>
        <w:spacing w:line="720" w:lineRule="exact"/>
        <w:rPr>
          <w:rFonts w:ascii="宋体" w:hAnsi="宋体" w:cs="宋体"/>
          <w:sz w:val="28"/>
          <w:szCs w:val="28"/>
        </w:rPr>
      </w:pPr>
    </w:p>
    <w:p>
      <w:pPr>
        <w:spacing w:line="720" w:lineRule="exact"/>
        <w:ind w:firstLine="840" w:firstLineChars="300"/>
        <w:rPr>
          <w:rFonts w:ascii="宋体" w:hAnsi="宋体" w:cs="宋体"/>
          <w:sz w:val="28"/>
          <w:szCs w:val="28"/>
        </w:rPr>
      </w:pPr>
      <w:r>
        <w:rPr>
          <w:rFonts w:hint="eastAsia" w:ascii="宋体" w:hAnsi="宋体" w:cs="宋体"/>
          <w:sz w:val="28"/>
          <w:szCs w:val="28"/>
        </w:rPr>
        <w:t>采购代理机构：华春建设工程项目管理有限责任公司</w:t>
      </w:r>
    </w:p>
    <w:p>
      <w:pPr>
        <w:spacing w:line="720" w:lineRule="exact"/>
        <w:ind w:firstLine="280" w:firstLineChars="100"/>
        <w:rPr>
          <w:rFonts w:hint="eastAsia" w:ascii="宋体" w:hAnsi="宋体" w:eastAsia="宋体" w:cs="宋体"/>
          <w:sz w:val="28"/>
          <w:szCs w:val="28"/>
          <w:lang w:eastAsia="zh-CN"/>
        </w:rPr>
      </w:pPr>
      <w:r>
        <w:rPr>
          <w:rFonts w:hint="eastAsia" w:ascii="宋体" w:hAnsi="宋体" w:cs="宋体"/>
          <w:sz w:val="28"/>
          <w:szCs w:val="28"/>
        </w:rPr>
        <w:t xml:space="preserve">    联系人：王立娜、</w:t>
      </w:r>
      <w:r>
        <w:rPr>
          <w:rFonts w:hint="eastAsia" w:ascii="宋体" w:hAnsi="宋体" w:cs="宋体"/>
          <w:sz w:val="28"/>
          <w:szCs w:val="28"/>
          <w:lang w:eastAsia="zh-CN"/>
        </w:rPr>
        <w:t>韩永朝</w:t>
      </w:r>
    </w:p>
    <w:p>
      <w:pPr>
        <w:spacing w:line="720" w:lineRule="exact"/>
        <w:ind w:firstLine="840" w:firstLineChars="300"/>
        <w:rPr>
          <w:rFonts w:ascii="宋体" w:hAnsi="宋体" w:cs="宋体"/>
          <w:sz w:val="28"/>
        </w:rPr>
      </w:pPr>
      <w:r>
        <w:rPr>
          <w:rFonts w:hint="eastAsia" w:ascii="宋体" w:hAnsi="宋体" w:cs="宋体"/>
          <w:sz w:val="28"/>
          <w:szCs w:val="28"/>
        </w:rPr>
        <w:t>联系电话：0991-2629781、18097782413</w:t>
      </w:r>
    </w:p>
    <w:p>
      <w:pPr>
        <w:spacing w:line="394" w:lineRule="auto"/>
        <w:rPr>
          <w:rFonts w:ascii="宋体" w:hAnsi="宋体" w:cs="宋体"/>
          <w:sz w:val="28"/>
        </w:rPr>
      </w:pPr>
    </w:p>
    <w:p>
      <w:pPr>
        <w:spacing w:line="400" w:lineRule="atLeast"/>
        <w:jc w:val="center"/>
        <w:rPr>
          <w:rFonts w:ascii="宋体" w:hAnsi="宋体" w:cs="宋体"/>
          <w:sz w:val="27"/>
        </w:rPr>
      </w:pPr>
      <w:r>
        <w:rPr>
          <w:rFonts w:hint="eastAsia" w:ascii="宋体" w:hAnsi="宋体" w:cs="宋体"/>
          <w:sz w:val="27"/>
        </w:rPr>
        <w:t>二〇二</w:t>
      </w:r>
      <w:r>
        <w:rPr>
          <w:rFonts w:hint="eastAsia" w:ascii="宋体" w:hAnsi="宋体" w:cs="宋体"/>
          <w:sz w:val="27"/>
          <w:lang w:eastAsia="zh-CN"/>
        </w:rPr>
        <w:t>一</w:t>
      </w:r>
      <w:r>
        <w:rPr>
          <w:rFonts w:hint="eastAsia" w:ascii="宋体" w:hAnsi="宋体" w:cs="宋体"/>
          <w:sz w:val="27"/>
        </w:rPr>
        <w:t>年</w:t>
      </w:r>
      <w:r>
        <w:rPr>
          <w:rFonts w:hint="eastAsia" w:ascii="宋体" w:hAnsi="宋体" w:cs="宋体"/>
          <w:sz w:val="27"/>
          <w:lang w:eastAsia="zh-CN"/>
        </w:rPr>
        <w:t>十一</w:t>
      </w:r>
      <w:r>
        <w:rPr>
          <w:rFonts w:hint="eastAsia" w:ascii="宋体" w:hAnsi="宋体" w:cs="宋体"/>
          <w:sz w:val="27"/>
        </w:rPr>
        <w:t>月</w:t>
      </w:r>
    </w:p>
    <w:p>
      <w:pPr>
        <w:spacing w:line="400" w:lineRule="atLeast"/>
        <w:jc w:val="center"/>
        <w:rPr>
          <w:rFonts w:ascii="宋体" w:hAnsi="宋体" w:cs="宋体"/>
          <w:sz w:val="27"/>
        </w:rPr>
      </w:pPr>
    </w:p>
    <w:p>
      <w:pPr>
        <w:spacing w:line="480" w:lineRule="auto"/>
        <w:jc w:val="center"/>
        <w:rPr>
          <w:rFonts w:ascii="宋体" w:hAnsi="宋体" w:cs="宋体"/>
          <w:b/>
          <w:kern w:val="0"/>
          <w:sz w:val="36"/>
          <w:szCs w:val="36"/>
        </w:rPr>
      </w:pPr>
    </w:p>
    <w:p>
      <w:pPr>
        <w:spacing w:line="480" w:lineRule="auto"/>
        <w:jc w:val="center"/>
        <w:rPr>
          <w:rFonts w:hint="eastAsia" w:ascii="宋体" w:hAnsi="宋体" w:cs="宋体"/>
          <w:b/>
          <w:kern w:val="0"/>
          <w:sz w:val="36"/>
          <w:szCs w:val="36"/>
        </w:rPr>
        <w:sectPr>
          <w:headerReference r:id="rId4" w:type="first"/>
          <w:headerReference r:id="rId3" w:type="default"/>
          <w:footerReference r:id="rId5" w:type="default"/>
          <w:footerReference r:id="rId6" w:type="even"/>
          <w:pgSz w:w="11907" w:h="16840"/>
          <w:pgMar w:top="1276" w:right="1080" w:bottom="1440" w:left="1134" w:header="851" w:footer="798" w:gutter="0"/>
          <w:pgNumType w:start="0"/>
          <w:cols w:space="720" w:num="1"/>
          <w:titlePg/>
          <w:docGrid w:type="lines" w:linePitch="409" w:charSpace="0"/>
        </w:sectPr>
      </w:pPr>
    </w:p>
    <w:p>
      <w:pPr>
        <w:spacing w:line="480" w:lineRule="auto"/>
        <w:jc w:val="center"/>
        <w:rPr>
          <w:rFonts w:ascii="宋体" w:hAnsi="宋体" w:cs="宋体"/>
          <w:b/>
          <w:kern w:val="0"/>
          <w:sz w:val="36"/>
          <w:szCs w:val="36"/>
        </w:rPr>
      </w:pPr>
      <w:r>
        <w:rPr>
          <w:rFonts w:hint="eastAsia" w:ascii="宋体" w:hAnsi="宋体" w:cs="宋体"/>
          <w:b/>
          <w:kern w:val="0"/>
          <w:sz w:val="36"/>
          <w:szCs w:val="36"/>
        </w:rPr>
        <w:t>特别提示</w:t>
      </w:r>
    </w:p>
    <w:p>
      <w:pPr>
        <w:spacing w:line="480" w:lineRule="auto"/>
        <w:rPr>
          <w:rFonts w:ascii="宋体" w:hAnsi="宋体" w:cs="宋体"/>
          <w:b/>
          <w:kern w:val="0"/>
          <w:sz w:val="28"/>
          <w:szCs w:val="28"/>
        </w:rPr>
      </w:pPr>
      <w:r>
        <w:rPr>
          <w:rFonts w:hint="eastAsia" w:ascii="宋体" w:hAnsi="宋体" w:cs="宋体"/>
          <w:b/>
          <w:kern w:val="0"/>
          <w:sz w:val="28"/>
          <w:szCs w:val="28"/>
        </w:rPr>
        <w:t>各投标人：</w:t>
      </w:r>
    </w:p>
    <w:p>
      <w:pPr>
        <w:spacing w:line="480" w:lineRule="auto"/>
        <w:rPr>
          <w:rFonts w:ascii="宋体" w:hAnsi="宋体" w:cs="宋体"/>
          <w:b/>
          <w:kern w:val="0"/>
          <w:sz w:val="28"/>
          <w:szCs w:val="28"/>
        </w:rPr>
      </w:pPr>
      <w:r>
        <w:rPr>
          <w:rFonts w:hint="eastAsia" w:ascii="宋体" w:hAnsi="宋体" w:cs="宋体"/>
          <w:b/>
          <w:kern w:val="0"/>
          <w:sz w:val="28"/>
          <w:szCs w:val="28"/>
        </w:rPr>
        <w:t xml:space="preserve">    在参与本次招标项目投标时，请按磋商文件中规定的可能导致否决投标条款，黑体字要求的内容逐条响应。若不响应将导致投标失败。</w:t>
      </w:r>
    </w:p>
    <w:p>
      <w:pPr>
        <w:spacing w:line="400" w:lineRule="atLeast"/>
        <w:jc w:val="center"/>
        <w:rPr>
          <w:rFonts w:ascii="宋体" w:hAnsi="宋体" w:cs="宋体"/>
          <w:b/>
          <w:sz w:val="24"/>
        </w:rPr>
      </w:pPr>
    </w:p>
    <w:p>
      <w:pPr>
        <w:spacing w:line="400" w:lineRule="atLeast"/>
        <w:jc w:val="center"/>
        <w:rPr>
          <w:rFonts w:ascii="宋体" w:hAnsi="宋体" w:cs="宋体"/>
          <w:b/>
          <w:sz w:val="36"/>
        </w:rPr>
      </w:pPr>
      <w:r>
        <w:rPr>
          <w:rFonts w:hint="eastAsia" w:ascii="宋体" w:hAnsi="宋体" w:cs="宋体"/>
        </w:rPr>
        <w:br w:type="page"/>
      </w:r>
      <w:r>
        <w:rPr>
          <w:rFonts w:hint="eastAsia" w:ascii="宋体" w:hAnsi="宋体" w:cs="宋体"/>
          <w:b/>
          <w:sz w:val="36"/>
        </w:rPr>
        <w:t>目     录</w:t>
      </w:r>
    </w:p>
    <w:p>
      <w:pPr>
        <w:pStyle w:val="25"/>
        <w:tabs>
          <w:tab w:val="right" w:leader="dot" w:pos="9683"/>
        </w:tabs>
        <w:spacing w:line="360" w:lineRule="auto"/>
        <w:rPr>
          <w:rFonts w:ascii="宋体" w:hAnsi="宋体" w:cs="宋体"/>
          <w:szCs w:val="22"/>
        </w:rPr>
      </w:pPr>
      <w:r>
        <w:rPr>
          <w:rFonts w:hint="eastAsia" w:ascii="宋体" w:hAnsi="宋体" w:cs="宋体"/>
          <w:b/>
          <w:sz w:val="24"/>
          <w:szCs w:val="24"/>
        </w:rPr>
        <w:fldChar w:fldCharType="begin"/>
      </w:r>
      <w:r>
        <w:rPr>
          <w:rFonts w:hint="eastAsia" w:ascii="宋体" w:hAnsi="宋体" w:cs="宋体"/>
          <w:b/>
          <w:sz w:val="24"/>
          <w:szCs w:val="24"/>
        </w:rPr>
        <w:instrText xml:space="preserve"> TOC \o "1-2" \h \z \u </w:instrText>
      </w:r>
      <w:r>
        <w:rPr>
          <w:rFonts w:hint="eastAsia" w:ascii="宋体" w:hAnsi="宋体" w:cs="宋体"/>
          <w:b/>
          <w:sz w:val="24"/>
          <w:szCs w:val="24"/>
        </w:rPr>
        <w:fldChar w:fldCharType="separate"/>
      </w:r>
      <w:r>
        <w:fldChar w:fldCharType="begin"/>
      </w:r>
      <w:r>
        <w:instrText xml:space="preserve"> HYPERLINK \l "_Toc468707215" </w:instrText>
      </w:r>
      <w:r>
        <w:fldChar w:fldCharType="separate"/>
      </w:r>
      <w:r>
        <w:rPr>
          <w:rStyle w:val="40"/>
          <w:rFonts w:hint="eastAsia" w:ascii="宋体" w:hAnsi="宋体" w:cs="宋体"/>
        </w:rPr>
        <w:t>第一部分 磋商公告</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_Toc468707215 \h </w:instrText>
      </w:r>
      <w:r>
        <w:rPr>
          <w:rFonts w:hint="eastAsia" w:ascii="宋体" w:hAnsi="宋体" w:cs="宋体"/>
        </w:rPr>
        <w:fldChar w:fldCharType="separate"/>
      </w:r>
      <w:r>
        <w:rPr>
          <w:rFonts w:hint="eastAsia" w:ascii="宋体" w:hAnsi="宋体" w:cs="宋体"/>
        </w:rPr>
        <w:t>3</w:t>
      </w:r>
      <w:r>
        <w:rPr>
          <w:rFonts w:hint="eastAsia" w:ascii="宋体" w:hAnsi="宋体" w:cs="宋体"/>
        </w:rPr>
        <w:fldChar w:fldCharType="end"/>
      </w:r>
      <w:r>
        <w:rPr>
          <w:rFonts w:hint="eastAsia" w:ascii="宋体" w:hAnsi="宋体" w:cs="宋体"/>
        </w:rPr>
        <w:fldChar w:fldCharType="end"/>
      </w:r>
    </w:p>
    <w:p>
      <w:pPr>
        <w:pStyle w:val="25"/>
        <w:tabs>
          <w:tab w:val="right" w:leader="dot" w:pos="9683"/>
        </w:tabs>
        <w:spacing w:line="360" w:lineRule="auto"/>
        <w:rPr>
          <w:rFonts w:ascii="宋体" w:hAnsi="宋体" w:cs="宋体"/>
          <w:szCs w:val="22"/>
        </w:rPr>
      </w:pPr>
      <w:r>
        <w:fldChar w:fldCharType="begin"/>
      </w:r>
      <w:r>
        <w:instrText xml:space="preserve"> HYPERLINK \l "_Toc468707216" </w:instrText>
      </w:r>
      <w:r>
        <w:fldChar w:fldCharType="separate"/>
      </w:r>
      <w:r>
        <w:rPr>
          <w:rStyle w:val="40"/>
          <w:rFonts w:hint="eastAsia" w:ascii="宋体" w:hAnsi="宋体" w:cs="宋体"/>
        </w:rPr>
        <w:t>第二部分  供应商须知</w:t>
      </w:r>
      <w:r>
        <w:rPr>
          <w:rFonts w:hint="eastAsia" w:ascii="宋体" w:hAnsi="宋体" w:cs="宋体"/>
        </w:rPr>
        <w:tab/>
      </w:r>
      <w:r>
        <w:rPr>
          <w:rFonts w:hint="eastAsia" w:ascii="宋体" w:hAnsi="宋体" w:cs="宋体"/>
          <w:lang w:val="en-US" w:eastAsia="zh-CN"/>
        </w:rPr>
        <w:t>6</w:t>
      </w:r>
      <w:r>
        <w:rPr>
          <w:rFonts w:hint="eastAsia" w:ascii="宋体" w:hAnsi="宋体" w:cs="宋体"/>
        </w:rPr>
        <w:fldChar w:fldCharType="end"/>
      </w:r>
    </w:p>
    <w:p>
      <w:pPr>
        <w:pStyle w:val="25"/>
        <w:tabs>
          <w:tab w:val="right" w:leader="dot" w:pos="9683"/>
        </w:tabs>
        <w:spacing w:line="360" w:lineRule="auto"/>
        <w:rPr>
          <w:rFonts w:ascii="宋体" w:hAnsi="宋体" w:cs="宋体"/>
          <w:szCs w:val="22"/>
        </w:rPr>
      </w:pPr>
      <w:r>
        <w:fldChar w:fldCharType="begin"/>
      </w:r>
      <w:r>
        <w:instrText xml:space="preserve"> HYPERLINK \l "_Toc468707217" </w:instrText>
      </w:r>
      <w:r>
        <w:fldChar w:fldCharType="separate"/>
      </w:r>
      <w:r>
        <w:rPr>
          <w:rStyle w:val="40"/>
          <w:rFonts w:hint="eastAsia" w:ascii="宋体" w:hAnsi="宋体" w:cs="宋体"/>
        </w:rPr>
        <w:t>供应商须知附表</w:t>
      </w:r>
      <w:r>
        <w:rPr>
          <w:rFonts w:hint="eastAsia" w:ascii="宋体" w:hAnsi="宋体" w:cs="宋体"/>
        </w:rPr>
        <w:tab/>
      </w:r>
      <w:r>
        <w:rPr>
          <w:rFonts w:hint="eastAsia" w:ascii="宋体" w:hAnsi="宋体" w:cs="宋体"/>
        </w:rPr>
        <w:t>6</w:t>
      </w:r>
      <w:r>
        <w:rPr>
          <w:rFonts w:hint="eastAsia" w:ascii="宋体" w:hAnsi="宋体" w:cs="宋体"/>
        </w:rPr>
        <w:fldChar w:fldCharType="end"/>
      </w:r>
    </w:p>
    <w:p>
      <w:pPr>
        <w:pStyle w:val="27"/>
        <w:tabs>
          <w:tab w:val="right" w:leader="dot" w:pos="9683"/>
        </w:tabs>
        <w:spacing w:line="360" w:lineRule="auto"/>
        <w:rPr>
          <w:rFonts w:ascii="宋体" w:hAnsi="宋体" w:cs="宋体"/>
          <w:szCs w:val="22"/>
        </w:rPr>
      </w:pPr>
      <w:r>
        <w:fldChar w:fldCharType="begin"/>
      </w:r>
      <w:r>
        <w:instrText xml:space="preserve"> HYPERLINK \l "_Toc468707218" </w:instrText>
      </w:r>
      <w:r>
        <w:fldChar w:fldCharType="separate"/>
      </w:r>
      <w:r>
        <w:rPr>
          <w:rStyle w:val="40"/>
          <w:rFonts w:hint="eastAsia" w:ascii="宋体" w:hAnsi="宋体" w:cs="宋体"/>
        </w:rPr>
        <w:t>A  说　明</w:t>
      </w:r>
      <w:r>
        <w:rPr>
          <w:rFonts w:hint="eastAsia" w:ascii="宋体" w:hAnsi="宋体" w:cs="宋体"/>
        </w:rPr>
        <w:tab/>
      </w:r>
      <w:r>
        <w:rPr>
          <w:rFonts w:hint="eastAsia" w:ascii="宋体" w:hAnsi="宋体" w:cs="宋体"/>
        </w:rPr>
        <w:t>8</w:t>
      </w:r>
      <w:r>
        <w:rPr>
          <w:rFonts w:hint="eastAsia" w:ascii="宋体" w:hAnsi="宋体" w:cs="宋体"/>
        </w:rPr>
        <w:fldChar w:fldCharType="end"/>
      </w:r>
    </w:p>
    <w:p>
      <w:pPr>
        <w:pStyle w:val="27"/>
        <w:tabs>
          <w:tab w:val="right" w:leader="dot" w:pos="9683"/>
        </w:tabs>
        <w:spacing w:line="360" w:lineRule="auto"/>
        <w:rPr>
          <w:rFonts w:ascii="宋体" w:hAnsi="宋体" w:cs="宋体"/>
          <w:szCs w:val="22"/>
        </w:rPr>
      </w:pPr>
      <w:r>
        <w:fldChar w:fldCharType="begin"/>
      </w:r>
      <w:r>
        <w:instrText xml:space="preserve"> HYPERLINK \l "_Toc468707219" </w:instrText>
      </w:r>
      <w:r>
        <w:fldChar w:fldCharType="separate"/>
      </w:r>
      <w:r>
        <w:rPr>
          <w:rStyle w:val="40"/>
          <w:rFonts w:hint="eastAsia" w:ascii="宋体" w:hAnsi="宋体" w:cs="宋体"/>
        </w:rPr>
        <w:t>B  磋商文件</w:t>
      </w:r>
      <w:r>
        <w:rPr>
          <w:rFonts w:hint="eastAsia" w:ascii="宋体" w:hAnsi="宋体" w:cs="宋体"/>
        </w:rPr>
        <w:tab/>
      </w:r>
      <w:r>
        <w:rPr>
          <w:rFonts w:hint="eastAsia" w:ascii="宋体" w:hAnsi="宋体" w:cs="宋体"/>
        </w:rPr>
        <w:t>8</w:t>
      </w:r>
      <w:r>
        <w:rPr>
          <w:rFonts w:hint="eastAsia" w:ascii="宋体" w:hAnsi="宋体" w:cs="宋体"/>
        </w:rPr>
        <w:fldChar w:fldCharType="end"/>
      </w:r>
    </w:p>
    <w:p>
      <w:pPr>
        <w:pStyle w:val="27"/>
        <w:tabs>
          <w:tab w:val="right" w:leader="dot" w:pos="9683"/>
        </w:tabs>
        <w:spacing w:line="360" w:lineRule="auto"/>
        <w:rPr>
          <w:rFonts w:ascii="宋体" w:hAnsi="宋体" w:cs="宋体"/>
          <w:szCs w:val="22"/>
        </w:rPr>
      </w:pPr>
      <w:r>
        <w:fldChar w:fldCharType="begin"/>
      </w:r>
      <w:r>
        <w:instrText xml:space="preserve"> HYPERLINK \l "_Toc468707220" </w:instrText>
      </w:r>
      <w:r>
        <w:fldChar w:fldCharType="separate"/>
      </w:r>
      <w:r>
        <w:rPr>
          <w:rStyle w:val="40"/>
          <w:rFonts w:hint="eastAsia" w:ascii="宋体" w:hAnsi="宋体" w:cs="宋体"/>
        </w:rPr>
        <w:t>C  磋商响应文件的编写</w:t>
      </w:r>
      <w:r>
        <w:rPr>
          <w:rFonts w:hint="eastAsia" w:ascii="宋体" w:hAnsi="宋体" w:cs="宋体"/>
        </w:rPr>
        <w:tab/>
      </w:r>
      <w:r>
        <w:rPr>
          <w:rFonts w:hint="eastAsia" w:ascii="宋体" w:hAnsi="宋体" w:cs="宋体"/>
        </w:rPr>
        <w:t>9</w:t>
      </w:r>
      <w:r>
        <w:rPr>
          <w:rFonts w:hint="eastAsia" w:ascii="宋体" w:hAnsi="宋体" w:cs="宋体"/>
        </w:rPr>
        <w:fldChar w:fldCharType="end"/>
      </w:r>
    </w:p>
    <w:p>
      <w:pPr>
        <w:pStyle w:val="27"/>
        <w:tabs>
          <w:tab w:val="right" w:leader="dot" w:pos="9683"/>
        </w:tabs>
        <w:spacing w:line="360" w:lineRule="auto"/>
        <w:rPr>
          <w:rFonts w:ascii="宋体" w:hAnsi="宋体" w:cs="宋体"/>
          <w:szCs w:val="22"/>
        </w:rPr>
      </w:pPr>
      <w:r>
        <w:fldChar w:fldCharType="begin"/>
      </w:r>
      <w:r>
        <w:instrText xml:space="preserve"> HYPERLINK \l "_Toc468707221" </w:instrText>
      </w:r>
      <w:r>
        <w:fldChar w:fldCharType="separate"/>
      </w:r>
      <w:r>
        <w:rPr>
          <w:rStyle w:val="40"/>
          <w:rFonts w:hint="eastAsia" w:ascii="宋体" w:hAnsi="宋体" w:cs="宋体"/>
        </w:rPr>
        <w:t>D  磋商响应文件的递交</w:t>
      </w:r>
      <w:r>
        <w:rPr>
          <w:rFonts w:hint="eastAsia" w:ascii="宋体" w:hAnsi="宋体" w:cs="宋体"/>
        </w:rPr>
        <w:tab/>
      </w:r>
      <w:r>
        <w:rPr>
          <w:rFonts w:hint="eastAsia" w:ascii="宋体" w:hAnsi="宋体" w:cs="宋体"/>
        </w:rPr>
        <w:t>1</w:t>
      </w:r>
      <w:r>
        <w:rPr>
          <w:rFonts w:hint="eastAsia" w:ascii="宋体" w:hAnsi="宋体" w:cs="宋体"/>
        </w:rPr>
        <w:fldChar w:fldCharType="end"/>
      </w:r>
      <w:r>
        <w:rPr>
          <w:rFonts w:hint="eastAsia" w:ascii="宋体" w:hAnsi="宋体" w:cs="宋体"/>
        </w:rPr>
        <w:t>1</w:t>
      </w:r>
    </w:p>
    <w:p>
      <w:pPr>
        <w:pStyle w:val="27"/>
        <w:tabs>
          <w:tab w:val="right" w:leader="dot" w:pos="9683"/>
        </w:tabs>
        <w:spacing w:line="360" w:lineRule="auto"/>
        <w:rPr>
          <w:rFonts w:ascii="宋体" w:hAnsi="宋体" w:cs="宋体"/>
          <w:szCs w:val="22"/>
        </w:rPr>
      </w:pPr>
      <w:r>
        <w:fldChar w:fldCharType="begin"/>
      </w:r>
      <w:r>
        <w:instrText xml:space="preserve"> HYPERLINK \l "_Toc468707222" </w:instrText>
      </w:r>
      <w:r>
        <w:fldChar w:fldCharType="separate"/>
      </w:r>
      <w:r>
        <w:rPr>
          <w:rStyle w:val="40"/>
          <w:rFonts w:hint="eastAsia" w:ascii="宋体" w:hAnsi="宋体" w:cs="宋体"/>
        </w:rPr>
        <w:t>E  磋商程序</w:t>
      </w:r>
      <w:r>
        <w:rPr>
          <w:rFonts w:hint="eastAsia" w:ascii="宋体" w:hAnsi="宋体" w:cs="宋体"/>
        </w:rPr>
        <w:tab/>
      </w:r>
      <w:r>
        <w:rPr>
          <w:rFonts w:hint="eastAsia" w:ascii="宋体" w:hAnsi="宋体" w:cs="宋体"/>
        </w:rPr>
        <w:t>1</w:t>
      </w:r>
      <w:r>
        <w:rPr>
          <w:rFonts w:hint="eastAsia" w:ascii="宋体" w:hAnsi="宋体" w:cs="宋体"/>
        </w:rPr>
        <w:fldChar w:fldCharType="end"/>
      </w:r>
      <w:r>
        <w:rPr>
          <w:rFonts w:hint="eastAsia" w:ascii="宋体" w:hAnsi="宋体" w:cs="宋体"/>
        </w:rPr>
        <w:t>2</w:t>
      </w:r>
    </w:p>
    <w:p>
      <w:pPr>
        <w:pStyle w:val="27"/>
        <w:tabs>
          <w:tab w:val="right" w:leader="dot" w:pos="9683"/>
        </w:tabs>
        <w:spacing w:line="360" w:lineRule="auto"/>
        <w:rPr>
          <w:rFonts w:ascii="宋体" w:hAnsi="宋体" w:cs="宋体"/>
          <w:szCs w:val="22"/>
        </w:rPr>
      </w:pPr>
      <w:r>
        <w:fldChar w:fldCharType="begin"/>
      </w:r>
      <w:r>
        <w:instrText xml:space="preserve"> HYPERLINK \l "_Toc468707223" </w:instrText>
      </w:r>
      <w:r>
        <w:fldChar w:fldCharType="separate"/>
      </w:r>
      <w:r>
        <w:rPr>
          <w:rStyle w:val="40"/>
          <w:rFonts w:hint="eastAsia" w:ascii="宋体" w:hAnsi="宋体" w:cs="宋体"/>
        </w:rPr>
        <w:t>F  授予合同</w:t>
      </w:r>
      <w:r>
        <w:rPr>
          <w:rFonts w:hint="eastAsia" w:ascii="宋体" w:hAnsi="宋体" w:cs="宋体"/>
        </w:rPr>
        <w:tab/>
      </w:r>
      <w:r>
        <w:rPr>
          <w:rFonts w:hint="eastAsia" w:ascii="宋体" w:hAnsi="宋体" w:cs="宋体"/>
        </w:rPr>
        <w:t>1</w:t>
      </w:r>
      <w:r>
        <w:rPr>
          <w:rFonts w:hint="eastAsia" w:ascii="宋体" w:hAnsi="宋体" w:cs="宋体"/>
        </w:rPr>
        <w:fldChar w:fldCharType="end"/>
      </w:r>
      <w:r>
        <w:rPr>
          <w:rFonts w:hint="eastAsia" w:ascii="宋体" w:hAnsi="宋体" w:cs="宋体"/>
        </w:rPr>
        <w:t>6</w:t>
      </w:r>
    </w:p>
    <w:p>
      <w:pPr>
        <w:pStyle w:val="25"/>
        <w:tabs>
          <w:tab w:val="right" w:leader="dot" w:pos="9683"/>
        </w:tabs>
        <w:spacing w:line="360" w:lineRule="auto"/>
        <w:rPr>
          <w:rFonts w:hint="eastAsia" w:ascii="宋体" w:hAnsi="宋体" w:cs="宋体"/>
          <w:lang w:val="en-US" w:eastAsia="zh-CN"/>
        </w:rPr>
      </w:pPr>
      <w:r>
        <w:fldChar w:fldCharType="begin"/>
      </w:r>
      <w:r>
        <w:instrText xml:space="preserve"> HYPERLINK \l "_Toc468707225" </w:instrText>
      </w:r>
      <w:r>
        <w:fldChar w:fldCharType="separate"/>
      </w:r>
      <w:r>
        <w:rPr>
          <w:rStyle w:val="40"/>
          <w:rFonts w:hint="eastAsia" w:ascii="宋体" w:hAnsi="宋体" w:cs="宋体"/>
        </w:rPr>
        <w:t>第三部分 合同范本</w:t>
      </w:r>
      <w:r>
        <w:rPr>
          <w:rFonts w:hint="eastAsia" w:ascii="宋体" w:hAnsi="宋体" w:cs="宋体"/>
        </w:rPr>
        <w:tab/>
      </w:r>
      <w:r>
        <w:rPr>
          <w:rFonts w:hint="eastAsia" w:ascii="宋体" w:hAnsi="宋体" w:cs="宋体"/>
          <w:lang w:val="en-US" w:eastAsia="zh-CN"/>
        </w:rPr>
        <w:t>1</w:t>
      </w:r>
      <w:r>
        <w:rPr>
          <w:rFonts w:hint="eastAsia" w:ascii="宋体" w:hAnsi="宋体" w:cs="宋体"/>
        </w:rPr>
        <w:fldChar w:fldCharType="end"/>
      </w:r>
      <w:r>
        <w:rPr>
          <w:rFonts w:hint="eastAsia" w:ascii="宋体" w:hAnsi="宋体" w:cs="宋体"/>
          <w:lang w:val="en-US" w:eastAsia="zh-CN"/>
        </w:rPr>
        <w:t>8</w:t>
      </w:r>
    </w:p>
    <w:p>
      <w:pPr>
        <w:ind w:firstLine="420" w:firstLineChars="200"/>
        <w:rPr>
          <w:rFonts w:hint="eastAsia"/>
          <w:lang w:val="en-US" w:eastAsia="zh-CN"/>
        </w:rPr>
      </w:pPr>
      <w:r>
        <w:fldChar w:fldCharType="begin"/>
      </w:r>
      <w:r>
        <w:instrText xml:space="preserve"> HYPERLINK \l "_Toc468707224" </w:instrText>
      </w:r>
      <w:r>
        <w:fldChar w:fldCharType="separate"/>
      </w:r>
      <w:r>
        <w:rPr>
          <w:rStyle w:val="40"/>
          <w:rFonts w:hint="eastAsia" w:ascii="宋体" w:hAnsi="宋体" w:cs="宋体"/>
        </w:rPr>
        <w:t>G  磋商失败条件</w:t>
      </w:r>
      <w:r>
        <w:rPr>
          <w:rStyle w:val="40"/>
          <w:rFonts w:hint="eastAsia" w:ascii="宋体" w:hAnsi="宋体" w:cs="宋体"/>
          <w:lang w:val="en-US" w:eastAsia="zh-CN"/>
        </w:rPr>
        <w:t>.......................................................................</w:t>
      </w:r>
      <w:r>
        <w:rPr>
          <w:rFonts w:hint="eastAsia" w:ascii="宋体" w:hAnsi="宋体" w:cs="宋体"/>
        </w:rPr>
        <w:t>2</w:t>
      </w:r>
      <w:r>
        <w:rPr>
          <w:rFonts w:hint="eastAsia" w:ascii="宋体" w:hAnsi="宋体" w:cs="宋体"/>
        </w:rPr>
        <w:fldChar w:fldCharType="end"/>
      </w:r>
      <w:r>
        <w:rPr>
          <w:rFonts w:hint="eastAsia" w:ascii="宋体" w:hAnsi="宋体" w:cs="宋体"/>
        </w:rPr>
        <w:t>1</w:t>
      </w:r>
    </w:p>
    <w:p>
      <w:pPr>
        <w:pStyle w:val="25"/>
        <w:tabs>
          <w:tab w:val="right" w:leader="dot" w:pos="9683"/>
        </w:tabs>
        <w:spacing w:line="360" w:lineRule="auto"/>
        <w:rPr>
          <w:rFonts w:hint="eastAsia" w:ascii="宋体" w:hAnsi="宋体" w:eastAsia="宋体" w:cs="宋体"/>
          <w:szCs w:val="22"/>
          <w:lang w:val="en-US" w:eastAsia="zh-CN"/>
        </w:rPr>
      </w:pPr>
      <w:r>
        <w:fldChar w:fldCharType="begin"/>
      </w:r>
      <w:r>
        <w:instrText xml:space="preserve"> HYPERLINK \l "_Toc468707226" </w:instrText>
      </w:r>
      <w:r>
        <w:fldChar w:fldCharType="separate"/>
      </w:r>
      <w:r>
        <w:rPr>
          <w:rStyle w:val="40"/>
          <w:rFonts w:hint="eastAsia" w:ascii="宋体" w:hAnsi="宋体" w:cs="宋体"/>
        </w:rPr>
        <w:t>第四部分 编写需求及技术要求</w:t>
      </w:r>
      <w:r>
        <w:rPr>
          <w:rFonts w:hint="eastAsia" w:ascii="宋体" w:hAnsi="宋体" w:cs="宋体"/>
        </w:rPr>
        <w:tab/>
      </w:r>
      <w:r>
        <w:rPr>
          <w:rFonts w:hint="eastAsia" w:ascii="宋体" w:hAnsi="宋体" w:cs="宋体"/>
          <w:lang w:val="en-US" w:eastAsia="zh-CN"/>
        </w:rPr>
        <w:t>2</w:t>
      </w:r>
      <w:r>
        <w:rPr>
          <w:rFonts w:hint="eastAsia" w:ascii="宋体" w:hAnsi="宋体" w:cs="宋体"/>
        </w:rPr>
        <w:fldChar w:fldCharType="end"/>
      </w:r>
      <w:r>
        <w:rPr>
          <w:rFonts w:hint="eastAsia" w:ascii="宋体" w:hAnsi="宋体" w:cs="宋体"/>
          <w:lang w:val="en-US" w:eastAsia="zh-CN"/>
        </w:rPr>
        <w:t>2</w:t>
      </w:r>
    </w:p>
    <w:p>
      <w:pPr>
        <w:pStyle w:val="25"/>
        <w:tabs>
          <w:tab w:val="right" w:leader="dot" w:pos="9683"/>
        </w:tabs>
        <w:spacing w:line="360" w:lineRule="auto"/>
        <w:rPr>
          <w:rFonts w:hint="eastAsia" w:ascii="宋体" w:hAnsi="宋体" w:eastAsia="宋体" w:cs="宋体"/>
          <w:szCs w:val="22"/>
          <w:lang w:val="en-US" w:eastAsia="zh-CN"/>
        </w:rPr>
      </w:pPr>
      <w:r>
        <w:fldChar w:fldCharType="begin"/>
      </w:r>
      <w:r>
        <w:instrText xml:space="preserve"> HYPERLINK \l "_Toc468707227" </w:instrText>
      </w:r>
      <w:r>
        <w:fldChar w:fldCharType="separate"/>
      </w:r>
      <w:r>
        <w:rPr>
          <w:rStyle w:val="40"/>
          <w:rFonts w:hint="eastAsia" w:ascii="宋体" w:hAnsi="宋体" w:cs="宋体"/>
        </w:rPr>
        <w:t>第五部分 范本格式</w:t>
      </w:r>
      <w:r>
        <w:rPr>
          <w:rFonts w:hint="eastAsia" w:ascii="宋体" w:hAnsi="宋体" w:cs="宋体"/>
        </w:rPr>
        <w:tab/>
      </w:r>
      <w:r>
        <w:rPr>
          <w:rFonts w:hint="eastAsia" w:ascii="宋体" w:hAnsi="宋体" w:cs="宋体"/>
          <w:lang w:val="en-US" w:eastAsia="zh-CN"/>
        </w:rPr>
        <w:t>4</w:t>
      </w:r>
      <w:r>
        <w:rPr>
          <w:rFonts w:hint="eastAsia" w:ascii="宋体" w:hAnsi="宋体" w:cs="宋体"/>
        </w:rPr>
        <w:fldChar w:fldCharType="end"/>
      </w:r>
      <w:r>
        <w:rPr>
          <w:rFonts w:hint="eastAsia" w:ascii="宋体" w:hAnsi="宋体" w:cs="宋体"/>
          <w:lang w:val="en-US" w:eastAsia="zh-CN"/>
        </w:rPr>
        <w:t>4</w:t>
      </w:r>
    </w:p>
    <w:p>
      <w:pPr>
        <w:pStyle w:val="25"/>
        <w:tabs>
          <w:tab w:val="right" w:leader="dot" w:pos="8541"/>
        </w:tabs>
        <w:spacing w:line="400" w:lineRule="atLeast"/>
        <w:rPr>
          <w:rFonts w:ascii="宋体" w:hAnsi="宋体" w:cs="宋体"/>
          <w:b/>
          <w:sz w:val="24"/>
          <w:szCs w:val="24"/>
        </w:rPr>
      </w:pPr>
      <w:r>
        <w:rPr>
          <w:rFonts w:hint="eastAsia" w:ascii="宋体" w:hAnsi="宋体" w:cs="宋体"/>
          <w:b/>
          <w:sz w:val="24"/>
          <w:szCs w:val="24"/>
        </w:rPr>
        <w:fldChar w:fldCharType="end"/>
      </w:r>
    </w:p>
    <w:p>
      <w:pPr>
        <w:pStyle w:val="3"/>
        <w:spacing w:line="240" w:lineRule="auto"/>
        <w:ind w:left="0" w:firstLine="0"/>
        <w:jc w:val="center"/>
        <w:rPr>
          <w:rFonts w:ascii="宋体" w:hAnsi="宋体" w:cs="宋体"/>
          <w:sz w:val="32"/>
          <w:szCs w:val="32"/>
        </w:rPr>
      </w:pPr>
      <w:r>
        <w:rPr>
          <w:rFonts w:hint="eastAsia" w:ascii="宋体" w:hAnsi="宋体" w:cs="宋体"/>
          <w:sz w:val="32"/>
          <w:szCs w:val="32"/>
        </w:rPr>
        <w:br w:type="page"/>
      </w:r>
      <w:bookmarkStart w:id="0" w:name="_Toc349573118"/>
      <w:bookmarkStart w:id="1" w:name="_Toc298240402"/>
      <w:bookmarkStart w:id="2" w:name="_Toc349637917"/>
      <w:bookmarkStart w:id="3" w:name="_Toc468707215"/>
      <w:r>
        <w:rPr>
          <w:rFonts w:hint="eastAsia" w:ascii="宋体" w:hAnsi="宋体" w:cs="宋体"/>
          <w:sz w:val="32"/>
          <w:szCs w:val="32"/>
        </w:rPr>
        <w:t xml:space="preserve">第一部分 </w:t>
      </w:r>
      <w:bookmarkEnd w:id="0"/>
      <w:bookmarkEnd w:id="1"/>
      <w:bookmarkEnd w:id="2"/>
      <w:r>
        <w:rPr>
          <w:rFonts w:hint="eastAsia" w:ascii="宋体" w:hAnsi="宋体" w:cs="宋体"/>
          <w:sz w:val="32"/>
          <w:szCs w:val="32"/>
        </w:rPr>
        <w:t>磋商公告</w:t>
      </w:r>
      <w:bookmarkEnd w:id="3"/>
    </w:p>
    <w:p>
      <w:pPr>
        <w:pStyle w:val="2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firstLine="480"/>
        <w:jc w:val="left"/>
        <w:textAlignment w:val="auto"/>
        <w:rPr>
          <w:rFonts w:hint="eastAsia" w:ascii="宋体" w:hAnsi="宋体" w:eastAsia="宋体" w:cs="宋体"/>
          <w:sz w:val="24"/>
          <w:szCs w:val="24"/>
          <w:lang w:eastAsia="zh-CN"/>
        </w:rPr>
      </w:pPr>
      <w:bookmarkStart w:id="4" w:name="_Toc298240403"/>
      <w:bookmarkStart w:id="5" w:name="_Toc349573119"/>
      <w:bookmarkStart w:id="6" w:name="_Toc267301280"/>
      <w:bookmarkStart w:id="7" w:name="_Toc468707216"/>
      <w:bookmarkStart w:id="8" w:name="_Toc349637918"/>
      <w:r>
        <w:rPr>
          <w:rFonts w:hint="eastAsia" w:ascii="宋体" w:hAnsi="宋体" w:eastAsia="宋体" w:cs="宋体"/>
          <w:sz w:val="24"/>
          <w:szCs w:val="24"/>
        </w:rPr>
        <w:t>华春建设工程项目管理有限责任公司受</w:t>
      </w:r>
      <w:r>
        <w:rPr>
          <w:rFonts w:hint="eastAsia" w:ascii="宋体" w:hAnsi="宋体" w:eastAsia="宋体" w:cs="宋体"/>
          <w:sz w:val="24"/>
          <w:szCs w:val="24"/>
          <w:lang w:val="en-US" w:eastAsia="zh-CN"/>
        </w:rPr>
        <w:t>乌鲁木齐市水磨沟区第十二幼儿园</w:t>
      </w:r>
      <w:r>
        <w:rPr>
          <w:rFonts w:hint="eastAsia" w:cs="宋体"/>
          <w:sz w:val="24"/>
          <w:szCs w:val="24"/>
          <w:lang w:val="en-US" w:eastAsia="zh-CN"/>
        </w:rPr>
        <w:t>的</w:t>
      </w:r>
      <w:r>
        <w:rPr>
          <w:rFonts w:hint="eastAsia" w:ascii="宋体" w:hAnsi="宋体" w:eastAsia="宋体" w:cs="宋体"/>
          <w:sz w:val="24"/>
          <w:szCs w:val="24"/>
        </w:rPr>
        <w:t>委托，根据《中华人民共和国政府采购法》等有关规定，现对</w:t>
      </w:r>
      <w:r>
        <w:rPr>
          <w:rFonts w:hint="eastAsia" w:ascii="宋体" w:hAnsi="宋体" w:eastAsia="宋体" w:cs="宋体"/>
          <w:sz w:val="24"/>
          <w:szCs w:val="24"/>
          <w:lang w:val="en-US" w:eastAsia="zh-CN"/>
        </w:rPr>
        <w:t>乌鲁木齐市水磨沟区第十二幼儿园幼儿园玩、教局设备采购项目</w:t>
      </w:r>
      <w:r>
        <w:rPr>
          <w:rFonts w:hint="eastAsia" w:ascii="宋体" w:hAnsi="宋体" w:eastAsia="宋体" w:cs="宋体"/>
          <w:sz w:val="24"/>
          <w:szCs w:val="24"/>
        </w:rPr>
        <w:t>进行</w:t>
      </w:r>
      <w:r>
        <w:rPr>
          <w:rFonts w:hint="eastAsia" w:ascii="宋体" w:hAnsi="宋体" w:eastAsia="宋体" w:cs="宋体"/>
          <w:sz w:val="24"/>
          <w:szCs w:val="24"/>
          <w:lang w:eastAsia="zh-CN"/>
        </w:rPr>
        <w:t>公开</w:t>
      </w:r>
      <w:r>
        <w:rPr>
          <w:rFonts w:hint="eastAsia" w:ascii="宋体" w:hAnsi="宋体" w:eastAsia="宋体" w:cs="宋体"/>
          <w:sz w:val="24"/>
          <w:szCs w:val="24"/>
        </w:rPr>
        <w:t>招标，欢迎合格的供应商前来投标。</w:t>
      </w:r>
    </w:p>
    <w:p>
      <w:pPr>
        <w:pStyle w:val="2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firstLine="241" w:firstLineChars="100"/>
        <w:jc w:val="left"/>
        <w:textAlignment w:val="auto"/>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rPr>
        <w:t>一、</w:t>
      </w:r>
      <w:r>
        <w:rPr>
          <w:rFonts w:hint="eastAsia" w:ascii="宋体" w:hAnsi="宋体" w:eastAsia="宋体" w:cs="宋体"/>
          <w:b/>
          <w:bCs/>
          <w:kern w:val="0"/>
          <w:sz w:val="24"/>
          <w:szCs w:val="24"/>
          <w:lang w:eastAsia="zh-CN"/>
        </w:rPr>
        <w:t>项目编号</w:t>
      </w:r>
      <w:r>
        <w:rPr>
          <w:rFonts w:hint="eastAsia" w:ascii="宋体" w:hAnsi="宋体" w:eastAsia="宋体" w:cs="宋体"/>
          <w:b/>
          <w:bCs/>
          <w:kern w:val="0"/>
          <w:sz w:val="24"/>
          <w:szCs w:val="24"/>
        </w:rPr>
        <w:t>：</w:t>
      </w:r>
      <w:r>
        <w:rPr>
          <w:rFonts w:hint="eastAsia" w:ascii="宋体" w:hAnsi="宋体" w:eastAsia="宋体" w:cs="宋体"/>
          <w:b w:val="0"/>
          <w:bCs w:val="0"/>
          <w:kern w:val="0"/>
          <w:sz w:val="24"/>
          <w:szCs w:val="24"/>
          <w:lang w:eastAsia="zh-CN"/>
        </w:rPr>
        <w:t>hcxjczt-2021-342</w:t>
      </w:r>
    </w:p>
    <w:p>
      <w:pPr>
        <w:pStyle w:val="29"/>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firstLine="241" w:firstLineChars="100"/>
        <w:jc w:val="left"/>
        <w:textAlignment w:val="auto"/>
        <w:rPr>
          <w:rFonts w:hint="eastAsia" w:ascii="宋体" w:hAnsi="宋体" w:eastAsia="宋体" w:cs="宋体"/>
          <w:kern w:val="0"/>
          <w:sz w:val="24"/>
          <w:szCs w:val="24"/>
          <w:lang w:eastAsia="zh-CN"/>
        </w:rPr>
      </w:pPr>
      <w:r>
        <w:rPr>
          <w:rFonts w:hint="eastAsia" w:ascii="宋体" w:hAnsi="宋体" w:eastAsia="宋体" w:cs="宋体"/>
          <w:b/>
          <w:bCs/>
          <w:kern w:val="0"/>
          <w:sz w:val="24"/>
          <w:szCs w:val="24"/>
        </w:rPr>
        <w:t>二、项目名称：</w:t>
      </w:r>
      <w:r>
        <w:rPr>
          <w:rFonts w:hint="eastAsia" w:ascii="宋体" w:hAnsi="宋体" w:eastAsia="宋体" w:cs="宋体"/>
          <w:sz w:val="24"/>
          <w:szCs w:val="24"/>
          <w:lang w:val="en-US" w:eastAsia="zh-CN"/>
        </w:rPr>
        <w:t>乌鲁木齐市水磨沟区第十二幼儿园幼儿园玩、教具设备采购项目</w:t>
      </w:r>
    </w:p>
    <w:p>
      <w:pPr>
        <w:keepNext w:val="0"/>
        <w:keepLines w:val="0"/>
        <w:pageBreakBefore w:val="0"/>
        <w:widowControl/>
        <w:numPr>
          <w:ilvl w:val="0"/>
          <w:numId w:val="1"/>
        </w:numPr>
        <w:kinsoku/>
        <w:wordWrap/>
        <w:overflowPunct/>
        <w:topLinePunct w:val="0"/>
        <w:autoSpaceDE/>
        <w:autoSpaceDN/>
        <w:bidi w:val="0"/>
        <w:adjustRightInd/>
        <w:snapToGrid/>
        <w:spacing w:line="500" w:lineRule="exact"/>
        <w:ind w:firstLine="241" w:firstLineChars="1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项目内容：</w:t>
      </w:r>
    </w:p>
    <w:tbl>
      <w:tblPr>
        <w:tblStyle w:val="33"/>
        <w:tblW w:w="9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021"/>
        <w:gridCol w:w="1292"/>
        <w:gridCol w:w="2108"/>
        <w:gridCol w:w="1700"/>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62" w:type="dxa"/>
            <w:noWrap w:val="0"/>
            <w:vAlign w:val="center"/>
          </w:tcPr>
          <w:p>
            <w:pPr>
              <w:pStyle w:val="30"/>
              <w:snapToGrid w:val="0"/>
              <w:spacing w:line="240" w:lineRule="atLeast"/>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21" w:type="dxa"/>
            <w:noWrap w:val="0"/>
            <w:vAlign w:val="center"/>
          </w:tcPr>
          <w:p>
            <w:pPr>
              <w:pStyle w:val="30"/>
              <w:snapToGrid w:val="0"/>
              <w:spacing w:line="240" w:lineRule="atLeast"/>
              <w:jc w:val="center"/>
              <w:rPr>
                <w:rFonts w:hint="eastAsia" w:ascii="宋体" w:hAnsi="宋体" w:eastAsia="宋体" w:cs="宋体"/>
                <w:sz w:val="24"/>
                <w:szCs w:val="24"/>
              </w:rPr>
            </w:pPr>
            <w:r>
              <w:rPr>
                <w:rFonts w:hint="eastAsia" w:ascii="宋体" w:hAnsi="宋体" w:eastAsia="宋体" w:cs="宋体"/>
                <w:sz w:val="24"/>
                <w:szCs w:val="24"/>
              </w:rPr>
              <w:t>项目分类</w:t>
            </w:r>
          </w:p>
        </w:tc>
        <w:tc>
          <w:tcPr>
            <w:tcW w:w="1292" w:type="dxa"/>
            <w:noWrap w:val="0"/>
            <w:vAlign w:val="top"/>
          </w:tcPr>
          <w:p>
            <w:pPr>
              <w:pStyle w:val="30"/>
              <w:snapToGrid w:val="0"/>
              <w:spacing w:line="240" w:lineRule="atLeast"/>
              <w:jc w:val="center"/>
              <w:rPr>
                <w:rFonts w:hint="eastAsia" w:ascii="宋体" w:hAnsi="宋体" w:eastAsia="宋体" w:cs="宋体"/>
                <w:sz w:val="24"/>
                <w:szCs w:val="24"/>
              </w:rPr>
            </w:pPr>
            <w:r>
              <w:rPr>
                <w:rFonts w:hint="eastAsia" w:ascii="宋体" w:hAnsi="宋体" w:eastAsia="宋体" w:cs="宋体"/>
                <w:sz w:val="24"/>
                <w:szCs w:val="24"/>
              </w:rPr>
              <w:t>数量（套）</w:t>
            </w:r>
          </w:p>
        </w:tc>
        <w:tc>
          <w:tcPr>
            <w:tcW w:w="2108" w:type="dxa"/>
            <w:noWrap w:val="0"/>
            <w:vAlign w:val="center"/>
          </w:tcPr>
          <w:p>
            <w:pPr>
              <w:widowControl/>
              <w:spacing w:line="420" w:lineRule="exact"/>
              <w:jc w:val="center"/>
              <w:rPr>
                <w:rFonts w:hint="eastAsia" w:ascii="宋体" w:hAnsi="宋体" w:eastAsia="宋体" w:cs="宋体"/>
                <w:sz w:val="24"/>
                <w:szCs w:val="24"/>
              </w:rPr>
            </w:pPr>
            <w:r>
              <w:rPr>
                <w:rFonts w:hint="eastAsia" w:ascii="宋体" w:hAnsi="宋体" w:eastAsia="宋体" w:cs="宋体"/>
                <w:b/>
                <w:bCs/>
                <w:kern w:val="0"/>
                <w:sz w:val="24"/>
                <w:szCs w:val="24"/>
                <w:lang w:val="en-US" w:eastAsia="zh-CN" w:bidi="ar-SA"/>
              </w:rPr>
              <w:t>简要参数描述或项目基本概况</w:t>
            </w:r>
          </w:p>
        </w:tc>
        <w:tc>
          <w:tcPr>
            <w:tcW w:w="1700" w:type="dxa"/>
            <w:noWrap w:val="0"/>
            <w:vAlign w:val="top"/>
          </w:tcPr>
          <w:p>
            <w:pPr>
              <w:pStyle w:val="30"/>
              <w:snapToGrid w:val="0"/>
              <w:spacing w:line="240" w:lineRule="atLeast"/>
              <w:jc w:val="center"/>
              <w:rPr>
                <w:rFonts w:hint="eastAsia" w:ascii="宋体" w:hAnsi="宋体" w:eastAsia="宋体" w:cs="宋体"/>
                <w:sz w:val="24"/>
                <w:szCs w:val="24"/>
              </w:rPr>
            </w:pPr>
            <w:r>
              <w:rPr>
                <w:rFonts w:hint="eastAsia" w:ascii="宋体" w:hAnsi="宋体" w:eastAsia="宋体" w:cs="宋体"/>
                <w:kern w:val="0"/>
                <w:sz w:val="24"/>
                <w:szCs w:val="24"/>
              </w:rPr>
              <w:t>预算金额  （</w:t>
            </w:r>
            <w:r>
              <w:rPr>
                <w:rFonts w:hint="eastAsia" w:ascii="宋体" w:hAnsi="宋体" w:cs="宋体"/>
                <w:kern w:val="0"/>
                <w:sz w:val="24"/>
                <w:szCs w:val="24"/>
                <w:lang w:eastAsia="zh-CN"/>
              </w:rPr>
              <w:t>万</w:t>
            </w:r>
            <w:r>
              <w:rPr>
                <w:rFonts w:hint="eastAsia" w:ascii="宋体" w:hAnsi="宋体" w:eastAsia="宋体" w:cs="宋体"/>
                <w:kern w:val="0"/>
                <w:sz w:val="24"/>
                <w:szCs w:val="24"/>
              </w:rPr>
              <w:t>元）</w:t>
            </w:r>
          </w:p>
        </w:tc>
        <w:tc>
          <w:tcPr>
            <w:tcW w:w="1114" w:type="dxa"/>
            <w:noWrap w:val="0"/>
            <w:vAlign w:val="top"/>
          </w:tcPr>
          <w:p>
            <w:pPr>
              <w:pStyle w:val="30"/>
              <w:snapToGrid w:val="0"/>
              <w:spacing w:line="240" w:lineRule="atLeas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62" w:type="dxa"/>
            <w:noWrap w:val="0"/>
            <w:vAlign w:val="center"/>
          </w:tcPr>
          <w:p>
            <w:pPr>
              <w:autoSpaceDE w:val="0"/>
              <w:autoSpaceDN w:val="0"/>
              <w:adjustRightInd w:val="0"/>
              <w:spacing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021" w:type="dxa"/>
            <w:noWrap w:val="0"/>
            <w:vAlign w:val="center"/>
          </w:tcPr>
          <w:p>
            <w:pPr>
              <w:jc w:val="center"/>
              <w:rPr>
                <w:rFonts w:hint="eastAsia" w:ascii="宋体" w:hAnsi="宋体" w:eastAsia="宋体" w:cs="宋体"/>
                <w:sz w:val="24"/>
                <w:szCs w:val="24"/>
              </w:rPr>
            </w:pPr>
            <w:r>
              <w:rPr>
                <w:rFonts w:hint="eastAsia" w:ascii="宋体" w:hAnsi="宋体" w:eastAsia="宋体" w:cs="宋体"/>
                <w:sz w:val="21"/>
                <w:szCs w:val="21"/>
                <w:vertAlign w:val="baseline"/>
                <w:lang w:val="en-US" w:eastAsia="zh-CN"/>
              </w:rPr>
              <w:t>8度音阶木琴</w:t>
            </w:r>
          </w:p>
        </w:tc>
        <w:tc>
          <w:tcPr>
            <w:tcW w:w="1292" w:type="dxa"/>
            <w:noWrap w:val="0"/>
            <w:vAlign w:val="center"/>
          </w:tcPr>
          <w:p>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2108" w:type="dxa"/>
            <w:vMerge w:val="restart"/>
            <w:noWrap w:val="0"/>
            <w:vAlign w:val="center"/>
          </w:tcPr>
          <w:p>
            <w:pPr>
              <w:spacing w:line="420" w:lineRule="exact"/>
              <w:jc w:val="center"/>
              <w:rPr>
                <w:rFonts w:hint="eastAsia" w:ascii="宋体" w:hAnsi="宋体" w:eastAsia="宋体" w:cs="宋体"/>
                <w:sz w:val="24"/>
                <w:szCs w:val="24"/>
              </w:rPr>
            </w:pPr>
            <w:r>
              <w:rPr>
                <w:rFonts w:hint="eastAsia" w:ascii="宋体" w:hAnsi="宋体" w:eastAsia="宋体" w:cs="宋体"/>
                <w:kern w:val="0"/>
                <w:sz w:val="24"/>
                <w:szCs w:val="24"/>
              </w:rPr>
              <w:t>具体参数详见</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w:t>
            </w:r>
          </w:p>
        </w:tc>
        <w:tc>
          <w:tcPr>
            <w:tcW w:w="1700" w:type="dxa"/>
            <w:vMerge w:val="restart"/>
            <w:noWrap w:val="0"/>
            <w:vAlign w:val="center"/>
          </w:tcPr>
          <w:p>
            <w:pPr>
              <w:jc w:val="center"/>
              <w:rPr>
                <w:rFonts w:hint="eastAsia" w:ascii="宋体" w:hAnsi="宋体" w:cs="宋体"/>
                <w:sz w:val="24"/>
                <w:szCs w:val="24"/>
                <w:lang w:val="en-US" w:eastAsia="zh-CN"/>
              </w:rPr>
            </w:pPr>
          </w:p>
          <w:p>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42.00</w:t>
            </w:r>
          </w:p>
        </w:tc>
        <w:tc>
          <w:tcPr>
            <w:tcW w:w="1114" w:type="dxa"/>
            <w:vMerge w:val="restart"/>
            <w:noWrap w:val="0"/>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62" w:type="dxa"/>
            <w:noWrap w:val="0"/>
            <w:vAlign w:val="center"/>
          </w:tcPr>
          <w:p>
            <w:pPr>
              <w:autoSpaceDE w:val="0"/>
              <w:autoSpaceDN w:val="0"/>
              <w:adjustRightInd w:val="0"/>
              <w:spacing w:line="240" w:lineRule="auto"/>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2</w:t>
            </w:r>
          </w:p>
        </w:tc>
        <w:tc>
          <w:tcPr>
            <w:tcW w:w="2021"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Giter户外钟</w:t>
            </w:r>
          </w:p>
        </w:tc>
        <w:tc>
          <w:tcPr>
            <w:tcW w:w="1292" w:type="dxa"/>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1</w:t>
            </w:r>
          </w:p>
        </w:tc>
        <w:tc>
          <w:tcPr>
            <w:tcW w:w="2108" w:type="dxa"/>
            <w:vMerge w:val="continue"/>
            <w:noWrap w:val="0"/>
            <w:vAlign w:val="center"/>
          </w:tcPr>
          <w:p>
            <w:pPr>
              <w:spacing w:line="420" w:lineRule="exact"/>
              <w:jc w:val="center"/>
              <w:rPr>
                <w:rFonts w:hint="eastAsia" w:ascii="宋体" w:hAnsi="宋体" w:eastAsia="宋体" w:cs="宋体"/>
                <w:kern w:val="0"/>
                <w:sz w:val="24"/>
                <w:szCs w:val="24"/>
              </w:rPr>
            </w:pPr>
          </w:p>
        </w:tc>
        <w:tc>
          <w:tcPr>
            <w:tcW w:w="1700" w:type="dxa"/>
            <w:vMerge w:val="continue"/>
            <w:noWrap w:val="0"/>
            <w:vAlign w:val="center"/>
          </w:tcPr>
          <w:p>
            <w:pPr>
              <w:jc w:val="center"/>
              <w:rPr>
                <w:rFonts w:hint="eastAsia" w:ascii="宋体" w:hAnsi="宋体" w:cs="宋体"/>
                <w:sz w:val="24"/>
                <w:szCs w:val="24"/>
                <w:lang w:val="en-US" w:eastAsia="zh-CN"/>
              </w:rPr>
            </w:pPr>
          </w:p>
        </w:tc>
        <w:tc>
          <w:tcPr>
            <w:tcW w:w="1114" w:type="dxa"/>
            <w:vMerge w:val="continue"/>
            <w:noWrap w:val="0"/>
            <w:vAlign w:val="center"/>
          </w:tcPr>
          <w:p>
            <w:pPr>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62" w:type="dxa"/>
            <w:noWrap w:val="0"/>
            <w:vAlign w:val="center"/>
          </w:tcPr>
          <w:p>
            <w:pPr>
              <w:autoSpaceDE w:val="0"/>
              <w:autoSpaceDN w:val="0"/>
              <w:adjustRightInd w:val="0"/>
              <w:spacing w:line="240" w:lineRule="auto"/>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3</w:t>
            </w:r>
          </w:p>
        </w:tc>
        <w:tc>
          <w:tcPr>
            <w:tcW w:w="2021"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eastAsia="zh-CN"/>
              </w:rPr>
              <w:t>手动打击乐</w:t>
            </w:r>
          </w:p>
        </w:tc>
        <w:tc>
          <w:tcPr>
            <w:tcW w:w="1292" w:type="dxa"/>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1</w:t>
            </w:r>
          </w:p>
        </w:tc>
        <w:tc>
          <w:tcPr>
            <w:tcW w:w="2108" w:type="dxa"/>
            <w:vMerge w:val="continue"/>
            <w:noWrap w:val="0"/>
            <w:vAlign w:val="center"/>
          </w:tcPr>
          <w:p>
            <w:pPr>
              <w:spacing w:line="420" w:lineRule="exact"/>
              <w:jc w:val="center"/>
              <w:rPr>
                <w:rFonts w:hint="eastAsia" w:ascii="宋体" w:hAnsi="宋体" w:eastAsia="宋体" w:cs="宋体"/>
                <w:kern w:val="0"/>
                <w:sz w:val="24"/>
                <w:szCs w:val="24"/>
              </w:rPr>
            </w:pPr>
          </w:p>
        </w:tc>
        <w:tc>
          <w:tcPr>
            <w:tcW w:w="1700" w:type="dxa"/>
            <w:vMerge w:val="continue"/>
            <w:noWrap w:val="0"/>
            <w:vAlign w:val="center"/>
          </w:tcPr>
          <w:p>
            <w:pPr>
              <w:jc w:val="center"/>
              <w:rPr>
                <w:rFonts w:hint="eastAsia" w:ascii="宋体" w:hAnsi="宋体" w:cs="宋体"/>
                <w:sz w:val="24"/>
                <w:szCs w:val="24"/>
                <w:lang w:val="en-US" w:eastAsia="zh-CN"/>
              </w:rPr>
            </w:pPr>
          </w:p>
        </w:tc>
        <w:tc>
          <w:tcPr>
            <w:tcW w:w="1114" w:type="dxa"/>
            <w:vMerge w:val="continue"/>
            <w:noWrap w:val="0"/>
            <w:vAlign w:val="center"/>
          </w:tcPr>
          <w:p>
            <w:pPr>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62" w:type="dxa"/>
            <w:noWrap w:val="0"/>
            <w:vAlign w:val="center"/>
          </w:tcPr>
          <w:p>
            <w:pPr>
              <w:autoSpaceDE w:val="0"/>
              <w:autoSpaceDN w:val="0"/>
              <w:adjustRightInd w:val="0"/>
              <w:spacing w:line="240" w:lineRule="auto"/>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4</w:t>
            </w:r>
          </w:p>
        </w:tc>
        <w:tc>
          <w:tcPr>
            <w:tcW w:w="2021"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传声筒系列</w:t>
            </w:r>
          </w:p>
        </w:tc>
        <w:tc>
          <w:tcPr>
            <w:tcW w:w="1292" w:type="dxa"/>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1</w:t>
            </w:r>
          </w:p>
        </w:tc>
        <w:tc>
          <w:tcPr>
            <w:tcW w:w="2108" w:type="dxa"/>
            <w:vMerge w:val="continue"/>
            <w:noWrap w:val="0"/>
            <w:vAlign w:val="center"/>
          </w:tcPr>
          <w:p>
            <w:pPr>
              <w:spacing w:line="420" w:lineRule="exact"/>
              <w:jc w:val="center"/>
              <w:rPr>
                <w:rFonts w:hint="eastAsia" w:ascii="宋体" w:hAnsi="宋体" w:eastAsia="宋体" w:cs="宋体"/>
                <w:kern w:val="0"/>
                <w:sz w:val="24"/>
                <w:szCs w:val="24"/>
              </w:rPr>
            </w:pPr>
          </w:p>
        </w:tc>
        <w:tc>
          <w:tcPr>
            <w:tcW w:w="1700" w:type="dxa"/>
            <w:vMerge w:val="continue"/>
            <w:noWrap w:val="0"/>
            <w:vAlign w:val="center"/>
          </w:tcPr>
          <w:p>
            <w:pPr>
              <w:jc w:val="center"/>
              <w:rPr>
                <w:rFonts w:hint="eastAsia" w:ascii="宋体" w:hAnsi="宋体" w:cs="宋体"/>
                <w:sz w:val="24"/>
                <w:szCs w:val="24"/>
                <w:lang w:val="en-US" w:eastAsia="zh-CN"/>
              </w:rPr>
            </w:pPr>
          </w:p>
        </w:tc>
        <w:tc>
          <w:tcPr>
            <w:tcW w:w="1114" w:type="dxa"/>
            <w:vMerge w:val="continue"/>
            <w:noWrap w:val="0"/>
            <w:vAlign w:val="center"/>
          </w:tcPr>
          <w:p>
            <w:pPr>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62" w:type="dxa"/>
            <w:noWrap w:val="0"/>
            <w:vAlign w:val="center"/>
          </w:tcPr>
          <w:p>
            <w:pPr>
              <w:autoSpaceDE w:val="0"/>
              <w:autoSpaceDN w:val="0"/>
              <w:adjustRightInd w:val="0"/>
              <w:spacing w:line="240" w:lineRule="auto"/>
              <w:jc w:val="center"/>
              <w:rPr>
                <w:rFonts w:hint="default" w:ascii="宋体" w:hAnsi="宋体" w:cs="宋体"/>
                <w:kern w:val="0"/>
                <w:sz w:val="24"/>
                <w:szCs w:val="24"/>
                <w:lang w:val="en-US" w:eastAsia="zh-CN"/>
              </w:rPr>
            </w:pPr>
            <w:r>
              <w:rPr>
                <w:rFonts w:hint="eastAsia" w:ascii="宋体" w:hAnsi="宋体" w:cs="宋体"/>
                <w:kern w:val="0"/>
                <w:sz w:val="24"/>
                <w:szCs w:val="24"/>
                <w:lang w:val="en-US" w:eastAsia="zh-CN"/>
              </w:rPr>
              <w:t>5</w:t>
            </w:r>
          </w:p>
        </w:tc>
        <w:tc>
          <w:tcPr>
            <w:tcW w:w="2021"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等其他</w:t>
            </w:r>
            <w:r>
              <w:rPr>
                <w:rFonts w:hint="eastAsia" w:ascii="宋体" w:hAnsi="宋体" w:eastAsia="宋体" w:cs="宋体"/>
                <w:sz w:val="24"/>
                <w:szCs w:val="24"/>
                <w:lang w:val="en-US" w:eastAsia="zh-CN"/>
              </w:rPr>
              <w:t>教学设备</w:t>
            </w:r>
          </w:p>
        </w:tc>
        <w:tc>
          <w:tcPr>
            <w:tcW w:w="1292" w:type="dxa"/>
            <w:noWrap w:val="0"/>
            <w:vAlign w:val="center"/>
          </w:tcPr>
          <w:p>
            <w:pPr>
              <w:jc w:val="center"/>
              <w:rPr>
                <w:rFonts w:hint="default" w:ascii="宋体" w:hAnsi="宋体" w:cs="宋体"/>
                <w:sz w:val="24"/>
                <w:szCs w:val="24"/>
                <w:lang w:val="en-US" w:eastAsia="zh-CN"/>
              </w:rPr>
            </w:pPr>
            <w:r>
              <w:rPr>
                <w:rFonts w:hint="eastAsia" w:ascii="宋体" w:hAnsi="宋体" w:cs="宋体"/>
                <w:sz w:val="24"/>
                <w:szCs w:val="24"/>
                <w:lang w:val="en-US" w:eastAsia="zh-CN"/>
              </w:rPr>
              <w:t>1</w:t>
            </w:r>
          </w:p>
        </w:tc>
        <w:tc>
          <w:tcPr>
            <w:tcW w:w="2108" w:type="dxa"/>
            <w:vMerge w:val="continue"/>
            <w:noWrap w:val="0"/>
            <w:vAlign w:val="center"/>
          </w:tcPr>
          <w:p>
            <w:pPr>
              <w:spacing w:line="420" w:lineRule="exact"/>
              <w:jc w:val="center"/>
              <w:rPr>
                <w:rFonts w:hint="eastAsia" w:ascii="宋体" w:hAnsi="宋体" w:eastAsia="宋体" w:cs="宋体"/>
                <w:kern w:val="0"/>
                <w:sz w:val="24"/>
                <w:szCs w:val="24"/>
              </w:rPr>
            </w:pPr>
          </w:p>
        </w:tc>
        <w:tc>
          <w:tcPr>
            <w:tcW w:w="1700" w:type="dxa"/>
            <w:vMerge w:val="continue"/>
            <w:noWrap w:val="0"/>
            <w:vAlign w:val="center"/>
          </w:tcPr>
          <w:p>
            <w:pPr>
              <w:jc w:val="center"/>
              <w:rPr>
                <w:rFonts w:hint="eastAsia" w:ascii="宋体" w:hAnsi="宋体" w:cs="宋体"/>
                <w:sz w:val="24"/>
                <w:szCs w:val="24"/>
                <w:lang w:val="en-US" w:eastAsia="zh-CN"/>
              </w:rPr>
            </w:pPr>
          </w:p>
        </w:tc>
        <w:tc>
          <w:tcPr>
            <w:tcW w:w="1114" w:type="dxa"/>
            <w:vMerge w:val="continue"/>
            <w:noWrap w:val="0"/>
            <w:vAlign w:val="center"/>
          </w:tcPr>
          <w:p>
            <w:pPr>
              <w:jc w:val="center"/>
              <w:rPr>
                <w:rFonts w:hint="eastAsia" w:ascii="宋体" w:hAnsi="宋体" w:eastAsia="宋体" w:cs="宋体"/>
                <w:sz w:val="24"/>
                <w:szCs w:val="24"/>
                <w:lang w:val="en-US" w:eastAsia="zh-CN"/>
              </w:rPr>
            </w:pPr>
          </w:p>
        </w:tc>
      </w:tr>
    </w:tbl>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241" w:firstLineChars="100"/>
        <w:jc w:val="left"/>
        <w:textAlignment w:val="auto"/>
        <w:rPr>
          <w:rFonts w:hint="eastAsia" w:ascii="宋体" w:hAnsi="宋体" w:eastAsia="宋体" w:cs="宋体"/>
          <w:kern w:val="0"/>
          <w:sz w:val="24"/>
          <w:szCs w:val="24"/>
          <w:lang w:eastAsia="zh-CN"/>
        </w:rPr>
      </w:pPr>
      <w:r>
        <w:rPr>
          <w:rFonts w:hint="eastAsia" w:ascii="宋体" w:hAnsi="宋体" w:eastAsia="宋体" w:cs="宋体"/>
          <w:b/>
          <w:bCs/>
          <w:kern w:val="0"/>
          <w:sz w:val="24"/>
          <w:szCs w:val="24"/>
        </w:rPr>
        <w:t>四、</w:t>
      </w:r>
      <w:r>
        <w:rPr>
          <w:rFonts w:hint="eastAsia" w:ascii="宋体" w:hAnsi="宋体" w:eastAsia="宋体" w:cs="宋体"/>
          <w:b/>
          <w:bCs/>
          <w:kern w:val="0"/>
          <w:sz w:val="24"/>
          <w:szCs w:val="24"/>
          <w:lang w:eastAsia="zh-CN"/>
        </w:rPr>
        <w:t>采购</w:t>
      </w:r>
      <w:r>
        <w:rPr>
          <w:rFonts w:hint="eastAsia" w:ascii="宋体" w:hAnsi="宋体" w:eastAsia="宋体" w:cs="宋体"/>
          <w:b/>
          <w:bCs/>
          <w:kern w:val="0"/>
          <w:sz w:val="24"/>
          <w:szCs w:val="24"/>
        </w:rPr>
        <w:t>方式：</w:t>
      </w:r>
      <w:r>
        <w:rPr>
          <w:rFonts w:hint="eastAsia" w:ascii="宋体" w:hAnsi="宋体" w:eastAsia="宋体" w:cs="宋体"/>
          <w:kern w:val="0"/>
          <w:sz w:val="24"/>
          <w:szCs w:val="24"/>
          <w:lang w:eastAsia="zh-CN"/>
        </w:rPr>
        <w:t>竞争性磋商</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241" w:firstLineChars="100"/>
        <w:jc w:val="left"/>
        <w:textAlignment w:val="auto"/>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eastAsia="zh-CN"/>
        </w:rPr>
        <w:t>五、采购项目需要落实的政府采购政策：</w:t>
      </w:r>
    </w:p>
    <w:p>
      <w:pPr>
        <w:widowControl/>
        <w:numPr>
          <w:ilvl w:val="0"/>
          <w:numId w:val="0"/>
        </w:numPr>
        <w:spacing w:line="420" w:lineRule="exact"/>
        <w:ind w:leftChars="0"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（1）财政部、国家发展改革委、生态环境部、市场监管总局《关于调整优化节能产品、环境标志产品政府采购执行机制的通知》（财库[2019]9号文）； </w:t>
      </w:r>
    </w:p>
    <w:p>
      <w:pPr>
        <w:widowControl/>
        <w:numPr>
          <w:ilvl w:val="0"/>
          <w:numId w:val="0"/>
        </w:numPr>
        <w:spacing w:line="420" w:lineRule="exact"/>
        <w:ind w:leftChars="0"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（2）财政部、生态环境部《关于印发环境标志产品政府采购品目清单的通知》（财库[2019]18号文）； </w:t>
      </w:r>
    </w:p>
    <w:p>
      <w:pPr>
        <w:widowControl/>
        <w:numPr>
          <w:ilvl w:val="0"/>
          <w:numId w:val="0"/>
        </w:numPr>
        <w:spacing w:line="420" w:lineRule="exact"/>
        <w:ind w:leftChars="0"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（3）财政部、发展改革委《关于印发节能产品政府采购品目清单的通知》（财库[2019]19号文）； </w:t>
      </w:r>
    </w:p>
    <w:p>
      <w:pPr>
        <w:widowControl/>
        <w:numPr>
          <w:ilvl w:val="0"/>
          <w:numId w:val="0"/>
        </w:numPr>
        <w:spacing w:line="420" w:lineRule="exact"/>
        <w:ind w:leftChars="0"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（4）市场监管总局《市场监管总局关于发布参与实施政府采购节能产品、环境标志产品认证机构名录的公告》（2019年第16号）；</w:t>
      </w:r>
    </w:p>
    <w:p>
      <w:pPr>
        <w:widowControl/>
        <w:numPr>
          <w:ilvl w:val="0"/>
          <w:numId w:val="0"/>
        </w:numPr>
        <w:spacing w:line="420" w:lineRule="exact"/>
        <w:ind w:leftChars="0"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（5）财政部、工业和信息化部《关于印发《政府采购促进中小企业展暂行办法》的通知》（财库[20</w:t>
      </w:r>
      <w:r>
        <w:rPr>
          <w:rFonts w:hint="eastAsia" w:ascii="宋体" w:hAnsi="宋体" w:cs="宋体"/>
          <w:kern w:val="0"/>
          <w:sz w:val="24"/>
          <w:szCs w:val="24"/>
          <w:lang w:val="en-US" w:eastAsia="zh-CN"/>
        </w:rPr>
        <w:t>20</w:t>
      </w:r>
      <w:r>
        <w:rPr>
          <w:rFonts w:hint="eastAsia" w:ascii="宋体" w:hAnsi="宋体" w:eastAsia="宋体" w:cs="宋体"/>
          <w:kern w:val="0"/>
          <w:sz w:val="24"/>
          <w:szCs w:val="24"/>
          <w:lang w:val="en-US" w:eastAsia="zh-CN"/>
        </w:rPr>
        <w:t>]</w:t>
      </w:r>
      <w:r>
        <w:rPr>
          <w:rFonts w:hint="eastAsia" w:ascii="宋体" w:hAnsi="宋体" w:cs="宋体"/>
          <w:kern w:val="0"/>
          <w:sz w:val="24"/>
          <w:szCs w:val="24"/>
          <w:lang w:val="en-US" w:eastAsia="zh-CN"/>
        </w:rPr>
        <w:t>46</w:t>
      </w:r>
      <w:r>
        <w:rPr>
          <w:rFonts w:hint="eastAsia" w:ascii="宋体" w:hAnsi="宋体" w:eastAsia="宋体" w:cs="宋体"/>
          <w:kern w:val="0"/>
          <w:sz w:val="24"/>
          <w:szCs w:val="24"/>
          <w:lang w:val="en-US" w:eastAsia="zh-CN"/>
        </w:rPr>
        <w:t>号文）；</w:t>
      </w:r>
    </w:p>
    <w:p>
      <w:pPr>
        <w:widowControl/>
        <w:numPr>
          <w:ilvl w:val="0"/>
          <w:numId w:val="0"/>
        </w:numPr>
        <w:spacing w:line="420" w:lineRule="exact"/>
        <w:ind w:leftChars="0"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（6）财政部、民政部、中国残疾人联合会《关于促进残疾人就业政府采购政策的通知》（财库[2017]141号）；</w:t>
      </w:r>
    </w:p>
    <w:p>
      <w:pPr>
        <w:widowControl/>
        <w:numPr>
          <w:ilvl w:val="0"/>
          <w:numId w:val="0"/>
        </w:numPr>
        <w:spacing w:line="420" w:lineRule="exact"/>
        <w:ind w:leftChars="0"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（7）财政部、司法部《关于政府采购支持监狱企业发展有关问题的通知》（财库[2014]68号文）。（中小企业优惠、监狱企业、节能产品、环境标志产品等） </w:t>
      </w:r>
    </w:p>
    <w:p>
      <w:pPr>
        <w:keepNext w:val="0"/>
        <w:keepLines w:val="0"/>
        <w:pageBreakBefore w:val="0"/>
        <w:widowControl/>
        <w:kinsoku/>
        <w:wordWrap/>
        <w:overflowPunct/>
        <w:topLinePunct w:val="0"/>
        <w:autoSpaceDE/>
        <w:autoSpaceDN/>
        <w:bidi w:val="0"/>
        <w:adjustRightInd/>
        <w:snapToGrid/>
        <w:spacing w:line="500" w:lineRule="exact"/>
        <w:ind w:firstLine="241" w:firstLineChars="1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lang w:eastAsia="zh-CN"/>
        </w:rPr>
        <w:t>六</w:t>
      </w:r>
      <w:r>
        <w:rPr>
          <w:rFonts w:hint="eastAsia" w:ascii="宋体" w:hAnsi="宋体" w:eastAsia="宋体" w:cs="宋体"/>
          <w:b/>
          <w:bCs/>
          <w:kern w:val="0"/>
          <w:sz w:val="24"/>
          <w:szCs w:val="24"/>
        </w:rPr>
        <w:t>、</w:t>
      </w:r>
      <w:r>
        <w:rPr>
          <w:rFonts w:hint="eastAsia" w:ascii="宋体" w:hAnsi="宋体" w:eastAsia="宋体" w:cs="宋体"/>
          <w:b/>
          <w:bCs/>
          <w:kern w:val="0"/>
          <w:sz w:val="24"/>
          <w:szCs w:val="24"/>
          <w:lang w:eastAsia="zh-CN"/>
        </w:rPr>
        <w:t>投标单位</w:t>
      </w:r>
      <w:r>
        <w:rPr>
          <w:rFonts w:hint="eastAsia" w:ascii="宋体" w:hAnsi="宋体" w:eastAsia="宋体" w:cs="宋体"/>
          <w:b/>
          <w:bCs/>
          <w:kern w:val="0"/>
          <w:sz w:val="24"/>
          <w:szCs w:val="24"/>
        </w:rPr>
        <w:t>资格要求：</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240" w:firstLineChars="1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符合《中华人民共和国政府采购法》第二十二条规定条件，具有有效的营业执照</w:t>
      </w:r>
      <w:r>
        <w:rPr>
          <w:rFonts w:hint="eastAsia" w:ascii="宋体" w:hAnsi="宋体" w:eastAsia="宋体" w:cs="宋体"/>
          <w:kern w:val="0"/>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240" w:firstLineChars="1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2.必须为未被列入信用中国网站(www.creditchina.gov.cn)、中国政府采购网(www.ccgp.gov.cn)渠道信用记录失信被执行人、重大税收违法案件当事人名单、政府采购严重违法失信行为记录名单的投标人。</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240" w:firstLineChars="1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3.本项目不接受联合体投标。</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240" w:firstLineChars="1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eastAsia="zh-CN"/>
        </w:rPr>
        <w:t>其他说明： (1) 与招标人存在利害关系可能影响招标公正性的法人、其他组织或者个人，不得参加投标: (2) 单位负责人为同一人或者存在控股、管理关系的不同单位，不得参加同一标段投标或者未划分标段的同一招标项目投标。违反上述两款规定的，相关投标均无效；</w:t>
      </w:r>
    </w:p>
    <w:p>
      <w:pPr>
        <w:keepNext w:val="0"/>
        <w:keepLines w:val="0"/>
        <w:pageBreakBefore w:val="0"/>
        <w:widowControl/>
        <w:kinsoku/>
        <w:wordWrap/>
        <w:overflowPunct/>
        <w:topLinePunct w:val="0"/>
        <w:autoSpaceDE/>
        <w:autoSpaceDN/>
        <w:bidi w:val="0"/>
        <w:adjustRightInd/>
        <w:snapToGrid/>
        <w:spacing w:line="500" w:lineRule="exact"/>
        <w:ind w:firstLine="241" w:firstLineChars="100"/>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eastAsia="zh-CN"/>
        </w:rPr>
        <w:t>七</w:t>
      </w:r>
      <w:r>
        <w:rPr>
          <w:rFonts w:hint="eastAsia" w:ascii="宋体" w:hAnsi="宋体" w:eastAsia="宋体" w:cs="宋体"/>
          <w:b/>
          <w:bCs/>
          <w:color w:val="000000"/>
          <w:sz w:val="24"/>
          <w:szCs w:val="24"/>
        </w:rPr>
        <w:t>、报名方式及招标文件的获取：</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720" w:firstLineChars="3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获取招标文件方式：凡符合上述资格要求，且有意参加投标的投标单位，须携带营业执照副本原件、法定代表人参与时提供：法定代表人身份证明（附：身份证正反面）及身份证原件或委托代理人参与时提供：身份证及授权委托书原件（附：法定代表人及授权人身份证正反面）（以上资料提供复印件加盖公章一套）到新疆乌鲁木齐市水磨沟区浙商大厦15楼1505室华春建设工程项目管理有限责任公司报名，领取</w:t>
      </w:r>
      <w:r>
        <w:rPr>
          <w:rFonts w:hint="eastAsia" w:ascii="宋体" w:hAnsi="宋体" w:cs="宋体"/>
          <w:kern w:val="0"/>
          <w:sz w:val="24"/>
          <w:szCs w:val="24"/>
          <w:lang w:eastAsia="zh-CN"/>
        </w:rPr>
        <w:t>磋商</w:t>
      </w:r>
      <w:r>
        <w:rPr>
          <w:rFonts w:hint="eastAsia" w:ascii="宋体" w:hAnsi="宋体" w:eastAsia="宋体" w:cs="宋体"/>
          <w:kern w:val="0"/>
          <w:sz w:val="24"/>
          <w:szCs w:val="24"/>
          <w:lang w:eastAsia="zh-CN"/>
        </w:rPr>
        <w:t>文件，</w:t>
      </w:r>
      <w:r>
        <w:rPr>
          <w:rFonts w:hint="eastAsia" w:ascii="宋体" w:hAnsi="宋体" w:cs="宋体"/>
          <w:kern w:val="0"/>
          <w:sz w:val="24"/>
          <w:szCs w:val="24"/>
          <w:lang w:eastAsia="zh-CN"/>
        </w:rPr>
        <w:t>磋商</w:t>
      </w:r>
      <w:r>
        <w:rPr>
          <w:rFonts w:hint="eastAsia" w:ascii="宋体" w:hAnsi="宋体" w:eastAsia="宋体" w:cs="宋体"/>
          <w:kern w:val="0"/>
          <w:sz w:val="24"/>
          <w:szCs w:val="24"/>
          <w:lang w:eastAsia="zh-CN"/>
        </w:rPr>
        <w:t>文件售后不退；</w:t>
      </w:r>
    </w:p>
    <w:p>
      <w:pPr>
        <w:keepNext w:val="0"/>
        <w:keepLines w:val="0"/>
        <w:pageBreakBefore w:val="0"/>
        <w:widowControl/>
        <w:kinsoku/>
        <w:wordWrap/>
        <w:overflowPunct/>
        <w:topLinePunct w:val="0"/>
        <w:autoSpaceDE/>
        <w:autoSpaceDN/>
        <w:bidi w:val="0"/>
        <w:adjustRightInd/>
        <w:snapToGrid/>
        <w:spacing w:line="500" w:lineRule="exact"/>
        <w:ind w:firstLine="720" w:firstLineChars="300"/>
        <w:jc w:val="left"/>
        <w:textAlignment w:val="auto"/>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highlight w:val="none"/>
        </w:rPr>
        <w:t>报名及文件发售时间：</w:t>
      </w:r>
      <w:r>
        <w:rPr>
          <w:rFonts w:hint="eastAsia" w:ascii="宋体" w:hAnsi="宋体" w:eastAsia="宋体" w:cs="宋体"/>
          <w:color w:val="000000"/>
          <w:sz w:val="24"/>
          <w:szCs w:val="24"/>
          <w:highlight w:val="none"/>
          <w:lang w:eastAsia="zh-CN"/>
        </w:rPr>
        <w:t>202</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年</w:t>
      </w:r>
      <w:r>
        <w:rPr>
          <w:rFonts w:hint="eastAsia" w:ascii="宋体" w:hAnsi="宋体" w:cs="宋体"/>
          <w:color w:val="000000"/>
          <w:sz w:val="24"/>
          <w:szCs w:val="24"/>
          <w:highlight w:val="none"/>
          <w:lang w:val="en-US" w:eastAsia="zh-CN"/>
        </w:rPr>
        <w:t>11</w:t>
      </w:r>
      <w:r>
        <w:rPr>
          <w:rFonts w:hint="eastAsia" w:ascii="宋体" w:hAnsi="宋体" w:eastAsia="宋体" w:cs="宋体"/>
          <w:color w:val="000000"/>
          <w:sz w:val="24"/>
          <w:szCs w:val="24"/>
          <w:highlight w:val="none"/>
        </w:rPr>
        <w:t>月</w:t>
      </w:r>
      <w:r>
        <w:rPr>
          <w:rFonts w:hint="eastAsia" w:ascii="宋体" w:hAnsi="宋体" w:cs="宋体"/>
          <w:color w:val="000000"/>
          <w:sz w:val="24"/>
          <w:szCs w:val="24"/>
          <w:highlight w:val="none"/>
          <w:lang w:val="en-US" w:eastAsia="zh-CN"/>
        </w:rPr>
        <w:t>4</w:t>
      </w:r>
      <w:r>
        <w:rPr>
          <w:rFonts w:hint="eastAsia" w:ascii="宋体" w:hAnsi="宋体" w:eastAsia="宋体" w:cs="宋体"/>
          <w:color w:val="000000"/>
          <w:sz w:val="24"/>
          <w:szCs w:val="24"/>
          <w:highlight w:val="none"/>
        </w:rPr>
        <w:t>日至</w:t>
      </w:r>
      <w:r>
        <w:rPr>
          <w:rFonts w:hint="eastAsia" w:ascii="宋体" w:hAnsi="宋体" w:eastAsia="宋体" w:cs="宋体"/>
          <w:color w:val="000000"/>
          <w:sz w:val="24"/>
          <w:szCs w:val="24"/>
          <w:highlight w:val="none"/>
          <w:lang w:eastAsia="zh-CN"/>
        </w:rPr>
        <w:t>202</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年</w:t>
      </w:r>
      <w:r>
        <w:rPr>
          <w:rFonts w:hint="eastAsia" w:ascii="宋体" w:hAnsi="宋体" w:cs="宋体"/>
          <w:color w:val="000000"/>
          <w:sz w:val="24"/>
          <w:szCs w:val="24"/>
          <w:highlight w:val="none"/>
          <w:lang w:val="en-US" w:eastAsia="zh-CN"/>
        </w:rPr>
        <w:t>11</w:t>
      </w:r>
      <w:r>
        <w:rPr>
          <w:rFonts w:hint="eastAsia" w:ascii="宋体" w:hAnsi="宋体" w:eastAsia="宋体" w:cs="宋体"/>
          <w:color w:val="000000"/>
          <w:sz w:val="24"/>
          <w:szCs w:val="24"/>
          <w:highlight w:val="none"/>
        </w:rPr>
        <w:t>月</w:t>
      </w:r>
      <w:r>
        <w:rPr>
          <w:rFonts w:hint="eastAsia" w:ascii="宋体" w:hAnsi="宋体" w:cs="宋体"/>
          <w:color w:val="000000"/>
          <w:sz w:val="24"/>
          <w:szCs w:val="24"/>
          <w:highlight w:val="none"/>
          <w:lang w:val="en-US" w:eastAsia="zh-CN"/>
        </w:rPr>
        <w:t>10</w:t>
      </w:r>
      <w:r>
        <w:rPr>
          <w:rFonts w:hint="eastAsia" w:ascii="宋体" w:hAnsi="宋体" w:eastAsia="宋体" w:cs="宋体"/>
          <w:color w:val="000000"/>
          <w:sz w:val="24"/>
          <w:szCs w:val="24"/>
          <w:highlight w:val="none"/>
        </w:rPr>
        <w:t>日（北京时间10：</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0-</w:t>
      </w:r>
      <w:r>
        <w:rPr>
          <w:rFonts w:hint="eastAsia" w:ascii="宋体" w:hAnsi="宋体" w:eastAsia="宋体" w:cs="宋体"/>
          <w:color w:val="000000"/>
          <w:sz w:val="24"/>
          <w:szCs w:val="24"/>
          <w:highlight w:val="none"/>
          <w:lang w:val="en-US" w:eastAsia="zh-CN"/>
        </w:rPr>
        <w:t>14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00</w:t>
      </w:r>
      <w:r>
        <w:rPr>
          <w:rFonts w:hint="eastAsia" w:ascii="宋体" w:hAnsi="宋体" w:eastAsia="宋体" w:cs="宋体"/>
          <w:color w:val="000000"/>
          <w:sz w:val="24"/>
          <w:szCs w:val="24"/>
          <w:highlight w:val="none"/>
        </w:rPr>
        <w:t>，15</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00</w:t>
      </w:r>
      <w:r>
        <w:rPr>
          <w:rFonts w:hint="eastAsia" w:ascii="宋体" w:hAnsi="宋体" w:eastAsia="宋体" w:cs="宋体"/>
          <w:color w:val="000000"/>
          <w:sz w:val="24"/>
          <w:szCs w:val="24"/>
          <w:highlight w:val="none"/>
        </w:rPr>
        <w:t>-19：</w:t>
      </w:r>
      <w:r>
        <w:rPr>
          <w:rFonts w:hint="eastAsia" w:ascii="宋体" w:hAnsi="宋体" w:cs="宋体"/>
          <w:color w:val="000000"/>
          <w:sz w:val="24"/>
          <w:szCs w:val="24"/>
          <w:highlight w:val="none"/>
          <w:lang w:val="en-US" w:eastAsia="zh-CN"/>
        </w:rPr>
        <w:t>00</w:t>
      </w:r>
      <w:r>
        <w:rPr>
          <w:rFonts w:hint="eastAsia" w:ascii="宋体" w:hAnsi="宋体" w:eastAsia="宋体" w:cs="宋体"/>
          <w:color w:val="000000"/>
          <w:sz w:val="24"/>
          <w:szCs w:val="24"/>
          <w:highlight w:val="none"/>
        </w:rPr>
        <w:t>节假日除外)；</w:t>
      </w:r>
    </w:p>
    <w:p>
      <w:pPr>
        <w:keepNext w:val="0"/>
        <w:keepLines w:val="0"/>
        <w:pageBreakBefore w:val="0"/>
        <w:widowControl/>
        <w:kinsoku/>
        <w:wordWrap/>
        <w:overflowPunct/>
        <w:topLinePunct w:val="0"/>
        <w:autoSpaceDE/>
        <w:autoSpaceDN/>
        <w:bidi w:val="0"/>
        <w:adjustRightInd/>
        <w:snapToGrid/>
        <w:spacing w:line="500" w:lineRule="exact"/>
        <w:ind w:firstLine="720" w:firstLineChars="3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eastAsia="zh-CN"/>
        </w:rPr>
        <w:t>投标</w:t>
      </w:r>
      <w:r>
        <w:rPr>
          <w:rFonts w:hint="eastAsia" w:ascii="宋体" w:hAnsi="宋体" w:eastAsia="宋体" w:cs="宋体"/>
          <w:color w:val="000000"/>
          <w:sz w:val="24"/>
          <w:szCs w:val="24"/>
          <w:highlight w:val="none"/>
        </w:rPr>
        <w:t>文件递交截止及开标时间：</w:t>
      </w:r>
      <w:r>
        <w:rPr>
          <w:rFonts w:hint="eastAsia" w:ascii="宋体" w:hAnsi="宋体" w:eastAsia="宋体" w:cs="宋体"/>
          <w:color w:val="000000"/>
          <w:sz w:val="24"/>
          <w:szCs w:val="24"/>
          <w:highlight w:val="none"/>
          <w:lang w:eastAsia="zh-CN"/>
        </w:rPr>
        <w:t>202</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年</w:t>
      </w:r>
      <w:r>
        <w:rPr>
          <w:rFonts w:hint="eastAsia" w:ascii="宋体" w:hAnsi="宋体" w:cs="宋体"/>
          <w:color w:val="000000"/>
          <w:sz w:val="24"/>
          <w:szCs w:val="24"/>
          <w:highlight w:val="none"/>
          <w:lang w:val="en-US" w:eastAsia="zh-CN"/>
        </w:rPr>
        <w:t>11</w:t>
      </w:r>
      <w:r>
        <w:rPr>
          <w:rFonts w:hint="eastAsia" w:ascii="宋体" w:hAnsi="宋体" w:eastAsia="宋体" w:cs="宋体"/>
          <w:color w:val="000000"/>
          <w:sz w:val="24"/>
          <w:szCs w:val="24"/>
          <w:highlight w:val="none"/>
        </w:rPr>
        <w:t>月</w:t>
      </w:r>
      <w:r>
        <w:rPr>
          <w:rFonts w:hint="eastAsia" w:ascii="宋体" w:hAnsi="宋体" w:cs="宋体"/>
          <w:color w:val="000000"/>
          <w:sz w:val="24"/>
          <w:szCs w:val="24"/>
          <w:highlight w:val="none"/>
          <w:lang w:val="en-US" w:eastAsia="zh-CN"/>
        </w:rPr>
        <w:t>15</w:t>
      </w:r>
      <w:r>
        <w:rPr>
          <w:rFonts w:hint="eastAsia" w:ascii="宋体" w:hAnsi="宋体" w:eastAsia="宋体" w:cs="宋体"/>
          <w:color w:val="000000"/>
          <w:sz w:val="24"/>
          <w:szCs w:val="24"/>
          <w:highlight w:val="none"/>
        </w:rPr>
        <w:t>日</w:t>
      </w:r>
      <w:r>
        <w:rPr>
          <w:rFonts w:hint="eastAsia" w:ascii="宋体" w:hAnsi="宋体" w:cs="宋体"/>
          <w:color w:val="000000"/>
          <w:sz w:val="24"/>
          <w:szCs w:val="24"/>
          <w:highlight w:val="none"/>
          <w:lang w:val="en-US" w:eastAsia="zh-CN"/>
        </w:rPr>
        <w:t>16</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00</w:t>
      </w:r>
      <w:r>
        <w:rPr>
          <w:rFonts w:hint="eastAsia" w:ascii="宋体" w:hAnsi="宋体" w:eastAsia="宋体" w:cs="宋体"/>
          <w:color w:val="000000"/>
          <w:sz w:val="24"/>
          <w:szCs w:val="24"/>
          <w:highlight w:val="none"/>
        </w:rPr>
        <w:t>（北京时间）；</w:t>
      </w:r>
    </w:p>
    <w:p>
      <w:pPr>
        <w:keepNext w:val="0"/>
        <w:keepLines w:val="0"/>
        <w:pageBreakBefore w:val="0"/>
        <w:widowControl/>
        <w:kinsoku/>
        <w:wordWrap/>
        <w:overflowPunct/>
        <w:topLinePunct w:val="0"/>
        <w:autoSpaceDE/>
        <w:autoSpaceDN/>
        <w:bidi w:val="0"/>
        <w:adjustRightInd/>
        <w:snapToGrid/>
        <w:spacing w:line="500" w:lineRule="exact"/>
        <w:ind w:firstLine="720" w:firstLineChars="30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highlight w:val="none"/>
        </w:rPr>
        <w:t>4、开标地点：新疆乌鲁木齐市水磨沟区浙商大厦15楼1505室(开标</w:t>
      </w:r>
      <w:r>
        <w:rPr>
          <w:rFonts w:hint="eastAsia" w:ascii="宋体" w:hAnsi="宋体" w:eastAsia="宋体" w:cs="宋体"/>
          <w:color w:val="000000"/>
          <w:sz w:val="24"/>
          <w:szCs w:val="24"/>
        </w:rPr>
        <w:t>厅）。</w:t>
      </w:r>
      <w:r>
        <w:rPr>
          <w:rFonts w:hint="eastAsia" w:ascii="宋体" w:hAnsi="宋体" w:eastAsia="宋体" w:cs="宋体"/>
          <w:color w:val="00000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500" w:lineRule="exact"/>
        <w:ind w:firstLine="361" w:firstLineChars="15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八</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eastAsia="zh-CN"/>
        </w:rPr>
        <w:t>联系方式</w:t>
      </w:r>
    </w:p>
    <w:p>
      <w:pPr>
        <w:keepNext w:val="0"/>
        <w:keepLines w:val="0"/>
        <w:pageBreakBefore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宋体" w:hAnsi="宋体" w:eastAsia="宋体" w:cs="宋体"/>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招标人：</w:t>
      </w:r>
      <w:r>
        <w:rPr>
          <w:rFonts w:hint="eastAsia" w:ascii="宋体" w:hAnsi="宋体" w:eastAsia="宋体" w:cs="宋体"/>
          <w:sz w:val="24"/>
          <w:szCs w:val="24"/>
          <w:lang w:val="en-US" w:eastAsia="zh-CN"/>
        </w:rPr>
        <w:t>乌鲁木齐市水磨沟区第十二幼儿园</w:t>
      </w:r>
    </w:p>
    <w:p>
      <w:pPr>
        <w:keepNext w:val="0"/>
        <w:keepLines w:val="0"/>
        <w:pageBreakBefore w:val="0"/>
        <w:kinsoku/>
        <w:wordWrap/>
        <w:overflowPunct/>
        <w:topLinePunct w:val="0"/>
        <w:autoSpaceDE/>
        <w:autoSpaceDN/>
        <w:bidi w:val="0"/>
        <w:adjustRightInd/>
        <w:snapToGrid/>
        <w:spacing w:line="500" w:lineRule="exact"/>
        <w:ind w:firstLine="480" w:firstLineChars="200"/>
        <w:jc w:val="left"/>
        <w:textAlignment w:val="auto"/>
        <w:outlineLvl w:val="1"/>
        <w:rPr>
          <w:rFonts w:hint="eastAsia" w:ascii="宋体" w:hAnsi="宋体" w:eastAsia="宋体" w:cs="宋体"/>
          <w:sz w:val="24"/>
          <w:szCs w:val="24"/>
        </w:rPr>
      </w:pPr>
      <w:r>
        <w:rPr>
          <w:rFonts w:hint="eastAsia" w:ascii="宋体" w:hAnsi="宋体" w:eastAsia="宋体" w:cs="宋体"/>
          <w:sz w:val="24"/>
          <w:szCs w:val="24"/>
        </w:rPr>
        <w:t>联系人：</w:t>
      </w:r>
      <w:r>
        <w:rPr>
          <w:rFonts w:hint="eastAsia" w:ascii="宋体" w:hAnsi="宋体" w:cs="宋体"/>
          <w:sz w:val="24"/>
          <w:szCs w:val="24"/>
          <w:lang w:eastAsia="zh-CN"/>
        </w:rPr>
        <w:t>陆老师</w:t>
      </w:r>
      <w:r>
        <w:rPr>
          <w:rFonts w:hint="eastAsia" w:ascii="宋体" w:hAnsi="宋体" w:eastAsia="宋体" w:cs="宋体"/>
          <w:sz w:val="24"/>
          <w:szCs w:val="24"/>
        </w:rPr>
        <w:t xml:space="preserve"> </w:t>
      </w:r>
    </w:p>
    <w:p>
      <w:pPr>
        <w:keepNext w:val="0"/>
        <w:keepLines w:val="0"/>
        <w:pageBreakBefore w:val="0"/>
        <w:kinsoku/>
        <w:wordWrap/>
        <w:overflowPunct/>
        <w:topLinePunct w:val="0"/>
        <w:autoSpaceDE/>
        <w:autoSpaceDN/>
        <w:bidi w:val="0"/>
        <w:adjustRightInd/>
        <w:snapToGrid/>
        <w:spacing w:line="500" w:lineRule="exact"/>
        <w:ind w:firstLine="480" w:firstLineChars="200"/>
        <w:jc w:val="left"/>
        <w:textAlignment w:val="auto"/>
        <w:outlineLvl w:val="1"/>
        <w:rPr>
          <w:rFonts w:hint="default" w:ascii="宋体" w:hAnsi="宋体" w:eastAsia="宋体" w:cs="宋体"/>
          <w:kern w:val="0"/>
          <w:sz w:val="24"/>
          <w:szCs w:val="24"/>
          <w:lang w:val="en-US" w:eastAsia="zh-CN"/>
        </w:rPr>
      </w:pPr>
      <w:r>
        <w:rPr>
          <w:rFonts w:hint="eastAsia" w:ascii="宋体" w:hAnsi="宋体" w:eastAsia="宋体" w:cs="宋体"/>
          <w:sz w:val="24"/>
          <w:szCs w:val="24"/>
        </w:rPr>
        <w:t>联系电话：</w:t>
      </w:r>
      <w:r>
        <w:rPr>
          <w:rFonts w:hint="eastAsia" w:ascii="宋体" w:hAnsi="宋体" w:cs="宋体"/>
          <w:sz w:val="24"/>
          <w:szCs w:val="24"/>
          <w:lang w:val="en-US" w:eastAsia="zh-CN"/>
        </w:rPr>
        <w:t>13999183244</w:t>
      </w:r>
    </w:p>
    <w:p>
      <w:pPr>
        <w:keepNext w:val="0"/>
        <w:keepLines w:val="0"/>
        <w:pageBreakBefore w:val="0"/>
        <w:widowControl/>
        <w:kinsoku/>
        <w:wordWrap/>
        <w:overflowPunct/>
        <w:topLinePunct w:val="0"/>
        <w:autoSpaceDE/>
        <w:autoSpaceDN/>
        <w:bidi w:val="0"/>
        <w:adjustRightInd/>
        <w:snapToGrid/>
        <w:spacing w:line="500" w:lineRule="exact"/>
        <w:ind w:firstLine="360" w:firstLineChars="150"/>
        <w:textAlignment w:val="auto"/>
        <w:rPr>
          <w:rFonts w:hint="eastAsia" w:ascii="宋体" w:hAnsi="宋体" w:eastAsia="宋体" w:cs="宋体"/>
          <w:kern w:val="0"/>
          <w:sz w:val="24"/>
          <w:szCs w:val="24"/>
        </w:rPr>
      </w:pPr>
      <w:r>
        <w:rPr>
          <w:rFonts w:hint="eastAsia" w:ascii="宋体" w:hAnsi="宋体" w:eastAsia="宋体" w:cs="宋体"/>
          <w:kern w:val="0"/>
          <w:sz w:val="24"/>
          <w:szCs w:val="24"/>
        </w:rPr>
        <w:t>2.招标代理：华春建设工程项目管理有限责任公司</w:t>
      </w:r>
    </w:p>
    <w:p>
      <w:pPr>
        <w:keepNext w:val="0"/>
        <w:keepLines w:val="0"/>
        <w:pageBreakBefore w:val="0"/>
        <w:widowControl/>
        <w:kinsoku/>
        <w:wordWrap/>
        <w:overflowPunct/>
        <w:topLinePunct w:val="0"/>
        <w:autoSpaceDE/>
        <w:autoSpaceDN/>
        <w:bidi w:val="0"/>
        <w:adjustRightInd/>
        <w:snapToGrid/>
        <w:spacing w:line="500" w:lineRule="exact"/>
        <w:ind w:firstLine="360" w:firstLineChars="150"/>
        <w:textAlignment w:val="auto"/>
        <w:rPr>
          <w:rFonts w:hint="eastAsia" w:ascii="宋体" w:hAnsi="宋体" w:eastAsia="宋体" w:cs="宋体"/>
          <w:kern w:val="0"/>
          <w:sz w:val="24"/>
          <w:szCs w:val="24"/>
        </w:rPr>
      </w:pPr>
      <w:r>
        <w:rPr>
          <w:rFonts w:hint="eastAsia" w:ascii="宋体" w:hAnsi="宋体" w:eastAsia="宋体" w:cs="宋体"/>
          <w:kern w:val="0"/>
          <w:sz w:val="24"/>
          <w:szCs w:val="24"/>
        </w:rPr>
        <w:t>办公地址：</w:t>
      </w:r>
      <w:r>
        <w:rPr>
          <w:rFonts w:hint="eastAsia" w:ascii="宋体" w:hAnsi="宋体" w:eastAsia="宋体" w:cs="宋体"/>
          <w:color w:val="000000"/>
          <w:sz w:val="24"/>
          <w:szCs w:val="24"/>
        </w:rPr>
        <w:t>新疆乌鲁木齐市水磨沟区浙商大厦15楼1505室</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eastAsia="zh-CN"/>
        </w:rPr>
        <w:t>联系人：王立娜、韩永朝</w:t>
      </w:r>
      <w:r>
        <w:rPr>
          <w:rFonts w:hint="eastAsia" w:ascii="宋体" w:hAnsi="宋体" w:eastAsia="宋体" w:cs="宋体"/>
          <w:color w:val="000000"/>
          <w:sz w:val="24"/>
          <w:szCs w:val="24"/>
          <w:highlight w:val="none"/>
          <w:lang w:val="en-US" w:eastAsia="zh-CN"/>
        </w:rPr>
        <w:t xml:space="preserve">  </w:t>
      </w:r>
      <w:r>
        <w:rPr>
          <w:rFonts w:hint="eastAsia" w:ascii="宋体" w:hAnsi="宋体" w:eastAsia="宋体" w:cs="宋体"/>
          <w:color w:val="000000"/>
          <w:sz w:val="24"/>
          <w:szCs w:val="24"/>
          <w:highlight w:val="none"/>
          <w:lang w:eastAsia="zh-CN"/>
        </w:rPr>
        <w:t xml:space="preserve"> 联系电话： 0991-</w:t>
      </w:r>
      <w:r>
        <w:rPr>
          <w:rFonts w:hint="eastAsia" w:ascii="宋体" w:hAnsi="宋体" w:eastAsia="宋体" w:cs="宋体"/>
          <w:color w:val="000000"/>
          <w:sz w:val="24"/>
          <w:szCs w:val="24"/>
          <w:highlight w:val="none"/>
          <w:lang w:val="en-US" w:eastAsia="zh-CN"/>
        </w:rPr>
        <w:t>2629781、18097782413</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传真：0991-</w:t>
      </w:r>
      <w:r>
        <w:rPr>
          <w:rFonts w:hint="eastAsia" w:ascii="宋体" w:hAnsi="宋体" w:eastAsia="宋体" w:cs="宋体"/>
          <w:color w:val="000000"/>
          <w:sz w:val="24"/>
          <w:szCs w:val="24"/>
          <w:highlight w:val="none"/>
          <w:lang w:val="en-US" w:eastAsia="zh-CN"/>
        </w:rPr>
        <w:t>2629781</w:t>
      </w:r>
    </w:p>
    <w:p>
      <w:pPr>
        <w:keepNext w:val="0"/>
        <w:keepLines w:val="0"/>
        <w:pageBreakBefore w:val="0"/>
        <w:kinsoku/>
        <w:wordWrap/>
        <w:overflowPunct w:val="0"/>
        <w:topLinePunct w:val="0"/>
        <w:bidi w:val="0"/>
        <w:snapToGrid/>
        <w:spacing w:line="420" w:lineRule="exact"/>
        <w:ind w:firstLine="643" w:firstLineChars="200"/>
        <w:jc w:val="center"/>
        <w:textAlignment w:val="auto"/>
        <w:rPr>
          <w:rFonts w:hint="eastAsia" w:ascii="宋体" w:hAnsi="宋体" w:cs="宋体"/>
          <w:b/>
          <w:bCs/>
          <w:sz w:val="32"/>
          <w:szCs w:val="32"/>
        </w:rPr>
      </w:pPr>
    </w:p>
    <w:p>
      <w:pPr>
        <w:rPr>
          <w:rFonts w:hint="eastAsia" w:ascii="宋体" w:hAnsi="宋体" w:cs="宋体"/>
          <w:b/>
          <w:bCs/>
          <w:sz w:val="32"/>
          <w:szCs w:val="32"/>
        </w:rPr>
      </w:pPr>
      <w:r>
        <w:rPr>
          <w:rFonts w:hint="eastAsia" w:ascii="宋体" w:hAnsi="宋体" w:cs="宋体"/>
          <w:b/>
          <w:bCs/>
          <w:sz w:val="32"/>
          <w:szCs w:val="32"/>
        </w:rPr>
        <w:br w:type="page"/>
      </w:r>
    </w:p>
    <w:p>
      <w:pPr>
        <w:spacing w:line="440" w:lineRule="exact"/>
        <w:jc w:val="center"/>
        <w:rPr>
          <w:rFonts w:ascii="宋体" w:hAnsi="宋体" w:cs="宋体"/>
          <w:sz w:val="32"/>
          <w:szCs w:val="32"/>
        </w:rPr>
      </w:pPr>
      <w:r>
        <w:rPr>
          <w:rFonts w:hint="eastAsia" w:ascii="宋体" w:hAnsi="宋体" w:cs="宋体"/>
          <w:b/>
          <w:bCs/>
          <w:sz w:val="32"/>
          <w:szCs w:val="32"/>
        </w:rPr>
        <w:t>第二部分  供应商须知</w:t>
      </w:r>
      <w:bookmarkEnd w:id="4"/>
      <w:bookmarkEnd w:id="5"/>
      <w:bookmarkEnd w:id="6"/>
      <w:bookmarkEnd w:id="7"/>
      <w:bookmarkEnd w:id="8"/>
      <w:bookmarkStart w:id="9" w:name="_Toc298240404"/>
      <w:bookmarkStart w:id="10" w:name="_Toc267301281"/>
      <w:bookmarkStart w:id="11" w:name="_Toc349637919"/>
      <w:bookmarkStart w:id="12" w:name="_Toc349573120"/>
    </w:p>
    <w:p>
      <w:pPr>
        <w:pStyle w:val="3"/>
        <w:spacing w:line="400" w:lineRule="atLeast"/>
        <w:ind w:left="0" w:firstLine="0"/>
        <w:jc w:val="center"/>
        <w:rPr>
          <w:rFonts w:ascii="宋体" w:hAnsi="宋体" w:cs="宋体"/>
          <w:sz w:val="28"/>
          <w:szCs w:val="28"/>
        </w:rPr>
      </w:pPr>
      <w:bookmarkStart w:id="13" w:name="_Toc468707217"/>
      <w:r>
        <w:rPr>
          <w:rFonts w:hint="eastAsia" w:ascii="宋体" w:hAnsi="宋体" w:cs="宋体"/>
          <w:sz w:val="28"/>
          <w:szCs w:val="28"/>
        </w:rPr>
        <w:t>供应商须知附表</w:t>
      </w:r>
      <w:bookmarkEnd w:id="9"/>
      <w:bookmarkEnd w:id="10"/>
      <w:bookmarkEnd w:id="11"/>
      <w:bookmarkEnd w:id="12"/>
      <w:bookmarkEnd w:id="13"/>
    </w:p>
    <w:tbl>
      <w:tblPr>
        <w:tblStyle w:val="33"/>
        <w:tblW w:w="9997"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92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9288" w:type="dxa"/>
            <w:tcBorders>
              <w:top w:val="single" w:color="auto" w:sz="4" w:space="0"/>
              <w:left w:val="single" w:color="auto" w:sz="4" w:space="0"/>
              <w:bottom w:val="single" w:color="auto" w:sz="4" w:space="0"/>
              <w:right w:val="single" w:color="auto" w:sz="4" w:space="0"/>
            </w:tcBorders>
            <w:vAlign w:val="center"/>
          </w:tcPr>
          <w:p>
            <w:pPr>
              <w:ind w:firstLine="3840" w:firstLineChars="1600"/>
              <w:rPr>
                <w:rFonts w:hint="eastAsia" w:ascii="宋体" w:hAnsi="宋体" w:eastAsia="宋体" w:cs="宋体"/>
                <w:sz w:val="24"/>
                <w:szCs w:val="24"/>
              </w:rPr>
            </w:pPr>
            <w:r>
              <w:rPr>
                <w:rFonts w:hint="eastAsia" w:ascii="宋体" w:hAnsi="宋体" w:eastAsia="宋体" w:cs="宋体"/>
                <w:sz w:val="24"/>
                <w:szCs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999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说          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92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cs="宋体"/>
                <w:sz w:val="24"/>
                <w:szCs w:val="24"/>
                <w:lang w:eastAsia="zh-CN"/>
              </w:rPr>
            </w:pPr>
            <w:r>
              <w:rPr>
                <w:rFonts w:hint="eastAsia" w:ascii="宋体" w:hAnsi="宋体" w:eastAsia="宋体" w:cs="宋体"/>
                <w:sz w:val="24"/>
                <w:szCs w:val="24"/>
              </w:rPr>
              <w:t>采购项目名称：</w:t>
            </w:r>
            <w:r>
              <w:rPr>
                <w:rFonts w:hint="eastAsia" w:ascii="宋体" w:hAnsi="宋体" w:cs="宋体"/>
                <w:sz w:val="24"/>
                <w:szCs w:val="24"/>
                <w:lang w:eastAsia="zh-CN"/>
              </w:rPr>
              <w:t xml:space="preserve">乌鲁木齐市水磨沟区第十二幼儿园幼儿园玩、教具设备采购项目  </w:t>
            </w:r>
          </w:p>
          <w:p>
            <w:pPr>
              <w:spacing w:line="400" w:lineRule="exact"/>
              <w:rPr>
                <w:rFonts w:hint="eastAsia" w:ascii="宋体" w:hAnsi="宋体" w:eastAsia="宋体" w:cs="宋体"/>
                <w:sz w:val="24"/>
                <w:szCs w:val="24"/>
                <w:lang w:eastAsia="zh-CN"/>
              </w:rPr>
            </w:pPr>
            <w:r>
              <w:rPr>
                <w:rFonts w:hint="eastAsia" w:ascii="宋体" w:hAnsi="宋体" w:eastAsia="宋体" w:cs="宋体"/>
                <w:sz w:val="24"/>
                <w:szCs w:val="24"/>
              </w:rPr>
              <w:t>采购项目编号：</w:t>
            </w:r>
            <w:r>
              <w:rPr>
                <w:rFonts w:hint="eastAsia" w:ascii="宋体" w:hAnsi="宋体" w:cs="宋体"/>
                <w:sz w:val="24"/>
                <w:szCs w:val="24"/>
                <w:lang w:eastAsia="zh-CN"/>
              </w:rPr>
              <w:t>hcxjczt-2021-342</w:t>
            </w:r>
            <w:r>
              <w:rPr>
                <w:rFonts w:hint="eastAsia" w:ascii="宋体" w:hAnsi="宋体" w:eastAsia="宋体" w:cs="宋体"/>
                <w:sz w:val="24"/>
                <w:szCs w:val="24"/>
                <w:lang w:eastAsia="zh-CN"/>
              </w:rPr>
              <w:t>  </w:t>
            </w:r>
          </w:p>
          <w:p>
            <w:pPr>
              <w:spacing w:line="400" w:lineRule="exact"/>
              <w:rPr>
                <w:rFonts w:hint="eastAsia" w:ascii="宋体" w:hAnsi="宋体" w:eastAsia="宋体" w:cs="宋体"/>
                <w:sz w:val="24"/>
                <w:szCs w:val="24"/>
              </w:rPr>
            </w:pPr>
            <w:r>
              <w:rPr>
                <w:rFonts w:hint="eastAsia" w:ascii="宋体" w:hAnsi="宋体" w:eastAsia="宋体" w:cs="宋体"/>
                <w:sz w:val="24"/>
                <w:szCs w:val="24"/>
              </w:rPr>
              <w:t>预算金额</w:t>
            </w:r>
            <w:r>
              <w:rPr>
                <w:rFonts w:hint="eastAsia" w:ascii="宋体" w:hAnsi="宋体" w:eastAsia="宋体" w:cs="宋体"/>
                <w:sz w:val="24"/>
                <w:szCs w:val="24"/>
                <w:lang w:eastAsia="zh-CN"/>
              </w:rPr>
              <w:t>：</w:t>
            </w:r>
            <w:r>
              <w:rPr>
                <w:rFonts w:hint="eastAsia" w:ascii="宋体" w:hAnsi="宋体" w:cs="宋体"/>
                <w:sz w:val="24"/>
                <w:szCs w:val="24"/>
                <w:lang w:val="en-US" w:eastAsia="zh-CN"/>
              </w:rPr>
              <w:t>42.00</w:t>
            </w:r>
            <w:r>
              <w:rPr>
                <w:rFonts w:hint="eastAsia" w:ascii="宋体" w:hAnsi="宋体" w:eastAsia="宋体" w:cs="宋体"/>
                <w:sz w:val="24"/>
                <w:szCs w:val="24"/>
                <w:lang w:val="en-US" w:eastAsia="zh-CN"/>
              </w:rPr>
              <w:t>万元</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w:t>
            </w:r>
          </w:p>
        </w:tc>
        <w:tc>
          <w:tcPr>
            <w:tcW w:w="92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4"/>
                <w:szCs w:val="24"/>
                <w:lang w:eastAsia="zh-CN"/>
              </w:rPr>
            </w:pPr>
            <w:r>
              <w:rPr>
                <w:rFonts w:hint="eastAsia" w:ascii="宋体" w:hAnsi="宋体" w:eastAsia="宋体" w:cs="宋体"/>
                <w:sz w:val="24"/>
                <w:szCs w:val="24"/>
              </w:rPr>
              <w:t>采购人名称：</w:t>
            </w:r>
            <w:r>
              <w:rPr>
                <w:rFonts w:hint="eastAsia" w:ascii="宋体" w:hAnsi="宋体" w:cs="宋体"/>
                <w:spacing w:val="8"/>
                <w:sz w:val="24"/>
                <w:szCs w:val="24"/>
                <w:lang w:eastAsia="zh-CN"/>
              </w:rPr>
              <w:t>乌鲁木齐市水磨沟区第十二幼儿园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w:t>
            </w:r>
          </w:p>
        </w:tc>
        <w:tc>
          <w:tcPr>
            <w:tcW w:w="92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pacing w:val="8"/>
                <w:sz w:val="24"/>
                <w:szCs w:val="24"/>
              </w:rPr>
            </w:pPr>
            <w:r>
              <w:rPr>
                <w:rFonts w:hint="eastAsia" w:ascii="宋体" w:hAnsi="宋体" w:eastAsia="宋体" w:cs="宋体"/>
                <w:spacing w:val="8"/>
                <w:sz w:val="24"/>
                <w:szCs w:val="24"/>
              </w:rPr>
              <w:t>招标代理机构名称：华春建设工程项目管理有限责任公司</w:t>
            </w:r>
          </w:p>
          <w:p>
            <w:pPr>
              <w:rPr>
                <w:rFonts w:hint="eastAsia" w:ascii="宋体" w:hAnsi="宋体" w:eastAsia="宋体" w:cs="宋体"/>
                <w:spacing w:val="8"/>
                <w:sz w:val="24"/>
                <w:szCs w:val="24"/>
              </w:rPr>
            </w:pPr>
            <w:r>
              <w:rPr>
                <w:rFonts w:hint="eastAsia" w:ascii="宋体" w:hAnsi="宋体" w:eastAsia="宋体" w:cs="宋体"/>
                <w:spacing w:val="8"/>
                <w:sz w:val="24"/>
                <w:szCs w:val="24"/>
              </w:rPr>
              <w:t>单位地址：新疆乌鲁木齐市水磨沟区浙商大厦15楼1505室</w:t>
            </w:r>
          </w:p>
          <w:p>
            <w:pPr>
              <w:rPr>
                <w:rFonts w:hint="eastAsia" w:ascii="宋体" w:hAnsi="宋体" w:eastAsia="宋体" w:cs="宋体"/>
                <w:spacing w:val="8"/>
                <w:sz w:val="24"/>
                <w:szCs w:val="24"/>
                <w:lang w:eastAsia="zh-CN"/>
              </w:rPr>
            </w:pPr>
            <w:r>
              <w:rPr>
                <w:rFonts w:hint="eastAsia" w:ascii="宋体" w:hAnsi="宋体" w:eastAsia="宋体" w:cs="宋体"/>
                <w:spacing w:val="8"/>
                <w:sz w:val="24"/>
                <w:szCs w:val="24"/>
              </w:rPr>
              <w:t>联系人：</w:t>
            </w:r>
            <w:r>
              <w:rPr>
                <w:rFonts w:hint="eastAsia" w:ascii="宋体" w:hAnsi="宋体" w:eastAsia="宋体" w:cs="宋体"/>
                <w:sz w:val="24"/>
                <w:szCs w:val="24"/>
              </w:rPr>
              <w:t>王立娜、</w:t>
            </w:r>
            <w:r>
              <w:rPr>
                <w:rFonts w:hint="eastAsia" w:ascii="宋体" w:hAnsi="宋体" w:eastAsia="宋体" w:cs="宋体"/>
                <w:sz w:val="24"/>
                <w:szCs w:val="24"/>
                <w:lang w:eastAsia="zh-CN"/>
              </w:rPr>
              <w:t>韩永朝</w:t>
            </w:r>
          </w:p>
          <w:p>
            <w:pPr>
              <w:rPr>
                <w:rFonts w:hint="eastAsia" w:ascii="宋体" w:hAnsi="宋体" w:eastAsia="宋体" w:cs="宋体"/>
                <w:spacing w:val="8"/>
                <w:sz w:val="24"/>
                <w:szCs w:val="24"/>
              </w:rPr>
            </w:pPr>
            <w:r>
              <w:rPr>
                <w:rFonts w:hint="eastAsia" w:ascii="宋体" w:hAnsi="宋体" w:eastAsia="宋体" w:cs="宋体"/>
                <w:spacing w:val="8"/>
                <w:sz w:val="24"/>
                <w:szCs w:val="24"/>
              </w:rPr>
              <w:t>邮编：830000</w:t>
            </w:r>
          </w:p>
          <w:p>
            <w:pPr>
              <w:rPr>
                <w:rFonts w:hint="eastAsia" w:ascii="宋体" w:hAnsi="宋体" w:eastAsia="宋体" w:cs="宋体"/>
                <w:spacing w:val="8"/>
                <w:sz w:val="24"/>
                <w:szCs w:val="24"/>
              </w:rPr>
            </w:pPr>
            <w:r>
              <w:rPr>
                <w:rFonts w:hint="eastAsia" w:ascii="宋体" w:hAnsi="宋体" w:eastAsia="宋体" w:cs="宋体"/>
                <w:spacing w:val="8"/>
                <w:sz w:val="24"/>
                <w:szCs w:val="24"/>
              </w:rPr>
              <w:t>电话：</w:t>
            </w:r>
            <w:r>
              <w:rPr>
                <w:rStyle w:val="36"/>
                <w:rFonts w:hint="eastAsia" w:ascii="宋体" w:hAnsi="宋体" w:eastAsia="宋体" w:cs="宋体"/>
                <w:b w:val="0"/>
                <w:bCs w:val="0"/>
                <w:color w:val="000000"/>
                <w:sz w:val="24"/>
                <w:szCs w:val="24"/>
              </w:rPr>
              <w:t>0991-2629781、18097782413</w:t>
            </w:r>
            <w:r>
              <w:rPr>
                <w:rFonts w:hint="eastAsia" w:ascii="宋体" w:hAnsi="宋体" w:eastAsia="宋体" w:cs="宋体"/>
                <w:spacing w:val="8"/>
                <w:sz w:val="24"/>
                <w:szCs w:val="24"/>
              </w:rPr>
              <w:t xml:space="preserve"> 传真：0991-2629781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w:t>
            </w:r>
          </w:p>
        </w:tc>
        <w:tc>
          <w:tcPr>
            <w:tcW w:w="92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eastAsia="宋体" w:cs="宋体"/>
                <w:b/>
                <w:bCs/>
                <w:sz w:val="24"/>
                <w:szCs w:val="24"/>
              </w:rPr>
            </w:pPr>
            <w:r>
              <w:rPr>
                <w:rFonts w:hint="eastAsia" w:ascii="宋体" w:hAnsi="宋体" w:eastAsia="宋体" w:cs="宋体"/>
                <w:b/>
                <w:bCs/>
                <w:sz w:val="24"/>
                <w:szCs w:val="24"/>
              </w:rPr>
              <w:t>磋商响应保证金金额：</w:t>
            </w:r>
            <w:r>
              <w:rPr>
                <w:rFonts w:hint="eastAsia" w:ascii="宋体" w:hAnsi="宋体" w:cs="宋体"/>
                <w:b/>
                <w:bCs/>
                <w:sz w:val="24"/>
                <w:szCs w:val="24"/>
                <w:lang w:val="en-US" w:eastAsia="zh-CN"/>
              </w:rPr>
              <w:t>8000</w:t>
            </w:r>
            <w:r>
              <w:rPr>
                <w:rFonts w:hint="eastAsia" w:ascii="宋体" w:hAnsi="宋体" w:eastAsia="宋体" w:cs="宋体"/>
                <w:b/>
                <w:bCs/>
                <w:sz w:val="24"/>
                <w:szCs w:val="24"/>
                <w:lang w:val="en-US" w:eastAsia="zh-CN"/>
              </w:rPr>
              <w:t>.00元（大写：</w:t>
            </w:r>
            <w:r>
              <w:rPr>
                <w:rFonts w:hint="eastAsia" w:ascii="宋体" w:hAnsi="宋体" w:cs="宋体"/>
                <w:b/>
                <w:bCs/>
                <w:sz w:val="24"/>
                <w:szCs w:val="24"/>
                <w:lang w:val="en-US" w:eastAsia="zh-CN"/>
              </w:rPr>
              <w:t>捌仟元整</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w:t>
            </w:r>
          </w:p>
          <w:p>
            <w:pPr>
              <w:spacing w:line="400" w:lineRule="exact"/>
              <w:rPr>
                <w:rFonts w:hint="eastAsia" w:ascii="宋体" w:hAnsi="宋体" w:eastAsia="宋体" w:cs="宋体"/>
                <w:sz w:val="24"/>
                <w:szCs w:val="24"/>
              </w:rPr>
            </w:pPr>
            <w:r>
              <w:rPr>
                <w:rFonts w:hint="eastAsia" w:ascii="宋体" w:hAnsi="宋体" w:eastAsia="宋体" w:cs="宋体"/>
                <w:sz w:val="24"/>
                <w:szCs w:val="24"/>
              </w:rPr>
              <w:t>磋商响应保证金账户名称：华春建设工程项目管理有限责任公司乌鲁木齐分公司</w:t>
            </w:r>
          </w:p>
          <w:p>
            <w:pPr>
              <w:spacing w:line="400" w:lineRule="exact"/>
              <w:rPr>
                <w:rFonts w:hint="eastAsia" w:ascii="宋体" w:hAnsi="宋体" w:eastAsia="宋体" w:cs="宋体"/>
                <w:sz w:val="24"/>
                <w:szCs w:val="24"/>
              </w:rPr>
            </w:pPr>
            <w:r>
              <w:rPr>
                <w:rFonts w:hint="eastAsia" w:ascii="宋体" w:hAnsi="宋体" w:eastAsia="宋体" w:cs="宋体"/>
                <w:sz w:val="24"/>
                <w:szCs w:val="24"/>
              </w:rPr>
              <w:t>磋商响应保证金账号：30000601040004017</w:t>
            </w:r>
          </w:p>
          <w:p>
            <w:pPr>
              <w:spacing w:line="400" w:lineRule="exact"/>
              <w:rPr>
                <w:rFonts w:hint="eastAsia" w:ascii="宋体" w:hAnsi="宋体" w:eastAsia="宋体" w:cs="宋体"/>
                <w:sz w:val="24"/>
                <w:szCs w:val="24"/>
              </w:rPr>
            </w:pPr>
            <w:r>
              <w:rPr>
                <w:rFonts w:hint="eastAsia" w:ascii="宋体" w:hAnsi="宋体" w:eastAsia="宋体" w:cs="宋体"/>
                <w:sz w:val="24"/>
                <w:szCs w:val="24"/>
              </w:rPr>
              <w:t>开户银行：中国农业银行股份有限公司乌鲁木齐北门支行</w:t>
            </w:r>
          </w:p>
          <w:p>
            <w:pPr>
              <w:spacing w:line="400" w:lineRule="exact"/>
              <w:rPr>
                <w:rFonts w:hint="eastAsia" w:ascii="宋体" w:hAnsi="宋体" w:eastAsia="宋体" w:cs="宋体"/>
                <w:sz w:val="24"/>
                <w:szCs w:val="24"/>
              </w:rPr>
            </w:pPr>
            <w:r>
              <w:rPr>
                <w:rFonts w:hint="eastAsia" w:ascii="宋体" w:hAnsi="宋体" w:eastAsia="宋体" w:cs="宋体"/>
                <w:sz w:val="24"/>
                <w:szCs w:val="24"/>
              </w:rPr>
              <w:t>开户行行号：103881000068</w:t>
            </w:r>
          </w:p>
          <w:p>
            <w:pPr>
              <w:spacing w:line="400" w:lineRule="exact"/>
              <w:rPr>
                <w:rFonts w:hint="eastAsia" w:ascii="宋体" w:hAnsi="宋体" w:eastAsia="宋体" w:cs="宋体"/>
                <w:sz w:val="24"/>
                <w:szCs w:val="24"/>
              </w:rPr>
            </w:pPr>
            <w:r>
              <w:rPr>
                <w:rFonts w:hint="eastAsia" w:ascii="宋体" w:hAnsi="宋体" w:eastAsia="宋体" w:cs="宋体"/>
                <w:sz w:val="24"/>
                <w:szCs w:val="24"/>
              </w:rPr>
              <w:t>磋商响应保证金缴纳形式：磋商响应保证金于202</w:t>
            </w:r>
            <w:r>
              <w:rPr>
                <w:rFonts w:hint="eastAsia" w:ascii="宋体" w:hAnsi="宋体" w:cs="宋体"/>
                <w:sz w:val="24"/>
                <w:szCs w:val="24"/>
                <w:lang w:val="en-US" w:eastAsia="zh-CN"/>
              </w:rPr>
              <w:t>1</w:t>
            </w:r>
            <w:r>
              <w:rPr>
                <w:rFonts w:hint="eastAsia" w:ascii="宋体" w:hAnsi="宋体" w:eastAsia="宋体" w:cs="宋体"/>
                <w:sz w:val="24"/>
                <w:szCs w:val="24"/>
              </w:rPr>
              <w:t>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15</w:t>
            </w:r>
            <w:r>
              <w:rPr>
                <w:rFonts w:hint="eastAsia" w:ascii="宋体" w:hAnsi="宋体" w:eastAsia="宋体" w:cs="宋体"/>
                <w:sz w:val="24"/>
                <w:szCs w:val="24"/>
              </w:rPr>
              <w:t>日</w:t>
            </w:r>
            <w:r>
              <w:rPr>
                <w:rFonts w:hint="eastAsia" w:ascii="宋体" w:hAnsi="宋体" w:cs="宋体"/>
                <w:sz w:val="24"/>
                <w:szCs w:val="24"/>
                <w:lang w:val="en-US" w:eastAsia="zh-CN"/>
              </w:rPr>
              <w:t>16</w:t>
            </w:r>
            <w:r>
              <w:rPr>
                <w:rFonts w:hint="eastAsia" w:ascii="宋体" w:hAnsi="宋体" w:eastAsia="宋体" w:cs="宋体"/>
                <w:sz w:val="24"/>
                <w:szCs w:val="24"/>
                <w:lang w:val="en-US" w:eastAsia="zh-CN"/>
              </w:rPr>
              <w:t>：00</w:t>
            </w:r>
            <w:r>
              <w:rPr>
                <w:rFonts w:hint="eastAsia" w:ascii="宋体" w:hAnsi="宋体" w:eastAsia="宋体" w:cs="宋体"/>
                <w:sz w:val="24"/>
                <w:szCs w:val="24"/>
              </w:rPr>
              <w:t>（北京时间，以到账时间为准）之前从投标人基本账户以网银或银行电汇形式汇至本公司账户，否则其投标文件将被拒绝评审，投标人提交投标保证金应充分考虑资金在途时间。</w:t>
            </w:r>
          </w:p>
          <w:p>
            <w:pPr>
              <w:spacing w:line="400" w:lineRule="exact"/>
              <w:rPr>
                <w:rFonts w:hint="eastAsia" w:ascii="宋体" w:hAnsi="宋体" w:eastAsia="宋体" w:cs="宋体"/>
                <w:b/>
                <w:bCs/>
                <w:sz w:val="24"/>
                <w:szCs w:val="24"/>
              </w:rPr>
            </w:pPr>
            <w:r>
              <w:rPr>
                <w:rFonts w:hint="eastAsia" w:ascii="宋体" w:hAnsi="宋体" w:eastAsia="宋体" w:cs="宋体"/>
                <w:b/>
                <w:bCs/>
                <w:sz w:val="24"/>
                <w:szCs w:val="24"/>
              </w:rPr>
              <w:t>注：投标人向银行办理投标保证金汇（转）款时，应在用途栏（备注栏）准确注明“     （项目编号）投标保证金”字样（示例</w:t>
            </w:r>
            <w:r>
              <w:rPr>
                <w:rFonts w:hint="eastAsia" w:ascii="宋体" w:hAnsi="宋体" w:cs="宋体"/>
                <w:b/>
                <w:bCs/>
                <w:sz w:val="24"/>
                <w:szCs w:val="24"/>
                <w:lang w:eastAsia="zh-CN"/>
              </w:rPr>
              <w:t>hcxjczt-2021-342</w:t>
            </w:r>
            <w:r>
              <w:rPr>
                <w:rFonts w:hint="eastAsia" w:ascii="宋体" w:hAnsi="宋体" w:eastAsia="宋体" w:cs="宋体"/>
                <w:b/>
                <w:bCs/>
                <w:sz w:val="24"/>
                <w:szCs w:val="24"/>
              </w:rPr>
              <w:t>投标保证金），由于未按要求注明信息而导致的一切后果由投标人承担。</w:t>
            </w:r>
          </w:p>
          <w:p>
            <w:pPr>
              <w:spacing w:line="400" w:lineRule="exact"/>
              <w:rPr>
                <w:rFonts w:hint="eastAsia" w:ascii="宋体" w:hAnsi="宋体" w:eastAsia="宋体" w:cs="宋体"/>
                <w:b/>
                <w:sz w:val="24"/>
                <w:szCs w:val="24"/>
              </w:rPr>
            </w:pPr>
            <w:r>
              <w:rPr>
                <w:rFonts w:hint="eastAsia" w:ascii="宋体" w:hAnsi="宋体" w:eastAsia="宋体" w:cs="宋体"/>
                <w:b/>
                <w:bCs/>
                <w:sz w:val="24"/>
                <w:szCs w:val="24"/>
              </w:rPr>
              <w:t>注：开标时需提供开户行许可证，以备后续退保证金使用。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w:t>
            </w:r>
          </w:p>
        </w:tc>
        <w:tc>
          <w:tcPr>
            <w:tcW w:w="92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4"/>
                <w:szCs w:val="24"/>
              </w:rPr>
            </w:pPr>
            <w:r>
              <w:rPr>
                <w:rFonts w:hint="eastAsia" w:ascii="宋体" w:hAnsi="宋体" w:eastAsia="宋体" w:cs="宋体"/>
                <w:sz w:val="24"/>
                <w:szCs w:val="24"/>
              </w:rPr>
              <w:t>磋商响应语言：中文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 w:hRule="atLeast"/>
        </w:trPr>
        <w:tc>
          <w:tcPr>
            <w:tcW w:w="999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磋 商 响 应 文 件 的 编 制 和 递 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tabs>
                <w:tab w:val="left" w:pos="252"/>
                <w:tab w:val="left" w:pos="671"/>
              </w:tabs>
              <w:jc w:val="center"/>
              <w:rPr>
                <w:rFonts w:hint="eastAsia" w:ascii="宋体" w:hAnsi="宋体" w:eastAsia="宋体" w:cs="宋体"/>
                <w:spacing w:val="8"/>
                <w:sz w:val="24"/>
                <w:szCs w:val="24"/>
              </w:rPr>
            </w:pPr>
            <w:r>
              <w:rPr>
                <w:rFonts w:hint="eastAsia" w:ascii="宋体" w:hAnsi="宋体" w:eastAsia="宋体" w:cs="宋体"/>
                <w:spacing w:val="8"/>
                <w:sz w:val="24"/>
                <w:szCs w:val="24"/>
              </w:rPr>
              <w:t>6</w:t>
            </w:r>
          </w:p>
        </w:tc>
        <w:tc>
          <w:tcPr>
            <w:tcW w:w="92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500" w:lineRule="exact"/>
              <w:jc w:val="left"/>
              <w:textAlignment w:val="auto"/>
              <w:rPr>
                <w:rFonts w:hint="eastAsia" w:ascii="宋体" w:hAnsi="宋体" w:eastAsia="宋体" w:cs="宋体"/>
                <w:b/>
                <w:bCs/>
                <w:spacing w:val="8"/>
                <w:sz w:val="24"/>
                <w:szCs w:val="24"/>
                <w:lang w:eastAsia="zh-CN"/>
              </w:rPr>
            </w:pPr>
            <w:r>
              <w:rPr>
                <w:rFonts w:hint="eastAsia" w:ascii="宋体" w:hAnsi="宋体" w:cs="宋体"/>
                <w:b/>
                <w:bCs/>
                <w:spacing w:val="8"/>
                <w:sz w:val="24"/>
                <w:szCs w:val="24"/>
                <w:lang w:eastAsia="zh-CN"/>
              </w:rPr>
              <w:t>供应商</w:t>
            </w:r>
            <w:r>
              <w:rPr>
                <w:rFonts w:hint="eastAsia" w:ascii="宋体" w:hAnsi="宋体" w:eastAsia="宋体" w:cs="宋体"/>
                <w:b/>
                <w:bCs/>
                <w:spacing w:val="8"/>
                <w:sz w:val="24"/>
                <w:szCs w:val="24"/>
                <w:lang w:eastAsia="zh-CN"/>
              </w:rPr>
              <w:t>资格要求：</w:t>
            </w:r>
          </w:p>
          <w:p>
            <w:pPr>
              <w:pStyle w:val="29"/>
              <w:keepNext w:val="0"/>
              <w:keepLines w:val="0"/>
              <w:widowControl/>
              <w:numPr>
                <w:ilvl w:val="0"/>
                <w:numId w:val="0"/>
              </w:numPr>
              <w:suppressLineNumbers w:val="0"/>
              <w:spacing w:before="75" w:beforeAutospacing="0" w:after="75" w:afterAutospacing="0"/>
              <w:ind w:leftChars="0" w:right="0" w:righ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1、符合《中华人民共和国政府采购法》第二十二条款的规定，具有有效的营业执照；具有独立订立合同的权利，能独立承担民事责任的能力。</w:t>
            </w:r>
          </w:p>
          <w:p>
            <w:pPr>
              <w:pStyle w:val="29"/>
              <w:keepNext w:val="0"/>
              <w:keepLines w:val="0"/>
              <w:widowControl/>
              <w:numPr>
                <w:ilvl w:val="0"/>
                <w:numId w:val="0"/>
              </w:numPr>
              <w:suppressLineNumbers w:val="0"/>
              <w:spacing w:before="75" w:beforeAutospacing="0" w:after="75" w:afterAutospacing="0"/>
              <w:ind w:leftChars="0" w:right="0" w:rightChars="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本项目不接受联合体投标</w:t>
            </w:r>
            <w:r>
              <w:rPr>
                <w:rFonts w:hint="eastAsia" w:ascii="宋体" w:hAnsi="宋体" w:eastAsia="宋体" w:cs="宋体"/>
                <w:b/>
                <w:bCs/>
                <w:sz w:val="24"/>
                <w:szCs w:val="24"/>
                <w:lang w:eastAsia="zh-CN"/>
              </w:rPr>
              <w:t>；</w:t>
            </w:r>
          </w:p>
          <w:p>
            <w:pPr>
              <w:pStyle w:val="29"/>
              <w:keepNext w:val="0"/>
              <w:keepLines w:val="0"/>
              <w:widowControl/>
              <w:numPr>
                <w:ilvl w:val="0"/>
                <w:numId w:val="0"/>
              </w:numPr>
              <w:suppressLineNumbers w:val="0"/>
              <w:spacing w:before="75" w:beforeAutospacing="0" w:after="75" w:afterAutospacing="0"/>
              <w:ind w:leftChars="0" w:right="0" w:rightChars="0"/>
              <w:rPr>
                <w:rFonts w:hint="eastAsia" w:ascii="宋体" w:hAnsi="宋体" w:eastAsia="宋体" w:cs="宋体"/>
                <w:b/>
                <w:bCs/>
                <w:sz w:val="24"/>
                <w:szCs w:val="24"/>
              </w:rPr>
            </w:pPr>
            <w:r>
              <w:rPr>
                <w:rFonts w:hint="eastAsia" w:ascii="宋体" w:hAnsi="宋体" w:eastAsia="宋体" w:cs="宋体"/>
                <w:b/>
                <w:bCs/>
                <w:sz w:val="24"/>
                <w:szCs w:val="24"/>
                <w:lang w:val="en-US" w:eastAsia="zh-CN"/>
              </w:rPr>
              <w:t>3、必须为未被列入信用中国网站(www.creditchina.gov.cn)、中国政府采购网(www.ccgp.gov.cn)渠道信用记录失信被执行人、重大税收违法案件当事人名单、政府采购严重违法失信行为记录名单的投标人。</w:t>
            </w:r>
          </w:p>
          <w:p>
            <w:pPr>
              <w:keepNext w:val="0"/>
              <w:keepLines w:val="0"/>
              <w:pageBreakBefore w:val="0"/>
              <w:widowControl/>
              <w:numPr>
                <w:ilvl w:val="0"/>
                <w:numId w:val="0"/>
              </w:numPr>
              <w:kinsoku/>
              <w:wordWrap/>
              <w:overflowPunct/>
              <w:topLinePunct w:val="0"/>
              <w:autoSpaceDE/>
              <w:autoSpaceDN/>
              <w:bidi w:val="0"/>
              <w:adjustRightInd/>
              <w:snapToGrid/>
              <w:spacing w:line="500" w:lineRule="exact"/>
              <w:ind w:firstLine="241" w:firstLineChars="100"/>
              <w:jc w:val="left"/>
              <w:textAlignment w:val="auto"/>
              <w:rPr>
                <w:rFonts w:hint="eastAsia" w:ascii="宋体" w:hAnsi="宋体" w:eastAsia="宋体" w:cs="宋体"/>
                <w:spacing w:val="8"/>
                <w:sz w:val="24"/>
                <w:szCs w:val="24"/>
                <w:lang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、其他说明： (1) 与招标人存在利害关系可能影响招标公正性的法人、其他组织或者个人，不得参加投标: (2) 单位负责人为同一人或者存在控股、管理关系的不同单位，不得参加同一标段投标或者未划分标段的同一招标项目投标。违反上述两款规定的，相关投标均无效</w:t>
            </w:r>
            <w:r>
              <w:rPr>
                <w:rFonts w:hint="eastAsia" w:ascii="宋体" w:hAnsi="宋体" w:eastAsia="宋体" w:cs="宋体"/>
                <w:b/>
                <w:bCs/>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w:t>
            </w:r>
          </w:p>
        </w:tc>
        <w:tc>
          <w:tcPr>
            <w:tcW w:w="92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sz w:val="24"/>
                <w:szCs w:val="24"/>
              </w:rPr>
            </w:pPr>
            <w:r>
              <w:rPr>
                <w:rFonts w:hint="eastAsia" w:ascii="宋体" w:hAnsi="宋体" w:eastAsia="宋体" w:cs="宋体"/>
                <w:b/>
                <w:sz w:val="24"/>
                <w:szCs w:val="24"/>
              </w:rPr>
              <w:t>磋商响应有效期：</w:t>
            </w:r>
            <w:r>
              <w:rPr>
                <w:rFonts w:hint="eastAsia" w:ascii="宋体" w:hAnsi="宋体" w:eastAsia="宋体" w:cs="宋体"/>
                <w:b/>
                <w:sz w:val="24"/>
                <w:szCs w:val="24"/>
                <w:u w:val="single"/>
              </w:rPr>
              <w:t>60天</w:t>
            </w:r>
            <w:r>
              <w:rPr>
                <w:rFonts w:hint="eastAsia" w:ascii="宋体" w:hAnsi="宋体" w:eastAsia="宋体" w:cs="宋体"/>
                <w:b/>
                <w:sz w:val="24"/>
                <w:szCs w:val="24"/>
              </w:rPr>
              <w:t>（如不满足将导致废标）。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9</w:t>
            </w:r>
          </w:p>
        </w:tc>
        <w:tc>
          <w:tcPr>
            <w:tcW w:w="9288" w:type="dxa"/>
            <w:tcBorders>
              <w:top w:val="single" w:color="auto" w:sz="4" w:space="0"/>
              <w:left w:val="single" w:color="auto" w:sz="4" w:space="0"/>
              <w:bottom w:val="single" w:color="auto" w:sz="4" w:space="0"/>
              <w:right w:val="single" w:color="auto" w:sz="4" w:space="0"/>
            </w:tcBorders>
            <w:vAlign w:val="center"/>
          </w:tcPr>
          <w:p>
            <w:pPr>
              <w:pStyle w:val="79"/>
              <w:snapToGrid w:val="0"/>
              <w:rPr>
                <w:rFonts w:hint="eastAsia" w:ascii="宋体" w:hAnsi="宋体" w:eastAsia="宋体" w:cs="宋体"/>
                <w:color w:val="auto"/>
              </w:rPr>
            </w:pPr>
            <w:r>
              <w:rPr>
                <w:rFonts w:hint="eastAsia" w:ascii="宋体" w:hAnsi="宋体" w:eastAsia="宋体" w:cs="宋体"/>
                <w:color w:val="auto"/>
              </w:rPr>
              <w:t>根据</w:t>
            </w:r>
            <w:r>
              <w:rPr>
                <w:rFonts w:hint="eastAsia" w:ascii="宋体" w:hAnsi="宋体" w:cs="宋体"/>
                <w:color w:val="auto"/>
                <w:lang w:eastAsia="zh-CN"/>
              </w:rPr>
              <w:t>乌鲁木齐市水磨沟区第十二幼儿园</w:t>
            </w:r>
            <w:r>
              <w:rPr>
                <w:rFonts w:hint="eastAsia" w:ascii="宋体" w:hAnsi="宋体" w:eastAsia="宋体" w:cs="宋体"/>
                <w:color w:val="auto"/>
              </w:rPr>
              <w:t>具体要求安装、调试等其他服务。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9288" w:type="dxa"/>
            <w:tcBorders>
              <w:top w:val="single" w:color="auto" w:sz="4" w:space="0"/>
              <w:left w:val="single" w:color="auto" w:sz="4" w:space="0"/>
              <w:bottom w:val="single" w:color="auto" w:sz="4" w:space="0"/>
              <w:right w:val="single" w:color="auto" w:sz="4" w:space="0"/>
            </w:tcBorders>
            <w:vAlign w:val="center"/>
          </w:tcPr>
          <w:p>
            <w:pPr>
              <w:pStyle w:val="79"/>
              <w:snapToGrid w:val="0"/>
              <w:rPr>
                <w:rFonts w:hint="default" w:ascii="宋体" w:hAnsi="宋体" w:eastAsia="宋体" w:cs="宋体"/>
                <w:color w:val="auto"/>
                <w:highlight w:val="none"/>
                <w:lang w:val="en-US" w:eastAsia="zh-CN"/>
              </w:rPr>
            </w:pPr>
            <w:r>
              <w:rPr>
                <w:rFonts w:hint="eastAsia" w:ascii="宋体" w:hAnsi="宋体" w:cs="宋体"/>
                <w:b/>
                <w:bCs/>
                <w:color w:val="auto"/>
                <w:highlight w:val="none"/>
                <w:lang w:eastAsia="zh-CN"/>
              </w:rPr>
              <w:t>交货期</w:t>
            </w:r>
            <w:r>
              <w:rPr>
                <w:rFonts w:hint="eastAsia" w:ascii="宋体" w:hAnsi="宋体" w:eastAsia="宋体" w:cs="宋体"/>
                <w:color w:val="auto"/>
                <w:highlight w:val="none"/>
              </w:rPr>
              <w:t>：</w:t>
            </w:r>
            <w:r>
              <w:rPr>
                <w:rFonts w:hint="eastAsia" w:ascii="宋体" w:hAnsi="宋体" w:cs="宋体"/>
                <w:color w:val="auto"/>
                <w:highlight w:val="none"/>
                <w:lang w:val="en-US" w:eastAsia="zh-CN"/>
              </w:rPr>
              <w:t xml:space="preserve">20天                           </w:t>
            </w:r>
            <w:r>
              <w:rPr>
                <w:rFonts w:hint="eastAsia" w:ascii="宋体" w:hAnsi="宋体" w:cs="宋体"/>
                <w:b/>
                <w:bCs/>
                <w:color w:val="auto"/>
                <w:highlight w:val="none"/>
                <w:lang w:val="en-US" w:eastAsia="zh-CN"/>
              </w:rPr>
              <w:t xml:space="preserve"> </w:t>
            </w:r>
            <w:r>
              <w:rPr>
                <w:rFonts w:hint="eastAsia" w:ascii="宋体" w:hAnsi="宋体" w:cs="宋体"/>
                <w:b/>
                <w:bCs/>
                <w:color w:val="auto"/>
                <w:highlight w:val="none"/>
                <w:lang w:eastAsia="zh-CN"/>
              </w:rPr>
              <w:t>质保期</w:t>
            </w:r>
            <w:r>
              <w:rPr>
                <w:rFonts w:hint="eastAsia" w:ascii="宋体" w:hAnsi="宋体" w:eastAsia="宋体" w:cs="宋体"/>
                <w:b/>
                <w:bCs/>
                <w:color w:val="auto"/>
                <w:highlight w:val="none"/>
              </w:rPr>
              <w:t>：</w:t>
            </w:r>
            <w:r>
              <w:rPr>
                <w:rFonts w:hint="eastAsia" w:ascii="宋体" w:hAnsi="宋体" w:eastAsia="宋体" w:cs="宋体"/>
                <w:color w:val="auto"/>
                <w:highlight w:val="none"/>
                <w:lang w:val="en-US" w:eastAsia="zh-CN"/>
              </w:rPr>
              <w:t xml:space="preserve"> </w:t>
            </w:r>
            <w:r>
              <w:rPr>
                <w:rFonts w:hint="eastAsia" w:ascii="宋体" w:hAnsi="宋体" w:cs="宋体"/>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92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eastAsia="宋体" w:cs="宋体"/>
                <w:sz w:val="24"/>
                <w:szCs w:val="24"/>
              </w:rPr>
            </w:pPr>
            <w:r>
              <w:rPr>
                <w:rFonts w:hint="eastAsia" w:ascii="宋体" w:hAnsi="宋体" w:eastAsia="宋体" w:cs="宋体"/>
                <w:b/>
                <w:bCs/>
                <w:sz w:val="24"/>
                <w:szCs w:val="24"/>
              </w:rPr>
              <w:t>支付方式：具体以甲方签订合同为准。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92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4"/>
                <w:szCs w:val="24"/>
              </w:rPr>
            </w:pPr>
            <w:r>
              <w:rPr>
                <w:rFonts w:hint="eastAsia" w:ascii="宋体" w:hAnsi="宋体" w:eastAsia="宋体" w:cs="宋体"/>
                <w:sz w:val="24"/>
                <w:szCs w:val="24"/>
              </w:rPr>
              <w:t>采购人单位监督部门的工作人员将对供应商磋商响应进行资格初审。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92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eastAsia="宋体" w:cs="宋体"/>
                <w:b/>
                <w:bCs/>
                <w:sz w:val="24"/>
                <w:szCs w:val="24"/>
              </w:rPr>
            </w:pPr>
            <w:r>
              <w:rPr>
                <w:rFonts w:hint="eastAsia" w:ascii="宋体" w:hAnsi="宋体" w:eastAsia="宋体" w:cs="宋体"/>
                <w:b/>
                <w:bCs/>
                <w:sz w:val="24"/>
                <w:szCs w:val="24"/>
              </w:rPr>
              <w:t>资格审查内容（开标时随身携带）：</w:t>
            </w:r>
          </w:p>
          <w:p>
            <w:pPr>
              <w:spacing w:line="400" w:lineRule="exact"/>
              <w:rPr>
                <w:rFonts w:hint="eastAsia" w:ascii="宋体" w:hAnsi="宋体" w:eastAsia="宋体" w:cs="宋体"/>
                <w:b/>
                <w:bCs/>
                <w:sz w:val="24"/>
                <w:szCs w:val="24"/>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有效的营业执照原件；</w:t>
            </w:r>
          </w:p>
          <w:p>
            <w:pPr>
              <w:spacing w:line="400" w:lineRule="exact"/>
              <w:rPr>
                <w:rFonts w:hint="eastAsia" w:ascii="宋体" w:hAnsi="宋体" w:eastAsia="宋体" w:cs="宋体"/>
                <w:b/>
                <w:bCs/>
                <w:sz w:val="24"/>
                <w:szCs w:val="24"/>
              </w:rPr>
            </w:pPr>
            <w:r>
              <w:rPr>
                <w:rFonts w:hint="eastAsia" w:ascii="宋体" w:hAnsi="宋体" w:eastAsia="宋体" w:cs="宋体"/>
                <w:b/>
                <w:bCs/>
                <w:sz w:val="24"/>
                <w:szCs w:val="24"/>
              </w:rPr>
              <w:t>2、法定代表人身份证明书及法定代表人身份证原件（或法定代表人授权委托书及被委托人身份证原件；</w:t>
            </w:r>
          </w:p>
          <w:p>
            <w:pPr>
              <w:spacing w:line="400" w:lineRule="exact"/>
              <w:rPr>
                <w:rFonts w:hint="eastAsia" w:ascii="宋体" w:hAnsi="宋体" w:eastAsia="宋体" w:cs="宋体"/>
                <w:b/>
                <w:bCs/>
                <w:sz w:val="24"/>
                <w:szCs w:val="24"/>
              </w:rPr>
            </w:pPr>
            <w:r>
              <w:rPr>
                <w:rFonts w:hint="eastAsia" w:ascii="宋体" w:hAnsi="宋体" w:eastAsia="宋体" w:cs="宋体"/>
                <w:b/>
                <w:bCs/>
                <w:sz w:val="24"/>
                <w:szCs w:val="24"/>
              </w:rPr>
              <w:t>3、投标保证金汇款凭证（复印件盖公章）。</w:t>
            </w:r>
          </w:p>
          <w:p>
            <w:pPr>
              <w:spacing w:line="400" w:lineRule="exact"/>
              <w:rPr>
                <w:rFonts w:hint="eastAsia" w:ascii="宋体" w:hAnsi="宋体" w:eastAsia="宋体" w:cs="宋体"/>
                <w:b/>
                <w:bCs/>
                <w:sz w:val="24"/>
                <w:szCs w:val="24"/>
              </w:rPr>
            </w:pPr>
            <w:r>
              <w:rPr>
                <w:rFonts w:hint="eastAsia" w:ascii="宋体" w:hAnsi="宋体" w:eastAsia="宋体" w:cs="宋体"/>
                <w:b/>
                <w:bCs/>
                <w:sz w:val="24"/>
                <w:szCs w:val="24"/>
              </w:rPr>
              <w:t>(以上资料需提供复印件加盖公章一份）</w:t>
            </w:r>
          </w:p>
          <w:p>
            <w:pPr>
              <w:spacing w:line="400" w:lineRule="exact"/>
              <w:rPr>
                <w:rFonts w:hint="eastAsia" w:ascii="宋体" w:hAnsi="宋体" w:eastAsia="宋体" w:cs="宋体"/>
                <w:b/>
                <w:bCs/>
                <w:sz w:val="24"/>
                <w:szCs w:val="24"/>
              </w:rPr>
            </w:pPr>
            <w:r>
              <w:rPr>
                <w:rFonts w:hint="eastAsia" w:ascii="宋体" w:hAnsi="宋体" w:eastAsia="宋体" w:cs="宋体"/>
                <w:b/>
                <w:bCs/>
                <w:sz w:val="24"/>
                <w:szCs w:val="24"/>
              </w:rPr>
              <w:t>注：无法提出合法证明文件的投标人为无效投标人，其投标文件不予开封并退回投标人。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9288"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eastAsia="宋体" w:cs="宋体"/>
                <w:sz w:val="24"/>
                <w:szCs w:val="24"/>
              </w:rPr>
            </w:pPr>
            <w:r>
              <w:rPr>
                <w:rFonts w:hint="eastAsia" w:ascii="宋体" w:hAnsi="宋体" w:eastAsia="宋体" w:cs="宋体"/>
                <w:sz w:val="24"/>
                <w:szCs w:val="24"/>
              </w:rPr>
              <w:t>磋商响应文件：正本一份、副本二份。</w:t>
            </w:r>
          </w:p>
          <w:p>
            <w:pPr>
              <w:spacing w:line="400" w:lineRule="exact"/>
              <w:rPr>
                <w:rFonts w:hint="eastAsia" w:ascii="宋体" w:hAnsi="宋体" w:eastAsia="宋体" w:cs="宋体"/>
                <w:sz w:val="24"/>
                <w:szCs w:val="24"/>
              </w:rPr>
            </w:pPr>
            <w:r>
              <w:rPr>
                <w:rFonts w:hint="eastAsia" w:ascii="宋体" w:hAnsi="宋体" w:eastAsia="宋体" w:cs="宋体"/>
                <w:sz w:val="24"/>
                <w:szCs w:val="24"/>
              </w:rPr>
              <w:t>开标一览表：一份（单独密封）</w:t>
            </w:r>
          </w:p>
          <w:p>
            <w:pPr>
              <w:spacing w:line="360" w:lineRule="auto"/>
              <w:rPr>
                <w:rFonts w:hint="eastAsia" w:ascii="宋体" w:hAnsi="宋体" w:eastAsia="宋体" w:cs="宋体"/>
                <w:sz w:val="24"/>
                <w:szCs w:val="24"/>
              </w:rPr>
            </w:pPr>
            <w:r>
              <w:rPr>
                <w:rFonts w:hint="eastAsia" w:ascii="宋体" w:hAnsi="宋体" w:eastAsia="宋体" w:cs="宋体"/>
                <w:sz w:val="24"/>
                <w:szCs w:val="24"/>
              </w:rPr>
              <w:t>电子版响应文件：</w:t>
            </w:r>
            <w:r>
              <w:rPr>
                <w:rFonts w:hint="eastAsia" w:ascii="宋体" w:hAnsi="宋体" w:eastAsia="宋体" w:cs="宋体"/>
                <w:sz w:val="24"/>
                <w:szCs w:val="24"/>
                <w:u w:val="single"/>
              </w:rPr>
              <w:t xml:space="preserve"> 一 </w:t>
            </w:r>
            <w:r>
              <w:rPr>
                <w:rFonts w:hint="eastAsia" w:ascii="宋体" w:hAnsi="宋体" w:eastAsia="宋体" w:cs="宋体"/>
                <w:sz w:val="24"/>
                <w:szCs w:val="24"/>
              </w:rPr>
              <w:t>份(☑扫描件，☑Word，以U盘形式提交)</w:t>
            </w:r>
          </w:p>
          <w:p>
            <w:pPr>
              <w:spacing w:line="360" w:lineRule="auto"/>
              <w:rPr>
                <w:rFonts w:hint="eastAsia" w:ascii="宋体" w:hAnsi="宋体" w:eastAsia="宋体" w:cs="宋体"/>
                <w:b/>
                <w:sz w:val="24"/>
                <w:szCs w:val="24"/>
              </w:rPr>
            </w:pPr>
            <w:r>
              <w:rPr>
                <w:rFonts w:hint="eastAsia" w:ascii="宋体" w:hAnsi="宋体" w:eastAsia="宋体" w:cs="宋体"/>
                <w:b/>
                <w:bCs/>
                <w:sz w:val="24"/>
                <w:szCs w:val="24"/>
              </w:rPr>
              <w:t>（注：装订形式：不得采用活页、拉杆等方式，必须采用胶装）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928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磋商响应文件以密封形式递交至：</w:t>
            </w:r>
            <w:r>
              <w:rPr>
                <w:rStyle w:val="36"/>
                <w:rFonts w:hint="eastAsia" w:ascii="宋体" w:hAnsi="宋体" w:eastAsia="宋体" w:cs="宋体"/>
                <w:b w:val="0"/>
                <w:bCs w:val="0"/>
                <w:color w:val="000000"/>
                <w:sz w:val="24"/>
                <w:szCs w:val="24"/>
              </w:rPr>
              <w:t>新疆乌鲁木齐市水磨沟区浙商大厦15楼150</w:t>
            </w:r>
            <w:r>
              <w:rPr>
                <w:rStyle w:val="36"/>
                <w:rFonts w:hint="eastAsia" w:ascii="宋体" w:hAnsi="宋体" w:eastAsia="宋体" w:cs="宋体"/>
                <w:b w:val="0"/>
                <w:bCs w:val="0"/>
                <w:color w:val="000000"/>
                <w:sz w:val="24"/>
                <w:szCs w:val="24"/>
                <w:lang w:val="en-US" w:eastAsia="zh-CN"/>
              </w:rPr>
              <w:t>5</w:t>
            </w:r>
            <w:r>
              <w:rPr>
                <w:rStyle w:val="36"/>
                <w:rFonts w:hint="eastAsia" w:ascii="宋体" w:hAnsi="宋体" w:eastAsia="宋体" w:cs="宋体"/>
                <w:b w:val="0"/>
                <w:bCs w:val="0"/>
                <w:color w:val="000000"/>
                <w:sz w:val="24"/>
                <w:szCs w:val="24"/>
              </w:rPr>
              <w:t>室</w:t>
            </w:r>
            <w:r>
              <w:rPr>
                <w:rFonts w:hint="eastAsia" w:ascii="宋体" w:hAnsi="宋体" w:eastAsia="宋体" w:cs="宋体"/>
                <w:color w:val="000000"/>
                <w:sz w:val="24"/>
                <w:szCs w:val="24"/>
              </w:rPr>
              <w:t>（开标</w:t>
            </w:r>
            <w:r>
              <w:rPr>
                <w:rFonts w:hint="eastAsia" w:ascii="宋体" w:hAnsi="宋体" w:eastAsia="宋体" w:cs="宋体"/>
                <w:color w:val="000000"/>
                <w:sz w:val="24"/>
                <w:szCs w:val="24"/>
                <w:highlight w:val="none"/>
                <w:lang w:val="en-US" w:eastAsia="zh-CN"/>
              </w:rPr>
              <w:t>厅</w:t>
            </w:r>
            <w:r>
              <w:rPr>
                <w:rFonts w:hint="eastAsia" w:ascii="宋体" w:hAnsi="宋体" w:eastAsia="宋体" w:cs="宋体"/>
                <w:color w:val="000000"/>
                <w:sz w:val="24"/>
                <w:szCs w:val="24"/>
              </w:rPr>
              <w:t>）</w:t>
            </w:r>
            <w:r>
              <w:rPr>
                <w:rFonts w:hint="eastAsia" w:ascii="宋体" w:hAnsi="宋体" w:eastAsia="宋体" w:cs="宋体"/>
                <w:sz w:val="24"/>
                <w:szCs w:val="24"/>
              </w:rPr>
              <w:t>。</w:t>
            </w:r>
          </w:p>
          <w:p>
            <w:pPr>
              <w:spacing w:line="360" w:lineRule="auto"/>
              <w:rPr>
                <w:rFonts w:hint="eastAsia" w:ascii="宋体" w:hAnsi="宋体" w:eastAsia="宋体" w:cs="宋体"/>
                <w:sz w:val="24"/>
                <w:szCs w:val="24"/>
              </w:rPr>
            </w:pPr>
            <w:r>
              <w:rPr>
                <w:rFonts w:hint="eastAsia" w:ascii="宋体" w:hAnsi="宋体" w:eastAsia="宋体" w:cs="宋体"/>
                <w:sz w:val="24"/>
                <w:szCs w:val="24"/>
              </w:rPr>
              <w:t>磋商响应文件递交截止时间：202</w:t>
            </w:r>
            <w:r>
              <w:rPr>
                <w:rFonts w:hint="eastAsia" w:ascii="宋体" w:hAnsi="宋体" w:cs="宋体"/>
                <w:sz w:val="24"/>
                <w:szCs w:val="24"/>
                <w:lang w:val="en-US" w:eastAsia="zh-CN"/>
              </w:rPr>
              <w:t>1</w:t>
            </w:r>
            <w:r>
              <w:rPr>
                <w:rFonts w:hint="eastAsia" w:ascii="宋体" w:hAnsi="宋体" w:eastAsia="宋体" w:cs="宋体"/>
                <w:sz w:val="24"/>
                <w:szCs w:val="24"/>
              </w:rPr>
              <w:t>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15</w:t>
            </w:r>
            <w:r>
              <w:rPr>
                <w:rFonts w:hint="eastAsia" w:ascii="宋体" w:hAnsi="宋体" w:eastAsia="宋体" w:cs="宋体"/>
                <w:sz w:val="24"/>
                <w:szCs w:val="24"/>
              </w:rPr>
              <w:t>日</w:t>
            </w:r>
            <w:r>
              <w:rPr>
                <w:rFonts w:hint="eastAsia" w:ascii="宋体" w:hAnsi="宋体" w:cs="宋体"/>
                <w:sz w:val="24"/>
                <w:szCs w:val="24"/>
                <w:lang w:val="en-US" w:eastAsia="zh-CN"/>
              </w:rPr>
              <w:t>16</w:t>
            </w:r>
            <w:r>
              <w:rPr>
                <w:rFonts w:hint="eastAsia" w:ascii="宋体" w:hAnsi="宋体" w:eastAsia="宋体" w:cs="宋体"/>
                <w:sz w:val="24"/>
                <w:szCs w:val="24"/>
              </w:rPr>
              <w:t>：00（北京时间）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 w:hRule="atLeast"/>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928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磋商日期：202</w:t>
            </w:r>
            <w:r>
              <w:rPr>
                <w:rFonts w:hint="eastAsia" w:ascii="宋体" w:hAnsi="宋体" w:cs="宋体"/>
                <w:sz w:val="24"/>
                <w:szCs w:val="24"/>
                <w:lang w:val="en-US" w:eastAsia="zh-CN"/>
              </w:rPr>
              <w:t>1</w:t>
            </w:r>
            <w:r>
              <w:rPr>
                <w:rFonts w:hint="eastAsia" w:ascii="宋体" w:hAnsi="宋体" w:eastAsia="宋体" w:cs="宋体"/>
                <w:sz w:val="24"/>
                <w:szCs w:val="24"/>
              </w:rPr>
              <w:t>0年</w:t>
            </w:r>
            <w:r>
              <w:rPr>
                <w:rFonts w:hint="eastAsia" w:ascii="宋体" w:hAnsi="宋体" w:cs="宋体"/>
                <w:sz w:val="24"/>
                <w:szCs w:val="24"/>
                <w:lang w:val="en-US" w:eastAsia="zh-CN"/>
              </w:rPr>
              <w:t>11</w:t>
            </w:r>
            <w:r>
              <w:rPr>
                <w:rFonts w:hint="eastAsia" w:ascii="宋体" w:hAnsi="宋体" w:eastAsia="宋体" w:cs="宋体"/>
                <w:sz w:val="24"/>
                <w:szCs w:val="24"/>
              </w:rPr>
              <w:t>月</w:t>
            </w:r>
            <w:r>
              <w:rPr>
                <w:rFonts w:hint="eastAsia" w:ascii="宋体" w:hAnsi="宋体" w:cs="宋体"/>
                <w:sz w:val="24"/>
                <w:szCs w:val="24"/>
                <w:lang w:val="en-US" w:eastAsia="zh-CN"/>
              </w:rPr>
              <w:t>15</w:t>
            </w:r>
            <w:r>
              <w:rPr>
                <w:rFonts w:hint="eastAsia" w:ascii="宋体" w:hAnsi="宋体" w:eastAsia="宋体" w:cs="宋体"/>
                <w:sz w:val="24"/>
                <w:szCs w:val="24"/>
              </w:rPr>
              <w:t>日</w:t>
            </w:r>
            <w:r>
              <w:rPr>
                <w:rFonts w:hint="eastAsia" w:ascii="宋体" w:hAnsi="宋体" w:cs="宋体"/>
                <w:sz w:val="24"/>
                <w:szCs w:val="24"/>
                <w:lang w:val="en-US" w:eastAsia="zh-CN"/>
              </w:rPr>
              <w:t>16</w:t>
            </w:r>
            <w:r>
              <w:rPr>
                <w:rFonts w:hint="eastAsia" w:ascii="宋体" w:hAnsi="宋体" w:eastAsia="宋体" w:cs="宋体"/>
                <w:sz w:val="24"/>
                <w:szCs w:val="24"/>
              </w:rPr>
              <w:t>：00（北京时间）</w:t>
            </w:r>
          </w:p>
          <w:p>
            <w:pPr>
              <w:spacing w:line="360" w:lineRule="auto"/>
              <w:rPr>
                <w:rFonts w:hint="eastAsia" w:ascii="宋体" w:hAnsi="宋体" w:eastAsia="宋体" w:cs="宋体"/>
                <w:sz w:val="24"/>
                <w:szCs w:val="24"/>
              </w:rPr>
            </w:pPr>
            <w:r>
              <w:rPr>
                <w:rFonts w:hint="eastAsia" w:ascii="宋体" w:hAnsi="宋体" w:eastAsia="宋体" w:cs="宋体"/>
                <w:sz w:val="24"/>
                <w:szCs w:val="24"/>
              </w:rPr>
              <w:t>磋商地点：</w:t>
            </w:r>
            <w:r>
              <w:rPr>
                <w:rStyle w:val="36"/>
                <w:rFonts w:hint="eastAsia" w:ascii="宋体" w:hAnsi="宋体" w:eastAsia="宋体" w:cs="宋体"/>
                <w:b w:val="0"/>
                <w:bCs w:val="0"/>
                <w:color w:val="000000"/>
                <w:sz w:val="24"/>
                <w:szCs w:val="24"/>
              </w:rPr>
              <w:t>新疆乌鲁木齐市水磨沟区浙商大厦15楼150</w:t>
            </w:r>
            <w:r>
              <w:rPr>
                <w:rStyle w:val="36"/>
                <w:rFonts w:hint="eastAsia" w:ascii="宋体" w:hAnsi="宋体" w:eastAsia="宋体" w:cs="宋体"/>
                <w:b w:val="0"/>
                <w:bCs w:val="0"/>
                <w:color w:val="000000"/>
                <w:sz w:val="24"/>
                <w:szCs w:val="24"/>
                <w:lang w:val="en-US" w:eastAsia="zh-CN"/>
              </w:rPr>
              <w:t>5</w:t>
            </w:r>
            <w:r>
              <w:rPr>
                <w:rStyle w:val="36"/>
                <w:rFonts w:hint="eastAsia" w:ascii="宋体" w:hAnsi="宋体" w:eastAsia="宋体" w:cs="宋体"/>
                <w:b w:val="0"/>
                <w:bCs w:val="0"/>
                <w:color w:val="000000"/>
                <w:sz w:val="24"/>
                <w:szCs w:val="24"/>
              </w:rPr>
              <w:t>室</w:t>
            </w:r>
            <w:r>
              <w:rPr>
                <w:rFonts w:hint="eastAsia" w:ascii="宋体" w:hAnsi="宋体" w:eastAsia="宋体" w:cs="宋体"/>
                <w:color w:val="000000"/>
                <w:sz w:val="24"/>
                <w:szCs w:val="24"/>
              </w:rPr>
              <w:t>（开标</w:t>
            </w:r>
            <w:r>
              <w:rPr>
                <w:rFonts w:hint="eastAsia" w:ascii="宋体" w:hAnsi="宋体" w:eastAsia="宋体" w:cs="宋体"/>
                <w:color w:val="000000"/>
                <w:highlight w:val="none"/>
                <w:lang w:val="en-US" w:eastAsia="zh-CN"/>
              </w:rPr>
              <w:t>厅</w:t>
            </w:r>
            <w:r>
              <w:rPr>
                <w:rFonts w:hint="eastAsia" w:ascii="宋体" w:hAnsi="宋体" w:eastAsia="宋体" w:cs="宋体"/>
                <w:color w:val="000000"/>
                <w:sz w:val="24"/>
                <w:szCs w:val="24"/>
              </w:rPr>
              <w:t>）</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9997"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授　予　合　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8" w:hRule="atLeast"/>
        </w:trPr>
        <w:tc>
          <w:tcPr>
            <w:tcW w:w="9997"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4"/>
                <w:szCs w:val="24"/>
              </w:rPr>
            </w:pPr>
            <w:r>
              <w:rPr>
                <w:rFonts w:hint="eastAsia" w:ascii="宋体" w:hAnsi="宋体" w:eastAsia="宋体" w:cs="宋体"/>
                <w:sz w:val="24"/>
                <w:szCs w:val="24"/>
              </w:rPr>
              <w:t>招标代理服务费按照国家发改价格（2011）534号文及发改办价格[2015]299号文计算，由中标人支付。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8" w:hRule="atLeast"/>
        </w:trPr>
        <w:tc>
          <w:tcPr>
            <w:tcW w:w="9997"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宋体" w:hAnsi="宋体" w:eastAsia="宋体" w:cs="宋体"/>
                <w:b/>
                <w:bCs/>
                <w:kern w:val="0"/>
                <w:sz w:val="24"/>
                <w:szCs w:val="24"/>
              </w:rPr>
            </w:pPr>
            <w:bookmarkStart w:id="14" w:name="_Toc349573121"/>
            <w:bookmarkStart w:id="15" w:name="_Toc298240405"/>
            <w:bookmarkStart w:id="16" w:name="_Toc468707218"/>
            <w:bookmarkStart w:id="17" w:name="_Toc349637920"/>
            <w:bookmarkStart w:id="18" w:name="_Toc267301282"/>
            <w:r>
              <w:rPr>
                <w:rFonts w:hint="eastAsia" w:ascii="宋体" w:hAnsi="宋体" w:eastAsia="宋体" w:cs="宋体"/>
                <w:b/>
                <w:bCs/>
                <w:kern w:val="0"/>
                <w:sz w:val="24"/>
                <w:szCs w:val="24"/>
              </w:rPr>
              <w:t>注：1、《政府采购法》 第七十条 任何单位和个人对政府采购活动中的违法行为，有权控告和检举，有关部门、机关应当依照各自职责及时处理。 第七十七条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widowControl/>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2、《中华人民共和国政府采购法》 第七十七条  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widowControl/>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（一）提供虚假材料谋取中标、成交的；</w:t>
            </w:r>
          </w:p>
          <w:p>
            <w:pPr>
              <w:widowControl/>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（二）采取不正当手段诋毁、排挤其他供应商的；</w:t>
            </w:r>
          </w:p>
          <w:p>
            <w:pPr>
              <w:widowControl/>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（三）与采购人、其他供应商或者采购代理机构恶意串通的；</w:t>
            </w:r>
          </w:p>
          <w:p>
            <w:pPr>
              <w:widowControl/>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（四）向采购人、采购代理机构行贿或者提供其他不正当利益的；</w:t>
            </w:r>
          </w:p>
          <w:p>
            <w:pPr>
              <w:widowControl/>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（五）在招标采购过程中与采购人进行协商谈判的；</w:t>
            </w:r>
          </w:p>
          <w:p>
            <w:pPr>
              <w:widowControl/>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（六）拒绝有关部门监督检查或者提供虚假情况的。</w:t>
            </w:r>
          </w:p>
          <w:p>
            <w:pPr>
              <w:rPr>
                <w:rFonts w:hint="eastAsia" w:ascii="宋体" w:hAnsi="宋体" w:eastAsia="宋体" w:cs="宋体"/>
                <w:sz w:val="24"/>
                <w:szCs w:val="24"/>
              </w:rPr>
            </w:pPr>
            <w:r>
              <w:rPr>
                <w:rFonts w:hint="eastAsia" w:ascii="宋体" w:hAnsi="宋体" w:eastAsia="宋体" w:cs="宋体"/>
                <w:b/>
                <w:bCs/>
                <w:kern w:val="0"/>
                <w:sz w:val="24"/>
                <w:szCs w:val="24"/>
              </w:rPr>
              <w:t>供应商有前款第（一）至（五）项情形之一的，中标、成交无效。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8" w:hRule="atLeast"/>
        </w:trPr>
        <w:tc>
          <w:tcPr>
            <w:tcW w:w="9997"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b/>
                <w:bCs/>
                <w:kern w:val="0"/>
                <w:sz w:val="24"/>
                <w:szCs w:val="24"/>
              </w:rPr>
            </w:pPr>
            <w:r>
              <w:rPr>
                <w:rFonts w:hint="eastAsia" w:ascii="宋体" w:hAnsi="宋体" w:cs="宋体"/>
                <w:b/>
                <w:bCs/>
                <w:kern w:val="0"/>
                <w:sz w:val="24"/>
                <w:szCs w:val="24"/>
                <w:lang w:eastAsia="zh-CN"/>
              </w:rPr>
              <w:t>注：如因项目需求投标人所提供的业绩或相关证明材料原件备查。</w:t>
            </w:r>
          </w:p>
        </w:tc>
      </w:tr>
    </w:tbl>
    <w:p>
      <w:pPr>
        <w:pStyle w:val="4"/>
        <w:spacing w:before="100" w:beforeAutospacing="1" w:after="100" w:afterAutospacing="1" w:line="400" w:lineRule="atLeast"/>
        <w:jc w:val="center"/>
        <w:rPr>
          <w:rFonts w:hint="eastAsia" w:ascii="宋体" w:hAnsi="宋体" w:eastAsia="宋体" w:cs="宋体"/>
          <w:sz w:val="28"/>
          <w:szCs w:val="28"/>
        </w:rPr>
      </w:pPr>
    </w:p>
    <w:p>
      <w:pPr>
        <w:pStyle w:val="4"/>
        <w:spacing w:before="100" w:beforeAutospacing="1" w:after="100" w:afterAutospacing="1" w:line="400" w:lineRule="atLeast"/>
        <w:jc w:val="center"/>
        <w:rPr>
          <w:rFonts w:hint="eastAsia" w:ascii="宋体" w:hAnsi="宋体" w:eastAsia="宋体" w:cs="宋体"/>
          <w:sz w:val="28"/>
          <w:szCs w:val="28"/>
        </w:rPr>
      </w:pPr>
    </w:p>
    <w:p>
      <w:pPr>
        <w:pStyle w:val="4"/>
        <w:spacing w:before="100" w:beforeAutospacing="1" w:after="100" w:afterAutospacing="1" w:line="400" w:lineRule="atLeast"/>
        <w:jc w:val="cente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br w:type="page"/>
      </w:r>
    </w:p>
    <w:p>
      <w:pPr>
        <w:pStyle w:val="4"/>
        <w:spacing w:before="100" w:beforeAutospacing="1" w:after="100" w:afterAutospacing="1" w:line="400" w:lineRule="atLeast"/>
        <w:jc w:val="center"/>
        <w:rPr>
          <w:rFonts w:ascii="宋体" w:hAnsi="宋体" w:eastAsia="宋体" w:cs="宋体"/>
          <w:sz w:val="28"/>
          <w:szCs w:val="28"/>
        </w:rPr>
      </w:pPr>
      <w:r>
        <w:rPr>
          <w:rFonts w:hint="eastAsia" w:ascii="宋体" w:hAnsi="宋体" w:eastAsia="宋体" w:cs="宋体"/>
          <w:sz w:val="28"/>
          <w:szCs w:val="28"/>
        </w:rPr>
        <w:t>A  说　明</w:t>
      </w:r>
      <w:bookmarkEnd w:id="14"/>
      <w:bookmarkEnd w:id="15"/>
      <w:bookmarkEnd w:id="16"/>
      <w:bookmarkEnd w:id="17"/>
      <w:bookmarkEnd w:id="18"/>
    </w:p>
    <w:p>
      <w:pPr>
        <w:spacing w:line="400" w:lineRule="atLeast"/>
        <w:rPr>
          <w:rFonts w:ascii="宋体" w:hAnsi="宋体" w:cs="宋体"/>
          <w:sz w:val="24"/>
        </w:rPr>
      </w:pPr>
      <w:r>
        <w:rPr>
          <w:rFonts w:hint="eastAsia" w:ascii="宋体" w:hAnsi="宋体" w:cs="宋体"/>
          <w:sz w:val="24"/>
        </w:rPr>
        <w:t>1. 适用范围</w:t>
      </w:r>
    </w:p>
    <w:p>
      <w:pPr>
        <w:numPr>
          <w:ilvl w:val="1"/>
          <w:numId w:val="2"/>
        </w:numPr>
        <w:spacing w:line="400" w:lineRule="atLeast"/>
        <w:rPr>
          <w:rFonts w:ascii="宋体" w:hAnsi="宋体" w:cs="宋体"/>
          <w:sz w:val="24"/>
        </w:rPr>
      </w:pPr>
      <w:r>
        <w:rPr>
          <w:rFonts w:hint="eastAsia" w:ascii="宋体" w:hAnsi="宋体" w:cs="宋体"/>
          <w:sz w:val="24"/>
        </w:rPr>
        <w:t xml:space="preserve"> 本磋商文件仅适用于本次磋商邀请中所叙述项目的货物及服务采购。</w:t>
      </w:r>
    </w:p>
    <w:p>
      <w:pPr>
        <w:spacing w:line="400" w:lineRule="atLeast"/>
        <w:rPr>
          <w:rFonts w:ascii="宋体" w:hAnsi="宋体" w:cs="宋体"/>
          <w:sz w:val="24"/>
        </w:rPr>
      </w:pPr>
      <w:r>
        <w:rPr>
          <w:rFonts w:hint="eastAsia" w:ascii="宋体" w:hAnsi="宋体" w:cs="宋体"/>
          <w:sz w:val="24"/>
        </w:rPr>
        <w:t>2．定义</w:t>
      </w:r>
    </w:p>
    <w:p>
      <w:pPr>
        <w:spacing w:line="400" w:lineRule="atLeast"/>
        <w:rPr>
          <w:rFonts w:ascii="宋体" w:hAnsi="宋体" w:cs="宋体"/>
          <w:sz w:val="24"/>
        </w:rPr>
      </w:pPr>
      <w:r>
        <w:rPr>
          <w:rFonts w:hint="eastAsia" w:ascii="宋体" w:hAnsi="宋体" w:cs="宋体"/>
          <w:sz w:val="24"/>
        </w:rPr>
        <w:t>2.1 “招标代理机构”系指华春建设工程项目管理有限责任公司；</w:t>
      </w:r>
    </w:p>
    <w:p>
      <w:pPr>
        <w:spacing w:line="400" w:lineRule="atLeast"/>
        <w:ind w:left="480" w:hanging="480" w:hangingChars="200"/>
        <w:rPr>
          <w:rFonts w:ascii="宋体" w:hAnsi="宋体" w:cs="宋体"/>
          <w:sz w:val="24"/>
        </w:rPr>
      </w:pPr>
      <w:r>
        <w:rPr>
          <w:rFonts w:hint="eastAsia" w:ascii="宋体" w:hAnsi="宋体" w:cs="宋体"/>
          <w:sz w:val="24"/>
        </w:rPr>
        <w:t>2.2 “买方”系指</w:t>
      </w:r>
      <w:r>
        <w:rPr>
          <w:rFonts w:hint="eastAsia" w:ascii="宋体" w:hAnsi="宋体" w:cs="宋体"/>
          <w:sz w:val="24"/>
          <w:szCs w:val="24"/>
          <w:lang w:eastAsia="zh-CN"/>
        </w:rPr>
        <w:t>乌鲁木齐市水磨沟区第十二幼儿园</w:t>
      </w:r>
      <w:r>
        <w:rPr>
          <w:rFonts w:hint="eastAsia" w:ascii="宋体" w:hAnsi="宋体" w:cs="宋体"/>
          <w:sz w:val="24"/>
        </w:rPr>
        <w:t>；</w:t>
      </w:r>
    </w:p>
    <w:p>
      <w:pPr>
        <w:spacing w:line="400" w:lineRule="atLeast"/>
        <w:rPr>
          <w:rFonts w:ascii="宋体" w:hAnsi="宋体" w:cs="宋体"/>
          <w:sz w:val="24"/>
        </w:rPr>
      </w:pPr>
      <w:r>
        <w:rPr>
          <w:rFonts w:hint="eastAsia" w:ascii="宋体" w:hAnsi="宋体" w:cs="宋体"/>
          <w:sz w:val="24"/>
        </w:rPr>
        <w:t>2.3 “磋商供应商”系指向招标代理机构提交磋商响应文件的制造商或代理商；</w:t>
      </w:r>
    </w:p>
    <w:p>
      <w:pPr>
        <w:spacing w:line="400" w:lineRule="atLeast"/>
        <w:rPr>
          <w:rFonts w:ascii="宋体" w:hAnsi="宋体" w:cs="宋体"/>
          <w:sz w:val="24"/>
        </w:rPr>
      </w:pPr>
      <w:r>
        <w:rPr>
          <w:rFonts w:hint="eastAsia" w:ascii="宋体" w:hAnsi="宋体" w:cs="宋体"/>
          <w:sz w:val="24"/>
        </w:rPr>
        <w:t>2.4 “成交方”系指在本次磋商中成交，将被授予合同的供应商，即成为“成交方”。</w:t>
      </w:r>
    </w:p>
    <w:p>
      <w:pPr>
        <w:spacing w:line="400" w:lineRule="atLeast"/>
        <w:rPr>
          <w:rFonts w:ascii="宋体" w:hAnsi="宋体" w:cs="宋体"/>
          <w:sz w:val="24"/>
        </w:rPr>
      </w:pPr>
      <w:r>
        <w:rPr>
          <w:rFonts w:hint="eastAsia" w:ascii="宋体" w:hAnsi="宋体" w:cs="宋体"/>
          <w:sz w:val="24"/>
        </w:rPr>
        <w:t>3．合格的供应商</w:t>
      </w:r>
    </w:p>
    <w:p>
      <w:pPr>
        <w:spacing w:line="400" w:lineRule="atLeast"/>
        <w:ind w:left="480" w:hanging="480" w:hangingChars="200"/>
        <w:rPr>
          <w:rFonts w:ascii="宋体" w:hAnsi="宋体" w:cs="宋体"/>
          <w:sz w:val="24"/>
        </w:rPr>
      </w:pPr>
      <w:r>
        <w:rPr>
          <w:rFonts w:hint="eastAsia" w:ascii="宋体" w:hAnsi="宋体" w:cs="宋体"/>
          <w:sz w:val="24"/>
        </w:rPr>
        <w:t>3.1 有能力提供磋商文件中所要求的货物及服务、资格审查合格的制造商或代理商为合格的供应商；</w:t>
      </w:r>
    </w:p>
    <w:p>
      <w:pPr>
        <w:spacing w:line="400" w:lineRule="atLeast"/>
        <w:rPr>
          <w:rFonts w:ascii="宋体" w:hAnsi="宋体" w:cs="宋体"/>
          <w:sz w:val="24"/>
        </w:rPr>
      </w:pPr>
      <w:r>
        <w:rPr>
          <w:rFonts w:hint="eastAsia" w:ascii="宋体" w:hAnsi="宋体" w:cs="宋体"/>
          <w:sz w:val="24"/>
        </w:rPr>
        <w:t>3.2 供应商必须遵守有关的国内法律和规章条例。</w:t>
      </w:r>
    </w:p>
    <w:p>
      <w:pPr>
        <w:spacing w:line="400" w:lineRule="atLeast"/>
        <w:rPr>
          <w:rFonts w:ascii="宋体" w:hAnsi="宋体" w:cs="宋体"/>
          <w:b/>
          <w:sz w:val="24"/>
        </w:rPr>
      </w:pPr>
      <w:r>
        <w:rPr>
          <w:rFonts w:hint="eastAsia" w:ascii="宋体" w:hAnsi="宋体" w:cs="宋体"/>
          <w:sz w:val="24"/>
        </w:rPr>
        <w:t>4．</w:t>
      </w:r>
      <w:r>
        <w:rPr>
          <w:rFonts w:hint="eastAsia" w:ascii="宋体" w:hAnsi="宋体" w:cs="宋体"/>
          <w:b/>
          <w:sz w:val="24"/>
        </w:rPr>
        <w:t>供应商资格</w:t>
      </w:r>
    </w:p>
    <w:p>
      <w:pPr>
        <w:pStyle w:val="29"/>
        <w:keepNext w:val="0"/>
        <w:keepLines w:val="0"/>
        <w:widowControl/>
        <w:numPr>
          <w:ilvl w:val="0"/>
          <w:numId w:val="0"/>
        </w:numPr>
        <w:suppressLineNumbers w:val="0"/>
        <w:spacing w:before="75" w:beforeAutospacing="0" w:after="75" w:afterAutospacing="0"/>
        <w:ind w:leftChars="0" w:right="0" w:righ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1、符合《中华人民共和国政府采购法》第二十二条款的规定，具有有效的营业执照；具有独立订立合同的权利，能独立承担民事责任的能力。</w:t>
      </w:r>
    </w:p>
    <w:p>
      <w:pPr>
        <w:pStyle w:val="29"/>
        <w:keepNext w:val="0"/>
        <w:keepLines w:val="0"/>
        <w:widowControl/>
        <w:numPr>
          <w:ilvl w:val="0"/>
          <w:numId w:val="0"/>
        </w:numPr>
        <w:suppressLineNumbers w:val="0"/>
        <w:spacing w:before="75" w:beforeAutospacing="0" w:after="75" w:afterAutospacing="0"/>
        <w:ind w:leftChars="0" w:right="0" w:rightChars="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本项目不接受联合体投标</w:t>
      </w:r>
      <w:r>
        <w:rPr>
          <w:rFonts w:hint="eastAsia" w:ascii="宋体" w:hAnsi="宋体" w:eastAsia="宋体" w:cs="宋体"/>
          <w:b/>
          <w:bCs/>
          <w:sz w:val="24"/>
          <w:szCs w:val="24"/>
          <w:lang w:eastAsia="zh-CN"/>
        </w:rPr>
        <w:t>；</w:t>
      </w:r>
    </w:p>
    <w:p>
      <w:pPr>
        <w:pStyle w:val="29"/>
        <w:keepNext w:val="0"/>
        <w:keepLines w:val="0"/>
        <w:widowControl/>
        <w:numPr>
          <w:ilvl w:val="0"/>
          <w:numId w:val="0"/>
        </w:numPr>
        <w:suppressLineNumbers w:val="0"/>
        <w:spacing w:before="75" w:beforeAutospacing="0" w:after="75" w:afterAutospacing="0"/>
        <w:ind w:leftChars="0" w:right="0" w:rightChars="0"/>
        <w:rPr>
          <w:rFonts w:hint="eastAsia" w:ascii="宋体" w:hAnsi="宋体" w:eastAsia="宋体" w:cs="宋体"/>
          <w:b/>
          <w:bCs/>
          <w:sz w:val="24"/>
          <w:szCs w:val="24"/>
        </w:rPr>
      </w:pPr>
      <w:r>
        <w:rPr>
          <w:rFonts w:hint="eastAsia" w:ascii="宋体" w:hAnsi="宋体" w:eastAsia="宋体" w:cs="宋体"/>
          <w:b/>
          <w:bCs/>
          <w:sz w:val="24"/>
          <w:szCs w:val="24"/>
          <w:lang w:val="en-US" w:eastAsia="zh-CN"/>
        </w:rPr>
        <w:t>3、必须为未被列入信用中国网站(www.creditchina.gov.cn)、中国政府采购网(www.ccgp.gov.cn)渠道信用记录失信被执行人、重大税收违法案件当事人名单、政府采购严重违法失信行为记录名单的投标人。</w:t>
      </w:r>
    </w:p>
    <w:p>
      <w:pPr>
        <w:spacing w:line="400" w:lineRule="atLeast"/>
        <w:rPr>
          <w:rFonts w:ascii="宋体" w:hAnsi="宋体" w:cs="宋体"/>
          <w:sz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、其他说明： (1) 与招标人存在利害关系可能影响招标公正性的法人、其他组织或者个人，不得参加投标: (2) 单位负责人为同一人或者存在控股、管理关系的不同单位，不得参加同一标段投标或者未划分标段的同一招标项目投标。违反上述两款规定的，相关投标均无效</w:t>
      </w:r>
      <w:r>
        <w:rPr>
          <w:rFonts w:hint="eastAsia" w:ascii="宋体" w:hAnsi="宋体" w:eastAsia="宋体" w:cs="宋体"/>
          <w:b/>
          <w:bCs/>
          <w:sz w:val="24"/>
          <w:szCs w:val="24"/>
          <w:lang w:eastAsia="zh-CN"/>
        </w:rPr>
        <w:t>。</w:t>
      </w:r>
      <w:r>
        <w:rPr>
          <w:rFonts w:hint="eastAsia" w:ascii="宋体" w:hAnsi="宋体" w:cs="宋体"/>
          <w:sz w:val="24"/>
        </w:rPr>
        <w:t>5．磋商费用</w:t>
      </w:r>
    </w:p>
    <w:p>
      <w:pPr>
        <w:spacing w:line="400" w:lineRule="atLeast"/>
        <w:ind w:left="480" w:hanging="480"/>
        <w:rPr>
          <w:rFonts w:ascii="宋体" w:hAnsi="宋体" w:cs="宋体"/>
          <w:sz w:val="24"/>
        </w:rPr>
      </w:pPr>
      <w:r>
        <w:rPr>
          <w:rFonts w:hint="eastAsia" w:ascii="宋体" w:hAnsi="宋体" w:cs="宋体"/>
          <w:sz w:val="24"/>
        </w:rPr>
        <w:t>5.1 无论磋商过程中的作法和结果如何，供应商将自行承担所有与参加磋商有关的全部费用。</w:t>
      </w:r>
      <w:bookmarkStart w:id="19" w:name="_Toc267301283"/>
      <w:bookmarkStart w:id="20" w:name="_Toc298240406"/>
      <w:bookmarkStart w:id="21" w:name="_Toc349637921"/>
      <w:bookmarkStart w:id="22" w:name="_Toc349573122"/>
    </w:p>
    <w:p>
      <w:pPr>
        <w:pStyle w:val="4"/>
        <w:spacing w:before="100" w:beforeAutospacing="1" w:after="100" w:afterAutospacing="1" w:line="400" w:lineRule="atLeast"/>
        <w:jc w:val="center"/>
        <w:rPr>
          <w:rFonts w:ascii="宋体" w:hAnsi="宋体" w:eastAsia="宋体" w:cs="宋体"/>
          <w:sz w:val="28"/>
          <w:szCs w:val="28"/>
        </w:rPr>
      </w:pPr>
      <w:bookmarkStart w:id="23" w:name="_Toc468707219"/>
      <w:r>
        <w:rPr>
          <w:rFonts w:hint="eastAsia" w:ascii="宋体" w:hAnsi="宋体" w:eastAsia="宋体" w:cs="宋体"/>
          <w:sz w:val="28"/>
          <w:szCs w:val="28"/>
        </w:rPr>
        <w:t>B  磋商文件</w:t>
      </w:r>
      <w:bookmarkEnd w:id="19"/>
      <w:bookmarkEnd w:id="20"/>
      <w:bookmarkEnd w:id="21"/>
      <w:bookmarkEnd w:id="22"/>
      <w:bookmarkEnd w:id="23"/>
    </w:p>
    <w:p>
      <w:pPr>
        <w:spacing w:line="400" w:lineRule="atLeast"/>
        <w:rPr>
          <w:rFonts w:ascii="宋体" w:hAnsi="宋体" w:cs="宋体"/>
          <w:sz w:val="24"/>
        </w:rPr>
      </w:pPr>
      <w:r>
        <w:rPr>
          <w:rFonts w:hint="eastAsia" w:ascii="宋体" w:hAnsi="宋体" w:cs="宋体"/>
          <w:sz w:val="24"/>
        </w:rPr>
        <w:t>6．磋商文件构成</w:t>
      </w:r>
    </w:p>
    <w:p>
      <w:pPr>
        <w:spacing w:line="400" w:lineRule="atLeast"/>
        <w:rPr>
          <w:rFonts w:ascii="宋体" w:hAnsi="宋体" w:cs="宋体"/>
          <w:sz w:val="24"/>
        </w:rPr>
      </w:pPr>
      <w:r>
        <w:rPr>
          <w:rFonts w:hint="eastAsia" w:ascii="宋体" w:hAnsi="宋体" w:cs="宋体"/>
          <w:sz w:val="24"/>
        </w:rPr>
        <w:t>6.1磋商文件包括：</w:t>
      </w:r>
    </w:p>
    <w:p>
      <w:pPr>
        <w:spacing w:line="400" w:lineRule="atLeast"/>
        <w:ind w:firstLine="240"/>
        <w:rPr>
          <w:rFonts w:hint="eastAsia" w:ascii="宋体" w:hAnsi="宋体" w:eastAsia="宋体" w:cs="宋体"/>
          <w:sz w:val="24"/>
        </w:rPr>
      </w:pPr>
      <w:r>
        <w:rPr>
          <w:rFonts w:hint="eastAsia" w:ascii="宋体" w:hAnsi="宋体" w:eastAsia="宋体" w:cs="宋体"/>
          <w:sz w:val="24"/>
        </w:rPr>
        <w:t>⑴磋商公告；</w:t>
      </w:r>
    </w:p>
    <w:p>
      <w:pPr>
        <w:spacing w:line="400" w:lineRule="atLeast"/>
        <w:ind w:firstLine="240"/>
        <w:rPr>
          <w:rFonts w:hint="eastAsia" w:ascii="宋体" w:hAnsi="宋体" w:eastAsia="宋体" w:cs="宋体"/>
          <w:sz w:val="24"/>
        </w:rPr>
      </w:pPr>
      <w:r>
        <w:rPr>
          <w:rFonts w:hint="eastAsia" w:ascii="宋体" w:hAnsi="宋体" w:eastAsia="宋体" w:cs="宋体"/>
          <w:sz w:val="24"/>
        </w:rPr>
        <w:t>⑵供应商须知；</w:t>
      </w:r>
    </w:p>
    <w:p>
      <w:pPr>
        <w:spacing w:line="400" w:lineRule="atLeast"/>
        <w:ind w:firstLine="240"/>
        <w:rPr>
          <w:rFonts w:hint="eastAsia" w:ascii="宋体" w:hAnsi="宋体" w:eastAsia="宋体" w:cs="宋体"/>
          <w:sz w:val="24"/>
        </w:rPr>
      </w:pPr>
      <w:r>
        <w:rPr>
          <w:rFonts w:hint="eastAsia" w:ascii="宋体" w:hAnsi="宋体" w:eastAsia="宋体" w:cs="宋体"/>
          <w:sz w:val="24"/>
        </w:rPr>
        <w:t>⑶货物需求一览表及技术规格；</w:t>
      </w:r>
    </w:p>
    <w:p>
      <w:pPr>
        <w:spacing w:line="400" w:lineRule="atLeast"/>
        <w:ind w:firstLine="240"/>
        <w:rPr>
          <w:rFonts w:hint="eastAsia" w:ascii="宋体" w:hAnsi="宋体" w:eastAsia="宋体" w:cs="宋体"/>
          <w:sz w:val="24"/>
        </w:rPr>
      </w:pPr>
      <w:r>
        <w:rPr>
          <w:rFonts w:hint="eastAsia" w:ascii="宋体" w:hAnsi="宋体" w:eastAsia="宋体" w:cs="宋体"/>
          <w:sz w:val="24"/>
        </w:rPr>
        <w:t>⑷合同一般条款；</w:t>
      </w:r>
    </w:p>
    <w:p>
      <w:pPr>
        <w:spacing w:line="400" w:lineRule="atLeast"/>
        <w:ind w:firstLine="240"/>
        <w:rPr>
          <w:rFonts w:hint="eastAsia" w:ascii="宋体" w:hAnsi="宋体" w:eastAsia="宋体" w:cs="宋体"/>
          <w:sz w:val="24"/>
        </w:rPr>
      </w:pPr>
      <w:r>
        <w:rPr>
          <w:rFonts w:hint="eastAsia" w:ascii="宋体" w:hAnsi="宋体" w:eastAsia="宋体" w:cs="宋体"/>
          <w:sz w:val="24"/>
        </w:rPr>
        <w:t>⑸合同特殊条款；</w:t>
      </w:r>
    </w:p>
    <w:p>
      <w:pPr>
        <w:spacing w:line="400" w:lineRule="atLeast"/>
        <w:ind w:firstLine="240"/>
        <w:rPr>
          <w:rFonts w:ascii="宋体" w:hAnsi="宋体" w:cs="宋体"/>
          <w:sz w:val="24"/>
        </w:rPr>
      </w:pPr>
      <w:r>
        <w:rPr>
          <w:rFonts w:hint="eastAsia" w:ascii="宋体" w:hAnsi="宋体" w:eastAsia="宋体" w:cs="宋体"/>
          <w:sz w:val="24"/>
        </w:rPr>
        <w:t>⑹</w:t>
      </w:r>
      <w:r>
        <w:rPr>
          <w:rFonts w:hint="eastAsia" w:ascii="宋体" w:hAnsi="宋体" w:cs="宋体"/>
          <w:sz w:val="24"/>
        </w:rPr>
        <w:t>范本格式。</w:t>
      </w:r>
    </w:p>
    <w:p>
      <w:pPr>
        <w:spacing w:line="400" w:lineRule="atLeast"/>
        <w:rPr>
          <w:rFonts w:ascii="宋体" w:hAnsi="宋体" w:cs="宋体"/>
          <w:sz w:val="24"/>
        </w:rPr>
      </w:pPr>
      <w:r>
        <w:rPr>
          <w:rFonts w:hint="eastAsia" w:ascii="宋体" w:hAnsi="宋体" w:cs="宋体"/>
          <w:sz w:val="24"/>
        </w:rPr>
        <w:t>6.2 磋商文件以中文编写。</w:t>
      </w:r>
    </w:p>
    <w:p>
      <w:pPr>
        <w:spacing w:line="400" w:lineRule="atLeast"/>
        <w:ind w:left="360" w:hanging="360" w:hangingChars="150"/>
        <w:rPr>
          <w:rFonts w:ascii="宋体" w:hAnsi="宋体" w:cs="宋体"/>
          <w:sz w:val="24"/>
        </w:rPr>
      </w:pPr>
      <w:r>
        <w:rPr>
          <w:rFonts w:hint="eastAsia" w:ascii="宋体" w:hAnsi="宋体" w:cs="宋体"/>
          <w:sz w:val="24"/>
        </w:rPr>
        <w:t>6.3 供应商应认真阅读磋商文件中所有的事项、格式、条款和规范等要求，从而对磋商文件作出实质性响应。如果没有按照磋商文件要求提交全部磋商响应文件或资料，没有对磋商文件作出实质性响应，其风险应由供应商自行承担。</w:t>
      </w:r>
    </w:p>
    <w:p>
      <w:pPr>
        <w:spacing w:line="400" w:lineRule="atLeast"/>
        <w:rPr>
          <w:rFonts w:ascii="宋体" w:hAnsi="宋体" w:cs="宋体"/>
          <w:sz w:val="24"/>
        </w:rPr>
      </w:pPr>
      <w:r>
        <w:rPr>
          <w:rFonts w:hint="eastAsia" w:ascii="宋体" w:hAnsi="宋体" w:cs="宋体"/>
          <w:sz w:val="24"/>
        </w:rPr>
        <w:t>7．磋商文件澄清</w:t>
      </w:r>
    </w:p>
    <w:p>
      <w:pPr>
        <w:spacing w:line="400" w:lineRule="atLeast"/>
        <w:ind w:left="480" w:hanging="480"/>
        <w:rPr>
          <w:rFonts w:ascii="宋体" w:hAnsi="宋体" w:cs="宋体"/>
          <w:sz w:val="24"/>
        </w:rPr>
      </w:pPr>
      <w:r>
        <w:rPr>
          <w:rFonts w:hint="eastAsia" w:ascii="宋体" w:hAnsi="宋体" w:cs="宋体"/>
          <w:sz w:val="24"/>
        </w:rPr>
        <w:t>7.1 供应商对磋商文件有疑问的，可以向招标代理机构提出询问，招标代理机构将及时做出答复；</w:t>
      </w:r>
    </w:p>
    <w:p>
      <w:pPr>
        <w:spacing w:line="400" w:lineRule="atLeast"/>
        <w:ind w:left="480" w:hanging="480"/>
        <w:rPr>
          <w:rFonts w:ascii="宋体" w:hAnsi="宋体" w:cs="宋体"/>
          <w:sz w:val="24"/>
        </w:rPr>
      </w:pPr>
      <w:r>
        <w:rPr>
          <w:rFonts w:hint="eastAsia" w:ascii="宋体" w:hAnsi="宋体" w:cs="宋体"/>
          <w:sz w:val="24"/>
        </w:rPr>
        <w:t>7.2 供应商对磋商文件有质疑，须在磋商响应文件</w:t>
      </w:r>
      <w:r>
        <w:rPr>
          <w:rFonts w:hint="eastAsia" w:ascii="宋体" w:hAnsi="宋体" w:cs="宋体"/>
          <w:sz w:val="24"/>
          <w:szCs w:val="24"/>
        </w:rPr>
        <w:t>递交截止时间5日以前，以书面形式向招标机构提出质疑；招标机构在收到书面质疑后尽快做</w:t>
      </w:r>
      <w:r>
        <w:rPr>
          <w:rFonts w:hint="eastAsia" w:ascii="宋体" w:hAnsi="宋体" w:cs="宋体"/>
          <w:sz w:val="24"/>
        </w:rPr>
        <w:t>出答复，并以书面形式通知质疑供应商。</w:t>
      </w:r>
    </w:p>
    <w:p>
      <w:pPr>
        <w:spacing w:line="400" w:lineRule="atLeast"/>
        <w:rPr>
          <w:rFonts w:ascii="宋体" w:hAnsi="宋体" w:cs="宋体"/>
          <w:sz w:val="24"/>
        </w:rPr>
      </w:pPr>
      <w:r>
        <w:rPr>
          <w:rFonts w:hint="eastAsia" w:ascii="宋体" w:hAnsi="宋体" w:cs="宋体"/>
          <w:sz w:val="24"/>
        </w:rPr>
        <w:t>8.  磋商文件的修改</w:t>
      </w:r>
    </w:p>
    <w:p>
      <w:pPr>
        <w:spacing w:line="400" w:lineRule="atLeast"/>
        <w:ind w:left="480" w:hanging="480"/>
        <w:rPr>
          <w:rFonts w:ascii="宋体" w:hAnsi="宋体" w:cs="宋体"/>
          <w:sz w:val="24"/>
          <w:szCs w:val="24"/>
        </w:rPr>
      </w:pPr>
      <w:r>
        <w:rPr>
          <w:rFonts w:hint="eastAsia" w:ascii="宋体" w:hAnsi="宋体" w:cs="宋体"/>
          <w:sz w:val="24"/>
        </w:rPr>
        <w:t>8.1 对磋商文件进行必要的修改，招标代理机</w:t>
      </w:r>
      <w:r>
        <w:rPr>
          <w:rFonts w:hint="eastAsia" w:ascii="宋体" w:hAnsi="宋体" w:cs="宋体"/>
          <w:sz w:val="24"/>
          <w:szCs w:val="24"/>
        </w:rPr>
        <w:t>构将在投标截止时间2日前以书面形式通知所有购买磋商文件的供应商。该修改的内容为磋商文件的组成部分；</w:t>
      </w:r>
    </w:p>
    <w:p>
      <w:pPr>
        <w:spacing w:line="400" w:lineRule="atLeast"/>
        <w:rPr>
          <w:rFonts w:ascii="宋体" w:hAnsi="宋体" w:cs="宋体"/>
          <w:sz w:val="24"/>
        </w:rPr>
      </w:pPr>
      <w:r>
        <w:rPr>
          <w:rFonts w:hint="eastAsia" w:ascii="宋体" w:hAnsi="宋体" w:cs="宋体"/>
          <w:sz w:val="24"/>
        </w:rPr>
        <w:t>8.2 供应商在规定的时间内未对磋商文件提出澄清要求的，招标代理机构将视其为同意。</w:t>
      </w:r>
    </w:p>
    <w:p>
      <w:pPr>
        <w:spacing w:line="400" w:lineRule="atLeast"/>
        <w:ind w:left="480" w:hanging="480"/>
        <w:rPr>
          <w:rFonts w:ascii="宋体" w:hAnsi="宋体" w:cs="宋体"/>
          <w:sz w:val="24"/>
        </w:rPr>
      </w:pPr>
      <w:r>
        <w:rPr>
          <w:rFonts w:hint="eastAsia" w:ascii="宋体" w:hAnsi="宋体" w:cs="宋体"/>
          <w:sz w:val="24"/>
        </w:rPr>
        <w:t>8.3 在投标截止时间前，招标机构可视具体情况延长磋商截止时间，并将变更时间书面通知所有购买磋商文件的供应商。</w:t>
      </w:r>
    </w:p>
    <w:p>
      <w:pPr>
        <w:pStyle w:val="4"/>
        <w:spacing w:before="100" w:beforeAutospacing="1" w:after="100" w:afterAutospacing="1" w:line="400" w:lineRule="atLeast"/>
        <w:jc w:val="center"/>
        <w:rPr>
          <w:rFonts w:ascii="宋体" w:hAnsi="宋体" w:eastAsia="宋体" w:cs="宋体"/>
          <w:sz w:val="28"/>
          <w:szCs w:val="28"/>
        </w:rPr>
      </w:pPr>
      <w:bookmarkStart w:id="24" w:name="_Toc298240407"/>
      <w:bookmarkStart w:id="25" w:name="_Toc468707220"/>
      <w:bookmarkStart w:id="26" w:name="_Toc349637922"/>
      <w:bookmarkStart w:id="27" w:name="_Toc267301284"/>
      <w:bookmarkStart w:id="28" w:name="_Toc349573123"/>
      <w:r>
        <w:rPr>
          <w:rFonts w:hint="eastAsia" w:ascii="宋体" w:hAnsi="宋体" w:eastAsia="宋体" w:cs="宋体"/>
          <w:sz w:val="28"/>
          <w:szCs w:val="28"/>
        </w:rPr>
        <w:t>C  磋商响应文件的编写</w:t>
      </w:r>
      <w:bookmarkEnd w:id="24"/>
      <w:bookmarkEnd w:id="25"/>
      <w:bookmarkEnd w:id="26"/>
      <w:bookmarkEnd w:id="27"/>
      <w:bookmarkEnd w:id="28"/>
    </w:p>
    <w:p>
      <w:pPr>
        <w:spacing w:line="400" w:lineRule="atLeast"/>
        <w:rPr>
          <w:rFonts w:ascii="宋体" w:hAnsi="宋体" w:cs="宋体"/>
          <w:sz w:val="24"/>
        </w:rPr>
      </w:pPr>
      <w:r>
        <w:rPr>
          <w:rFonts w:hint="eastAsia" w:ascii="宋体" w:hAnsi="宋体" w:cs="宋体"/>
          <w:sz w:val="24"/>
        </w:rPr>
        <w:t>9．要求</w:t>
      </w:r>
    </w:p>
    <w:p>
      <w:pPr>
        <w:spacing w:line="400" w:lineRule="atLeast"/>
        <w:ind w:left="360" w:hanging="360" w:hangingChars="150"/>
        <w:rPr>
          <w:rFonts w:ascii="宋体" w:hAnsi="宋体" w:cs="宋体"/>
          <w:sz w:val="24"/>
        </w:rPr>
      </w:pPr>
      <w:r>
        <w:rPr>
          <w:rFonts w:hint="eastAsia" w:ascii="宋体" w:hAnsi="宋体" w:cs="宋体"/>
          <w:sz w:val="24"/>
        </w:rPr>
        <w:t>9.1 供应商应仔细阅读磋商文件的所有内容，按磋商文件的要求提供磋商响应文件，并保证所提供的全部资料的真实性，以使其磋商响应对磋商文件作出实质性响应，否则，其磋商可能被拒绝。</w:t>
      </w:r>
    </w:p>
    <w:p>
      <w:pPr>
        <w:spacing w:line="400" w:lineRule="atLeast"/>
        <w:rPr>
          <w:rFonts w:ascii="宋体" w:hAnsi="宋体" w:cs="宋体"/>
          <w:sz w:val="24"/>
        </w:rPr>
      </w:pPr>
      <w:r>
        <w:rPr>
          <w:rFonts w:hint="eastAsia" w:ascii="宋体" w:hAnsi="宋体" w:cs="宋体"/>
          <w:sz w:val="24"/>
        </w:rPr>
        <w:t>10．磋商语言</w:t>
      </w:r>
    </w:p>
    <w:p>
      <w:pPr>
        <w:spacing w:line="400" w:lineRule="atLeast"/>
        <w:ind w:left="600" w:hanging="600" w:hangingChars="250"/>
        <w:rPr>
          <w:rFonts w:ascii="宋体" w:hAnsi="宋体" w:cs="宋体"/>
          <w:sz w:val="24"/>
        </w:rPr>
      </w:pPr>
      <w:r>
        <w:rPr>
          <w:rFonts w:hint="eastAsia" w:ascii="宋体" w:hAnsi="宋体" w:cs="宋体"/>
          <w:sz w:val="24"/>
        </w:rPr>
        <w:t>10.1磋商响应文件及供应商与招标代理机构就磋商交换的文件和来往信件，应以中文书写（磋商供应商提交的支持文件和印刷的文献可以使用别的语言，但其相应内容必须附有中文翻译文本，在解释竞争性磋商响应文件时以翻译文本为主）。</w:t>
      </w:r>
    </w:p>
    <w:p>
      <w:pPr>
        <w:spacing w:line="400" w:lineRule="atLeast"/>
        <w:rPr>
          <w:rFonts w:ascii="宋体" w:hAnsi="宋体" w:cs="宋体"/>
          <w:sz w:val="24"/>
        </w:rPr>
      </w:pPr>
      <w:r>
        <w:rPr>
          <w:rFonts w:hint="eastAsia" w:ascii="宋体" w:hAnsi="宋体" w:cs="宋体"/>
          <w:sz w:val="24"/>
        </w:rPr>
        <w:t>11．磋商响应文件的构成</w:t>
      </w:r>
    </w:p>
    <w:p>
      <w:pPr>
        <w:spacing w:line="400" w:lineRule="atLeast"/>
        <w:rPr>
          <w:rFonts w:ascii="宋体" w:hAnsi="宋体" w:cs="宋体"/>
          <w:sz w:val="24"/>
        </w:rPr>
      </w:pPr>
      <w:r>
        <w:rPr>
          <w:rFonts w:hint="eastAsia" w:ascii="宋体" w:hAnsi="宋体" w:cs="宋体"/>
          <w:sz w:val="24"/>
        </w:rPr>
        <w:t xml:space="preserve">11.1 </w:t>
      </w:r>
      <w:r>
        <w:rPr>
          <w:rFonts w:hint="eastAsia" w:ascii="宋体" w:hAnsi="宋体" w:cs="宋体"/>
          <w:b/>
          <w:sz w:val="24"/>
        </w:rPr>
        <w:t>供应商编写的磋商响应文件应包括下列内容</w:t>
      </w:r>
      <w:r>
        <w:rPr>
          <w:rFonts w:hint="eastAsia" w:ascii="宋体" w:hAnsi="宋体" w:cs="宋体"/>
          <w:sz w:val="24"/>
        </w:rPr>
        <w:t>：</w:t>
      </w:r>
    </w:p>
    <w:p>
      <w:pPr>
        <w:numPr>
          <w:ilvl w:val="0"/>
          <w:numId w:val="3"/>
        </w:numPr>
        <w:tabs>
          <w:tab w:val="left" w:pos="540"/>
          <w:tab w:val="left" w:pos="900"/>
          <w:tab w:val="left" w:pos="1080"/>
        </w:tabs>
        <w:spacing w:line="400" w:lineRule="atLeast"/>
        <w:ind w:left="720" w:hanging="360"/>
        <w:rPr>
          <w:rFonts w:ascii="宋体" w:hAnsi="宋体" w:cs="宋体"/>
          <w:sz w:val="24"/>
        </w:rPr>
      </w:pPr>
      <w:r>
        <w:rPr>
          <w:rFonts w:hint="eastAsia" w:ascii="宋体" w:hAnsi="宋体" w:cs="宋体"/>
          <w:sz w:val="24"/>
        </w:rPr>
        <w:t>磋商报价表、磋商分项报价表；</w:t>
      </w:r>
    </w:p>
    <w:p>
      <w:pPr>
        <w:numPr>
          <w:ilvl w:val="0"/>
          <w:numId w:val="3"/>
        </w:numPr>
        <w:tabs>
          <w:tab w:val="left" w:pos="540"/>
          <w:tab w:val="left" w:pos="900"/>
          <w:tab w:val="left" w:pos="1080"/>
        </w:tabs>
        <w:spacing w:line="400" w:lineRule="atLeast"/>
        <w:ind w:left="720" w:hanging="360"/>
        <w:rPr>
          <w:rFonts w:ascii="宋体" w:hAnsi="宋体" w:cs="宋体"/>
          <w:sz w:val="24"/>
        </w:rPr>
      </w:pPr>
      <w:r>
        <w:rPr>
          <w:rFonts w:hint="eastAsia" w:ascii="宋体" w:hAnsi="宋体" w:cs="宋体"/>
          <w:sz w:val="24"/>
        </w:rPr>
        <w:t>资格证明文件；</w:t>
      </w:r>
    </w:p>
    <w:p>
      <w:pPr>
        <w:numPr>
          <w:ilvl w:val="0"/>
          <w:numId w:val="3"/>
        </w:numPr>
        <w:tabs>
          <w:tab w:val="left" w:pos="540"/>
          <w:tab w:val="left" w:pos="900"/>
          <w:tab w:val="left" w:pos="1080"/>
        </w:tabs>
        <w:spacing w:line="400" w:lineRule="atLeast"/>
        <w:ind w:left="720" w:hanging="360"/>
        <w:rPr>
          <w:rFonts w:ascii="宋体" w:hAnsi="宋体" w:cs="宋体"/>
          <w:sz w:val="24"/>
        </w:rPr>
      </w:pPr>
      <w:r>
        <w:rPr>
          <w:rFonts w:hint="eastAsia" w:ascii="宋体" w:hAnsi="宋体" w:cs="宋体"/>
          <w:sz w:val="24"/>
        </w:rPr>
        <w:t>磋商响应保证金；</w:t>
      </w:r>
    </w:p>
    <w:p>
      <w:pPr>
        <w:spacing w:line="400" w:lineRule="atLeast"/>
        <w:rPr>
          <w:rFonts w:ascii="宋体" w:hAnsi="宋体" w:cs="宋体"/>
          <w:sz w:val="24"/>
        </w:rPr>
      </w:pPr>
      <w:r>
        <w:rPr>
          <w:rFonts w:hint="eastAsia" w:ascii="宋体" w:hAnsi="宋体" w:cs="宋体"/>
          <w:sz w:val="24"/>
        </w:rPr>
        <w:t>11.2 供应商应将磋商响应文件装订成册，并填写文件资料清单。</w:t>
      </w:r>
    </w:p>
    <w:p>
      <w:pPr>
        <w:spacing w:line="400" w:lineRule="atLeast"/>
        <w:rPr>
          <w:rFonts w:ascii="宋体" w:hAnsi="宋体" w:cs="宋体"/>
          <w:sz w:val="24"/>
        </w:rPr>
      </w:pPr>
      <w:r>
        <w:rPr>
          <w:rFonts w:hint="eastAsia" w:ascii="宋体" w:hAnsi="宋体" w:cs="宋体"/>
          <w:sz w:val="24"/>
        </w:rPr>
        <w:t>12．磋商响应文件格式</w:t>
      </w:r>
    </w:p>
    <w:p>
      <w:pPr>
        <w:spacing w:line="400" w:lineRule="atLeast"/>
        <w:ind w:left="600" w:hanging="600" w:hangingChars="250"/>
        <w:rPr>
          <w:rFonts w:ascii="宋体" w:hAnsi="宋体" w:cs="宋体"/>
          <w:sz w:val="24"/>
        </w:rPr>
      </w:pPr>
      <w:r>
        <w:rPr>
          <w:rFonts w:hint="eastAsia" w:ascii="宋体" w:hAnsi="宋体" w:cs="宋体"/>
          <w:sz w:val="24"/>
        </w:rPr>
        <w:t>12.1 供应商应按磋商文件的范本格式中提供的文件格式填写磋商书、磋商报价表、磋商报价分项表。</w:t>
      </w:r>
    </w:p>
    <w:p>
      <w:pPr>
        <w:spacing w:line="400" w:lineRule="atLeast"/>
        <w:rPr>
          <w:rFonts w:ascii="宋体" w:hAnsi="宋体" w:cs="宋体"/>
          <w:sz w:val="24"/>
        </w:rPr>
      </w:pPr>
      <w:r>
        <w:rPr>
          <w:rFonts w:hint="eastAsia" w:ascii="宋体" w:hAnsi="宋体" w:cs="宋体"/>
          <w:sz w:val="24"/>
        </w:rPr>
        <w:t>13．磋商报价</w:t>
      </w:r>
    </w:p>
    <w:p>
      <w:pPr>
        <w:spacing w:line="400" w:lineRule="atLeast"/>
        <w:ind w:left="600" w:hanging="600" w:hangingChars="250"/>
        <w:rPr>
          <w:rFonts w:ascii="宋体" w:hAnsi="宋体" w:cs="宋体"/>
          <w:sz w:val="24"/>
        </w:rPr>
      </w:pPr>
      <w:r>
        <w:rPr>
          <w:rFonts w:hint="eastAsia" w:ascii="宋体" w:hAnsi="宋体" w:cs="宋体"/>
          <w:sz w:val="24"/>
        </w:rPr>
        <w:t>13.1 供应商应在磋商报价表上标明单价和总价。单价和总价要相符。小写和大写要相符。供应商应在磋商报价表中标明其提供的所有货物及其相关工作范围内所有费用的总价，不接受有任何选择性磋商报价。</w:t>
      </w:r>
    </w:p>
    <w:p>
      <w:pPr>
        <w:spacing w:line="400" w:lineRule="atLeast"/>
        <w:ind w:left="629" w:hanging="628" w:hangingChars="262"/>
        <w:rPr>
          <w:rFonts w:ascii="宋体" w:hAnsi="宋体" w:cs="宋体"/>
          <w:sz w:val="24"/>
        </w:rPr>
      </w:pPr>
      <w:r>
        <w:rPr>
          <w:rFonts w:hint="eastAsia" w:ascii="宋体" w:hAnsi="宋体" w:cs="宋体"/>
          <w:sz w:val="24"/>
        </w:rPr>
        <w:t>13.2 算术性修正。算术性修正是指对磋商响应文件的报价明细进行校核，并对其算术上和运算上的差错给予修正。修正的原则如下：</w:t>
      </w:r>
    </w:p>
    <w:p>
      <w:pPr>
        <w:spacing w:line="400" w:lineRule="atLeast"/>
        <w:ind w:left="720" w:hanging="720" w:hangingChars="300"/>
        <w:rPr>
          <w:rFonts w:ascii="宋体" w:hAnsi="宋体" w:cs="宋体"/>
          <w:sz w:val="24"/>
        </w:rPr>
      </w:pPr>
      <w:r>
        <w:rPr>
          <w:rFonts w:hint="eastAsia" w:ascii="宋体" w:hAnsi="宋体" w:cs="宋体"/>
          <w:sz w:val="24"/>
        </w:rPr>
        <w:t>13.2.1 当以数字表示的金额与文字表示的金额有差异时，以文字表示的金额为准；</w:t>
      </w:r>
    </w:p>
    <w:p>
      <w:pPr>
        <w:spacing w:line="400" w:lineRule="atLeast"/>
        <w:ind w:left="720" w:hanging="720" w:hangingChars="300"/>
        <w:rPr>
          <w:rFonts w:ascii="宋体" w:hAnsi="宋体" w:cs="宋体"/>
          <w:sz w:val="24"/>
        </w:rPr>
      </w:pPr>
      <w:r>
        <w:rPr>
          <w:rFonts w:hint="eastAsia" w:ascii="宋体" w:hAnsi="宋体" w:cs="宋体"/>
          <w:sz w:val="24"/>
        </w:rPr>
        <w:t>13.2.2 当单价与数量相乘不等于合价时，以单价计算为准。如果单价有明显的小数点位置差错，应以标出的合价为准，同时对单价予以修正；</w:t>
      </w:r>
    </w:p>
    <w:p>
      <w:pPr>
        <w:spacing w:line="400" w:lineRule="atLeast"/>
        <w:ind w:left="720" w:hanging="720" w:hangingChars="300"/>
        <w:rPr>
          <w:rFonts w:ascii="宋体" w:hAnsi="宋体" w:cs="宋体"/>
          <w:sz w:val="24"/>
        </w:rPr>
      </w:pPr>
      <w:r>
        <w:rPr>
          <w:rFonts w:hint="eastAsia" w:ascii="宋体" w:hAnsi="宋体" w:cs="宋体"/>
          <w:sz w:val="24"/>
        </w:rPr>
        <w:t>13.2.3 当各明细部分的价格累计不等于合价时，应以各明细的累计计数为准，修正合价。</w:t>
      </w:r>
    </w:p>
    <w:p>
      <w:pPr>
        <w:spacing w:line="400" w:lineRule="atLeast"/>
        <w:ind w:left="720" w:hanging="720" w:hangingChars="300"/>
        <w:rPr>
          <w:rFonts w:ascii="宋体" w:hAnsi="宋体" w:cs="宋体"/>
          <w:sz w:val="24"/>
        </w:rPr>
      </w:pPr>
      <w:r>
        <w:rPr>
          <w:rFonts w:hint="eastAsia" w:ascii="宋体" w:hAnsi="宋体" w:cs="宋体"/>
          <w:sz w:val="24"/>
        </w:rPr>
        <w:t>13.2.4 按以上原则对算术性差错修正，应取得供应商的同意，并确认修正后最终磋商报价。如果供应商拒绝确认，则其磋商响应文件将不予以评审并按废标处理，没收其投标担保。</w:t>
      </w:r>
    </w:p>
    <w:p>
      <w:pPr>
        <w:spacing w:line="400" w:lineRule="atLeast"/>
        <w:rPr>
          <w:rFonts w:ascii="宋体" w:hAnsi="宋体" w:cs="宋体"/>
          <w:sz w:val="24"/>
        </w:rPr>
      </w:pPr>
      <w:r>
        <w:rPr>
          <w:rFonts w:hint="eastAsia" w:ascii="宋体" w:hAnsi="宋体" w:cs="宋体"/>
          <w:sz w:val="24"/>
        </w:rPr>
        <w:t>14．投标货币</w:t>
      </w:r>
    </w:p>
    <w:p>
      <w:pPr>
        <w:spacing w:line="400" w:lineRule="atLeast"/>
        <w:rPr>
          <w:rFonts w:ascii="宋体" w:hAnsi="宋体" w:cs="宋体"/>
          <w:sz w:val="24"/>
        </w:rPr>
      </w:pPr>
      <w:r>
        <w:rPr>
          <w:rFonts w:hint="eastAsia" w:ascii="宋体" w:hAnsi="宋体" w:cs="宋体"/>
          <w:sz w:val="24"/>
        </w:rPr>
        <w:t>14.1人民币报价。</w:t>
      </w:r>
    </w:p>
    <w:p>
      <w:pPr>
        <w:spacing w:line="400" w:lineRule="atLeast"/>
        <w:rPr>
          <w:rFonts w:ascii="宋体" w:hAnsi="宋体" w:cs="宋体"/>
          <w:sz w:val="24"/>
        </w:rPr>
      </w:pPr>
      <w:r>
        <w:rPr>
          <w:rFonts w:hint="eastAsia" w:ascii="宋体" w:hAnsi="宋体" w:cs="宋体"/>
          <w:sz w:val="24"/>
        </w:rPr>
        <w:t>15．供应商的证明文件：</w:t>
      </w:r>
    </w:p>
    <w:p>
      <w:pPr>
        <w:spacing w:line="400" w:lineRule="atLeast"/>
        <w:ind w:left="525" w:leftChars="250"/>
        <w:rPr>
          <w:rFonts w:ascii="宋体" w:hAnsi="宋体" w:cs="宋体"/>
          <w:b/>
          <w:spacing w:val="8"/>
          <w:sz w:val="24"/>
          <w:szCs w:val="24"/>
        </w:rPr>
      </w:pPr>
      <w:r>
        <w:rPr>
          <w:rFonts w:hint="eastAsia" w:ascii="宋体" w:hAnsi="宋体" w:cs="宋体"/>
          <w:sz w:val="24"/>
        </w:rPr>
        <w:t>供应商必须提交证明其有资格进行磋商和有能力履行合同的文件（范本格式），作为磋商响应文件的一部分。</w:t>
      </w:r>
      <w:r>
        <w:rPr>
          <w:rFonts w:hint="eastAsia" w:ascii="宋体" w:hAnsi="宋体" w:cs="宋体"/>
          <w:b/>
          <w:sz w:val="24"/>
        </w:rPr>
        <w:t>（</w:t>
      </w:r>
      <w:r>
        <w:rPr>
          <w:rFonts w:hint="eastAsia" w:ascii="宋体" w:hAnsi="宋体" w:cs="宋体"/>
          <w:b/>
          <w:spacing w:val="8"/>
          <w:sz w:val="24"/>
          <w:szCs w:val="24"/>
        </w:rPr>
        <w:t>如不满足以下条款将导致废标）</w:t>
      </w:r>
    </w:p>
    <w:p>
      <w:pPr>
        <w:rPr>
          <w:rFonts w:ascii="宋体" w:hAnsi="宋体" w:cs="宋体"/>
          <w:b/>
          <w:bCs/>
          <w:sz w:val="24"/>
          <w:szCs w:val="24"/>
        </w:rPr>
      </w:pPr>
      <w:r>
        <w:rPr>
          <w:rFonts w:hint="eastAsia" w:ascii="宋体" w:hAnsi="宋体" w:cs="宋体"/>
          <w:b/>
          <w:bCs/>
          <w:sz w:val="24"/>
          <w:szCs w:val="24"/>
        </w:rPr>
        <w:t>1、具有有效的营业执照</w:t>
      </w:r>
      <w:r>
        <w:rPr>
          <w:rFonts w:hint="eastAsia" w:ascii="宋体" w:hAnsi="宋体" w:cs="宋体"/>
          <w:b/>
          <w:bCs/>
          <w:sz w:val="24"/>
          <w:szCs w:val="24"/>
          <w:lang w:eastAsia="zh-CN"/>
        </w:rPr>
        <w:t>原件及</w:t>
      </w:r>
      <w:r>
        <w:rPr>
          <w:rFonts w:hint="eastAsia" w:ascii="宋体" w:hAnsi="宋体" w:cs="宋体"/>
          <w:b/>
          <w:bCs/>
          <w:sz w:val="24"/>
          <w:szCs w:val="24"/>
        </w:rPr>
        <w:t>复印件盖公章；</w:t>
      </w:r>
    </w:p>
    <w:p>
      <w:pPr>
        <w:rPr>
          <w:rFonts w:ascii="宋体" w:hAnsi="宋体" w:cs="宋体"/>
          <w:b/>
          <w:bCs/>
          <w:sz w:val="24"/>
          <w:szCs w:val="24"/>
        </w:rPr>
      </w:pPr>
      <w:r>
        <w:rPr>
          <w:rFonts w:hint="eastAsia" w:ascii="宋体" w:hAnsi="宋体" w:cs="宋体"/>
          <w:b/>
          <w:bCs/>
          <w:sz w:val="24"/>
          <w:szCs w:val="24"/>
        </w:rPr>
        <w:t>2、</w:t>
      </w:r>
      <w:r>
        <w:rPr>
          <w:rFonts w:hint="eastAsia" w:ascii="宋体" w:hAnsi="宋体" w:cs="宋体"/>
          <w:b/>
          <w:bCs/>
          <w:color w:val="000000"/>
          <w:sz w:val="24"/>
          <w:szCs w:val="24"/>
        </w:rPr>
        <w:t>法定代表人身份证明书及法定代表人身份证原件（或法定代表人授权委托书及被委托人身份证原件）</w:t>
      </w:r>
      <w:r>
        <w:rPr>
          <w:rFonts w:hint="eastAsia" w:ascii="宋体" w:hAnsi="宋体" w:cs="宋体"/>
          <w:b/>
          <w:bCs/>
          <w:sz w:val="24"/>
          <w:szCs w:val="24"/>
        </w:rPr>
        <w:t>；</w:t>
      </w:r>
    </w:p>
    <w:p>
      <w:pPr>
        <w:rPr>
          <w:rFonts w:ascii="宋体" w:hAnsi="宋体" w:cs="宋体"/>
          <w:b/>
          <w:bCs/>
          <w:sz w:val="24"/>
          <w:szCs w:val="24"/>
        </w:rPr>
      </w:pPr>
      <w:r>
        <w:rPr>
          <w:rFonts w:hint="eastAsia" w:ascii="宋体" w:hAnsi="宋体" w:cs="宋体"/>
          <w:b/>
          <w:bCs/>
          <w:sz w:val="24"/>
          <w:szCs w:val="24"/>
        </w:rPr>
        <w:t>3、投标保证金汇款凭证（复印件盖公章）。</w:t>
      </w:r>
    </w:p>
    <w:p>
      <w:pPr>
        <w:rPr>
          <w:rFonts w:hint="eastAsia" w:ascii="宋体" w:hAnsi="宋体" w:eastAsia="宋体" w:cs="宋体"/>
          <w:b/>
          <w:bCs/>
          <w:sz w:val="24"/>
          <w:szCs w:val="24"/>
        </w:rPr>
      </w:pPr>
      <w:r>
        <w:rPr>
          <w:rFonts w:hint="eastAsia" w:ascii="宋体" w:hAnsi="宋体" w:eastAsia="宋体" w:cs="宋体"/>
          <w:b/>
          <w:bCs/>
          <w:sz w:val="24"/>
          <w:szCs w:val="24"/>
        </w:rPr>
        <w:t>注：（1）磋商响应文件中，所有供应商法定代表人签字、法定代表人授权人签字和其它签字处须同时加盖有关有法律效力的印章方为有效；</w:t>
      </w:r>
    </w:p>
    <w:p>
      <w:pPr>
        <w:rPr>
          <w:rFonts w:hint="eastAsia" w:ascii="宋体" w:hAnsi="宋体" w:eastAsia="宋体" w:cs="宋体"/>
          <w:b/>
          <w:bCs/>
          <w:sz w:val="24"/>
          <w:szCs w:val="24"/>
        </w:rPr>
      </w:pPr>
      <w:r>
        <w:rPr>
          <w:rFonts w:hint="eastAsia" w:ascii="宋体" w:hAnsi="宋体" w:cs="宋体"/>
          <w:b/>
          <w:bCs/>
          <w:sz w:val="24"/>
          <w:szCs w:val="24"/>
          <w:lang w:eastAsia="zh-CN"/>
        </w:rPr>
        <w:t>注：</w:t>
      </w:r>
      <w:r>
        <w:rPr>
          <w:rFonts w:hint="eastAsia" w:ascii="宋体" w:hAnsi="宋体" w:eastAsia="宋体" w:cs="宋体"/>
          <w:b/>
          <w:bCs/>
          <w:sz w:val="24"/>
          <w:szCs w:val="24"/>
        </w:rPr>
        <w:t>所有资格证明文件必须满足磋商文件要求，加盖公章。否则将导致废标。</w:t>
      </w:r>
    </w:p>
    <w:p>
      <w:pPr>
        <w:spacing w:line="400" w:lineRule="atLeast"/>
        <w:rPr>
          <w:rFonts w:ascii="宋体" w:hAnsi="宋体" w:cs="宋体"/>
          <w:sz w:val="24"/>
        </w:rPr>
      </w:pPr>
      <w:r>
        <w:rPr>
          <w:rFonts w:hint="eastAsia" w:ascii="宋体" w:hAnsi="宋体" w:cs="宋体"/>
          <w:sz w:val="24"/>
        </w:rPr>
        <w:t>16 货物符合磋商文件规定的技术响应文件</w:t>
      </w:r>
    </w:p>
    <w:p>
      <w:pPr>
        <w:spacing w:line="400" w:lineRule="atLeast"/>
        <w:ind w:left="600" w:hanging="600" w:hangingChars="250"/>
        <w:rPr>
          <w:rFonts w:ascii="宋体" w:hAnsi="宋体" w:cs="宋体"/>
          <w:sz w:val="24"/>
        </w:rPr>
      </w:pPr>
      <w:r>
        <w:rPr>
          <w:rFonts w:hint="eastAsia" w:ascii="宋体" w:hAnsi="宋体" w:cs="宋体"/>
          <w:sz w:val="24"/>
        </w:rPr>
        <w:t>16.1供应商须提交证明拟供货物和服务符合磋商文件规定的技术响应文件，作为磋商响应文件的一部分。</w:t>
      </w:r>
    </w:p>
    <w:p>
      <w:pPr>
        <w:spacing w:line="400" w:lineRule="atLeast"/>
        <w:rPr>
          <w:rFonts w:ascii="宋体" w:hAnsi="宋体" w:cs="宋体"/>
          <w:sz w:val="24"/>
        </w:rPr>
      </w:pPr>
      <w:r>
        <w:rPr>
          <w:rFonts w:hint="eastAsia" w:ascii="宋体" w:hAnsi="宋体" w:cs="宋体"/>
          <w:sz w:val="24"/>
        </w:rPr>
        <w:t>17．磋商的有效期</w:t>
      </w:r>
    </w:p>
    <w:p>
      <w:pPr>
        <w:spacing w:line="400" w:lineRule="atLeast"/>
        <w:rPr>
          <w:rFonts w:ascii="宋体" w:hAnsi="宋体" w:cs="宋体"/>
          <w:sz w:val="24"/>
        </w:rPr>
      </w:pPr>
      <w:r>
        <w:rPr>
          <w:rFonts w:hint="eastAsia" w:ascii="宋体" w:hAnsi="宋体" w:cs="宋体"/>
          <w:sz w:val="24"/>
        </w:rPr>
        <w:t>17.1</w:t>
      </w:r>
      <w:r>
        <w:rPr>
          <w:rFonts w:hint="eastAsia" w:ascii="宋体" w:hAnsi="宋体" w:cs="宋体"/>
          <w:b/>
          <w:sz w:val="24"/>
        </w:rPr>
        <w:t xml:space="preserve"> 磋商响应文件从磋商之日起，投标有效期为</w:t>
      </w:r>
      <w:r>
        <w:rPr>
          <w:rFonts w:hint="eastAsia" w:ascii="宋体" w:hAnsi="宋体" w:cs="宋体"/>
          <w:b/>
          <w:sz w:val="24"/>
          <w:u w:val="single"/>
        </w:rPr>
        <w:t>60天</w:t>
      </w:r>
      <w:r>
        <w:rPr>
          <w:rFonts w:hint="eastAsia" w:ascii="宋体" w:hAnsi="宋体" w:cs="宋体"/>
          <w:b/>
          <w:sz w:val="24"/>
        </w:rPr>
        <w:t>。（如不满足将导致废标）</w:t>
      </w:r>
    </w:p>
    <w:p>
      <w:pPr>
        <w:spacing w:line="400" w:lineRule="atLeast"/>
        <w:rPr>
          <w:rFonts w:ascii="宋体" w:hAnsi="宋体" w:cs="宋体"/>
          <w:sz w:val="24"/>
        </w:rPr>
      </w:pPr>
      <w:r>
        <w:rPr>
          <w:rFonts w:hint="eastAsia" w:ascii="宋体" w:hAnsi="宋体" w:cs="宋体"/>
          <w:sz w:val="24"/>
        </w:rPr>
        <w:t>17.2 在特殊情况下，招标代理机构可与供应商商量延长磋商响应文件的有效期。</w:t>
      </w:r>
    </w:p>
    <w:p>
      <w:pPr>
        <w:spacing w:line="400" w:lineRule="atLeast"/>
        <w:rPr>
          <w:rFonts w:ascii="宋体" w:hAnsi="宋体" w:cs="宋体"/>
          <w:sz w:val="24"/>
        </w:rPr>
      </w:pPr>
      <w:r>
        <w:rPr>
          <w:rFonts w:hint="eastAsia" w:ascii="宋体" w:hAnsi="宋体" w:cs="宋体"/>
          <w:sz w:val="24"/>
        </w:rPr>
        <w:t>18．磋商响应文件的书写要求。</w:t>
      </w:r>
    </w:p>
    <w:p>
      <w:pPr>
        <w:spacing w:line="400" w:lineRule="atLeast"/>
        <w:rPr>
          <w:rFonts w:ascii="宋体" w:hAnsi="宋体" w:cs="宋体"/>
          <w:sz w:val="24"/>
        </w:rPr>
      </w:pPr>
      <w:r>
        <w:rPr>
          <w:rFonts w:hint="eastAsia" w:ascii="宋体" w:hAnsi="宋体" w:cs="宋体"/>
          <w:sz w:val="24"/>
        </w:rPr>
        <w:t>18.1 磋商响应文件须打印。</w:t>
      </w:r>
    </w:p>
    <w:p>
      <w:pPr>
        <w:spacing w:line="400" w:lineRule="atLeast"/>
        <w:rPr>
          <w:rFonts w:ascii="宋体" w:hAnsi="宋体" w:cs="宋体"/>
          <w:sz w:val="24"/>
        </w:rPr>
      </w:pPr>
      <w:r>
        <w:rPr>
          <w:rFonts w:hint="eastAsia" w:ascii="宋体" w:hAnsi="宋体" w:cs="宋体"/>
          <w:sz w:val="24"/>
        </w:rPr>
        <w:t>18.2 磋商响应文件应清楚工整，修改处应由磋商供应商全权代表签章。</w:t>
      </w:r>
    </w:p>
    <w:p>
      <w:pPr>
        <w:spacing w:line="400" w:lineRule="atLeast"/>
        <w:ind w:left="600" w:hanging="600" w:hangingChars="250"/>
        <w:rPr>
          <w:rFonts w:ascii="宋体" w:hAnsi="宋体" w:cs="宋体"/>
          <w:sz w:val="24"/>
        </w:rPr>
      </w:pPr>
      <w:r>
        <w:rPr>
          <w:rFonts w:hint="eastAsia" w:ascii="宋体" w:hAnsi="宋体" w:cs="宋体"/>
          <w:sz w:val="24"/>
        </w:rPr>
        <w:t>18.3磋商响应文件应由法人代表或法人授权代表在凡规定签章处逐一签署及加盖单位的公章。</w:t>
      </w:r>
    </w:p>
    <w:p>
      <w:pPr>
        <w:spacing w:line="400" w:lineRule="atLeast"/>
        <w:rPr>
          <w:rFonts w:ascii="宋体" w:hAnsi="宋体" w:cs="宋体"/>
          <w:sz w:val="24"/>
        </w:rPr>
      </w:pPr>
      <w:r>
        <w:rPr>
          <w:rFonts w:hint="eastAsia" w:ascii="宋体" w:hAnsi="宋体" w:cs="宋体"/>
          <w:sz w:val="24"/>
        </w:rPr>
        <w:t>18.4电报、电话、传真形式的投标概不接受。</w:t>
      </w:r>
    </w:p>
    <w:p>
      <w:pPr>
        <w:spacing w:line="400" w:lineRule="atLeast"/>
        <w:rPr>
          <w:rFonts w:ascii="宋体" w:hAnsi="宋体" w:cs="宋体"/>
          <w:sz w:val="24"/>
        </w:rPr>
      </w:pPr>
      <w:r>
        <w:rPr>
          <w:rFonts w:hint="eastAsia" w:ascii="宋体" w:hAnsi="宋体" w:cs="宋体"/>
          <w:sz w:val="24"/>
        </w:rPr>
        <w:t>18.5磋商响应文件的份数：一式3份。正本1份，副本2份。</w:t>
      </w:r>
    </w:p>
    <w:p>
      <w:pPr>
        <w:spacing w:line="400" w:lineRule="atLeast"/>
        <w:rPr>
          <w:rFonts w:ascii="宋体" w:hAnsi="宋体" w:cs="宋体"/>
          <w:sz w:val="24"/>
        </w:rPr>
      </w:pPr>
      <w:r>
        <w:rPr>
          <w:rFonts w:hint="eastAsia" w:ascii="宋体" w:hAnsi="宋体" w:cs="宋体"/>
          <w:sz w:val="24"/>
        </w:rPr>
        <w:t>19．投标保证金</w:t>
      </w:r>
    </w:p>
    <w:p>
      <w:pPr>
        <w:spacing w:line="400" w:lineRule="atLeast"/>
        <w:ind w:left="600" w:hanging="600" w:hangingChars="250"/>
        <w:rPr>
          <w:rFonts w:ascii="宋体" w:hAnsi="宋体" w:cs="宋体"/>
          <w:sz w:val="24"/>
        </w:rPr>
      </w:pPr>
      <w:r>
        <w:rPr>
          <w:rFonts w:hint="eastAsia" w:ascii="宋体" w:hAnsi="宋体" w:cs="宋体"/>
          <w:sz w:val="24"/>
        </w:rPr>
        <w:t>19.1</w:t>
      </w:r>
      <w:r>
        <w:rPr>
          <w:rFonts w:hint="eastAsia" w:ascii="宋体" w:hAnsi="宋体" w:cs="宋体"/>
          <w:b/>
          <w:sz w:val="24"/>
        </w:rPr>
        <w:t>供应商按照供应商须知附表第4条缴纳磋商响应保证金。</w:t>
      </w:r>
    </w:p>
    <w:p>
      <w:pPr>
        <w:spacing w:line="400" w:lineRule="atLeast"/>
        <w:ind w:left="600" w:hanging="600" w:hangingChars="250"/>
        <w:rPr>
          <w:rFonts w:ascii="宋体" w:hAnsi="宋体" w:cs="宋体"/>
          <w:sz w:val="24"/>
        </w:rPr>
      </w:pPr>
      <w:r>
        <w:rPr>
          <w:rFonts w:hint="eastAsia" w:ascii="宋体" w:hAnsi="宋体" w:cs="宋体"/>
          <w:sz w:val="24"/>
        </w:rPr>
        <w:t>19.2 本次招标仅接受网银或电汇作为磋商保证金，</w:t>
      </w:r>
      <w:r>
        <w:rPr>
          <w:rFonts w:hint="eastAsia" w:ascii="宋体" w:hAnsi="宋体" w:cs="宋体"/>
          <w:sz w:val="24"/>
          <w:szCs w:val="24"/>
        </w:rPr>
        <w:t>磋商保证金有效期应当与磋商响应有效期一致</w:t>
      </w:r>
      <w:r>
        <w:rPr>
          <w:rFonts w:hint="eastAsia" w:ascii="宋体" w:hAnsi="宋体" w:cs="宋体"/>
          <w:sz w:val="24"/>
        </w:rPr>
        <w:t>。</w:t>
      </w:r>
    </w:p>
    <w:p>
      <w:pPr>
        <w:spacing w:line="400" w:lineRule="atLeast"/>
        <w:ind w:left="600" w:hanging="600" w:hangingChars="250"/>
        <w:rPr>
          <w:rFonts w:ascii="宋体" w:hAnsi="宋体" w:cs="宋体"/>
          <w:sz w:val="24"/>
        </w:rPr>
      </w:pPr>
      <w:r>
        <w:rPr>
          <w:rFonts w:hint="eastAsia" w:ascii="宋体" w:hAnsi="宋体" w:cs="宋体"/>
          <w:sz w:val="24"/>
        </w:rPr>
        <w:t>19.3磋商保证金的退还时间：</w:t>
      </w:r>
    </w:p>
    <w:p>
      <w:pPr>
        <w:spacing w:line="400" w:lineRule="atLeast"/>
        <w:ind w:left="720" w:hanging="720" w:hangingChars="300"/>
        <w:rPr>
          <w:rFonts w:ascii="宋体" w:hAnsi="宋体" w:cs="宋体"/>
          <w:sz w:val="24"/>
          <w:highlight w:val="none"/>
        </w:rPr>
      </w:pPr>
      <w:r>
        <w:rPr>
          <w:rFonts w:hint="eastAsia" w:ascii="宋体" w:hAnsi="宋体" w:cs="宋体"/>
          <w:sz w:val="24"/>
          <w:highlight w:val="none"/>
        </w:rPr>
        <w:t>19.3.1中标供应商的投标保证金，将在合同签订后的5个工作日内予以退还；未中标供应商的投标保证金在中标通知书发出后5个工作日内予以退还。</w:t>
      </w:r>
    </w:p>
    <w:p>
      <w:pPr>
        <w:spacing w:line="400" w:lineRule="atLeast"/>
        <w:rPr>
          <w:rFonts w:ascii="宋体" w:hAnsi="宋体" w:cs="宋体"/>
          <w:b/>
          <w:sz w:val="24"/>
          <w:highlight w:val="none"/>
        </w:rPr>
      </w:pPr>
      <w:r>
        <w:rPr>
          <w:rFonts w:hint="eastAsia" w:ascii="宋体" w:hAnsi="宋体" w:cs="宋体"/>
          <w:sz w:val="24"/>
          <w:highlight w:val="none"/>
        </w:rPr>
        <w:t>19.4</w:t>
      </w:r>
      <w:r>
        <w:rPr>
          <w:rFonts w:hint="eastAsia" w:ascii="宋体" w:hAnsi="宋体" w:cs="宋体"/>
          <w:b/>
          <w:sz w:val="24"/>
          <w:highlight w:val="none"/>
        </w:rPr>
        <w:t>未按规定提交磋商保证金的投标，将被视为磋商无效。</w:t>
      </w:r>
    </w:p>
    <w:p>
      <w:pPr>
        <w:pStyle w:val="19"/>
        <w:spacing w:line="400" w:lineRule="atLeast"/>
        <w:rPr>
          <w:rFonts w:hAnsi="宋体" w:cs="宋体"/>
          <w:sz w:val="24"/>
          <w:highlight w:val="none"/>
        </w:rPr>
      </w:pPr>
      <w:r>
        <w:rPr>
          <w:rFonts w:hint="eastAsia" w:hAnsi="宋体" w:cs="宋体"/>
          <w:sz w:val="24"/>
          <w:highlight w:val="none"/>
        </w:rPr>
        <w:t>19.5下列任何情况发生时，磋商保证金将被没收：</w:t>
      </w:r>
    </w:p>
    <w:p>
      <w:pPr>
        <w:pStyle w:val="19"/>
        <w:spacing w:line="400" w:lineRule="atLeast"/>
        <w:rPr>
          <w:rFonts w:hAnsi="宋体" w:cs="宋体"/>
          <w:sz w:val="24"/>
          <w:highlight w:val="none"/>
        </w:rPr>
      </w:pPr>
      <w:r>
        <w:rPr>
          <w:rFonts w:hint="eastAsia" w:hAnsi="宋体" w:cs="宋体"/>
          <w:sz w:val="24"/>
          <w:highlight w:val="none"/>
        </w:rPr>
        <w:t>19.5.1供应商在磋商文件规定的投标有效期内撤回其磋商；</w:t>
      </w:r>
    </w:p>
    <w:p>
      <w:pPr>
        <w:pStyle w:val="19"/>
        <w:spacing w:line="400" w:lineRule="atLeast"/>
        <w:rPr>
          <w:rFonts w:hAnsi="宋体" w:cs="宋体"/>
          <w:sz w:val="24"/>
          <w:highlight w:val="none"/>
        </w:rPr>
      </w:pPr>
      <w:r>
        <w:rPr>
          <w:rFonts w:hint="eastAsia" w:hAnsi="宋体" w:cs="宋体"/>
          <w:sz w:val="24"/>
          <w:highlight w:val="none"/>
        </w:rPr>
        <w:t>19.5.2成交方在规定期限内未能：</w:t>
      </w:r>
    </w:p>
    <w:p>
      <w:pPr>
        <w:pStyle w:val="19"/>
        <w:spacing w:line="400" w:lineRule="atLeast"/>
        <w:rPr>
          <w:rFonts w:hAnsi="宋体" w:cs="宋体"/>
          <w:sz w:val="24"/>
          <w:highlight w:val="none"/>
        </w:rPr>
      </w:pPr>
      <w:r>
        <w:rPr>
          <w:rFonts w:hint="eastAsia" w:hAnsi="宋体" w:cs="宋体"/>
          <w:sz w:val="24"/>
          <w:highlight w:val="none"/>
        </w:rPr>
        <w:t xml:space="preserve">19.5.2.1按本须知第31条规定签订合同； </w:t>
      </w:r>
    </w:p>
    <w:p>
      <w:pPr>
        <w:pStyle w:val="19"/>
        <w:spacing w:line="400" w:lineRule="atLeast"/>
        <w:rPr>
          <w:rFonts w:hAnsi="宋体" w:cs="宋体"/>
          <w:sz w:val="24"/>
          <w:highlight w:val="none"/>
        </w:rPr>
      </w:pPr>
      <w:r>
        <w:rPr>
          <w:rFonts w:hint="eastAsia" w:hAnsi="宋体" w:cs="宋体"/>
          <w:sz w:val="24"/>
          <w:highlight w:val="none"/>
        </w:rPr>
        <w:t>19.5.2.2按须知第32条向买方提交履约保证金；</w:t>
      </w:r>
    </w:p>
    <w:p>
      <w:pPr>
        <w:pStyle w:val="19"/>
        <w:spacing w:line="400" w:lineRule="atLeast"/>
        <w:rPr>
          <w:rFonts w:hAnsi="宋体" w:cs="宋体"/>
          <w:sz w:val="24"/>
          <w:highlight w:val="none"/>
        </w:rPr>
      </w:pPr>
      <w:r>
        <w:rPr>
          <w:rFonts w:hint="eastAsia" w:hAnsi="宋体" w:cs="宋体"/>
          <w:sz w:val="24"/>
          <w:highlight w:val="none"/>
        </w:rPr>
        <w:t>19.5.2.3按本须知第33条规定向招标代理机构交纳代理服务费。</w:t>
      </w:r>
    </w:p>
    <w:p>
      <w:pPr>
        <w:pStyle w:val="19"/>
        <w:numPr>
          <w:ilvl w:val="0"/>
          <w:numId w:val="4"/>
        </w:numPr>
        <w:spacing w:line="400" w:lineRule="atLeast"/>
        <w:rPr>
          <w:rFonts w:hAnsi="宋体" w:cs="宋体"/>
          <w:b/>
          <w:bCs/>
          <w:sz w:val="24"/>
          <w:highlight w:val="none"/>
        </w:rPr>
      </w:pPr>
      <w:r>
        <w:rPr>
          <w:rFonts w:hint="eastAsia" w:hAnsi="宋体" w:cs="宋体"/>
          <w:b/>
          <w:bCs/>
          <w:sz w:val="24"/>
          <w:highlight w:val="none"/>
        </w:rPr>
        <w:t>符合性审查</w:t>
      </w:r>
      <w:r>
        <w:rPr>
          <w:rFonts w:hint="eastAsia" w:hAnsi="宋体" w:cs="宋体"/>
          <w:b/>
          <w:bCs/>
          <w:sz w:val="24"/>
          <w:highlight w:val="none"/>
          <w:lang w:eastAsia="zh-CN"/>
        </w:rPr>
        <w:t>（如有不符合将被视为无效投标）</w:t>
      </w:r>
    </w:p>
    <w:p>
      <w:pPr>
        <w:pStyle w:val="19"/>
        <w:numPr>
          <w:ilvl w:val="0"/>
          <w:numId w:val="5"/>
        </w:numPr>
        <w:spacing w:line="400" w:lineRule="atLeast"/>
        <w:rPr>
          <w:rFonts w:hAnsi="宋体" w:cs="宋体"/>
          <w:sz w:val="24"/>
        </w:rPr>
      </w:pPr>
      <w:r>
        <w:rPr>
          <w:rFonts w:hint="eastAsia" w:hAnsi="宋体" w:cs="宋体"/>
          <w:sz w:val="24"/>
          <w:lang w:eastAsia="zh-CN"/>
        </w:rPr>
        <w:t>有</w:t>
      </w:r>
      <w:r>
        <w:rPr>
          <w:rFonts w:hint="eastAsia" w:hAnsi="宋体" w:cs="宋体"/>
          <w:sz w:val="24"/>
        </w:rPr>
        <w:t>单位盖章并</w:t>
      </w:r>
      <w:r>
        <w:rPr>
          <w:rFonts w:hint="eastAsia" w:hAnsi="宋体" w:cs="宋体"/>
          <w:sz w:val="24"/>
          <w:lang w:eastAsia="zh-CN"/>
        </w:rPr>
        <w:t>有</w:t>
      </w:r>
      <w:r>
        <w:rPr>
          <w:rFonts w:hint="eastAsia" w:hAnsi="宋体" w:cs="宋体"/>
          <w:sz w:val="24"/>
        </w:rPr>
        <w:t>法定代表人或法定代表人授权的代理人签字或盖章的；</w:t>
      </w:r>
    </w:p>
    <w:p>
      <w:pPr>
        <w:pStyle w:val="19"/>
        <w:numPr>
          <w:ilvl w:val="0"/>
          <w:numId w:val="5"/>
        </w:numPr>
        <w:spacing w:line="400" w:lineRule="atLeast"/>
        <w:rPr>
          <w:rFonts w:hAnsi="宋体" w:cs="宋体"/>
          <w:sz w:val="24"/>
        </w:rPr>
      </w:pPr>
      <w:r>
        <w:rPr>
          <w:rFonts w:hint="eastAsia" w:hAnsi="宋体" w:cs="宋体"/>
          <w:sz w:val="24"/>
          <w:lang w:eastAsia="zh-CN"/>
        </w:rPr>
        <w:t>有</w:t>
      </w:r>
      <w:r>
        <w:rPr>
          <w:rFonts w:hint="eastAsia" w:hAnsi="宋体" w:cs="宋体"/>
          <w:sz w:val="24"/>
        </w:rPr>
        <w:t>法定代表人出具的授权委托书的；</w:t>
      </w:r>
    </w:p>
    <w:p>
      <w:pPr>
        <w:pStyle w:val="19"/>
        <w:spacing w:line="400" w:lineRule="atLeast"/>
        <w:rPr>
          <w:rFonts w:hAnsi="宋体" w:cs="宋体"/>
          <w:sz w:val="24"/>
        </w:rPr>
      </w:pPr>
      <w:r>
        <w:rPr>
          <w:rFonts w:hint="eastAsia" w:hAnsi="宋体" w:cs="宋体"/>
          <w:sz w:val="24"/>
        </w:rPr>
        <w:t>3.按规定的格式填写或提交响应文件份数</w:t>
      </w:r>
      <w:r>
        <w:rPr>
          <w:rFonts w:hint="eastAsia" w:hAnsi="宋体" w:cs="宋体"/>
          <w:sz w:val="24"/>
          <w:lang w:eastAsia="zh-CN"/>
        </w:rPr>
        <w:t>；</w:t>
      </w:r>
      <w:r>
        <w:rPr>
          <w:rFonts w:hint="eastAsia" w:hAnsi="宋体" w:cs="宋体"/>
          <w:sz w:val="24"/>
        </w:rPr>
        <w:t>按磋商文件要求提供，</w:t>
      </w:r>
      <w:r>
        <w:rPr>
          <w:rFonts w:hint="eastAsia" w:hAnsi="宋体" w:cs="宋体"/>
          <w:sz w:val="24"/>
          <w:lang w:eastAsia="zh-CN"/>
        </w:rPr>
        <w:t>无</w:t>
      </w:r>
      <w:r>
        <w:rPr>
          <w:rFonts w:hint="eastAsia" w:hAnsi="宋体" w:cs="宋体"/>
          <w:sz w:val="24"/>
        </w:rPr>
        <w:t>内容不全或关键字迹模糊、无法辨认的；</w:t>
      </w:r>
    </w:p>
    <w:p>
      <w:pPr>
        <w:pStyle w:val="19"/>
        <w:spacing w:line="400" w:lineRule="atLeast"/>
        <w:rPr>
          <w:rFonts w:hAnsi="宋体" w:cs="宋体"/>
          <w:sz w:val="24"/>
        </w:rPr>
      </w:pPr>
      <w:r>
        <w:rPr>
          <w:rFonts w:hint="eastAsia" w:hAnsi="宋体" w:cs="宋体"/>
          <w:sz w:val="24"/>
        </w:rPr>
        <w:t>4.供应商名称或组织结构与购买磋商文件时一致且提供有效证明的；</w:t>
      </w:r>
      <w:bookmarkStart w:id="29" w:name="_Toc298240408"/>
      <w:bookmarkStart w:id="30" w:name="_Toc349573124"/>
      <w:bookmarkStart w:id="31" w:name="_Toc349637923"/>
      <w:bookmarkStart w:id="32" w:name="_Toc468707221"/>
      <w:bookmarkStart w:id="33" w:name="_Toc267301285"/>
    </w:p>
    <w:p>
      <w:pPr>
        <w:pStyle w:val="19"/>
        <w:spacing w:line="400" w:lineRule="atLeast"/>
        <w:rPr>
          <w:rFonts w:hAnsi="宋体" w:cs="宋体"/>
          <w:sz w:val="24"/>
        </w:rPr>
      </w:pPr>
      <w:r>
        <w:rPr>
          <w:rFonts w:hint="eastAsia" w:hAnsi="宋体" w:cs="宋体"/>
          <w:sz w:val="24"/>
        </w:rPr>
        <w:t>5.对磋商文件主要条款和承诺</w:t>
      </w:r>
      <w:r>
        <w:rPr>
          <w:rFonts w:hint="eastAsia" w:hAnsi="宋体" w:cs="宋体"/>
          <w:sz w:val="24"/>
          <w:lang w:eastAsia="zh-CN"/>
        </w:rPr>
        <w:t>未</w:t>
      </w:r>
      <w:r>
        <w:rPr>
          <w:rFonts w:hint="eastAsia" w:hAnsi="宋体" w:cs="宋体"/>
          <w:sz w:val="24"/>
        </w:rPr>
        <w:t>存在重大出入或保留；</w:t>
      </w:r>
    </w:p>
    <w:p>
      <w:pPr>
        <w:pStyle w:val="19"/>
        <w:spacing w:line="400" w:lineRule="atLeast"/>
        <w:rPr>
          <w:rFonts w:hAnsi="宋体" w:cs="宋体"/>
          <w:sz w:val="24"/>
        </w:rPr>
      </w:pPr>
      <w:r>
        <w:rPr>
          <w:rFonts w:hint="eastAsia" w:hAnsi="宋体" w:cs="宋体"/>
          <w:sz w:val="24"/>
        </w:rPr>
        <w:t>6.磋商有效期满足磋商文件要求的；</w:t>
      </w:r>
    </w:p>
    <w:p>
      <w:pPr>
        <w:pStyle w:val="19"/>
        <w:spacing w:line="400" w:lineRule="atLeast"/>
        <w:rPr>
          <w:rFonts w:hAnsi="宋体" w:cs="宋体"/>
          <w:sz w:val="24"/>
        </w:rPr>
      </w:pPr>
      <w:r>
        <w:rPr>
          <w:rFonts w:hint="eastAsia" w:hAnsi="宋体" w:cs="宋体"/>
          <w:sz w:val="24"/>
          <w:lang w:val="en-US" w:eastAsia="zh-CN"/>
        </w:rPr>
        <w:t>7</w:t>
      </w:r>
      <w:r>
        <w:rPr>
          <w:rFonts w:hint="eastAsia" w:hAnsi="宋体" w:cs="宋体"/>
          <w:sz w:val="24"/>
        </w:rPr>
        <w:t>.响应文件</w:t>
      </w:r>
      <w:r>
        <w:rPr>
          <w:rFonts w:hint="eastAsia" w:hAnsi="宋体" w:cs="宋体"/>
          <w:sz w:val="24"/>
          <w:lang w:eastAsia="zh-CN"/>
        </w:rPr>
        <w:t>未</w:t>
      </w:r>
      <w:r>
        <w:rPr>
          <w:rFonts w:hint="eastAsia" w:hAnsi="宋体" w:cs="宋体"/>
          <w:sz w:val="24"/>
        </w:rPr>
        <w:t>附有采购人不能接受的条件；</w:t>
      </w:r>
    </w:p>
    <w:p>
      <w:pPr>
        <w:pStyle w:val="19"/>
        <w:spacing w:line="400" w:lineRule="atLeast"/>
        <w:rPr>
          <w:rFonts w:hAnsi="宋体" w:cs="宋体"/>
          <w:sz w:val="24"/>
        </w:rPr>
      </w:pPr>
      <w:r>
        <w:rPr>
          <w:rFonts w:hint="eastAsia" w:hAnsi="宋体" w:cs="宋体"/>
          <w:sz w:val="24"/>
          <w:lang w:val="en-US" w:eastAsia="zh-CN"/>
        </w:rPr>
        <w:t>8</w:t>
      </w:r>
      <w:r>
        <w:rPr>
          <w:rFonts w:hint="eastAsia" w:hAnsi="宋体" w:cs="宋体"/>
          <w:sz w:val="24"/>
        </w:rPr>
        <w:t>.供应商违反招标投标纪律的将做废标处理。</w:t>
      </w:r>
    </w:p>
    <w:p>
      <w:pPr>
        <w:pStyle w:val="4"/>
        <w:spacing w:before="100" w:beforeAutospacing="1" w:after="100" w:afterAutospacing="1" w:line="400" w:lineRule="atLeast"/>
        <w:jc w:val="center"/>
        <w:rPr>
          <w:rFonts w:ascii="宋体" w:hAnsi="宋体" w:eastAsia="宋体" w:cs="宋体"/>
          <w:sz w:val="28"/>
          <w:szCs w:val="28"/>
        </w:rPr>
      </w:pPr>
      <w:r>
        <w:rPr>
          <w:rFonts w:hint="eastAsia" w:ascii="宋体" w:hAnsi="宋体" w:eastAsia="宋体" w:cs="宋体"/>
          <w:sz w:val="28"/>
          <w:szCs w:val="28"/>
        </w:rPr>
        <w:t>D  磋商响应文件的递交</w:t>
      </w:r>
      <w:bookmarkEnd w:id="29"/>
      <w:bookmarkEnd w:id="30"/>
      <w:bookmarkEnd w:id="31"/>
      <w:bookmarkEnd w:id="32"/>
      <w:bookmarkEnd w:id="33"/>
    </w:p>
    <w:p>
      <w:pPr>
        <w:spacing w:line="400" w:lineRule="atLeast"/>
        <w:rPr>
          <w:rFonts w:ascii="宋体" w:hAnsi="宋体" w:cs="宋体"/>
          <w:sz w:val="24"/>
        </w:rPr>
      </w:pPr>
      <w:r>
        <w:rPr>
          <w:rFonts w:hint="eastAsia" w:ascii="宋体" w:hAnsi="宋体" w:cs="宋体"/>
          <w:sz w:val="24"/>
        </w:rPr>
        <w:t>20. 磋商响应文件的密封与标记</w:t>
      </w:r>
    </w:p>
    <w:p>
      <w:pPr>
        <w:spacing w:line="400" w:lineRule="atLeast"/>
        <w:ind w:left="600" w:hanging="600" w:hangingChars="250"/>
        <w:rPr>
          <w:rFonts w:ascii="宋体" w:hAnsi="宋体" w:cs="宋体"/>
          <w:sz w:val="24"/>
        </w:rPr>
      </w:pPr>
      <w:r>
        <w:rPr>
          <w:rFonts w:hint="eastAsia" w:ascii="宋体" w:hAnsi="宋体" w:cs="宋体"/>
          <w:sz w:val="24"/>
        </w:rPr>
        <w:t>20.1 供应商应将磋商响应文件正、副本分别密封，在每个密封件的封面上标明供应商名称、法定代表人、单位公章、正本或副本。</w:t>
      </w:r>
    </w:p>
    <w:p>
      <w:pPr>
        <w:spacing w:line="400" w:lineRule="atLeast"/>
        <w:rPr>
          <w:rFonts w:ascii="宋体" w:hAnsi="宋体" w:cs="宋体"/>
          <w:sz w:val="24"/>
        </w:rPr>
      </w:pPr>
      <w:r>
        <w:rPr>
          <w:rFonts w:hint="eastAsia" w:ascii="宋体" w:hAnsi="宋体" w:cs="宋体"/>
          <w:sz w:val="24"/>
        </w:rPr>
        <w:t>20.2 磋商响应文件袋上应写明：</w:t>
      </w:r>
    </w:p>
    <w:p>
      <w:pPr>
        <w:tabs>
          <w:tab w:val="left" w:pos="1080"/>
        </w:tabs>
        <w:spacing w:line="400" w:lineRule="atLeast"/>
        <w:ind w:firstLine="240" w:firstLineChars="100"/>
        <w:rPr>
          <w:rFonts w:ascii="宋体" w:hAnsi="宋体" w:cs="宋体"/>
          <w:sz w:val="24"/>
        </w:rPr>
      </w:pPr>
      <w:r>
        <w:rPr>
          <w:rFonts w:hint="eastAsia" w:ascii="宋体" w:hAnsi="宋体" w:cs="宋体"/>
          <w:sz w:val="24"/>
        </w:rPr>
        <w:t>1、招标机构：华春建设工程项目管理有限责任公司</w:t>
      </w:r>
    </w:p>
    <w:p>
      <w:pPr>
        <w:tabs>
          <w:tab w:val="left" w:pos="1080"/>
        </w:tabs>
        <w:spacing w:line="400" w:lineRule="atLeast"/>
        <w:ind w:firstLine="240" w:firstLineChars="100"/>
        <w:rPr>
          <w:rFonts w:ascii="宋体" w:hAnsi="宋体" w:cs="宋体"/>
          <w:sz w:val="24"/>
        </w:rPr>
      </w:pPr>
      <w:r>
        <w:rPr>
          <w:rFonts w:hint="eastAsia" w:ascii="宋体" w:hAnsi="宋体" w:cs="宋体"/>
          <w:sz w:val="24"/>
        </w:rPr>
        <w:t>2、项目名称：</w:t>
      </w:r>
    </w:p>
    <w:p>
      <w:pPr>
        <w:tabs>
          <w:tab w:val="left" w:pos="1080"/>
        </w:tabs>
        <w:spacing w:line="400" w:lineRule="atLeast"/>
        <w:ind w:firstLine="240" w:firstLineChars="100"/>
        <w:rPr>
          <w:rFonts w:ascii="宋体" w:hAnsi="宋体" w:cs="宋体"/>
          <w:sz w:val="24"/>
        </w:rPr>
      </w:pPr>
      <w:r>
        <w:rPr>
          <w:rFonts w:hint="eastAsia" w:ascii="宋体" w:hAnsi="宋体" w:cs="宋体"/>
          <w:sz w:val="24"/>
        </w:rPr>
        <w:t>3、项目编号：</w:t>
      </w:r>
    </w:p>
    <w:p>
      <w:pPr>
        <w:tabs>
          <w:tab w:val="left" w:pos="1080"/>
        </w:tabs>
        <w:spacing w:line="400" w:lineRule="atLeast"/>
        <w:ind w:firstLine="240" w:firstLineChars="100"/>
        <w:rPr>
          <w:rFonts w:ascii="宋体" w:hAnsi="宋体" w:cs="宋体"/>
          <w:sz w:val="24"/>
        </w:rPr>
      </w:pPr>
      <w:r>
        <w:rPr>
          <w:rFonts w:hint="eastAsia" w:ascii="宋体" w:hAnsi="宋体" w:cs="宋体"/>
          <w:sz w:val="24"/>
        </w:rPr>
        <w:t>4、注明“开标时才能启封”</w:t>
      </w:r>
    </w:p>
    <w:p>
      <w:pPr>
        <w:tabs>
          <w:tab w:val="left" w:pos="1080"/>
        </w:tabs>
        <w:spacing w:line="400" w:lineRule="atLeast"/>
        <w:ind w:firstLine="240" w:firstLineChars="100"/>
        <w:rPr>
          <w:rFonts w:ascii="宋体" w:hAnsi="宋体" w:cs="宋体"/>
          <w:sz w:val="24"/>
        </w:rPr>
      </w:pPr>
      <w:r>
        <w:rPr>
          <w:rFonts w:hint="eastAsia" w:ascii="宋体" w:hAnsi="宋体" w:cs="宋体"/>
          <w:sz w:val="24"/>
        </w:rPr>
        <w:t>5、磋商单位名称：</w:t>
      </w:r>
    </w:p>
    <w:p>
      <w:pPr>
        <w:spacing w:line="400" w:lineRule="atLeast"/>
        <w:ind w:left="600" w:hanging="600" w:hangingChars="250"/>
        <w:rPr>
          <w:rFonts w:ascii="宋体" w:hAnsi="宋体" w:cs="宋体"/>
          <w:sz w:val="24"/>
        </w:rPr>
      </w:pPr>
      <w:r>
        <w:rPr>
          <w:rFonts w:hint="eastAsia" w:ascii="宋体" w:hAnsi="宋体" w:cs="宋体"/>
          <w:sz w:val="24"/>
        </w:rPr>
        <w:t>20.3磋商响应文件装订要求：磋商响应文件要求不得活页装订</w:t>
      </w:r>
    </w:p>
    <w:p>
      <w:pPr>
        <w:spacing w:line="400" w:lineRule="atLeast"/>
        <w:rPr>
          <w:rFonts w:ascii="宋体" w:hAnsi="宋体" w:cs="宋体"/>
          <w:sz w:val="24"/>
        </w:rPr>
      </w:pPr>
      <w:r>
        <w:rPr>
          <w:rFonts w:hint="eastAsia" w:ascii="宋体" w:hAnsi="宋体" w:cs="宋体"/>
          <w:sz w:val="24"/>
        </w:rPr>
        <w:t>21. 磋商响应文件递交截止时间</w:t>
      </w:r>
    </w:p>
    <w:p>
      <w:pPr>
        <w:spacing w:line="400" w:lineRule="atLeast"/>
        <w:rPr>
          <w:rFonts w:ascii="宋体" w:hAnsi="宋体" w:cs="宋体"/>
          <w:sz w:val="24"/>
        </w:rPr>
      </w:pPr>
      <w:r>
        <w:rPr>
          <w:rFonts w:hint="eastAsia" w:ascii="宋体" w:hAnsi="宋体" w:cs="宋体"/>
          <w:sz w:val="24"/>
        </w:rPr>
        <w:t>21.1 磋商响应文件的递交截止时间为：</w:t>
      </w:r>
      <w:r>
        <w:rPr>
          <w:rFonts w:hint="eastAsia" w:ascii="宋体" w:hAnsi="宋体" w:cs="宋体"/>
          <w:b/>
          <w:bCs/>
          <w:sz w:val="24"/>
          <w:szCs w:val="24"/>
        </w:rPr>
        <w:t>202</w:t>
      </w:r>
      <w:r>
        <w:rPr>
          <w:rFonts w:hint="eastAsia" w:ascii="宋体" w:hAnsi="宋体" w:cs="宋体"/>
          <w:b/>
          <w:bCs/>
          <w:sz w:val="24"/>
          <w:szCs w:val="24"/>
          <w:lang w:val="en-US" w:eastAsia="zh-CN"/>
        </w:rPr>
        <w:t>1</w:t>
      </w:r>
      <w:r>
        <w:rPr>
          <w:rFonts w:hint="eastAsia" w:ascii="宋体" w:hAnsi="宋体" w:cs="宋体"/>
          <w:b/>
          <w:bCs/>
          <w:sz w:val="24"/>
          <w:szCs w:val="24"/>
        </w:rPr>
        <w:t>年</w:t>
      </w:r>
      <w:r>
        <w:rPr>
          <w:rFonts w:hint="eastAsia" w:ascii="宋体" w:hAnsi="宋体" w:cs="宋体"/>
          <w:b/>
          <w:bCs/>
          <w:sz w:val="24"/>
          <w:szCs w:val="24"/>
          <w:lang w:val="en-US" w:eastAsia="zh-CN"/>
        </w:rPr>
        <w:t>11</w:t>
      </w:r>
      <w:r>
        <w:rPr>
          <w:rFonts w:hint="eastAsia" w:ascii="宋体" w:hAnsi="宋体" w:cs="宋体"/>
          <w:b/>
          <w:bCs/>
          <w:sz w:val="24"/>
          <w:szCs w:val="24"/>
        </w:rPr>
        <w:t>月</w:t>
      </w:r>
      <w:r>
        <w:rPr>
          <w:rFonts w:hint="eastAsia" w:ascii="宋体" w:hAnsi="宋体" w:cs="宋体"/>
          <w:b/>
          <w:bCs/>
          <w:sz w:val="24"/>
          <w:szCs w:val="24"/>
          <w:lang w:val="en-US" w:eastAsia="zh-CN"/>
        </w:rPr>
        <w:t>15</w:t>
      </w:r>
      <w:r>
        <w:rPr>
          <w:rFonts w:hint="eastAsia" w:ascii="宋体" w:hAnsi="宋体" w:cs="宋体"/>
          <w:b/>
          <w:bCs/>
          <w:sz w:val="24"/>
          <w:szCs w:val="24"/>
        </w:rPr>
        <w:t>日</w:t>
      </w:r>
      <w:r>
        <w:rPr>
          <w:rFonts w:hint="eastAsia" w:ascii="宋体" w:hAnsi="宋体" w:cs="宋体"/>
          <w:b/>
          <w:bCs/>
          <w:sz w:val="24"/>
          <w:szCs w:val="24"/>
          <w:lang w:val="en-US" w:eastAsia="zh-CN"/>
        </w:rPr>
        <w:t>16</w:t>
      </w:r>
      <w:r>
        <w:rPr>
          <w:rFonts w:hint="eastAsia" w:ascii="宋体" w:hAnsi="宋体" w:cs="宋体"/>
          <w:b/>
          <w:bCs/>
          <w:sz w:val="24"/>
          <w:szCs w:val="24"/>
        </w:rPr>
        <w:t>：00时（北京时间）</w:t>
      </w:r>
      <w:r>
        <w:rPr>
          <w:rFonts w:hint="eastAsia" w:ascii="宋体" w:hAnsi="宋体" w:cs="宋体"/>
          <w:sz w:val="24"/>
        </w:rPr>
        <w:t>。</w:t>
      </w:r>
    </w:p>
    <w:p>
      <w:pPr>
        <w:spacing w:line="400" w:lineRule="atLeast"/>
        <w:ind w:left="540" w:leftChars="257"/>
        <w:rPr>
          <w:rFonts w:ascii="宋体" w:hAnsi="宋体" w:cs="宋体"/>
          <w:sz w:val="24"/>
        </w:rPr>
      </w:pPr>
      <w:r>
        <w:rPr>
          <w:rFonts w:hint="eastAsia" w:ascii="宋体" w:hAnsi="宋体" w:cs="宋体"/>
          <w:sz w:val="24"/>
        </w:rPr>
        <w:t>磋商响应文件以密封形式递交至：开标现场</w:t>
      </w:r>
      <w:bookmarkStart w:id="62" w:name="_GoBack"/>
      <w:bookmarkEnd w:id="62"/>
    </w:p>
    <w:p>
      <w:pPr>
        <w:spacing w:line="400" w:lineRule="atLeast"/>
        <w:ind w:left="600" w:hanging="600" w:hangingChars="250"/>
        <w:rPr>
          <w:rFonts w:ascii="宋体" w:hAnsi="宋体" w:cs="宋体"/>
          <w:sz w:val="24"/>
        </w:rPr>
      </w:pPr>
      <w:r>
        <w:rPr>
          <w:rFonts w:hint="eastAsia" w:ascii="宋体" w:hAnsi="宋体" w:cs="宋体"/>
          <w:sz w:val="24"/>
        </w:rPr>
        <w:t>21.2 所有磋商响应文件不论派人送交还是通过邮寄递交，都必须按招标代理机构在磋商邀请中规定的投标截止时间之前送到磋商文件规定的地点。</w:t>
      </w:r>
    </w:p>
    <w:p>
      <w:pPr>
        <w:spacing w:line="400" w:lineRule="atLeast"/>
        <w:ind w:left="600" w:hanging="600" w:hangingChars="250"/>
        <w:rPr>
          <w:rFonts w:ascii="宋体" w:hAnsi="宋体" w:cs="宋体"/>
          <w:sz w:val="24"/>
        </w:rPr>
      </w:pPr>
      <w:r>
        <w:rPr>
          <w:rFonts w:hint="eastAsia" w:ascii="宋体" w:hAnsi="宋体" w:cs="宋体"/>
          <w:sz w:val="24"/>
        </w:rPr>
        <w:t>21.3 出现第8.2款因磋商文件的修改推迟投标截止时间时，则按招标代理机构修改通知规定的时间递交。</w:t>
      </w:r>
    </w:p>
    <w:p>
      <w:pPr>
        <w:spacing w:line="400" w:lineRule="atLeast"/>
        <w:rPr>
          <w:rFonts w:ascii="宋体" w:hAnsi="宋体" w:cs="宋体"/>
          <w:sz w:val="24"/>
        </w:rPr>
      </w:pPr>
      <w:r>
        <w:rPr>
          <w:rFonts w:hint="eastAsia" w:ascii="宋体" w:hAnsi="宋体" w:cs="宋体"/>
          <w:sz w:val="24"/>
        </w:rPr>
        <w:t>22．磋商响应文件的修改和撤销</w:t>
      </w:r>
    </w:p>
    <w:p>
      <w:pPr>
        <w:spacing w:line="400" w:lineRule="atLeast"/>
        <w:ind w:left="600" w:hanging="600" w:hangingChars="250"/>
        <w:rPr>
          <w:rFonts w:ascii="宋体" w:hAnsi="宋体" w:cs="宋体"/>
          <w:sz w:val="24"/>
        </w:rPr>
      </w:pPr>
      <w:r>
        <w:rPr>
          <w:rFonts w:hint="eastAsia" w:ascii="宋体" w:hAnsi="宋体" w:cs="宋体"/>
          <w:sz w:val="24"/>
        </w:rPr>
        <w:t>22.1 供应商在提交磋商响应文件后可对其磋商响应文件进行修改或撤销，但招标代理机构须在投标截止时间之前收到该修改或撤销的书面通知，该通知须有经正式授权的供应商代表签字。</w:t>
      </w:r>
    </w:p>
    <w:p>
      <w:pPr>
        <w:spacing w:line="400" w:lineRule="atLeast"/>
        <w:ind w:left="600" w:hanging="600" w:hangingChars="250"/>
        <w:rPr>
          <w:rFonts w:ascii="宋体" w:hAnsi="宋体" w:cs="宋体"/>
          <w:sz w:val="24"/>
        </w:rPr>
      </w:pPr>
      <w:r>
        <w:rPr>
          <w:rFonts w:hint="eastAsia" w:ascii="宋体" w:hAnsi="宋体" w:cs="宋体"/>
          <w:sz w:val="24"/>
        </w:rPr>
        <w:t>22.2 供应商不得在磋商时间起至磋商有效期期满前撤销磋商响应文件。否则招标代理机构将没收其磋商保证金。</w:t>
      </w:r>
    </w:p>
    <w:p>
      <w:pPr>
        <w:spacing w:line="400" w:lineRule="atLeast"/>
        <w:ind w:left="540" w:leftChars="257"/>
        <w:jc w:val="center"/>
        <w:rPr>
          <w:rFonts w:ascii="宋体" w:hAnsi="宋体" w:cs="宋体"/>
          <w:b/>
          <w:bCs/>
          <w:sz w:val="32"/>
          <w:szCs w:val="28"/>
        </w:rPr>
      </w:pPr>
      <w:bookmarkStart w:id="34" w:name="_Toc349573125"/>
      <w:bookmarkStart w:id="35" w:name="_Toc298240409"/>
      <w:bookmarkStart w:id="36" w:name="_Toc267301286"/>
      <w:bookmarkStart w:id="37" w:name="_Toc468707222"/>
      <w:bookmarkStart w:id="38" w:name="_Toc349637924"/>
      <w:r>
        <w:rPr>
          <w:rFonts w:hint="eastAsia" w:ascii="宋体" w:hAnsi="宋体" w:cs="宋体"/>
          <w:b/>
          <w:bCs/>
          <w:sz w:val="32"/>
          <w:szCs w:val="28"/>
        </w:rPr>
        <w:t>E  磋商程序</w:t>
      </w:r>
      <w:bookmarkEnd w:id="34"/>
      <w:bookmarkEnd w:id="35"/>
      <w:bookmarkEnd w:id="36"/>
      <w:bookmarkEnd w:id="37"/>
      <w:bookmarkEnd w:id="38"/>
    </w:p>
    <w:p>
      <w:pPr>
        <w:spacing w:line="400" w:lineRule="atLeast"/>
        <w:ind w:left="540" w:leftChars="257"/>
        <w:rPr>
          <w:rFonts w:ascii="宋体" w:hAnsi="宋体" w:cs="宋体"/>
          <w:sz w:val="24"/>
          <w:szCs w:val="22"/>
        </w:rPr>
      </w:pPr>
      <w:r>
        <w:rPr>
          <w:rFonts w:hint="eastAsia" w:ascii="宋体" w:hAnsi="宋体" w:cs="宋体"/>
          <w:sz w:val="24"/>
          <w:szCs w:val="22"/>
        </w:rPr>
        <w:t>23．磋商</w:t>
      </w:r>
    </w:p>
    <w:p>
      <w:pPr>
        <w:spacing w:line="400" w:lineRule="atLeast"/>
        <w:ind w:left="540" w:leftChars="257"/>
        <w:rPr>
          <w:rFonts w:ascii="宋体" w:hAnsi="宋体" w:cs="宋体"/>
          <w:b/>
          <w:bCs/>
          <w:sz w:val="24"/>
          <w:szCs w:val="22"/>
        </w:rPr>
      </w:pPr>
      <w:r>
        <w:rPr>
          <w:rFonts w:hint="eastAsia" w:ascii="宋体" w:hAnsi="宋体" w:cs="宋体"/>
          <w:b/>
          <w:bCs/>
          <w:sz w:val="24"/>
          <w:szCs w:val="22"/>
        </w:rPr>
        <w:t>23.1磋商时，有关监督部门的工作人员将对供应商进行资格初审。</w:t>
      </w:r>
    </w:p>
    <w:p>
      <w:pPr>
        <w:spacing w:line="400" w:lineRule="atLeast"/>
        <w:ind w:left="540" w:leftChars="257"/>
        <w:rPr>
          <w:rFonts w:ascii="宋体" w:hAnsi="宋体" w:cs="宋体"/>
          <w:b/>
          <w:bCs/>
          <w:sz w:val="24"/>
          <w:szCs w:val="22"/>
        </w:rPr>
      </w:pPr>
      <w:r>
        <w:rPr>
          <w:rFonts w:hint="eastAsia" w:ascii="宋体" w:hAnsi="宋体" w:cs="宋体"/>
          <w:b/>
          <w:bCs/>
          <w:sz w:val="24"/>
          <w:szCs w:val="22"/>
        </w:rPr>
        <w:t>1、有效的营业执照原件；</w:t>
      </w:r>
    </w:p>
    <w:p>
      <w:pPr>
        <w:spacing w:line="400" w:lineRule="atLeast"/>
        <w:ind w:left="540" w:leftChars="257"/>
        <w:rPr>
          <w:rFonts w:ascii="宋体" w:hAnsi="宋体" w:cs="宋体"/>
          <w:b/>
          <w:bCs/>
          <w:sz w:val="24"/>
          <w:szCs w:val="22"/>
        </w:rPr>
      </w:pPr>
      <w:r>
        <w:rPr>
          <w:rFonts w:hint="eastAsia" w:ascii="宋体" w:hAnsi="宋体" w:cs="宋体"/>
          <w:b/>
          <w:bCs/>
          <w:sz w:val="24"/>
          <w:szCs w:val="22"/>
        </w:rPr>
        <w:t>2、法定代表人身份证明书及法定代表人身份证原件（或法定代表人授权委托书及被委托人身份证原件）；</w:t>
      </w:r>
    </w:p>
    <w:p>
      <w:pPr>
        <w:spacing w:line="400" w:lineRule="atLeast"/>
        <w:ind w:left="540" w:leftChars="257"/>
        <w:rPr>
          <w:rFonts w:hint="eastAsia" w:ascii="宋体" w:hAnsi="宋体" w:eastAsia="宋体" w:cs="宋体"/>
          <w:b/>
          <w:bCs/>
          <w:sz w:val="24"/>
          <w:szCs w:val="22"/>
          <w:lang w:eastAsia="zh-CN"/>
        </w:rPr>
      </w:pPr>
      <w:r>
        <w:rPr>
          <w:rFonts w:hint="eastAsia" w:ascii="宋体" w:hAnsi="宋体" w:cs="宋体"/>
          <w:b/>
          <w:bCs/>
          <w:sz w:val="24"/>
          <w:szCs w:val="22"/>
        </w:rPr>
        <w:t>3、投标保证金汇款凭证（复印件盖公章）</w:t>
      </w:r>
      <w:r>
        <w:rPr>
          <w:rFonts w:hint="eastAsia" w:ascii="宋体" w:hAnsi="宋体" w:cs="宋体"/>
          <w:b/>
          <w:bCs/>
          <w:sz w:val="24"/>
          <w:szCs w:val="22"/>
          <w:lang w:eastAsia="zh-CN"/>
        </w:rPr>
        <w:t>；</w:t>
      </w:r>
    </w:p>
    <w:p>
      <w:pPr>
        <w:spacing w:line="400" w:lineRule="atLeast"/>
        <w:ind w:left="540" w:leftChars="257"/>
        <w:rPr>
          <w:rFonts w:ascii="宋体" w:hAnsi="宋体" w:cs="宋体"/>
          <w:b/>
          <w:bCs/>
          <w:sz w:val="24"/>
          <w:szCs w:val="22"/>
        </w:rPr>
      </w:pPr>
      <w:r>
        <w:rPr>
          <w:rFonts w:hint="eastAsia" w:ascii="宋体" w:hAnsi="宋体" w:cs="宋体"/>
          <w:b/>
          <w:bCs/>
          <w:sz w:val="24"/>
          <w:szCs w:val="22"/>
        </w:rPr>
        <w:t>注：无法提出合法证明文件的投标人为无效投标人，其投标文件不予开封并退回投标人。以备磋商前做资格审查，确认其是否已具备提交磋商响应文件的资格。</w:t>
      </w:r>
    </w:p>
    <w:p>
      <w:pPr>
        <w:spacing w:line="400" w:lineRule="atLeast"/>
        <w:ind w:left="540" w:leftChars="257"/>
        <w:rPr>
          <w:rFonts w:ascii="宋体" w:hAnsi="宋体" w:cs="宋体"/>
          <w:sz w:val="24"/>
          <w:szCs w:val="22"/>
        </w:rPr>
      </w:pPr>
      <w:r>
        <w:rPr>
          <w:rFonts w:hint="eastAsia" w:ascii="宋体" w:hAnsi="宋体" w:cs="宋体"/>
          <w:sz w:val="24"/>
          <w:szCs w:val="22"/>
        </w:rPr>
        <w:t>23.2 本次磋商按磋商文件中磋商邀请规定的时间地点进行磋商，将邀请供应商的法定代表人或其授权委托人准时参加磋商会。</w:t>
      </w:r>
    </w:p>
    <w:p>
      <w:pPr>
        <w:spacing w:line="400" w:lineRule="atLeast"/>
        <w:ind w:left="540" w:leftChars="257"/>
        <w:rPr>
          <w:rFonts w:ascii="宋体" w:hAnsi="宋体" w:cs="宋体"/>
          <w:sz w:val="24"/>
          <w:szCs w:val="22"/>
        </w:rPr>
      </w:pPr>
      <w:r>
        <w:rPr>
          <w:rFonts w:hint="eastAsia" w:ascii="宋体" w:hAnsi="宋体" w:cs="宋体"/>
          <w:sz w:val="24"/>
          <w:szCs w:val="22"/>
        </w:rPr>
        <w:t>23.3宣布磋商响应文件开启顺序。</w:t>
      </w:r>
    </w:p>
    <w:p>
      <w:pPr>
        <w:spacing w:line="400" w:lineRule="atLeast"/>
        <w:rPr>
          <w:rFonts w:ascii="宋体" w:hAnsi="宋体" w:cs="宋体"/>
          <w:sz w:val="24"/>
          <w:szCs w:val="22"/>
        </w:rPr>
      </w:pPr>
      <w:r>
        <w:rPr>
          <w:rFonts w:hint="eastAsia" w:ascii="宋体" w:hAnsi="宋体" w:cs="宋体"/>
          <w:sz w:val="24"/>
          <w:szCs w:val="22"/>
        </w:rPr>
        <w:t>23.4 磋商时检查磋商响应文件密封情况。</w:t>
      </w:r>
    </w:p>
    <w:p>
      <w:pPr>
        <w:spacing w:line="400" w:lineRule="atLeast"/>
        <w:rPr>
          <w:rFonts w:ascii="宋体" w:hAnsi="宋体" w:cs="宋体"/>
          <w:sz w:val="24"/>
        </w:rPr>
      </w:pPr>
      <w:r>
        <w:rPr>
          <w:rFonts w:hint="eastAsia" w:ascii="宋体" w:hAnsi="宋体" w:cs="宋体"/>
          <w:sz w:val="24"/>
        </w:rPr>
        <w:t>23.5 磋商原则在磋商会议上宣布。</w:t>
      </w:r>
    </w:p>
    <w:p>
      <w:pPr>
        <w:spacing w:line="400" w:lineRule="atLeast"/>
        <w:rPr>
          <w:rFonts w:ascii="宋体" w:hAnsi="宋体" w:cs="宋体"/>
          <w:sz w:val="24"/>
        </w:rPr>
      </w:pPr>
      <w:r>
        <w:rPr>
          <w:rFonts w:hint="eastAsia" w:ascii="宋体" w:hAnsi="宋体" w:cs="宋体"/>
          <w:sz w:val="24"/>
        </w:rPr>
        <w:t>23.6 对采购方的纪律要求</w:t>
      </w:r>
    </w:p>
    <w:p>
      <w:pPr>
        <w:spacing w:line="400" w:lineRule="atLeast"/>
        <w:ind w:left="720" w:hanging="720" w:hangingChars="300"/>
        <w:rPr>
          <w:rFonts w:ascii="宋体" w:hAnsi="宋体" w:cs="宋体"/>
          <w:sz w:val="24"/>
        </w:rPr>
      </w:pPr>
      <w:r>
        <w:rPr>
          <w:rFonts w:hint="eastAsia" w:ascii="宋体" w:hAnsi="宋体" w:cs="宋体"/>
          <w:sz w:val="24"/>
        </w:rPr>
        <w:t xml:space="preserve">      采购方不得泄露磋商活动中应当保密的情况和资料，不得与供应商串通损害国家利益、社会公共利益或者他人合法权益。</w:t>
      </w:r>
    </w:p>
    <w:p>
      <w:pPr>
        <w:spacing w:line="400" w:lineRule="atLeast"/>
        <w:rPr>
          <w:rFonts w:ascii="宋体" w:hAnsi="宋体" w:cs="宋体"/>
          <w:sz w:val="24"/>
        </w:rPr>
      </w:pPr>
      <w:r>
        <w:rPr>
          <w:rFonts w:hint="eastAsia" w:ascii="宋体" w:hAnsi="宋体" w:cs="宋体"/>
          <w:sz w:val="24"/>
        </w:rPr>
        <w:t>23.7对供应商的纪律要求</w:t>
      </w:r>
    </w:p>
    <w:p>
      <w:pPr>
        <w:spacing w:line="400" w:lineRule="atLeast"/>
        <w:ind w:left="598" w:leftChars="285"/>
        <w:rPr>
          <w:rFonts w:ascii="宋体" w:hAnsi="宋体" w:cs="宋体"/>
          <w:sz w:val="24"/>
        </w:rPr>
      </w:pPr>
      <w:r>
        <w:rPr>
          <w:rFonts w:hint="eastAsia" w:ascii="宋体" w:hAnsi="宋体" w:cs="宋体"/>
          <w:sz w:val="24"/>
        </w:rPr>
        <w:t>供应商不得互相串通磋商或者与采购人串通磋商，不得向采购人或者磋商小组成员行贿谋取成交，不得以他人名义磋商或者以其他方式弄虚作假骗取成交；供应商不得以任何方式干扰、影响磋商工作。</w:t>
      </w:r>
    </w:p>
    <w:p>
      <w:pPr>
        <w:spacing w:line="400" w:lineRule="atLeast"/>
        <w:rPr>
          <w:rFonts w:ascii="宋体" w:hAnsi="宋体" w:cs="宋体"/>
          <w:sz w:val="24"/>
        </w:rPr>
      </w:pPr>
      <w:r>
        <w:rPr>
          <w:rFonts w:hint="eastAsia" w:ascii="宋体" w:hAnsi="宋体" w:cs="宋体"/>
          <w:sz w:val="24"/>
        </w:rPr>
        <w:t>23.8 对与磋商活动有关的工作人员的纪律要求</w:t>
      </w:r>
    </w:p>
    <w:p>
      <w:pPr>
        <w:spacing w:line="400" w:lineRule="atLeast"/>
        <w:ind w:left="480" w:hanging="480" w:hangingChars="200"/>
        <w:rPr>
          <w:rFonts w:ascii="宋体" w:hAnsi="宋体" w:cs="宋体"/>
          <w:sz w:val="24"/>
        </w:rPr>
      </w:pPr>
      <w:r>
        <w:rPr>
          <w:rFonts w:hint="eastAsia" w:ascii="宋体" w:hAnsi="宋体" w:cs="宋体"/>
          <w:sz w:val="24"/>
        </w:rPr>
        <w:t xml:space="preserve">    与磋商活动有关的工作人员不得收受他人的财物或者好处，不得向其他人透露对磋商响应文件的评审和比较、成交候选人的推荐情况及磋商有关其他情况。在磋商活动中，与磋商活动有关的工作人员不得擅离职守，影响磋商程序正常进行。</w:t>
      </w:r>
    </w:p>
    <w:p>
      <w:pPr>
        <w:spacing w:line="400" w:lineRule="atLeast"/>
        <w:rPr>
          <w:rFonts w:ascii="宋体" w:hAnsi="宋体" w:cs="宋体"/>
          <w:sz w:val="24"/>
        </w:rPr>
      </w:pPr>
      <w:r>
        <w:rPr>
          <w:rFonts w:hint="eastAsia" w:ascii="宋体" w:hAnsi="宋体" w:cs="宋体"/>
          <w:sz w:val="24"/>
        </w:rPr>
        <w:t>23.9对磋商小组成员要求磋商纪律</w:t>
      </w:r>
    </w:p>
    <w:p>
      <w:pPr>
        <w:spacing w:line="400" w:lineRule="atLeast"/>
        <w:ind w:left="480" w:hanging="480" w:hangingChars="200"/>
        <w:rPr>
          <w:rFonts w:ascii="宋体" w:hAnsi="宋体" w:cs="宋体"/>
          <w:sz w:val="24"/>
        </w:rPr>
      </w:pPr>
      <w:r>
        <w:rPr>
          <w:rFonts w:hint="eastAsia" w:ascii="宋体" w:hAnsi="宋体" w:cs="宋体"/>
          <w:sz w:val="24"/>
        </w:rPr>
        <w:t>23.9.1磋商小组应当依照有关法律法规的规定，按照磋商文件确定的磋商标准和办法客观、公正的对磋商响应文件提出评审意见。磋商文件设有规定的磋商标准和方法不得作为磋商依据。</w:t>
      </w:r>
    </w:p>
    <w:p>
      <w:pPr>
        <w:spacing w:line="400" w:lineRule="atLeast"/>
        <w:ind w:left="480" w:hanging="480" w:hangingChars="200"/>
        <w:rPr>
          <w:rFonts w:ascii="宋体" w:hAnsi="宋体" w:cs="宋体"/>
          <w:sz w:val="24"/>
        </w:rPr>
      </w:pPr>
      <w:r>
        <w:rPr>
          <w:rFonts w:hint="eastAsia" w:ascii="宋体" w:hAnsi="宋体" w:cs="宋体"/>
          <w:sz w:val="24"/>
        </w:rPr>
        <w:t>23.9.2磋商小组成员不得私下接触供应商，不得收受供应商给予的财务或者其他好处，不得向采购方征询确定成交方意向。</w:t>
      </w:r>
    </w:p>
    <w:p>
      <w:pPr>
        <w:spacing w:line="400" w:lineRule="atLeast"/>
        <w:rPr>
          <w:rFonts w:ascii="宋体" w:hAnsi="宋体" w:cs="宋体"/>
          <w:sz w:val="24"/>
        </w:rPr>
      </w:pPr>
      <w:r>
        <w:rPr>
          <w:rFonts w:hint="eastAsia" w:ascii="宋体" w:hAnsi="宋体" w:cs="宋体"/>
          <w:sz w:val="24"/>
        </w:rPr>
        <w:t>23.9.3不得接受任何单位或个人明示或暗示提出的倾向或排斥特定供应商的要求。</w:t>
      </w:r>
    </w:p>
    <w:p>
      <w:pPr>
        <w:spacing w:line="400" w:lineRule="atLeast"/>
        <w:rPr>
          <w:rFonts w:ascii="宋体" w:hAnsi="宋体" w:cs="宋体"/>
          <w:sz w:val="24"/>
        </w:rPr>
      </w:pPr>
      <w:r>
        <w:rPr>
          <w:rFonts w:hint="eastAsia" w:ascii="宋体" w:hAnsi="宋体" w:cs="宋体"/>
          <w:sz w:val="24"/>
        </w:rPr>
        <w:t>23.9.4不得有其他不客观，不公正履行职务的行为。</w:t>
      </w:r>
    </w:p>
    <w:p>
      <w:pPr>
        <w:spacing w:line="400" w:lineRule="atLeast"/>
        <w:rPr>
          <w:rFonts w:ascii="宋体" w:hAnsi="宋体" w:cs="宋体"/>
          <w:sz w:val="24"/>
        </w:rPr>
      </w:pPr>
      <w:r>
        <w:rPr>
          <w:rFonts w:hint="eastAsia" w:ascii="宋体" w:hAnsi="宋体" w:cs="宋体"/>
          <w:sz w:val="24"/>
        </w:rPr>
        <w:t>24．磋商过程</w:t>
      </w:r>
    </w:p>
    <w:p>
      <w:pPr>
        <w:spacing w:line="400" w:lineRule="atLeast"/>
        <w:rPr>
          <w:rFonts w:ascii="宋体" w:hAnsi="宋体" w:cs="宋体"/>
          <w:sz w:val="24"/>
        </w:rPr>
      </w:pPr>
      <w:r>
        <w:rPr>
          <w:rFonts w:hint="eastAsia" w:ascii="宋体" w:hAnsi="宋体" w:cs="宋体"/>
          <w:sz w:val="24"/>
        </w:rPr>
        <w:t>24.1 磋商的依据为磋商文件和磋商响应文件。</w:t>
      </w:r>
    </w:p>
    <w:p>
      <w:pPr>
        <w:spacing w:line="400" w:lineRule="atLeast"/>
        <w:ind w:left="600" w:hanging="600" w:hangingChars="250"/>
        <w:rPr>
          <w:rFonts w:ascii="宋体" w:hAnsi="宋体" w:cs="宋体"/>
          <w:sz w:val="24"/>
        </w:rPr>
      </w:pPr>
      <w:r>
        <w:rPr>
          <w:rFonts w:hint="eastAsia" w:ascii="宋体" w:hAnsi="宋体" w:cs="宋体"/>
          <w:sz w:val="24"/>
        </w:rPr>
        <w:t>24.2 磋商后磋商小组审查磋商响应文件是否完整，是否有计算错误，要求的保证金是否提供，文件是否恰当地签署。</w:t>
      </w:r>
    </w:p>
    <w:p>
      <w:pPr>
        <w:spacing w:line="400" w:lineRule="atLeast"/>
        <w:ind w:left="600" w:hanging="600" w:hangingChars="250"/>
        <w:rPr>
          <w:rFonts w:ascii="宋体" w:hAnsi="宋体" w:cs="宋体"/>
          <w:sz w:val="24"/>
        </w:rPr>
      </w:pPr>
      <w:r>
        <w:rPr>
          <w:rFonts w:hint="eastAsia" w:ascii="宋体" w:hAnsi="宋体" w:cs="宋体"/>
          <w:sz w:val="24"/>
        </w:rPr>
        <w:t>24.3 在对磋商响应文件进行详细评估之前，磋商小组将依据供应商提供的资格证明文件审查供应商的财务、技术和生产能力。如果确定供应商无资格履行合同，其投标将被拒绝。</w:t>
      </w:r>
    </w:p>
    <w:p>
      <w:pPr>
        <w:spacing w:line="400" w:lineRule="atLeast"/>
        <w:ind w:left="600" w:hanging="600" w:hangingChars="250"/>
        <w:rPr>
          <w:rFonts w:ascii="宋体" w:hAnsi="宋体" w:cs="宋体"/>
          <w:sz w:val="24"/>
        </w:rPr>
      </w:pPr>
      <w:r>
        <w:rPr>
          <w:rFonts w:hint="eastAsia" w:ascii="宋体" w:hAnsi="宋体" w:cs="宋体"/>
          <w:sz w:val="24"/>
        </w:rPr>
        <w:t xml:space="preserve">24.4 磋商小组将确定每一磋商响应文件是否对磋商文件的要求作出了实质性的响应，而没有重大偏离。实质性响应的磋商响应文件是指符合磋商文件的所有条款、条件和规定且没有重大偏离或保留。重大偏离或保留系指影响到磋商文件规定的供货范围、质量和性能，或限制了买方的权利和供应商的义务的规定，而纠正这些偏离将影响到其他提交实质性响应投标的供应商的公平竞争地位。   </w:t>
      </w:r>
    </w:p>
    <w:p>
      <w:pPr>
        <w:spacing w:line="400" w:lineRule="atLeast"/>
        <w:rPr>
          <w:rFonts w:ascii="宋体" w:hAnsi="宋体" w:cs="宋体"/>
          <w:sz w:val="24"/>
        </w:rPr>
      </w:pPr>
      <w:r>
        <w:rPr>
          <w:rFonts w:hint="eastAsia" w:ascii="宋体" w:hAnsi="宋体" w:cs="宋体"/>
          <w:sz w:val="24"/>
        </w:rPr>
        <w:t>25．磋商响应文件的澄清</w:t>
      </w:r>
    </w:p>
    <w:p>
      <w:pPr>
        <w:spacing w:line="400" w:lineRule="atLeast"/>
        <w:ind w:left="600" w:hanging="600" w:hangingChars="250"/>
        <w:rPr>
          <w:rFonts w:ascii="宋体" w:hAnsi="宋体" w:cs="宋体"/>
          <w:sz w:val="24"/>
        </w:rPr>
      </w:pPr>
      <w:r>
        <w:rPr>
          <w:rFonts w:hint="eastAsia" w:ascii="宋体" w:hAnsi="宋体" w:cs="宋体"/>
          <w:sz w:val="24"/>
        </w:rPr>
        <w:t>25.1为有助于对磋商响应文件进行审查、评估和比较，磋商小组将对供应商进行磋商，请供应商澄清其磋商内容，供应商有责任按照招标代理机构通知的时间、地点指派专人进行答疑和澄清。磋商时供应商代表应作书面记录。并对重要内容作出书面答复。</w:t>
      </w:r>
    </w:p>
    <w:p>
      <w:pPr>
        <w:spacing w:line="400" w:lineRule="atLeast"/>
        <w:ind w:left="600" w:hanging="600" w:hangingChars="250"/>
        <w:rPr>
          <w:rFonts w:ascii="宋体" w:hAnsi="宋体" w:cs="宋体"/>
          <w:sz w:val="24"/>
        </w:rPr>
      </w:pPr>
      <w:r>
        <w:rPr>
          <w:rFonts w:hint="eastAsia" w:ascii="宋体" w:hAnsi="宋体" w:cs="宋体"/>
          <w:sz w:val="24"/>
        </w:rPr>
        <w:t>25.2 要澄清的答复应是书面的，但不得对磋商内容进行实质性修改。澄清文件须由供应商法人代表或法人授权代表签字或加盖公章并作为磋商响应文件的组成部分。</w:t>
      </w:r>
    </w:p>
    <w:p>
      <w:pPr>
        <w:spacing w:line="400" w:lineRule="atLeast"/>
        <w:ind w:left="600" w:hanging="600" w:hangingChars="250"/>
        <w:rPr>
          <w:rFonts w:ascii="宋体" w:hAnsi="宋体" w:cs="宋体"/>
          <w:sz w:val="24"/>
        </w:rPr>
      </w:pPr>
      <w:r>
        <w:rPr>
          <w:rFonts w:hint="eastAsia" w:ascii="宋体" w:hAnsi="宋体" w:cs="宋体"/>
          <w:sz w:val="24"/>
        </w:rPr>
        <w:t>25.3 磋商结束后，磋商小组要求所有参加磋商的供应商在规定的时间内进行最后报价。</w:t>
      </w:r>
    </w:p>
    <w:p>
      <w:pPr>
        <w:spacing w:line="400" w:lineRule="atLeast"/>
        <w:rPr>
          <w:rFonts w:ascii="宋体" w:hAnsi="宋体" w:cs="宋体"/>
          <w:sz w:val="24"/>
        </w:rPr>
      </w:pPr>
      <w:r>
        <w:rPr>
          <w:rFonts w:hint="eastAsia" w:ascii="宋体" w:hAnsi="宋体" w:cs="宋体"/>
          <w:sz w:val="24"/>
        </w:rPr>
        <w:t>26．确定成交供应商的办法</w:t>
      </w:r>
    </w:p>
    <w:p>
      <w:pPr>
        <w:spacing w:line="400" w:lineRule="atLeast"/>
        <w:ind w:left="480" w:hanging="480" w:hangingChars="200"/>
        <w:rPr>
          <w:rFonts w:ascii="宋体" w:hAnsi="宋体" w:cs="宋体"/>
          <w:bCs/>
          <w:sz w:val="24"/>
        </w:rPr>
      </w:pPr>
      <w:r>
        <w:rPr>
          <w:rFonts w:hint="eastAsia" w:ascii="宋体" w:hAnsi="宋体" w:cs="宋体"/>
          <w:bCs/>
          <w:sz w:val="24"/>
        </w:rPr>
        <w:t>26.1磋商小组按照磋商文件要求对磋商响应文件中的供应商资格、供应商资格证明文件、重要技术指标以及技术和商务上要求的其它重要内容进行审核。</w:t>
      </w:r>
    </w:p>
    <w:p>
      <w:pPr>
        <w:spacing w:line="400" w:lineRule="atLeast"/>
        <w:rPr>
          <w:rFonts w:ascii="宋体" w:hAnsi="宋体" w:cs="宋体"/>
          <w:bCs/>
          <w:sz w:val="24"/>
        </w:rPr>
      </w:pPr>
      <w:r>
        <w:rPr>
          <w:rFonts w:hint="eastAsia" w:ascii="宋体" w:hAnsi="宋体" w:cs="宋体"/>
          <w:bCs/>
          <w:sz w:val="24"/>
        </w:rPr>
        <w:t>26.2磋商小组和供应商磋商过程中作出的书面承诺是否符合磋商文件中对质量、技术和服务的要求。</w:t>
      </w:r>
    </w:p>
    <w:p>
      <w:pPr>
        <w:spacing w:line="400" w:lineRule="atLeast"/>
        <w:rPr>
          <w:rFonts w:ascii="宋体" w:hAnsi="宋体" w:cs="宋体"/>
          <w:sz w:val="24"/>
          <w:szCs w:val="24"/>
        </w:rPr>
      </w:pPr>
      <w:r>
        <w:rPr>
          <w:rFonts w:hint="eastAsia" w:ascii="宋体" w:hAnsi="宋体" w:cs="宋体"/>
          <w:bCs/>
          <w:sz w:val="24"/>
        </w:rPr>
        <w:t>26.3</w:t>
      </w:r>
      <w:r>
        <w:rPr>
          <w:rFonts w:hint="eastAsia" w:ascii="宋体" w:hAnsi="宋体" w:cs="宋体"/>
          <w:sz w:val="24"/>
          <w:szCs w:val="24"/>
          <w:shd w:val="clear" w:color="auto" w:fill="FFFFFF"/>
        </w:rPr>
        <w:t>经磋商确定最终采购需求和提交最后报价的供应商后，由磋商小组采用综合评分法对提交最后报价的供应商的响应文件和最后报价进行综合评分。</w:t>
      </w:r>
    </w:p>
    <w:p>
      <w:pPr>
        <w:spacing w:line="400" w:lineRule="atLeast"/>
        <w:ind w:firstLine="480" w:firstLineChars="200"/>
        <w:rPr>
          <w:rFonts w:ascii="宋体" w:hAnsi="宋体" w:cs="宋体"/>
          <w:bCs/>
          <w:sz w:val="24"/>
        </w:rPr>
      </w:pPr>
      <w:r>
        <w:rPr>
          <w:rFonts w:hint="eastAsia" w:ascii="宋体" w:hAnsi="宋体" w:cs="宋体"/>
          <w:bCs/>
          <w:sz w:val="24"/>
        </w:rPr>
        <w:t>对响应文件的评估和比较分为两步进行，磋商小组会按照磋商文件要求对响应文件中的供应商资格、供应商资格证明文件、重要技术指标以及技术和商务上要求的其它重要内容进行审核，审核合格后即视为实质性响应的投标文件，进行第二个步骤：对实质性响应的投标文件进行评估和比较采用综合评分法进行打分评比，打分方法：总分为100分，</w:t>
      </w:r>
      <w:r>
        <w:rPr>
          <w:rFonts w:hint="eastAsia" w:ascii="宋体" w:hAnsi="宋体" w:cs="宋体"/>
          <w:bCs/>
          <w:color w:val="auto"/>
          <w:sz w:val="24"/>
        </w:rPr>
        <w:t>其中价格因素占30分，技术因素、商务因素占</w:t>
      </w:r>
      <w:r>
        <w:rPr>
          <w:rFonts w:ascii="宋体" w:hAnsi="宋体" w:cs="宋体"/>
          <w:bCs/>
          <w:color w:val="auto"/>
          <w:sz w:val="24"/>
        </w:rPr>
        <w:t>7</w:t>
      </w:r>
      <w:r>
        <w:rPr>
          <w:rFonts w:hint="eastAsia" w:ascii="宋体" w:hAnsi="宋体" w:cs="宋体"/>
          <w:bCs/>
          <w:color w:val="auto"/>
          <w:sz w:val="24"/>
        </w:rPr>
        <w:t>0分。将每位投标商的价格得分、技术得</w:t>
      </w:r>
      <w:r>
        <w:rPr>
          <w:rFonts w:hint="eastAsia" w:ascii="宋体" w:hAnsi="宋体" w:cs="宋体"/>
          <w:bCs/>
          <w:sz w:val="24"/>
        </w:rPr>
        <w:t>分、商务得分相加即为该投标商的总得分。详细评分标准如下：</w:t>
      </w:r>
    </w:p>
    <w:p>
      <w:pPr>
        <w:spacing w:line="400" w:lineRule="atLeast"/>
        <w:ind w:firstLine="482" w:firstLineChars="200"/>
        <w:rPr>
          <w:color w:val="FF0000"/>
        </w:rPr>
      </w:pPr>
      <w:r>
        <w:rPr>
          <w:rFonts w:hint="eastAsia" w:ascii="宋体" w:hAnsi="宋体" w:cs="宋体"/>
          <w:b/>
          <w:bCs/>
          <w:sz w:val="24"/>
          <w:szCs w:val="24"/>
          <w:shd w:val="clear" w:color="auto" w:fill="FFFFFF"/>
        </w:rPr>
        <w:t>综合评分法中的价格分统一采用低价优先法计算，即满足磋商文件要求且最后报价最低的供应商的价格为磋商基准价，其价格分为满分。其他供应商的价格分统一按照下列公式计算：</w:t>
      </w:r>
    </w:p>
    <w:tbl>
      <w:tblPr>
        <w:tblStyle w:val="33"/>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215"/>
        <w:gridCol w:w="735"/>
        <w:gridCol w:w="6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34" w:type="dxa"/>
            <w:vAlign w:val="center"/>
          </w:tcPr>
          <w:p>
            <w:pPr>
              <w:spacing w:line="400" w:lineRule="atLeast"/>
              <w:rPr>
                <w:rFonts w:ascii="宋体" w:hAnsi="宋体" w:cs="宋体"/>
                <w:b/>
                <w:bCs/>
                <w:color w:val="auto"/>
                <w:sz w:val="24"/>
                <w:szCs w:val="24"/>
                <w:shd w:val="clear" w:color="auto" w:fill="FFFFFF"/>
              </w:rPr>
            </w:pPr>
            <w:r>
              <w:rPr>
                <w:rFonts w:hint="eastAsia" w:ascii="宋体" w:hAnsi="宋体" w:cs="宋体"/>
                <w:b/>
                <w:bCs/>
                <w:color w:val="auto"/>
                <w:sz w:val="24"/>
                <w:szCs w:val="24"/>
                <w:shd w:val="clear" w:color="auto" w:fill="FFFFFF"/>
              </w:rPr>
              <w:t>序号</w:t>
            </w:r>
          </w:p>
        </w:tc>
        <w:tc>
          <w:tcPr>
            <w:tcW w:w="1215" w:type="dxa"/>
            <w:vAlign w:val="center"/>
          </w:tcPr>
          <w:p>
            <w:pPr>
              <w:spacing w:line="400" w:lineRule="atLeast"/>
              <w:rPr>
                <w:rFonts w:ascii="宋体" w:hAnsi="宋体" w:cs="宋体"/>
                <w:b/>
                <w:bCs/>
                <w:color w:val="auto"/>
                <w:sz w:val="24"/>
                <w:szCs w:val="24"/>
                <w:shd w:val="clear" w:color="auto" w:fill="FFFFFF"/>
              </w:rPr>
            </w:pPr>
            <w:r>
              <w:rPr>
                <w:rFonts w:hint="eastAsia" w:ascii="宋体" w:hAnsi="宋体" w:cs="宋体"/>
                <w:b/>
                <w:bCs/>
                <w:color w:val="auto"/>
                <w:sz w:val="24"/>
                <w:szCs w:val="24"/>
                <w:shd w:val="clear" w:color="auto" w:fill="FFFFFF"/>
              </w:rPr>
              <w:t>评审项目</w:t>
            </w:r>
          </w:p>
        </w:tc>
        <w:tc>
          <w:tcPr>
            <w:tcW w:w="735" w:type="dxa"/>
            <w:vAlign w:val="center"/>
          </w:tcPr>
          <w:p>
            <w:pPr>
              <w:spacing w:line="400" w:lineRule="atLeast"/>
              <w:rPr>
                <w:rFonts w:ascii="宋体" w:hAnsi="宋体" w:cs="宋体"/>
                <w:b/>
                <w:bCs/>
                <w:color w:val="auto"/>
                <w:sz w:val="24"/>
                <w:szCs w:val="24"/>
                <w:shd w:val="clear" w:color="auto" w:fill="FFFFFF"/>
              </w:rPr>
            </w:pPr>
            <w:r>
              <w:rPr>
                <w:rFonts w:hint="eastAsia" w:ascii="宋体" w:hAnsi="宋体" w:cs="宋体"/>
                <w:b/>
                <w:bCs/>
                <w:color w:val="auto"/>
                <w:sz w:val="24"/>
                <w:szCs w:val="24"/>
                <w:shd w:val="clear" w:color="auto" w:fill="FFFFFF"/>
              </w:rPr>
              <w:t>分值</w:t>
            </w:r>
          </w:p>
        </w:tc>
        <w:tc>
          <w:tcPr>
            <w:tcW w:w="6756" w:type="dxa"/>
            <w:vAlign w:val="center"/>
          </w:tcPr>
          <w:p>
            <w:pPr>
              <w:spacing w:line="400" w:lineRule="atLeast"/>
              <w:jc w:val="center"/>
              <w:rPr>
                <w:rFonts w:ascii="宋体" w:hAnsi="宋体" w:cs="宋体"/>
                <w:b/>
                <w:bCs/>
                <w:color w:val="auto"/>
                <w:sz w:val="24"/>
                <w:szCs w:val="24"/>
                <w:shd w:val="clear" w:color="auto" w:fill="FFFFFF"/>
              </w:rPr>
            </w:pPr>
            <w:r>
              <w:rPr>
                <w:rFonts w:hint="eastAsia" w:ascii="宋体" w:hAnsi="宋体" w:cs="宋体"/>
                <w:b/>
                <w:bCs/>
                <w:color w:val="auto"/>
                <w:sz w:val="24"/>
                <w:szCs w:val="24"/>
                <w:shd w:val="clear" w:color="auto" w:fill="FFFFFF"/>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34" w:type="dxa"/>
            <w:vAlign w:val="center"/>
          </w:tcPr>
          <w:p>
            <w:pPr>
              <w:spacing w:line="400" w:lineRule="atLeast"/>
              <w:rPr>
                <w:rFonts w:ascii="宋体" w:hAnsi="宋体" w:cs="宋体"/>
                <w:color w:val="auto"/>
                <w:sz w:val="24"/>
                <w:szCs w:val="24"/>
                <w:shd w:val="clear" w:color="auto" w:fill="FFFFFF"/>
              </w:rPr>
            </w:pPr>
            <w:r>
              <w:rPr>
                <w:rFonts w:hint="eastAsia" w:ascii="宋体" w:hAnsi="宋体" w:cs="宋体"/>
                <w:color w:val="auto"/>
                <w:sz w:val="24"/>
                <w:szCs w:val="24"/>
                <w:shd w:val="clear" w:color="auto" w:fill="FFFFFF"/>
              </w:rPr>
              <w:t>1</w:t>
            </w:r>
          </w:p>
        </w:tc>
        <w:tc>
          <w:tcPr>
            <w:tcW w:w="1215" w:type="dxa"/>
            <w:vAlign w:val="center"/>
          </w:tcPr>
          <w:p>
            <w:pPr>
              <w:spacing w:line="400" w:lineRule="atLeast"/>
              <w:rPr>
                <w:rFonts w:ascii="宋体" w:hAnsi="宋体" w:cs="宋体"/>
                <w:color w:val="auto"/>
                <w:sz w:val="24"/>
                <w:szCs w:val="24"/>
                <w:shd w:val="clear" w:color="auto" w:fill="FFFFFF"/>
              </w:rPr>
            </w:pPr>
            <w:r>
              <w:rPr>
                <w:rFonts w:hint="eastAsia" w:ascii="宋体" w:hAnsi="宋体" w:cs="宋体"/>
                <w:color w:val="auto"/>
                <w:sz w:val="24"/>
                <w:szCs w:val="24"/>
                <w:shd w:val="clear" w:color="auto" w:fill="FFFFFF"/>
              </w:rPr>
              <w:t>经济分</w:t>
            </w:r>
          </w:p>
        </w:tc>
        <w:tc>
          <w:tcPr>
            <w:tcW w:w="735" w:type="dxa"/>
            <w:vAlign w:val="center"/>
          </w:tcPr>
          <w:p>
            <w:pPr>
              <w:spacing w:line="400" w:lineRule="atLeast"/>
              <w:rPr>
                <w:rFonts w:ascii="宋体" w:hAnsi="宋体" w:cs="宋体"/>
                <w:color w:val="auto"/>
                <w:sz w:val="24"/>
                <w:szCs w:val="24"/>
                <w:shd w:val="clear" w:color="auto" w:fill="FFFFFF"/>
              </w:rPr>
            </w:pPr>
            <w:r>
              <w:rPr>
                <w:rFonts w:ascii="宋体" w:hAnsi="宋体" w:cs="宋体"/>
                <w:color w:val="auto"/>
                <w:sz w:val="24"/>
                <w:szCs w:val="24"/>
                <w:shd w:val="clear" w:color="auto" w:fill="FFFFFF"/>
              </w:rPr>
              <w:t>3</w:t>
            </w:r>
            <w:r>
              <w:rPr>
                <w:rFonts w:hint="eastAsia" w:ascii="宋体" w:hAnsi="宋体" w:cs="宋体"/>
                <w:color w:val="auto"/>
                <w:sz w:val="24"/>
                <w:szCs w:val="24"/>
                <w:shd w:val="clear" w:color="auto" w:fill="FFFFFF"/>
              </w:rPr>
              <w:t>0分</w:t>
            </w:r>
          </w:p>
        </w:tc>
        <w:tc>
          <w:tcPr>
            <w:tcW w:w="6756" w:type="dxa"/>
            <w:vAlign w:val="center"/>
          </w:tcPr>
          <w:p>
            <w:pPr>
              <w:spacing w:line="400" w:lineRule="atLeast"/>
              <w:rPr>
                <w:rFonts w:ascii="宋体" w:hAnsi="宋体" w:cs="宋体"/>
                <w:color w:val="auto"/>
                <w:sz w:val="24"/>
                <w:szCs w:val="24"/>
                <w:shd w:val="clear" w:color="auto" w:fill="FFFFFF"/>
              </w:rPr>
            </w:pPr>
            <w:r>
              <w:rPr>
                <w:rFonts w:hint="eastAsia" w:ascii="宋体" w:hAnsi="宋体" w:cs="宋体"/>
                <w:color w:val="auto"/>
                <w:sz w:val="24"/>
                <w:szCs w:val="24"/>
                <w:shd w:val="clear" w:color="auto" w:fill="FFFFFF"/>
              </w:rPr>
              <w:t>基准价为合理低价，即满足磋商文件要求且最终报价最低的投标报价为评标基准价，其价格分为满分。其他供应商的价格分统一按照下列公式计算：</w:t>
            </w:r>
            <w:r>
              <w:rPr>
                <w:rFonts w:hint="eastAsia" w:ascii="宋体" w:hAnsi="宋体" w:cs="宋体"/>
                <w:color w:val="auto"/>
                <w:sz w:val="24"/>
                <w:szCs w:val="24"/>
                <w:shd w:val="clear" w:color="auto" w:fill="FFFFFF"/>
              </w:rPr>
              <w:br w:type="textWrapping"/>
            </w:r>
            <w:r>
              <w:rPr>
                <w:rFonts w:hint="eastAsia" w:ascii="宋体" w:hAnsi="宋体" w:cs="宋体"/>
                <w:color w:val="auto"/>
                <w:sz w:val="24"/>
                <w:szCs w:val="24"/>
                <w:shd w:val="clear" w:color="auto" w:fill="FFFFFF"/>
              </w:rPr>
              <w:t>磋商报价得分=(磋商基准价／最后磋商报价)×价格分值（</w:t>
            </w:r>
            <w:r>
              <w:rPr>
                <w:rFonts w:ascii="宋体" w:hAnsi="宋体" w:cs="宋体"/>
                <w:color w:val="auto"/>
                <w:sz w:val="24"/>
                <w:szCs w:val="24"/>
                <w:shd w:val="clear" w:color="auto" w:fill="FFFFFF"/>
              </w:rPr>
              <w:t>3</w:t>
            </w:r>
            <w:r>
              <w:rPr>
                <w:rFonts w:hint="eastAsia" w:ascii="宋体" w:hAnsi="宋体" w:cs="宋体"/>
                <w:color w:val="auto"/>
                <w:sz w:val="24"/>
                <w:szCs w:val="24"/>
                <w:shd w:val="clear" w:color="auto" w:fill="FFFFFF"/>
              </w:rPr>
              <w:t>0%）×100</w:t>
            </w:r>
          </w:p>
          <w:p>
            <w:pPr>
              <w:spacing w:line="400" w:lineRule="atLeast"/>
              <w:rPr>
                <w:rFonts w:ascii="宋体" w:hAnsi="宋体" w:cs="宋体"/>
                <w:color w:val="auto"/>
                <w:sz w:val="24"/>
                <w:szCs w:val="24"/>
                <w:shd w:val="clear" w:color="auto" w:fill="FFFFFF"/>
              </w:rPr>
            </w:pPr>
            <w:r>
              <w:rPr>
                <w:rFonts w:hint="eastAsia" w:ascii="宋体" w:hAnsi="宋体" w:cs="宋体"/>
                <w:color w:val="auto"/>
                <w:sz w:val="24"/>
                <w:szCs w:val="24"/>
                <w:shd w:val="clear" w:color="auto" w:fill="FFFFFF"/>
              </w:rPr>
              <w:t>注：1、在经济标评审阶段，经磋商小组认为无效的投标报价，经济标按零分计。</w:t>
            </w:r>
          </w:p>
          <w:p>
            <w:pPr>
              <w:spacing w:line="400" w:lineRule="atLeast"/>
              <w:rPr>
                <w:rFonts w:ascii="宋体" w:hAnsi="宋体" w:cs="宋体"/>
                <w:color w:val="auto"/>
                <w:sz w:val="24"/>
                <w:szCs w:val="24"/>
                <w:shd w:val="clear" w:color="auto" w:fill="FFFFFF"/>
              </w:rPr>
            </w:pPr>
            <w:r>
              <w:rPr>
                <w:rFonts w:hint="eastAsia" w:ascii="宋体" w:hAnsi="宋体" w:cs="宋体"/>
                <w:color w:val="auto"/>
                <w:sz w:val="24"/>
                <w:szCs w:val="24"/>
                <w:shd w:val="clear" w:color="auto" w:fill="FFFFFF"/>
              </w:rPr>
              <w:t>注：2、对小型和微型企业成果的价格给予6%的扣除，用扣除后的价格参与评审。</w:t>
            </w:r>
          </w:p>
        </w:tc>
      </w:tr>
    </w:tbl>
    <w:p>
      <w:pPr>
        <w:spacing w:line="400" w:lineRule="atLeast"/>
        <w:jc w:val="center"/>
        <w:rPr>
          <w:rFonts w:ascii="宋体" w:hAnsi="宋体" w:cs="宋体"/>
          <w:b/>
          <w:bCs/>
          <w:color w:val="auto"/>
          <w:sz w:val="24"/>
          <w:szCs w:val="24"/>
          <w:shd w:val="clear" w:color="auto" w:fill="FFFFFF"/>
        </w:rPr>
      </w:pPr>
      <w:r>
        <w:rPr>
          <w:rFonts w:hint="eastAsia" w:ascii="宋体" w:hAnsi="宋体" w:cs="宋体"/>
          <w:b/>
          <w:bCs/>
          <w:color w:val="auto"/>
          <w:sz w:val="24"/>
          <w:szCs w:val="24"/>
          <w:shd w:val="clear" w:color="auto" w:fill="FFFFFF"/>
        </w:rPr>
        <w:t>商务技术评分标准（</w:t>
      </w:r>
      <w:r>
        <w:rPr>
          <w:rFonts w:hint="eastAsia" w:ascii="宋体" w:hAnsi="宋体" w:cs="宋体"/>
          <w:b/>
          <w:bCs/>
          <w:color w:val="auto"/>
          <w:sz w:val="24"/>
          <w:szCs w:val="24"/>
          <w:shd w:val="clear" w:color="auto" w:fill="FFFFFF"/>
          <w:lang w:val="en-US" w:eastAsia="zh-CN"/>
        </w:rPr>
        <w:t>7</w:t>
      </w:r>
      <w:r>
        <w:rPr>
          <w:rFonts w:hint="eastAsia" w:ascii="宋体" w:hAnsi="宋体" w:cs="宋体"/>
          <w:b/>
          <w:bCs/>
          <w:color w:val="auto"/>
          <w:sz w:val="24"/>
          <w:szCs w:val="24"/>
          <w:shd w:val="clear" w:color="auto" w:fill="FFFFFF"/>
        </w:rPr>
        <w:t>0分）</w:t>
      </w:r>
    </w:p>
    <w:tbl>
      <w:tblPr>
        <w:tblStyle w:val="3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140"/>
        <w:gridCol w:w="1308"/>
        <w:gridCol w:w="777"/>
        <w:gridCol w:w="5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495" w:type="dxa"/>
            <w:vAlign w:val="center"/>
          </w:tcPr>
          <w:p>
            <w:pPr>
              <w:jc w:val="center"/>
              <w:rPr>
                <w:rFonts w:ascii="宋体" w:hAnsi="宋体" w:cs="宋体"/>
                <w:b/>
                <w:color w:val="auto"/>
                <w:sz w:val="24"/>
                <w:szCs w:val="24"/>
              </w:rPr>
            </w:pPr>
            <w:r>
              <w:rPr>
                <w:rFonts w:hint="eastAsia" w:ascii="宋体" w:hAnsi="宋体" w:cs="宋体"/>
                <w:b/>
                <w:color w:val="auto"/>
                <w:sz w:val="24"/>
                <w:szCs w:val="24"/>
              </w:rPr>
              <w:t>序号</w:t>
            </w:r>
          </w:p>
        </w:tc>
        <w:tc>
          <w:tcPr>
            <w:tcW w:w="2448" w:type="dxa"/>
            <w:gridSpan w:val="2"/>
            <w:vAlign w:val="center"/>
          </w:tcPr>
          <w:p>
            <w:pPr>
              <w:jc w:val="center"/>
              <w:rPr>
                <w:rFonts w:ascii="宋体" w:hAnsi="宋体" w:cs="宋体"/>
                <w:b/>
                <w:color w:val="auto"/>
                <w:sz w:val="24"/>
                <w:szCs w:val="24"/>
              </w:rPr>
            </w:pPr>
            <w:r>
              <w:rPr>
                <w:rFonts w:hint="eastAsia" w:ascii="宋体" w:hAnsi="宋体" w:cs="宋体"/>
                <w:b/>
                <w:color w:val="auto"/>
                <w:sz w:val="24"/>
                <w:szCs w:val="24"/>
              </w:rPr>
              <w:t>评审项目</w:t>
            </w:r>
          </w:p>
        </w:tc>
        <w:tc>
          <w:tcPr>
            <w:tcW w:w="777" w:type="dxa"/>
            <w:vAlign w:val="center"/>
          </w:tcPr>
          <w:p>
            <w:pPr>
              <w:jc w:val="center"/>
              <w:rPr>
                <w:rFonts w:ascii="宋体" w:hAnsi="宋体" w:cs="宋体"/>
                <w:b/>
                <w:color w:val="auto"/>
                <w:sz w:val="24"/>
                <w:szCs w:val="24"/>
              </w:rPr>
            </w:pPr>
            <w:r>
              <w:rPr>
                <w:rFonts w:hint="eastAsia" w:ascii="宋体" w:hAnsi="宋体" w:cs="宋体"/>
                <w:b/>
                <w:color w:val="auto"/>
                <w:sz w:val="24"/>
                <w:szCs w:val="24"/>
              </w:rPr>
              <w:t>分值</w:t>
            </w:r>
          </w:p>
        </w:tc>
        <w:tc>
          <w:tcPr>
            <w:tcW w:w="5886" w:type="dxa"/>
            <w:vAlign w:val="center"/>
          </w:tcPr>
          <w:p>
            <w:pPr>
              <w:jc w:val="center"/>
              <w:rPr>
                <w:rFonts w:ascii="宋体" w:hAnsi="宋体" w:cs="宋体"/>
                <w:b/>
                <w:color w:val="auto"/>
                <w:sz w:val="24"/>
                <w:szCs w:val="24"/>
              </w:rPr>
            </w:pPr>
            <w:r>
              <w:rPr>
                <w:rFonts w:hint="eastAsia" w:ascii="宋体" w:hAnsi="宋体" w:cs="宋体"/>
                <w:b/>
                <w:color w:val="auto"/>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495" w:type="dxa"/>
            <w:vMerge w:val="restart"/>
            <w:vAlign w:val="center"/>
          </w:tcPr>
          <w:p>
            <w:pPr>
              <w:jc w:val="center"/>
              <w:rPr>
                <w:rFonts w:ascii="宋体" w:hAnsi="宋体" w:cs="宋体"/>
                <w:color w:val="auto"/>
                <w:sz w:val="24"/>
                <w:szCs w:val="24"/>
              </w:rPr>
            </w:pPr>
            <w:r>
              <w:rPr>
                <w:rFonts w:ascii="宋体" w:hAnsi="宋体" w:cs="宋体"/>
                <w:color w:val="auto"/>
                <w:sz w:val="24"/>
                <w:szCs w:val="24"/>
              </w:rPr>
              <w:t>1</w:t>
            </w:r>
          </w:p>
          <w:p>
            <w:pPr>
              <w:jc w:val="center"/>
              <w:rPr>
                <w:rFonts w:ascii="宋体" w:hAnsi="宋体" w:cs="宋体"/>
                <w:color w:val="auto"/>
                <w:sz w:val="24"/>
                <w:szCs w:val="24"/>
              </w:rPr>
            </w:pPr>
          </w:p>
        </w:tc>
        <w:tc>
          <w:tcPr>
            <w:tcW w:w="1140" w:type="dxa"/>
            <w:vMerge w:val="restart"/>
            <w:vAlign w:val="center"/>
          </w:tcPr>
          <w:p>
            <w:pPr>
              <w:jc w:val="center"/>
              <w:rPr>
                <w:rFonts w:ascii="宋体" w:hAnsi="宋体" w:cs="宋体"/>
                <w:color w:val="auto"/>
                <w:sz w:val="24"/>
                <w:szCs w:val="24"/>
              </w:rPr>
            </w:pPr>
            <w:r>
              <w:rPr>
                <w:rFonts w:hint="eastAsia" w:ascii="宋体" w:hAnsi="宋体" w:cs="宋体"/>
                <w:color w:val="auto"/>
                <w:sz w:val="24"/>
                <w:szCs w:val="24"/>
              </w:rPr>
              <w:t>商务部分（</w:t>
            </w:r>
            <w:r>
              <w:rPr>
                <w:rFonts w:hint="eastAsia" w:ascii="宋体" w:hAnsi="宋体" w:cs="宋体"/>
                <w:color w:val="auto"/>
                <w:sz w:val="24"/>
                <w:szCs w:val="24"/>
                <w:lang w:val="en-US" w:eastAsia="zh-CN"/>
              </w:rPr>
              <w:t>15</w:t>
            </w:r>
            <w:r>
              <w:rPr>
                <w:rFonts w:hint="eastAsia" w:ascii="宋体" w:hAnsi="宋体" w:cs="宋体"/>
                <w:color w:val="auto"/>
                <w:sz w:val="24"/>
                <w:szCs w:val="24"/>
              </w:rPr>
              <w:t>分）</w:t>
            </w:r>
          </w:p>
        </w:tc>
        <w:tc>
          <w:tcPr>
            <w:tcW w:w="1308" w:type="dxa"/>
            <w:vAlign w:val="center"/>
          </w:tcPr>
          <w:p>
            <w:pPr>
              <w:jc w:val="center"/>
              <w:rPr>
                <w:rFonts w:ascii="宋体" w:hAnsi="宋体" w:cs="宋体"/>
                <w:color w:val="auto"/>
                <w:sz w:val="24"/>
                <w:szCs w:val="24"/>
              </w:rPr>
            </w:pPr>
            <w:r>
              <w:rPr>
                <w:rFonts w:hint="eastAsia" w:ascii="宋体" w:hAnsi="宋体" w:cs="宋体"/>
                <w:color w:val="auto"/>
                <w:sz w:val="24"/>
                <w:szCs w:val="24"/>
              </w:rPr>
              <w:t>标函质量</w:t>
            </w:r>
          </w:p>
        </w:tc>
        <w:tc>
          <w:tcPr>
            <w:tcW w:w="777" w:type="dxa"/>
            <w:vAlign w:val="center"/>
          </w:tcPr>
          <w:p>
            <w:pPr>
              <w:adjustRightInd w:val="0"/>
              <w:snapToGrid w:val="0"/>
              <w:jc w:val="center"/>
              <w:rPr>
                <w:rFonts w:hint="eastAsia" w:ascii="宋体" w:hAnsi="宋体" w:eastAsia="宋体" w:cs="宋体"/>
                <w:b/>
                <w:color w:val="auto"/>
                <w:sz w:val="24"/>
                <w:szCs w:val="24"/>
                <w:lang w:eastAsia="zh-CN"/>
              </w:rPr>
            </w:pPr>
            <w:r>
              <w:rPr>
                <w:rFonts w:hint="eastAsia" w:ascii="宋体" w:hAnsi="宋体" w:eastAsia="宋体" w:cs="仿宋"/>
                <w:sz w:val="24"/>
              </w:rPr>
              <w:t>2分</w:t>
            </w:r>
          </w:p>
        </w:tc>
        <w:tc>
          <w:tcPr>
            <w:tcW w:w="5886" w:type="dxa"/>
            <w:vAlign w:val="center"/>
          </w:tcPr>
          <w:p>
            <w:pPr>
              <w:adjustRightInd w:val="0"/>
              <w:snapToGrid w:val="0"/>
              <w:spacing w:line="440" w:lineRule="exact"/>
              <w:jc w:val="left"/>
              <w:rPr>
                <w:rFonts w:hint="eastAsia" w:ascii="宋体" w:hAnsi="宋体" w:cs="宋体"/>
                <w:sz w:val="24"/>
                <w:szCs w:val="24"/>
              </w:rPr>
            </w:pPr>
            <w:r>
              <w:rPr>
                <w:rFonts w:hint="eastAsia" w:ascii="宋体" w:hAnsi="宋体" w:cs="宋体"/>
                <w:sz w:val="24"/>
                <w:szCs w:val="24"/>
              </w:rPr>
              <w:t>根据投标文件目录、页码指向准确，内容无涂改、错页、漏页现象，装订规范，双面打印等情况进行综合评定，优秀的得2分，较好的得1分，一般的得0分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pPr>
              <w:jc w:val="center"/>
              <w:rPr>
                <w:rFonts w:ascii="宋体" w:hAnsi="宋体" w:cs="宋体"/>
                <w:color w:val="auto"/>
                <w:sz w:val="24"/>
                <w:szCs w:val="24"/>
              </w:rPr>
            </w:pPr>
          </w:p>
        </w:tc>
        <w:tc>
          <w:tcPr>
            <w:tcW w:w="1140" w:type="dxa"/>
            <w:vMerge w:val="continue"/>
            <w:vAlign w:val="center"/>
          </w:tcPr>
          <w:p>
            <w:pPr>
              <w:jc w:val="center"/>
              <w:rPr>
                <w:rFonts w:ascii="宋体" w:hAnsi="宋体" w:cs="宋体"/>
                <w:color w:val="auto"/>
                <w:sz w:val="24"/>
                <w:szCs w:val="24"/>
              </w:rPr>
            </w:pPr>
          </w:p>
        </w:tc>
        <w:tc>
          <w:tcPr>
            <w:tcW w:w="1308" w:type="dxa"/>
            <w:vAlign w:val="center"/>
          </w:tcPr>
          <w:p>
            <w:pPr>
              <w:jc w:val="center"/>
              <w:rPr>
                <w:rFonts w:ascii="宋体" w:hAnsi="宋体" w:cs="宋体"/>
                <w:color w:val="auto"/>
                <w:sz w:val="24"/>
                <w:szCs w:val="24"/>
              </w:rPr>
            </w:pPr>
            <w:r>
              <w:rPr>
                <w:rFonts w:hint="eastAsia" w:ascii="宋体" w:hAnsi="宋体" w:cs="宋体"/>
                <w:color w:val="auto"/>
                <w:sz w:val="24"/>
                <w:szCs w:val="24"/>
                <w:lang w:eastAsia="zh-CN"/>
              </w:rPr>
              <w:t>类似</w:t>
            </w:r>
            <w:r>
              <w:rPr>
                <w:rFonts w:hint="eastAsia" w:ascii="宋体" w:hAnsi="宋体" w:cs="宋体"/>
                <w:color w:val="auto"/>
                <w:sz w:val="24"/>
                <w:szCs w:val="24"/>
              </w:rPr>
              <w:t>业绩</w:t>
            </w:r>
          </w:p>
        </w:tc>
        <w:tc>
          <w:tcPr>
            <w:tcW w:w="777" w:type="dxa"/>
            <w:vAlign w:val="center"/>
          </w:tcPr>
          <w:p>
            <w:pPr>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5分</w:t>
            </w:r>
          </w:p>
        </w:tc>
        <w:tc>
          <w:tcPr>
            <w:tcW w:w="5886" w:type="dxa"/>
            <w:vAlign w:val="center"/>
          </w:tcPr>
          <w:p>
            <w:pPr>
              <w:adjustRightInd w:val="0"/>
              <w:snapToGrid w:val="0"/>
              <w:spacing w:line="440" w:lineRule="exact"/>
              <w:jc w:val="left"/>
              <w:rPr>
                <w:rFonts w:hint="eastAsia" w:ascii="宋体" w:hAnsi="宋体" w:cs="宋体"/>
                <w:sz w:val="24"/>
                <w:szCs w:val="24"/>
              </w:rPr>
            </w:pPr>
            <w:r>
              <w:rPr>
                <w:rFonts w:hint="eastAsia" w:ascii="宋体" w:hAnsi="宋体" w:cs="宋体"/>
                <w:sz w:val="24"/>
                <w:szCs w:val="24"/>
              </w:rPr>
              <w:t xml:space="preserve">根据投标人近三年类似项目业绩情况进行评定： </w:t>
            </w:r>
          </w:p>
          <w:p>
            <w:pPr>
              <w:adjustRightInd w:val="0"/>
              <w:snapToGrid w:val="0"/>
              <w:spacing w:line="440" w:lineRule="exact"/>
              <w:jc w:val="left"/>
              <w:rPr>
                <w:rFonts w:hint="eastAsia" w:ascii="宋体" w:hAnsi="宋体" w:cs="宋体"/>
                <w:sz w:val="24"/>
                <w:szCs w:val="24"/>
              </w:rPr>
            </w:pPr>
            <w:r>
              <w:rPr>
                <w:rFonts w:hint="eastAsia" w:ascii="宋体" w:hAnsi="宋体" w:cs="宋体"/>
                <w:sz w:val="24"/>
                <w:szCs w:val="24"/>
              </w:rPr>
              <w:t>根据投标文件所提供的投标截止日前三年内类似项目</w:t>
            </w:r>
            <w:r>
              <w:rPr>
                <w:rFonts w:hint="eastAsia" w:ascii="宋体" w:hAnsi="宋体" w:cs="宋体"/>
                <w:sz w:val="24"/>
                <w:szCs w:val="24"/>
                <w:lang w:eastAsia="zh-CN"/>
              </w:rPr>
              <w:t>业绩</w:t>
            </w:r>
            <w:r>
              <w:rPr>
                <w:rFonts w:hint="eastAsia" w:ascii="宋体" w:hAnsi="宋体" w:cs="宋体"/>
                <w:sz w:val="24"/>
                <w:szCs w:val="24"/>
              </w:rPr>
              <w:t>：（附合同或中标通知书复印件，每一份证明文件</w:t>
            </w:r>
            <w:r>
              <w:rPr>
                <w:rFonts w:hint="eastAsia" w:ascii="宋体" w:hAnsi="宋体" w:cs="宋体"/>
                <w:sz w:val="24"/>
                <w:szCs w:val="24"/>
                <w:lang w:eastAsia="zh-CN"/>
              </w:rPr>
              <w:t>得</w:t>
            </w:r>
            <w:r>
              <w:rPr>
                <w:rFonts w:hint="eastAsia" w:ascii="宋体" w:hAnsi="宋体" w:cs="宋体"/>
                <w:sz w:val="24"/>
                <w:szCs w:val="24"/>
              </w:rPr>
              <w:t>1分，直至满</w:t>
            </w:r>
            <w:r>
              <w:rPr>
                <w:rFonts w:hint="eastAsia" w:ascii="宋体" w:hAnsi="宋体" w:cs="宋体"/>
                <w:sz w:val="24"/>
                <w:szCs w:val="24"/>
                <w:lang w:val="en-US" w:eastAsia="zh-CN"/>
              </w:rPr>
              <w:t>5</w:t>
            </w:r>
            <w:r>
              <w:rPr>
                <w:rFonts w:hint="eastAsia" w:ascii="宋体" w:hAnsi="宋体" w:cs="宋体"/>
                <w:sz w:val="24"/>
                <w:szCs w:val="24"/>
              </w:rPr>
              <w:t>分</w:t>
            </w:r>
            <w:r>
              <w:rPr>
                <w:rFonts w:hint="eastAsia" w:ascii="宋体" w:hAnsi="宋体" w:cs="宋体"/>
                <w:sz w:val="24"/>
                <w:szCs w:val="24"/>
                <w:lang w:eastAsia="zh-CN"/>
              </w:rPr>
              <w:t>。</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dxa"/>
            <w:vMerge w:val="continue"/>
            <w:vAlign w:val="center"/>
          </w:tcPr>
          <w:p>
            <w:pPr>
              <w:jc w:val="center"/>
              <w:rPr>
                <w:rFonts w:ascii="宋体" w:hAnsi="宋体" w:cs="宋体"/>
                <w:color w:val="auto"/>
                <w:sz w:val="24"/>
                <w:szCs w:val="24"/>
              </w:rPr>
            </w:pPr>
          </w:p>
        </w:tc>
        <w:tc>
          <w:tcPr>
            <w:tcW w:w="1140" w:type="dxa"/>
            <w:vMerge w:val="continue"/>
            <w:vAlign w:val="center"/>
          </w:tcPr>
          <w:p>
            <w:pPr>
              <w:jc w:val="center"/>
              <w:rPr>
                <w:rFonts w:ascii="宋体" w:hAnsi="宋体" w:cs="宋体"/>
                <w:color w:val="auto"/>
                <w:sz w:val="24"/>
                <w:szCs w:val="24"/>
              </w:rPr>
            </w:pPr>
          </w:p>
        </w:tc>
        <w:tc>
          <w:tcPr>
            <w:tcW w:w="1308" w:type="dxa"/>
            <w:vAlign w:val="center"/>
          </w:tcPr>
          <w:p>
            <w:pPr>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综合实力</w:t>
            </w:r>
          </w:p>
        </w:tc>
        <w:tc>
          <w:tcPr>
            <w:tcW w:w="777" w:type="dxa"/>
            <w:vAlign w:val="center"/>
          </w:tcPr>
          <w:p>
            <w:pPr>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8分</w:t>
            </w:r>
          </w:p>
        </w:tc>
        <w:tc>
          <w:tcPr>
            <w:tcW w:w="5886" w:type="dxa"/>
            <w:vAlign w:val="center"/>
          </w:tcPr>
          <w:p>
            <w:pPr>
              <w:adjustRightInd w:val="0"/>
              <w:snapToGrid w:val="0"/>
              <w:spacing w:line="440" w:lineRule="exact"/>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1、产品质量通过中国强制性产品GB6675认证得2分</w:t>
            </w:r>
          </w:p>
          <w:p>
            <w:pPr>
              <w:adjustRightInd w:val="0"/>
              <w:snapToGrid w:val="0"/>
              <w:spacing w:line="440" w:lineRule="exact"/>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2、通过ISO9001,2015国际质量体系认证得2分</w:t>
            </w:r>
          </w:p>
          <w:p>
            <w:pPr>
              <w:adjustRightInd w:val="0"/>
              <w:snapToGrid w:val="0"/>
              <w:spacing w:line="440" w:lineRule="exact"/>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3、通过ISO14001环境管理体系认证得2分</w:t>
            </w:r>
          </w:p>
          <w:p>
            <w:pPr>
              <w:adjustRightInd w:val="0"/>
              <w:snapToGrid w:val="0"/>
              <w:spacing w:line="440" w:lineRule="exact"/>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4、通过ISO45001职业健康安全管理体系认证得2分</w:t>
            </w:r>
          </w:p>
          <w:p>
            <w:pPr>
              <w:adjustRightInd w:val="0"/>
              <w:snapToGrid w:val="0"/>
              <w:spacing w:line="440" w:lineRule="exact"/>
              <w:jc w:val="left"/>
              <w:rPr>
                <w:rFonts w:hint="eastAsia" w:ascii="宋体" w:hAnsi="宋体" w:cs="宋体"/>
                <w:sz w:val="24"/>
                <w:szCs w:val="24"/>
              </w:rPr>
            </w:pPr>
            <w:r>
              <w:rPr>
                <w:rFonts w:hint="eastAsia" w:ascii="宋体" w:hAnsi="宋体" w:eastAsia="宋体" w:cs="宋体"/>
                <w:b/>
                <w:bCs/>
                <w:kern w:val="2"/>
                <w:sz w:val="24"/>
                <w:szCs w:val="24"/>
                <w:lang w:val="en-US" w:eastAsia="zh-CN" w:bidi="ar-SA"/>
              </w:rPr>
              <w:t>注：须提供以上相关资料清晰扫描件且在有效期内方可得分，扫描不清晰或不在有效期内不得分。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495" w:type="dxa"/>
            <w:vMerge w:val="restart"/>
            <w:tcBorders>
              <w:left w:val="single" w:color="auto" w:sz="4" w:space="0"/>
            </w:tcBorders>
            <w:vAlign w:val="center"/>
          </w:tcPr>
          <w:p>
            <w:pPr>
              <w:rPr>
                <w:rFonts w:ascii="宋体" w:hAnsi="宋体" w:cs="宋体"/>
                <w:color w:val="auto"/>
                <w:sz w:val="24"/>
                <w:szCs w:val="24"/>
              </w:rPr>
            </w:pPr>
            <w:r>
              <w:rPr>
                <w:rFonts w:ascii="宋体" w:hAnsi="宋体" w:cs="宋体"/>
                <w:color w:val="auto"/>
                <w:sz w:val="24"/>
                <w:szCs w:val="24"/>
              </w:rPr>
              <w:t>2</w:t>
            </w:r>
          </w:p>
        </w:tc>
        <w:tc>
          <w:tcPr>
            <w:tcW w:w="1140" w:type="dxa"/>
            <w:vMerge w:val="restart"/>
            <w:vAlign w:val="center"/>
          </w:tcPr>
          <w:p>
            <w:pPr>
              <w:jc w:val="center"/>
              <w:rPr>
                <w:rFonts w:ascii="宋体" w:hAnsi="宋体" w:cs="宋体"/>
                <w:color w:val="auto"/>
                <w:sz w:val="24"/>
                <w:szCs w:val="24"/>
              </w:rPr>
            </w:pPr>
            <w:r>
              <w:rPr>
                <w:rFonts w:hint="eastAsia" w:ascii="宋体" w:hAnsi="宋体" w:cs="宋体"/>
                <w:color w:val="auto"/>
                <w:sz w:val="24"/>
                <w:szCs w:val="24"/>
              </w:rPr>
              <w:t>技术评分（</w:t>
            </w:r>
            <w:r>
              <w:rPr>
                <w:rFonts w:hint="eastAsia" w:ascii="宋体" w:hAnsi="宋体" w:cs="宋体"/>
                <w:color w:val="auto"/>
                <w:sz w:val="24"/>
                <w:szCs w:val="24"/>
                <w:lang w:val="en-US" w:eastAsia="zh-CN"/>
              </w:rPr>
              <w:t>55</w:t>
            </w:r>
            <w:r>
              <w:rPr>
                <w:rFonts w:hint="eastAsia" w:ascii="宋体" w:hAnsi="宋体" w:cs="宋体"/>
                <w:color w:val="auto"/>
                <w:sz w:val="24"/>
                <w:szCs w:val="24"/>
              </w:rPr>
              <w:t>分）</w:t>
            </w:r>
          </w:p>
        </w:tc>
        <w:tc>
          <w:tcPr>
            <w:tcW w:w="1308" w:type="dxa"/>
            <w:vAlign w:val="center"/>
          </w:tcPr>
          <w:p>
            <w:pPr>
              <w:adjustRightInd w:val="0"/>
              <w:snapToGrid w:val="0"/>
              <w:spacing w:line="440" w:lineRule="exact"/>
              <w:jc w:val="center"/>
              <w:rPr>
                <w:rFonts w:ascii="宋体" w:hAnsi="宋体" w:cs="宋体"/>
                <w:color w:val="auto"/>
                <w:sz w:val="24"/>
                <w:szCs w:val="24"/>
              </w:rPr>
            </w:pPr>
            <w:r>
              <w:rPr>
                <w:rFonts w:hint="eastAsia" w:ascii="宋体" w:hAnsi="宋体" w:cs="仿宋"/>
                <w:sz w:val="24"/>
                <w:lang w:eastAsia="zh-CN"/>
              </w:rPr>
              <w:t>技术指标</w:t>
            </w:r>
          </w:p>
        </w:tc>
        <w:tc>
          <w:tcPr>
            <w:tcW w:w="777" w:type="dxa"/>
            <w:vAlign w:val="center"/>
          </w:tcPr>
          <w:p>
            <w:pPr>
              <w:adjustRightInd w:val="0"/>
              <w:snapToGrid w:val="0"/>
              <w:spacing w:line="440" w:lineRule="exact"/>
              <w:jc w:val="center"/>
              <w:rPr>
                <w:rFonts w:ascii="宋体" w:hAnsi="宋体" w:cs="宋体"/>
                <w:color w:val="auto"/>
                <w:sz w:val="24"/>
                <w:szCs w:val="24"/>
              </w:rPr>
            </w:pPr>
            <w:r>
              <w:rPr>
                <w:rFonts w:hint="eastAsia" w:ascii="宋体" w:hAnsi="宋体" w:cs="宋体"/>
                <w:color w:val="auto"/>
                <w:sz w:val="24"/>
                <w:szCs w:val="24"/>
                <w:lang w:val="en-US" w:eastAsia="zh-CN"/>
              </w:rPr>
              <w:t>20分</w:t>
            </w:r>
          </w:p>
        </w:tc>
        <w:tc>
          <w:tcPr>
            <w:tcW w:w="5886" w:type="dxa"/>
            <w:vAlign w:val="center"/>
          </w:tcPr>
          <w:p>
            <w:pPr>
              <w:adjustRightInd w:val="0"/>
              <w:snapToGrid w:val="0"/>
              <w:spacing w:line="440" w:lineRule="exact"/>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1、投标产品技术参数完全符合招标文件要求的得</w:t>
            </w:r>
            <w:r>
              <w:rPr>
                <w:rFonts w:hint="eastAsia" w:ascii="宋体" w:hAnsi="宋体" w:cs="宋体"/>
                <w:kern w:val="2"/>
                <w:sz w:val="24"/>
                <w:szCs w:val="24"/>
                <w:lang w:val="en-US" w:eastAsia="zh-CN" w:bidi="ar-SA"/>
              </w:rPr>
              <w:t>20</w:t>
            </w:r>
            <w:r>
              <w:rPr>
                <w:rFonts w:hint="eastAsia" w:ascii="宋体" w:hAnsi="宋体" w:eastAsia="宋体" w:cs="宋体"/>
                <w:kern w:val="2"/>
                <w:sz w:val="24"/>
                <w:szCs w:val="24"/>
                <w:lang w:val="en-US" w:eastAsia="zh-CN" w:bidi="ar-SA"/>
              </w:rPr>
              <w:t>分。若“</w:t>
            </w:r>
            <w:r>
              <w:rPr>
                <w:rFonts w:hint="eastAsia" w:ascii="宋体" w:hAnsi="宋体" w:eastAsia="宋体" w:cs="宋体"/>
                <w:color w:val="000000"/>
                <w:sz w:val="21"/>
                <w:szCs w:val="21"/>
                <w:lang w:eastAsia="zh-CN"/>
              </w:rPr>
              <w:t>▲</w:t>
            </w:r>
            <w:r>
              <w:rPr>
                <w:rFonts w:hint="eastAsia" w:ascii="宋体" w:hAnsi="宋体" w:eastAsia="宋体" w:cs="宋体"/>
                <w:kern w:val="2"/>
                <w:sz w:val="24"/>
                <w:szCs w:val="24"/>
                <w:lang w:val="en-US" w:eastAsia="zh-CN" w:bidi="ar-SA"/>
              </w:rPr>
              <w:t>”有负偏离，每项负偏离扣</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分，扣完为止。</w:t>
            </w:r>
          </w:p>
          <w:p>
            <w:pPr>
              <w:spacing w:line="360" w:lineRule="auto"/>
              <w:rPr>
                <w:rFonts w:ascii="宋体" w:hAnsi="宋体" w:cs="宋体"/>
                <w:color w:val="auto"/>
                <w:sz w:val="24"/>
                <w:szCs w:val="24"/>
              </w:rPr>
            </w:pPr>
            <w:r>
              <w:rPr>
                <w:rFonts w:hint="eastAsia" w:ascii="宋体" w:hAnsi="宋体" w:eastAsia="宋体" w:cs="宋体"/>
                <w:kern w:val="2"/>
                <w:sz w:val="24"/>
                <w:szCs w:val="24"/>
                <w:lang w:val="en-US" w:eastAsia="zh-CN" w:bidi="ar-SA"/>
              </w:rPr>
              <w:t>2、其他技术性能指标有负偏离，每项负偏离扣2分，扣完为止。</w:t>
            </w:r>
            <w:r>
              <w:rPr>
                <w:rFonts w:hint="eastAsia" w:ascii="宋体" w:hAnsi="宋体" w:cs="宋体"/>
                <w:b/>
                <w:bCs/>
                <w:kern w:val="2"/>
                <w:sz w:val="24"/>
                <w:szCs w:val="24"/>
                <w:lang w:val="en-US" w:eastAsia="zh-CN" w:bidi="ar-SA"/>
              </w:rPr>
              <w:t>注：</w:t>
            </w:r>
            <w:r>
              <w:rPr>
                <w:rFonts w:hint="eastAsia" w:ascii="宋体" w:hAnsi="宋体" w:cs="宋体"/>
                <w:b/>
                <w:bCs/>
                <w:color w:val="auto"/>
                <w:sz w:val="24"/>
                <w:szCs w:val="24"/>
                <w:lang w:val="en-US" w:eastAsia="zh-CN"/>
              </w:rPr>
              <w:t>技术参数中标注</w:t>
            </w:r>
            <w:r>
              <w:rPr>
                <w:rFonts w:hint="eastAsia" w:ascii="宋体" w:hAnsi="宋体" w:eastAsia="宋体" w:cs="宋体"/>
                <w:color w:val="000000"/>
                <w:sz w:val="21"/>
                <w:szCs w:val="21"/>
                <w:lang w:eastAsia="zh-CN"/>
              </w:rPr>
              <w:t>▲</w:t>
            </w:r>
            <w:r>
              <w:rPr>
                <w:rFonts w:hint="eastAsia" w:ascii="宋体" w:hAnsi="宋体" w:cs="宋体"/>
                <w:b/>
                <w:bCs/>
                <w:color w:val="auto"/>
                <w:sz w:val="24"/>
                <w:szCs w:val="24"/>
                <w:lang w:val="en-US" w:eastAsia="zh-CN"/>
              </w:rPr>
              <w:t>号的参数提供相关证明材料；如证明材料提供不清晰不得分。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95" w:type="dxa"/>
            <w:vMerge w:val="continue"/>
            <w:tcBorders>
              <w:left w:val="single" w:color="auto" w:sz="4" w:space="0"/>
            </w:tcBorders>
            <w:vAlign w:val="center"/>
          </w:tcPr>
          <w:p>
            <w:pPr>
              <w:jc w:val="center"/>
              <w:rPr>
                <w:rFonts w:ascii="宋体" w:hAnsi="宋体" w:cs="宋体"/>
                <w:color w:val="auto"/>
                <w:sz w:val="24"/>
                <w:szCs w:val="24"/>
              </w:rPr>
            </w:pPr>
          </w:p>
        </w:tc>
        <w:tc>
          <w:tcPr>
            <w:tcW w:w="1140" w:type="dxa"/>
            <w:vMerge w:val="continue"/>
            <w:vAlign w:val="center"/>
          </w:tcPr>
          <w:p>
            <w:pPr>
              <w:jc w:val="center"/>
              <w:rPr>
                <w:rFonts w:ascii="宋体" w:hAnsi="宋体" w:cs="宋体"/>
                <w:color w:val="auto"/>
                <w:sz w:val="24"/>
                <w:szCs w:val="24"/>
              </w:rPr>
            </w:pPr>
          </w:p>
        </w:tc>
        <w:tc>
          <w:tcPr>
            <w:tcW w:w="1308" w:type="dxa"/>
            <w:vAlign w:val="center"/>
          </w:tcPr>
          <w:p>
            <w:pPr>
              <w:adjustRightInd w:val="0"/>
              <w:snapToGrid w:val="0"/>
              <w:spacing w:line="440" w:lineRule="exact"/>
              <w:jc w:val="center"/>
              <w:rPr>
                <w:rFonts w:ascii="宋体" w:hAnsi="宋体" w:cs="宋体"/>
                <w:color w:val="auto"/>
                <w:sz w:val="24"/>
                <w:szCs w:val="24"/>
              </w:rPr>
            </w:pPr>
            <w:r>
              <w:rPr>
                <w:rFonts w:hint="eastAsia" w:ascii="宋体" w:hAnsi="宋体" w:cs="宋体"/>
                <w:color w:val="auto"/>
                <w:sz w:val="24"/>
                <w:szCs w:val="24"/>
                <w:lang w:val="en-US" w:eastAsia="zh-CN"/>
              </w:rPr>
              <w:t>产品选型</w:t>
            </w:r>
          </w:p>
        </w:tc>
        <w:tc>
          <w:tcPr>
            <w:tcW w:w="777" w:type="dxa"/>
            <w:vAlign w:val="center"/>
          </w:tcPr>
          <w:p>
            <w:pPr>
              <w:adjustRightInd w:val="0"/>
              <w:snapToGrid w:val="0"/>
              <w:spacing w:line="440" w:lineRule="exact"/>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15分 </w:t>
            </w:r>
          </w:p>
        </w:tc>
        <w:tc>
          <w:tcPr>
            <w:tcW w:w="5886" w:type="dxa"/>
            <w:vAlign w:val="center"/>
          </w:tcPr>
          <w:p>
            <w:pPr>
              <w:adjustRightInd w:val="0"/>
              <w:snapToGrid w:val="0"/>
              <w:spacing w:line="440" w:lineRule="exact"/>
              <w:jc w:val="left"/>
              <w:rPr>
                <w:rFonts w:hint="eastAsia" w:ascii="宋体" w:hAnsi="宋体" w:eastAsia="宋体" w:cs="Times New Roman"/>
                <w:kern w:val="2"/>
                <w:sz w:val="24"/>
                <w:lang w:val="en-US" w:eastAsia="zh-CN" w:bidi="ar-SA"/>
              </w:rPr>
            </w:pPr>
            <w:r>
              <w:rPr>
                <w:rFonts w:hint="eastAsia" w:ascii="宋体" w:hAnsi="宋体" w:eastAsia="宋体" w:cs="Times New Roman"/>
                <w:kern w:val="2"/>
                <w:sz w:val="24"/>
                <w:lang w:val="en-US" w:eastAsia="zh-CN" w:bidi="ar-SA"/>
              </w:rPr>
              <w:t xml:space="preserve">产品选型配置： </w:t>
            </w:r>
          </w:p>
          <w:p>
            <w:pPr>
              <w:adjustRightInd w:val="0"/>
              <w:snapToGrid w:val="0"/>
              <w:spacing w:line="440" w:lineRule="exact"/>
              <w:jc w:val="left"/>
              <w:rPr>
                <w:rFonts w:hint="eastAsia" w:ascii="宋体" w:hAnsi="宋体" w:eastAsia="宋体" w:cs="Times New Roman"/>
                <w:kern w:val="2"/>
                <w:sz w:val="24"/>
                <w:lang w:val="en-US" w:eastAsia="zh-CN" w:bidi="ar-SA"/>
              </w:rPr>
            </w:pPr>
            <w:r>
              <w:rPr>
                <w:rFonts w:hint="eastAsia" w:ascii="宋体" w:hAnsi="宋体" w:eastAsia="宋体" w:cs="Times New Roman"/>
                <w:kern w:val="2"/>
                <w:sz w:val="24"/>
                <w:lang w:val="en-US" w:eastAsia="zh-CN" w:bidi="ar-SA"/>
              </w:rPr>
              <w:t xml:space="preserve">产品选型先进合理，安全性高，质量优秀，所有产品 </w:t>
            </w:r>
          </w:p>
          <w:p>
            <w:pPr>
              <w:adjustRightInd w:val="0"/>
              <w:snapToGrid w:val="0"/>
              <w:spacing w:line="440" w:lineRule="exact"/>
              <w:jc w:val="left"/>
              <w:rPr>
                <w:rFonts w:hint="eastAsia" w:ascii="宋体" w:hAnsi="宋体" w:eastAsia="宋体" w:cs="Times New Roman"/>
                <w:kern w:val="2"/>
                <w:sz w:val="24"/>
                <w:lang w:val="en-US" w:eastAsia="zh-CN" w:bidi="ar-SA"/>
              </w:rPr>
            </w:pPr>
            <w:r>
              <w:rPr>
                <w:rFonts w:hint="eastAsia" w:ascii="宋体" w:hAnsi="宋体" w:eastAsia="宋体" w:cs="Times New Roman"/>
                <w:kern w:val="2"/>
                <w:sz w:val="24"/>
                <w:lang w:val="en-US" w:eastAsia="zh-CN" w:bidi="ar-SA"/>
              </w:rPr>
              <w:t xml:space="preserve">均有产品描述和图片等，符合用户实际需求，得 9-15 </w:t>
            </w:r>
          </w:p>
          <w:p>
            <w:pPr>
              <w:adjustRightInd w:val="0"/>
              <w:snapToGrid w:val="0"/>
              <w:spacing w:line="440" w:lineRule="exact"/>
              <w:jc w:val="left"/>
              <w:rPr>
                <w:rFonts w:hint="eastAsia" w:ascii="宋体" w:hAnsi="宋体" w:eastAsia="宋体" w:cs="Times New Roman"/>
                <w:kern w:val="2"/>
                <w:sz w:val="24"/>
                <w:lang w:val="en-US" w:eastAsia="zh-CN" w:bidi="ar-SA"/>
              </w:rPr>
            </w:pPr>
            <w:r>
              <w:rPr>
                <w:rFonts w:hint="eastAsia" w:ascii="宋体" w:hAnsi="宋体" w:eastAsia="宋体" w:cs="Times New Roman"/>
                <w:kern w:val="2"/>
                <w:sz w:val="24"/>
                <w:lang w:val="en-US" w:eastAsia="zh-CN" w:bidi="ar-SA"/>
              </w:rPr>
              <w:t xml:space="preserve">分； </w:t>
            </w:r>
          </w:p>
          <w:p>
            <w:pPr>
              <w:adjustRightInd w:val="0"/>
              <w:snapToGrid w:val="0"/>
              <w:spacing w:line="440" w:lineRule="exact"/>
              <w:jc w:val="left"/>
              <w:rPr>
                <w:rFonts w:hint="eastAsia" w:ascii="宋体" w:hAnsi="宋体" w:eastAsia="宋体" w:cs="Times New Roman"/>
                <w:kern w:val="2"/>
                <w:sz w:val="24"/>
                <w:lang w:val="en-US" w:eastAsia="zh-CN" w:bidi="ar-SA"/>
              </w:rPr>
            </w:pPr>
            <w:r>
              <w:rPr>
                <w:rFonts w:hint="eastAsia" w:ascii="宋体" w:hAnsi="宋体" w:eastAsia="宋体" w:cs="Times New Roman"/>
                <w:kern w:val="2"/>
                <w:sz w:val="24"/>
                <w:lang w:val="en-US" w:eastAsia="zh-CN" w:bidi="ar-SA"/>
              </w:rPr>
              <w:t xml:space="preserve">产品选型合理性、安全性一般，质量合格，有部分产品描述和图片，基本满足用户需求，得0-8 分； </w:t>
            </w:r>
          </w:p>
          <w:p>
            <w:pPr>
              <w:adjustRightInd w:val="0"/>
              <w:snapToGrid w:val="0"/>
              <w:spacing w:line="440" w:lineRule="exact"/>
              <w:jc w:val="left"/>
              <w:rPr>
                <w:rFonts w:hint="eastAsia" w:ascii="宋体" w:hAnsi="宋体" w:eastAsia="宋体" w:cs="Times New Roman"/>
                <w:kern w:val="2"/>
                <w:sz w:val="24"/>
                <w:lang w:val="en-US" w:eastAsia="zh-CN" w:bidi="ar-SA"/>
              </w:rPr>
            </w:pPr>
            <w:r>
              <w:rPr>
                <w:rFonts w:hint="eastAsia" w:ascii="宋体" w:hAnsi="宋体" w:eastAsia="宋体" w:cs="Times New Roman"/>
                <w:kern w:val="2"/>
                <w:sz w:val="24"/>
                <w:lang w:val="en-US" w:eastAsia="zh-CN" w:bidi="ar-SA"/>
              </w:rPr>
              <w:t>产品选型不符合实际情况，无产品描述和图片，得0 分。</w:t>
            </w:r>
          </w:p>
          <w:p>
            <w:pPr>
              <w:pStyle w:val="13"/>
            </w:pPr>
            <w:r>
              <w:rPr>
                <w:rFonts w:hint="eastAsia" w:ascii="宋体" w:hAnsi="宋体" w:eastAsia="宋体" w:cs="Times New Roman"/>
                <w:b/>
                <w:bCs/>
                <w:sz w:val="24"/>
                <w:lang w:val="en-US" w:eastAsia="zh-CN"/>
              </w:rPr>
              <w:t>注：供应商所提供的图片须清晰可见，不清晰或未提供不得分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9" w:hRule="atLeast"/>
        </w:trPr>
        <w:tc>
          <w:tcPr>
            <w:tcW w:w="495" w:type="dxa"/>
            <w:vMerge w:val="continue"/>
            <w:tcBorders>
              <w:left w:val="single" w:color="auto" w:sz="4" w:space="0"/>
              <w:bottom w:val="single" w:color="auto" w:sz="4" w:space="0"/>
            </w:tcBorders>
            <w:vAlign w:val="center"/>
          </w:tcPr>
          <w:p>
            <w:pPr>
              <w:jc w:val="center"/>
              <w:rPr>
                <w:rFonts w:ascii="宋体" w:hAnsi="宋体" w:cs="宋体"/>
                <w:color w:val="auto"/>
                <w:sz w:val="24"/>
                <w:szCs w:val="24"/>
              </w:rPr>
            </w:pPr>
          </w:p>
        </w:tc>
        <w:tc>
          <w:tcPr>
            <w:tcW w:w="1140" w:type="dxa"/>
            <w:vMerge w:val="continue"/>
            <w:tcBorders>
              <w:bottom w:val="single" w:color="auto" w:sz="4" w:space="0"/>
            </w:tcBorders>
            <w:vAlign w:val="center"/>
          </w:tcPr>
          <w:p>
            <w:pPr>
              <w:jc w:val="center"/>
              <w:rPr>
                <w:rFonts w:ascii="宋体" w:hAnsi="宋体" w:cs="宋体"/>
                <w:color w:val="auto"/>
                <w:sz w:val="24"/>
                <w:szCs w:val="24"/>
              </w:rPr>
            </w:pPr>
          </w:p>
        </w:tc>
        <w:tc>
          <w:tcPr>
            <w:tcW w:w="1308" w:type="dxa"/>
            <w:tcBorders>
              <w:bottom w:val="single" w:color="auto" w:sz="4" w:space="0"/>
            </w:tcBorders>
            <w:vAlign w:val="center"/>
          </w:tcPr>
          <w:p>
            <w:pPr>
              <w:adjustRightInd w:val="0"/>
              <w:snapToGrid w:val="0"/>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货物的调试、安 </w:t>
            </w:r>
          </w:p>
          <w:p>
            <w:pPr>
              <w:adjustRightInd w:val="0"/>
              <w:snapToGrid w:val="0"/>
              <w:spacing w:line="44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highlight w:val="none"/>
                <w:lang w:val="en-US" w:eastAsia="zh-CN"/>
              </w:rPr>
              <w:t xml:space="preserve">装 </w:t>
            </w:r>
          </w:p>
        </w:tc>
        <w:tc>
          <w:tcPr>
            <w:tcW w:w="777" w:type="dxa"/>
            <w:tcBorders>
              <w:bottom w:val="single" w:color="auto" w:sz="4" w:space="0"/>
            </w:tcBorders>
            <w:vAlign w:val="center"/>
          </w:tcPr>
          <w:p>
            <w:pPr>
              <w:adjustRightInd w:val="0"/>
              <w:snapToGrid w:val="0"/>
              <w:spacing w:line="440" w:lineRule="exact"/>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10分</w:t>
            </w:r>
          </w:p>
        </w:tc>
        <w:tc>
          <w:tcPr>
            <w:tcW w:w="5886" w:type="dxa"/>
            <w:tcBorders>
              <w:bottom w:val="single" w:color="auto" w:sz="4" w:space="0"/>
            </w:tcBorders>
            <w:vAlign w:val="center"/>
          </w:tcPr>
          <w:p>
            <w:pPr>
              <w:adjustRightInd w:val="0"/>
              <w:snapToGrid w:val="0"/>
              <w:spacing w:line="440" w:lineRule="exact"/>
              <w:jc w:val="left"/>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根据项目拟投入的技术力量及货物安装方案等，从其 </w:t>
            </w:r>
          </w:p>
          <w:p>
            <w:pPr>
              <w:adjustRightInd w:val="0"/>
              <w:snapToGrid w:val="0"/>
              <w:spacing w:line="440" w:lineRule="exact"/>
              <w:jc w:val="left"/>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科学性、合理性、安全性进行总体评判。 </w:t>
            </w:r>
          </w:p>
          <w:p>
            <w:pPr>
              <w:adjustRightInd w:val="0"/>
              <w:snapToGrid w:val="0"/>
              <w:spacing w:line="440" w:lineRule="exact"/>
              <w:jc w:val="left"/>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货物的调试、安装方案的完全满足采购需求 6-10 分； </w:t>
            </w:r>
          </w:p>
          <w:p>
            <w:pPr>
              <w:adjustRightInd w:val="0"/>
              <w:snapToGrid w:val="0"/>
              <w:spacing w:line="440" w:lineRule="exact"/>
              <w:jc w:val="left"/>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货物的调试、安装方案基本满足采购需求，0-5 分； </w:t>
            </w:r>
          </w:p>
          <w:p>
            <w:pPr>
              <w:adjustRightInd w:val="0"/>
              <w:snapToGrid w:val="0"/>
              <w:spacing w:line="440" w:lineRule="exact"/>
              <w:jc w:val="left"/>
              <w:rPr>
                <w:rFonts w:ascii="宋体" w:hAnsi="宋体" w:cs="宋体"/>
                <w:color w:val="auto"/>
                <w:sz w:val="24"/>
                <w:szCs w:val="24"/>
              </w:rPr>
            </w:pPr>
            <w:r>
              <w:rPr>
                <w:rFonts w:hint="eastAsia" w:ascii="宋体" w:hAnsi="宋体" w:cs="宋体"/>
                <w:color w:val="auto"/>
                <w:sz w:val="24"/>
                <w:szCs w:val="24"/>
                <w:highlight w:val="none"/>
                <w:lang w:val="en-US" w:eastAsia="zh-CN"/>
              </w:rPr>
              <w:t>货物的调试、安装方案不能满足采购需求或没有得 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495" w:type="dxa"/>
            <w:vMerge w:val="continue"/>
            <w:tcBorders>
              <w:top w:val="single" w:color="auto" w:sz="4" w:space="0"/>
              <w:left w:val="single" w:color="auto" w:sz="4" w:space="0"/>
            </w:tcBorders>
            <w:vAlign w:val="center"/>
          </w:tcPr>
          <w:p>
            <w:pPr>
              <w:jc w:val="center"/>
              <w:rPr>
                <w:rFonts w:ascii="宋体" w:hAnsi="宋体" w:cs="宋体"/>
                <w:color w:val="auto"/>
                <w:sz w:val="24"/>
                <w:szCs w:val="24"/>
              </w:rPr>
            </w:pPr>
          </w:p>
        </w:tc>
        <w:tc>
          <w:tcPr>
            <w:tcW w:w="1140" w:type="dxa"/>
            <w:vMerge w:val="continue"/>
            <w:tcBorders>
              <w:top w:val="single" w:color="auto" w:sz="4" w:space="0"/>
            </w:tcBorders>
            <w:vAlign w:val="center"/>
          </w:tcPr>
          <w:p>
            <w:pPr>
              <w:jc w:val="center"/>
              <w:rPr>
                <w:rFonts w:ascii="宋体" w:hAnsi="宋体" w:cs="宋体"/>
                <w:color w:val="auto"/>
                <w:sz w:val="24"/>
                <w:szCs w:val="24"/>
              </w:rPr>
            </w:pPr>
          </w:p>
        </w:tc>
        <w:tc>
          <w:tcPr>
            <w:tcW w:w="1308" w:type="dxa"/>
            <w:tcBorders>
              <w:top w:val="single" w:color="auto" w:sz="4" w:space="0"/>
            </w:tcBorders>
            <w:vAlign w:val="center"/>
          </w:tcPr>
          <w:p>
            <w:pPr>
              <w:adjustRightInd w:val="0"/>
              <w:snapToGrid w:val="0"/>
              <w:spacing w:line="440" w:lineRule="exact"/>
              <w:jc w:val="center"/>
              <w:rPr>
                <w:rFonts w:ascii="宋体" w:hAnsi="宋体" w:cs="宋体"/>
                <w:color w:val="auto"/>
                <w:sz w:val="24"/>
                <w:szCs w:val="24"/>
              </w:rPr>
            </w:pPr>
            <w:r>
              <w:rPr>
                <w:rFonts w:hint="eastAsia" w:ascii="宋体" w:hAnsi="宋体" w:cs="宋体"/>
                <w:color w:val="auto"/>
                <w:sz w:val="24"/>
                <w:szCs w:val="24"/>
                <w:lang w:val="en-US" w:eastAsia="zh-CN"/>
              </w:rPr>
              <w:t>售后服务</w:t>
            </w:r>
          </w:p>
        </w:tc>
        <w:tc>
          <w:tcPr>
            <w:tcW w:w="777" w:type="dxa"/>
            <w:tcBorders>
              <w:top w:val="single" w:color="auto" w:sz="4" w:space="0"/>
            </w:tcBorders>
            <w:vAlign w:val="center"/>
          </w:tcPr>
          <w:p>
            <w:pPr>
              <w:adjustRightInd w:val="0"/>
              <w:snapToGrid w:val="0"/>
              <w:spacing w:line="440" w:lineRule="exact"/>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10分</w:t>
            </w:r>
          </w:p>
        </w:tc>
        <w:tc>
          <w:tcPr>
            <w:tcW w:w="5886" w:type="dxa"/>
            <w:tcBorders>
              <w:top w:val="single" w:color="auto" w:sz="4" w:space="0"/>
              <w:right w:val="single" w:color="auto" w:sz="4" w:space="0"/>
            </w:tcBorders>
            <w:vAlign w:val="center"/>
          </w:tcPr>
          <w:p>
            <w:pPr>
              <w:adjustRightInd w:val="0"/>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投标人的售后服务方案与承诺、培训方案及质量保证 </w:t>
            </w:r>
          </w:p>
          <w:p>
            <w:pPr>
              <w:adjustRightInd w:val="0"/>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具有针对性及可操作性，满足用户实际需求：得 6-10</w:t>
            </w:r>
            <w:r>
              <w:rPr>
                <w:rFonts w:hint="default" w:ascii="宋体" w:hAnsi="宋体" w:eastAsia="宋体" w:cs="宋体"/>
                <w:color w:val="auto"/>
                <w:sz w:val="24"/>
                <w:szCs w:val="24"/>
                <w:highlight w:val="none"/>
                <w:lang w:val="en-US" w:eastAsia="zh-CN"/>
              </w:rPr>
              <w:t xml:space="preserve"> </w:t>
            </w:r>
          </w:p>
          <w:p>
            <w:pPr>
              <w:adjustRightInd w:val="0"/>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分 </w:t>
            </w:r>
          </w:p>
          <w:p>
            <w:pPr>
              <w:adjustRightInd w:val="0"/>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投标人的售后服务方案与承诺、培训方案及质量保证 </w:t>
            </w:r>
          </w:p>
          <w:p>
            <w:pPr>
              <w:adjustRightInd w:val="0"/>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基本符合项目要求：得 0-5分； </w:t>
            </w:r>
          </w:p>
          <w:p>
            <w:pPr>
              <w:adjustRightInd w:val="0"/>
              <w:snapToGrid w:val="0"/>
              <w:spacing w:line="44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投标人的售后服务方案与承诺、培训方案及质量保证 </w:t>
            </w:r>
          </w:p>
          <w:p>
            <w:pPr>
              <w:adjustRightInd w:val="0"/>
              <w:snapToGrid w:val="0"/>
              <w:spacing w:line="440" w:lineRule="exact"/>
              <w:jc w:val="left"/>
              <w:rPr>
                <w:rFonts w:ascii="宋体" w:hAnsi="宋体" w:cs="宋体"/>
                <w:color w:val="auto"/>
                <w:sz w:val="24"/>
                <w:szCs w:val="24"/>
              </w:rPr>
            </w:pPr>
            <w:r>
              <w:rPr>
                <w:rFonts w:hint="eastAsia" w:ascii="宋体" w:hAnsi="宋体" w:eastAsia="宋体" w:cs="宋体"/>
                <w:color w:val="auto"/>
                <w:sz w:val="24"/>
                <w:szCs w:val="24"/>
                <w:highlight w:val="none"/>
                <w:lang w:val="en-US" w:eastAsia="zh-CN"/>
              </w:rPr>
              <w:t>难以满足项目需要： 得0分</w:t>
            </w:r>
          </w:p>
        </w:tc>
      </w:tr>
    </w:tbl>
    <w:p>
      <w:pPr>
        <w:spacing w:line="400" w:lineRule="atLeast"/>
        <w:ind w:left="480" w:hanging="480" w:hangingChars="200"/>
        <w:rPr>
          <w:rFonts w:ascii="宋体" w:hAnsi="宋体" w:cs="宋体"/>
          <w:sz w:val="24"/>
          <w:szCs w:val="24"/>
          <w:shd w:val="clear" w:color="auto" w:fill="FFFFFF"/>
        </w:rPr>
      </w:pPr>
      <w:r>
        <w:rPr>
          <w:rFonts w:hint="eastAsia" w:ascii="宋体" w:hAnsi="宋体" w:cs="宋体"/>
          <w:bCs/>
          <w:sz w:val="24"/>
        </w:rPr>
        <w:t>26.4</w:t>
      </w:r>
      <w:r>
        <w:rPr>
          <w:rFonts w:hint="eastAsia" w:ascii="宋体" w:hAnsi="宋体" w:cs="宋体"/>
          <w:sz w:val="24"/>
          <w:szCs w:val="24"/>
          <w:shd w:val="clear" w:color="auto" w:fill="FFFFFF"/>
        </w:rPr>
        <w:t>磋商小组应当根据综合评分情况，按照评审得分由高到低顺序推荐3名以上成交候选供应商。评审得分相同的，按照最后报价由低到高的顺序推荐。评审得分且最后报价相同的，按照技术指标优劣顺序推荐。</w:t>
      </w:r>
    </w:p>
    <w:p>
      <w:pPr>
        <w:spacing w:line="400" w:lineRule="atLeast"/>
        <w:ind w:left="480" w:hanging="480" w:hangingChars="200"/>
        <w:rPr>
          <w:rFonts w:ascii="宋体" w:hAnsi="宋体" w:cs="宋体"/>
          <w:bCs/>
          <w:sz w:val="24"/>
        </w:rPr>
      </w:pPr>
      <w:r>
        <w:rPr>
          <w:rFonts w:hint="eastAsia" w:ascii="宋体" w:hAnsi="宋体" w:cs="宋体"/>
          <w:bCs/>
          <w:sz w:val="24"/>
        </w:rPr>
        <w:t>26.5采购人根据磋商小组推荐的成交候选供应商名单，根据相关法律法规的规定确定最终成交商。如果排名第一的成交候选供应商的实际情况与其磋商资料不相符，将取消其成交资格，由排名第二的成交候选供应商递补</w:t>
      </w:r>
      <w:r>
        <w:rPr>
          <w:rFonts w:hint="eastAsia" w:ascii="宋体" w:hAnsi="宋体" w:cs="宋体"/>
          <w:bCs/>
          <w:sz w:val="24"/>
          <w:lang w:eastAsia="zh-CN"/>
        </w:rPr>
        <w:t>或采购人重新选择成交人的应当重新组织招标</w:t>
      </w:r>
      <w:r>
        <w:rPr>
          <w:rFonts w:hint="eastAsia" w:ascii="宋体" w:hAnsi="宋体" w:cs="宋体"/>
          <w:bCs/>
          <w:sz w:val="24"/>
        </w:rPr>
        <w:t>。</w:t>
      </w:r>
    </w:p>
    <w:p>
      <w:pPr>
        <w:ind w:left="480" w:hanging="480" w:hangingChars="200"/>
        <w:rPr>
          <w:rFonts w:ascii="宋体" w:hAnsi="宋体" w:cs="宋体"/>
          <w:kern w:val="0"/>
          <w:sz w:val="24"/>
          <w:szCs w:val="24"/>
        </w:rPr>
      </w:pPr>
      <w:r>
        <w:rPr>
          <w:rFonts w:hint="eastAsia" w:ascii="宋体" w:hAnsi="宋体" w:cs="宋体"/>
          <w:bCs/>
          <w:sz w:val="24"/>
        </w:rPr>
        <w:t>26.6</w:t>
      </w:r>
      <w:r>
        <w:rPr>
          <w:rFonts w:hint="eastAsia" w:ascii="宋体" w:hAnsi="宋体" w:cs="宋体"/>
          <w:kern w:val="0"/>
          <w:sz w:val="24"/>
          <w:szCs w:val="24"/>
        </w:rPr>
        <w:t>本项目将对小型和微型企业产品的价格给予6%的扣除，用扣除后的价格参与评审并计算商务得分。若投标人和小微企业产品/服务制造商均符合小微企业条件，并且提供了《中小企业声明函》及加盖单位公章的声明函附件（须说明投标人和产品制造商的从业人员、营业收入、资产总额等相关情况）的，则其评标价=投标人报价中属于小型和微型企业产品的价格部分×（100%-6%）+ 投标人报价中不属于小型和微型企业产品的价格部分；否则，其评标价=投标人报价。</w:t>
      </w:r>
    </w:p>
    <w:p>
      <w:pPr>
        <w:spacing w:line="400" w:lineRule="atLeast"/>
        <w:rPr>
          <w:rFonts w:ascii="宋体" w:hAnsi="宋体" w:cs="宋体"/>
          <w:sz w:val="24"/>
        </w:rPr>
      </w:pPr>
      <w:r>
        <w:rPr>
          <w:rFonts w:hint="eastAsia" w:ascii="宋体" w:hAnsi="宋体" w:cs="宋体"/>
          <w:sz w:val="24"/>
        </w:rPr>
        <w:t>27．磋商过程的保密性</w:t>
      </w:r>
    </w:p>
    <w:p>
      <w:pPr>
        <w:spacing w:line="400" w:lineRule="atLeast"/>
        <w:ind w:left="552" w:hanging="552" w:hangingChars="230"/>
        <w:rPr>
          <w:rFonts w:ascii="宋体" w:hAnsi="宋体" w:cs="宋体"/>
          <w:sz w:val="24"/>
        </w:rPr>
      </w:pPr>
      <w:r>
        <w:rPr>
          <w:rFonts w:hint="eastAsia" w:ascii="宋体" w:hAnsi="宋体" w:cs="宋体"/>
          <w:sz w:val="24"/>
        </w:rPr>
        <w:t>27.1 磋商后，直到授予合同为止，凡是属于审查、澄清、评价和比较的有关资料以及授予成交方的建议等磋商小组成员或参与磋商的有关工作人员均不得向供应商或其他无关的人员透露，违者给予警告、取消担任磋商小组成员的资格，不得再参加任何项目的磋商。</w:t>
      </w:r>
    </w:p>
    <w:p>
      <w:pPr>
        <w:spacing w:line="400" w:lineRule="atLeast"/>
        <w:ind w:left="552" w:hanging="552" w:hangingChars="230"/>
        <w:rPr>
          <w:rFonts w:ascii="宋体" w:hAnsi="宋体" w:cs="宋体"/>
          <w:sz w:val="24"/>
        </w:rPr>
      </w:pPr>
      <w:r>
        <w:rPr>
          <w:rFonts w:hint="eastAsia" w:ascii="宋体" w:hAnsi="宋体" w:cs="宋体"/>
          <w:sz w:val="24"/>
        </w:rPr>
        <w:t>27.2 供应商在磋商过程中，所进行的力图影响磋商结果的，不符合《政府采购法》及本次磋商中有关规定的活动，将被取消其磋商资格。</w:t>
      </w:r>
    </w:p>
    <w:p>
      <w:pPr>
        <w:pStyle w:val="4"/>
        <w:spacing w:before="100" w:beforeAutospacing="1" w:after="100" w:afterAutospacing="1" w:line="400" w:lineRule="atLeast"/>
        <w:jc w:val="center"/>
        <w:rPr>
          <w:rFonts w:ascii="宋体" w:hAnsi="宋体" w:eastAsia="宋体" w:cs="宋体"/>
          <w:sz w:val="28"/>
          <w:szCs w:val="28"/>
        </w:rPr>
      </w:pPr>
      <w:bookmarkStart w:id="39" w:name="_Toc468707223"/>
      <w:bookmarkStart w:id="40" w:name="_Toc267301287"/>
      <w:bookmarkStart w:id="41" w:name="_Toc298240410"/>
      <w:bookmarkStart w:id="42" w:name="_Toc349637925"/>
      <w:bookmarkStart w:id="43" w:name="_Toc349573126"/>
      <w:r>
        <w:rPr>
          <w:rFonts w:hint="eastAsia" w:ascii="宋体" w:hAnsi="宋体" w:eastAsia="宋体" w:cs="宋体"/>
          <w:sz w:val="28"/>
          <w:szCs w:val="28"/>
          <w:lang w:val="en-US" w:eastAsia="zh-CN"/>
        </w:rPr>
        <w:t>F</w:t>
      </w:r>
      <w:r>
        <w:rPr>
          <w:rFonts w:hint="eastAsia" w:ascii="宋体" w:hAnsi="宋体" w:eastAsia="宋体" w:cs="宋体"/>
          <w:sz w:val="28"/>
          <w:szCs w:val="28"/>
        </w:rPr>
        <w:t xml:space="preserve">  授予合同</w:t>
      </w:r>
      <w:bookmarkEnd w:id="39"/>
      <w:bookmarkEnd w:id="40"/>
      <w:bookmarkEnd w:id="41"/>
      <w:bookmarkEnd w:id="42"/>
      <w:bookmarkEnd w:id="43"/>
    </w:p>
    <w:p>
      <w:pPr>
        <w:spacing w:line="400" w:lineRule="atLeast"/>
        <w:rPr>
          <w:rFonts w:ascii="宋体" w:hAnsi="宋体" w:cs="宋体"/>
          <w:sz w:val="24"/>
        </w:rPr>
      </w:pPr>
      <w:r>
        <w:rPr>
          <w:rFonts w:hint="eastAsia" w:ascii="宋体" w:hAnsi="宋体" w:cs="宋体"/>
          <w:sz w:val="24"/>
        </w:rPr>
        <w:t>28．合同授予标准</w:t>
      </w:r>
    </w:p>
    <w:p>
      <w:pPr>
        <w:spacing w:line="400" w:lineRule="atLeast"/>
        <w:ind w:left="600" w:hanging="600" w:hangingChars="250"/>
        <w:rPr>
          <w:rFonts w:ascii="宋体" w:hAnsi="宋体" w:cs="宋体"/>
          <w:sz w:val="24"/>
        </w:rPr>
      </w:pPr>
      <w:r>
        <w:rPr>
          <w:rFonts w:hint="eastAsia" w:ascii="宋体" w:hAnsi="宋体" w:cs="宋体"/>
          <w:sz w:val="24"/>
        </w:rPr>
        <w:t>28.1</w:t>
      </w:r>
      <w:r>
        <w:rPr>
          <w:rFonts w:hint="eastAsia" w:ascii="宋体" w:hAnsi="宋体" w:cs="宋体"/>
          <w:bCs/>
          <w:sz w:val="24"/>
        </w:rPr>
        <w:t>合同将授予被确定为实质上响应磋商文件要求，符合采购需求、质量和服务相等且报价最低的供应商</w:t>
      </w:r>
      <w:r>
        <w:rPr>
          <w:rFonts w:hint="eastAsia" w:ascii="宋体" w:hAnsi="宋体" w:cs="宋体"/>
          <w:sz w:val="24"/>
        </w:rPr>
        <w:t>。</w:t>
      </w:r>
    </w:p>
    <w:p>
      <w:pPr>
        <w:spacing w:line="400" w:lineRule="atLeast"/>
        <w:rPr>
          <w:rFonts w:ascii="宋体" w:hAnsi="宋体" w:cs="宋体"/>
          <w:sz w:val="24"/>
        </w:rPr>
      </w:pPr>
      <w:r>
        <w:rPr>
          <w:rFonts w:hint="eastAsia" w:ascii="宋体" w:hAnsi="宋体" w:cs="宋体"/>
          <w:sz w:val="24"/>
        </w:rPr>
        <w:t>28.2 最低报价不一定是被授予合同的保证。</w:t>
      </w:r>
    </w:p>
    <w:p>
      <w:pPr>
        <w:spacing w:line="400" w:lineRule="atLeast"/>
        <w:ind w:left="600" w:hanging="600" w:hangingChars="250"/>
        <w:rPr>
          <w:rFonts w:ascii="宋体" w:hAnsi="宋体" w:cs="宋体"/>
          <w:sz w:val="24"/>
        </w:rPr>
      </w:pPr>
      <w:r>
        <w:rPr>
          <w:rFonts w:hint="eastAsia" w:ascii="宋体" w:hAnsi="宋体" w:cs="宋体"/>
          <w:sz w:val="24"/>
        </w:rPr>
        <w:t>28.3 如果确定该供应商无法圆满履行合同，招标代理机构将对下一个可能中标的供应商资格作出类似的审查。</w:t>
      </w:r>
    </w:p>
    <w:p>
      <w:pPr>
        <w:spacing w:line="400" w:lineRule="atLeast"/>
        <w:rPr>
          <w:rFonts w:ascii="宋体" w:hAnsi="宋体" w:cs="宋体"/>
          <w:sz w:val="24"/>
        </w:rPr>
      </w:pPr>
      <w:r>
        <w:rPr>
          <w:rFonts w:hint="eastAsia" w:ascii="宋体" w:hAnsi="宋体" w:cs="宋体"/>
          <w:sz w:val="24"/>
        </w:rPr>
        <w:t>29．接受和拒绝任何或所有磋商的权力</w:t>
      </w:r>
    </w:p>
    <w:p>
      <w:pPr>
        <w:spacing w:line="400" w:lineRule="atLeast"/>
        <w:ind w:left="600" w:hanging="600" w:hangingChars="250"/>
        <w:rPr>
          <w:rFonts w:ascii="宋体" w:hAnsi="宋体" w:cs="宋体"/>
          <w:sz w:val="24"/>
        </w:rPr>
      </w:pPr>
      <w:r>
        <w:rPr>
          <w:rFonts w:hint="eastAsia" w:ascii="宋体" w:hAnsi="宋体" w:cs="宋体"/>
          <w:sz w:val="24"/>
        </w:rPr>
        <w:t>29.1为维护国家利益，买方在授予合同之前仍有选择或拒绝任何全部磋商的权力，并对所采取的行为不作任何解释。</w:t>
      </w:r>
    </w:p>
    <w:p>
      <w:pPr>
        <w:spacing w:line="400" w:lineRule="atLeast"/>
        <w:rPr>
          <w:rFonts w:ascii="宋体" w:hAnsi="宋体" w:cs="宋体"/>
          <w:sz w:val="24"/>
        </w:rPr>
      </w:pPr>
      <w:r>
        <w:rPr>
          <w:rFonts w:hint="eastAsia" w:ascii="宋体" w:hAnsi="宋体" w:cs="宋体"/>
          <w:sz w:val="24"/>
        </w:rPr>
        <w:t>30．成交通知书</w:t>
      </w:r>
    </w:p>
    <w:p>
      <w:pPr>
        <w:spacing w:line="400" w:lineRule="atLeast"/>
        <w:ind w:left="552" w:hanging="552" w:hangingChars="230"/>
        <w:rPr>
          <w:rFonts w:ascii="宋体" w:hAnsi="宋体" w:cs="宋体"/>
          <w:sz w:val="24"/>
        </w:rPr>
      </w:pPr>
      <w:r>
        <w:rPr>
          <w:rFonts w:hint="eastAsia" w:ascii="宋体" w:hAnsi="宋体" w:cs="宋体"/>
          <w:sz w:val="24"/>
        </w:rPr>
        <w:t>30.1 成交公告期满后，招标代理机构将以书面形式发出《成交通知书》，但发出时间不超过磋商有效期，《成交通知书》一经发出即发生法律效力。</w:t>
      </w:r>
    </w:p>
    <w:p>
      <w:pPr>
        <w:spacing w:line="400" w:lineRule="atLeast"/>
        <w:rPr>
          <w:rFonts w:ascii="宋体" w:hAnsi="宋体" w:cs="宋体"/>
          <w:sz w:val="24"/>
        </w:rPr>
      </w:pPr>
      <w:r>
        <w:rPr>
          <w:rFonts w:hint="eastAsia" w:ascii="宋体" w:hAnsi="宋体" w:cs="宋体"/>
          <w:sz w:val="24"/>
        </w:rPr>
        <w:t>30.2 《成交通知书》将作为签订合同的依据。</w:t>
      </w:r>
    </w:p>
    <w:p>
      <w:pPr>
        <w:spacing w:line="400" w:lineRule="atLeast"/>
        <w:ind w:left="600" w:hanging="600" w:hangingChars="250"/>
        <w:rPr>
          <w:rFonts w:ascii="宋体" w:hAnsi="宋体" w:cs="宋体"/>
          <w:sz w:val="24"/>
        </w:rPr>
      </w:pPr>
      <w:r>
        <w:rPr>
          <w:rFonts w:hint="eastAsia" w:ascii="宋体" w:hAnsi="宋体" w:cs="宋体"/>
          <w:sz w:val="24"/>
        </w:rPr>
        <w:t>30.3 招标代理机构将在成交方按规定签订合同并提交履约保证金（如适用）后退还其磋商保证金。</w:t>
      </w:r>
    </w:p>
    <w:p>
      <w:pPr>
        <w:spacing w:line="400" w:lineRule="atLeast"/>
        <w:rPr>
          <w:rFonts w:ascii="宋体" w:hAnsi="宋体" w:cs="宋体"/>
          <w:sz w:val="24"/>
        </w:rPr>
      </w:pPr>
      <w:r>
        <w:rPr>
          <w:rFonts w:hint="eastAsia" w:ascii="宋体" w:hAnsi="宋体" w:cs="宋体"/>
          <w:sz w:val="24"/>
        </w:rPr>
        <w:t>31．签订合同</w:t>
      </w:r>
    </w:p>
    <w:p>
      <w:pPr>
        <w:spacing w:line="400" w:lineRule="atLeast"/>
        <w:ind w:left="540" w:hanging="540" w:hangingChars="225"/>
        <w:rPr>
          <w:rFonts w:ascii="宋体" w:hAnsi="宋体" w:cs="宋体"/>
          <w:sz w:val="24"/>
        </w:rPr>
      </w:pPr>
      <w:r>
        <w:rPr>
          <w:rFonts w:hint="eastAsia" w:ascii="宋体" w:hAnsi="宋体" w:cs="宋体"/>
          <w:sz w:val="24"/>
        </w:rPr>
        <w:t>31.1 供应商收到《成交通知书》后，按《成交通知书》中规定的时间地点与买方签订合同。买方和成交方不得再订立背离合同实质性内容的其他协议。</w:t>
      </w:r>
    </w:p>
    <w:p>
      <w:pPr>
        <w:spacing w:line="400" w:lineRule="atLeast"/>
        <w:rPr>
          <w:rFonts w:ascii="宋体" w:hAnsi="宋体" w:cs="宋体"/>
          <w:sz w:val="24"/>
        </w:rPr>
      </w:pPr>
      <w:r>
        <w:rPr>
          <w:rFonts w:hint="eastAsia" w:ascii="宋体" w:hAnsi="宋体" w:cs="宋体"/>
          <w:sz w:val="24"/>
        </w:rPr>
        <w:t>31.2如成交方拒签合同，则按违约处理。招标代理机构没收其磋商保证金。</w:t>
      </w:r>
    </w:p>
    <w:p>
      <w:pPr>
        <w:spacing w:line="400" w:lineRule="atLeast"/>
        <w:rPr>
          <w:rFonts w:ascii="宋体" w:hAnsi="宋体" w:cs="宋体"/>
          <w:sz w:val="24"/>
        </w:rPr>
      </w:pPr>
      <w:r>
        <w:rPr>
          <w:rFonts w:hint="eastAsia" w:ascii="宋体" w:hAnsi="宋体" w:cs="宋体"/>
          <w:sz w:val="24"/>
        </w:rPr>
        <w:t>31.3磋商文件、成交方的磋商响应文件及其澄清文件等，均为签订经济合同的依据。</w:t>
      </w:r>
    </w:p>
    <w:p>
      <w:pPr>
        <w:spacing w:line="400" w:lineRule="atLeast"/>
        <w:rPr>
          <w:rFonts w:ascii="宋体" w:hAnsi="宋体" w:cs="宋体"/>
          <w:sz w:val="24"/>
        </w:rPr>
      </w:pPr>
      <w:r>
        <w:rPr>
          <w:rFonts w:hint="eastAsia" w:ascii="宋体" w:hAnsi="宋体" w:cs="宋体"/>
          <w:sz w:val="24"/>
        </w:rPr>
        <w:t>32．履约保证金（如适用）</w:t>
      </w:r>
    </w:p>
    <w:p>
      <w:pPr>
        <w:spacing w:line="400" w:lineRule="atLeast"/>
        <w:ind w:left="720" w:hanging="720"/>
        <w:rPr>
          <w:rFonts w:ascii="宋体" w:hAnsi="宋体" w:cs="宋体"/>
          <w:sz w:val="24"/>
        </w:rPr>
      </w:pPr>
      <w:r>
        <w:rPr>
          <w:rFonts w:hint="eastAsia" w:ascii="宋体" w:hAnsi="宋体" w:cs="宋体"/>
          <w:sz w:val="24"/>
        </w:rPr>
        <w:t>32.1成交方应按合同规定的方式、时间和金额向买方提交履约保证金。</w:t>
      </w:r>
    </w:p>
    <w:p>
      <w:pPr>
        <w:spacing w:line="400" w:lineRule="atLeast"/>
        <w:rPr>
          <w:rFonts w:ascii="宋体" w:hAnsi="宋体" w:cs="宋体"/>
          <w:sz w:val="24"/>
        </w:rPr>
      </w:pPr>
      <w:r>
        <w:rPr>
          <w:rFonts w:hint="eastAsia" w:ascii="宋体" w:hAnsi="宋体" w:cs="宋体"/>
          <w:sz w:val="24"/>
        </w:rPr>
        <w:t>33．招标代理服务费</w:t>
      </w:r>
    </w:p>
    <w:p>
      <w:pPr>
        <w:pStyle w:val="19"/>
        <w:spacing w:line="400" w:lineRule="atLeast"/>
        <w:rPr>
          <w:rFonts w:hAnsi="宋体" w:cs="宋体"/>
          <w:sz w:val="24"/>
        </w:rPr>
      </w:pPr>
      <w:r>
        <w:rPr>
          <w:rFonts w:hint="eastAsia" w:hAnsi="宋体" w:cs="宋体"/>
          <w:sz w:val="24"/>
        </w:rPr>
        <w:t>33.1成交方须向招标代理机构按如下标准和期限交纳招标代理代理服务费：</w:t>
      </w:r>
    </w:p>
    <w:p>
      <w:pPr>
        <w:pStyle w:val="19"/>
        <w:adjustRightInd w:val="0"/>
        <w:spacing w:line="400" w:lineRule="atLeast"/>
        <w:ind w:left="720" w:hanging="720" w:hangingChars="300"/>
        <w:rPr>
          <w:rFonts w:hAnsi="宋体" w:cs="宋体"/>
          <w:sz w:val="24"/>
        </w:rPr>
      </w:pPr>
      <w:r>
        <w:rPr>
          <w:rFonts w:hint="eastAsia" w:hAnsi="宋体" w:cs="宋体"/>
          <w:bCs/>
          <w:sz w:val="24"/>
        </w:rPr>
        <w:t>33.1.1</w:t>
      </w:r>
      <w:r>
        <w:rPr>
          <w:rFonts w:hint="eastAsia" w:hAnsi="宋体" w:cs="宋体"/>
          <w:sz w:val="24"/>
          <w:szCs w:val="24"/>
        </w:rPr>
        <w:t>成交方须向华春建设工程项目管理有限责任公司支付</w:t>
      </w:r>
      <w:r>
        <w:rPr>
          <w:rFonts w:hint="eastAsia" w:hAnsi="宋体" w:cs="宋体"/>
          <w:sz w:val="24"/>
        </w:rPr>
        <w:t>招标代理服务费。</w:t>
      </w:r>
    </w:p>
    <w:p>
      <w:pPr>
        <w:pStyle w:val="19"/>
        <w:adjustRightInd w:val="0"/>
        <w:spacing w:line="400" w:lineRule="atLeast"/>
        <w:ind w:left="720" w:hanging="720" w:hangingChars="300"/>
        <w:rPr>
          <w:rFonts w:hint="eastAsia" w:hAnsi="宋体" w:cs="宋体"/>
          <w:bCs/>
          <w:sz w:val="24"/>
        </w:rPr>
      </w:pPr>
      <w:r>
        <w:rPr>
          <w:rFonts w:hint="eastAsia" w:hAnsi="宋体" w:cs="宋体"/>
          <w:bCs/>
          <w:sz w:val="24"/>
        </w:rPr>
        <w:t>33.1.2 在合同签订后一周内，成交方须按第33.1.1条规定的标准以网银或电汇的方式一次性向招标代理机构缴纳磋商代理服务费。</w:t>
      </w:r>
      <w:bookmarkStart w:id="44" w:name="_Toc267301288"/>
    </w:p>
    <w:p>
      <w:pPr>
        <w:pStyle w:val="19"/>
        <w:adjustRightInd w:val="0"/>
        <w:spacing w:line="400" w:lineRule="atLeast"/>
        <w:ind w:left="720" w:hanging="720" w:hangingChars="300"/>
        <w:rPr>
          <w:rFonts w:hint="eastAsia" w:hAnsi="宋体" w:cs="宋体"/>
          <w:bCs/>
          <w:sz w:val="24"/>
        </w:rPr>
      </w:pPr>
    </w:p>
    <w:p>
      <w:pPr>
        <w:rPr>
          <w:rFonts w:hint="eastAsia"/>
        </w:rPr>
      </w:pPr>
      <w:bookmarkStart w:id="45" w:name="_Toc468707224"/>
    </w:p>
    <w:p>
      <w:pPr>
        <w:pStyle w:val="3"/>
        <w:spacing w:line="400" w:lineRule="atLeast"/>
        <w:ind w:left="0" w:firstLine="0"/>
        <w:jc w:val="center"/>
        <w:rPr>
          <w:rFonts w:hint="eastAsia" w:ascii="宋体" w:hAnsi="宋体" w:cs="宋体"/>
          <w:sz w:val="32"/>
          <w:szCs w:val="32"/>
        </w:rPr>
      </w:pPr>
    </w:p>
    <w:p>
      <w:pPr>
        <w:pStyle w:val="3"/>
        <w:spacing w:line="400" w:lineRule="atLeast"/>
        <w:ind w:left="0" w:firstLine="0"/>
        <w:jc w:val="center"/>
        <w:rPr>
          <w:rFonts w:hint="eastAsia" w:ascii="宋体" w:hAnsi="宋体" w:cs="宋体"/>
          <w:sz w:val="32"/>
          <w:szCs w:val="32"/>
        </w:rPr>
      </w:pPr>
    </w:p>
    <w:p>
      <w:pPr>
        <w:rPr>
          <w:rFonts w:hint="eastAsia" w:ascii="宋体" w:hAnsi="宋体" w:cs="宋体"/>
          <w:sz w:val="32"/>
          <w:szCs w:val="32"/>
        </w:rPr>
      </w:pPr>
      <w:r>
        <w:rPr>
          <w:rFonts w:hint="eastAsia" w:ascii="宋体" w:hAnsi="宋体" w:cs="宋体"/>
          <w:sz w:val="32"/>
          <w:szCs w:val="32"/>
        </w:rPr>
        <w:br w:type="page"/>
      </w:r>
    </w:p>
    <w:p>
      <w:pPr>
        <w:pStyle w:val="3"/>
        <w:spacing w:line="400" w:lineRule="atLeast"/>
        <w:ind w:left="0" w:firstLine="0"/>
        <w:jc w:val="center"/>
        <w:rPr>
          <w:rFonts w:ascii="宋体" w:hAnsi="宋体" w:cs="宋体"/>
          <w:bCs/>
          <w:sz w:val="24"/>
        </w:rPr>
      </w:pPr>
      <w:r>
        <w:rPr>
          <w:rFonts w:hint="eastAsia" w:ascii="宋体" w:hAnsi="宋体" w:cs="宋体"/>
          <w:sz w:val="32"/>
          <w:szCs w:val="32"/>
        </w:rPr>
        <w:t>第三部分  合同</w:t>
      </w:r>
      <w:bookmarkStart w:id="46" w:name="_Toc455412769"/>
      <w:bookmarkStart w:id="47" w:name="_Toc381724073"/>
      <w:r>
        <w:rPr>
          <w:rFonts w:hint="eastAsia" w:ascii="宋体" w:hAnsi="宋体" w:cs="宋体"/>
          <w:sz w:val="32"/>
          <w:szCs w:val="32"/>
        </w:rPr>
        <w:t>范本</w:t>
      </w:r>
      <w:bookmarkEnd w:id="46"/>
      <w:bookmarkEnd w:id="47"/>
      <w:bookmarkStart w:id="48" w:name="_Hlt487972895"/>
      <w:bookmarkEnd w:id="48"/>
      <w:bookmarkStart w:id="49" w:name="_Toc487900382"/>
    </w:p>
    <w:p>
      <w:pPr>
        <w:pStyle w:val="29"/>
        <w:spacing w:before="75" w:beforeAutospacing="0" w:after="75" w:afterAutospacing="0"/>
        <w:jc w:val="center"/>
        <w:rPr>
          <w:rFonts w:hint="eastAsia" w:ascii="宋体" w:hAnsi="宋体" w:eastAsia="宋体" w:cs="宋体"/>
          <w:b/>
          <w:sz w:val="32"/>
          <w:szCs w:val="32"/>
          <w:lang w:eastAsia="zh-CN"/>
        </w:rPr>
      </w:pPr>
      <w:r>
        <w:rPr>
          <w:rFonts w:hint="eastAsia" w:ascii="宋体" w:hAnsi="宋体" w:eastAsia="宋体" w:cs="宋体"/>
          <w:b/>
          <w:sz w:val="32"/>
          <w:szCs w:val="32"/>
          <w:lang w:val="en-US" w:eastAsia="zh-CN"/>
        </w:rPr>
        <w:t>乌鲁木齐市水磨沟区第十二幼儿园幼儿园玩、教具设备采购项目</w:t>
      </w:r>
    </w:p>
    <w:p>
      <w:pPr>
        <w:pStyle w:val="29"/>
        <w:spacing w:before="75" w:beforeAutospacing="0" w:after="75" w:afterAutospacing="0"/>
        <w:jc w:val="center"/>
        <w:rPr>
          <w:rFonts w:ascii="宋体" w:hAnsi="宋体" w:eastAsia="宋体" w:cs="宋体"/>
          <w:b/>
          <w:sz w:val="32"/>
          <w:szCs w:val="32"/>
        </w:rPr>
      </w:pPr>
      <w:r>
        <w:rPr>
          <w:rFonts w:hint="eastAsia" w:ascii="宋体" w:hAnsi="宋体" w:eastAsia="宋体" w:cs="宋体"/>
          <w:b/>
          <w:sz w:val="32"/>
          <w:szCs w:val="32"/>
        </w:rPr>
        <w:t>合同</w:t>
      </w:r>
      <w:bookmarkEnd w:id="49"/>
    </w:p>
    <w:p>
      <w:pPr>
        <w:autoSpaceDE w:val="0"/>
        <w:autoSpaceDN w:val="0"/>
        <w:adjustRightInd w:val="0"/>
        <w:snapToGrid w:val="0"/>
        <w:spacing w:line="400" w:lineRule="exact"/>
        <w:ind w:firstLine="482" w:firstLineChars="200"/>
        <w:rPr>
          <w:rFonts w:ascii="宋体" w:hAnsi="宋体"/>
          <w:b/>
          <w:sz w:val="24"/>
          <w:szCs w:val="24"/>
          <w:lang w:val="zh-CN"/>
        </w:rPr>
      </w:pPr>
      <w:r>
        <w:rPr>
          <w:rFonts w:hint="eastAsia" w:ascii="宋体" w:hAnsi="宋体"/>
          <w:b/>
          <w:sz w:val="24"/>
          <w:szCs w:val="24"/>
          <w:lang w:val="zh-CN"/>
        </w:rPr>
        <w:t>一  说   明</w:t>
      </w:r>
    </w:p>
    <w:p>
      <w:pPr>
        <w:snapToGrid w:val="0"/>
        <w:spacing w:line="500" w:lineRule="exact"/>
        <w:ind w:firstLine="480" w:firstLineChars="200"/>
        <w:rPr>
          <w:rFonts w:ascii="宋体" w:hAnsi="宋体"/>
          <w:sz w:val="24"/>
          <w:szCs w:val="24"/>
          <w:lang w:val="zh-CN"/>
        </w:rPr>
      </w:pPr>
      <w:r>
        <w:rPr>
          <w:rFonts w:hint="eastAsia" w:ascii="宋体" w:hAnsi="宋体"/>
          <w:sz w:val="24"/>
          <w:szCs w:val="24"/>
          <w:lang w:val="zh-CN"/>
        </w:rPr>
        <w:t>1合同基本条款是指采购人（以下简称甲方）和成交人（以下简称乙方）应共同遵守的基本原则，并做为双方签约的依据。对于合同的其它条款，双方应本着互谅互让的精神，在谈判中协商解决。</w:t>
      </w:r>
    </w:p>
    <w:p>
      <w:pPr>
        <w:snapToGrid w:val="0"/>
        <w:spacing w:line="500" w:lineRule="exact"/>
        <w:ind w:firstLine="480" w:firstLineChars="200"/>
        <w:rPr>
          <w:rFonts w:ascii="宋体" w:hAnsi="宋体"/>
          <w:sz w:val="24"/>
          <w:szCs w:val="24"/>
        </w:rPr>
      </w:pPr>
      <w:r>
        <w:rPr>
          <w:rFonts w:hint="eastAsia" w:ascii="宋体" w:hAnsi="宋体"/>
          <w:sz w:val="24"/>
          <w:szCs w:val="24"/>
          <w:lang w:val="zh-CN"/>
        </w:rPr>
        <w:t>2制订《合同基本条款》的依据是:《中华人民共和国合同法》。</w:t>
      </w:r>
    </w:p>
    <w:p>
      <w:pPr>
        <w:snapToGrid w:val="0"/>
        <w:spacing w:line="500" w:lineRule="exact"/>
        <w:ind w:firstLine="480" w:firstLineChars="200"/>
        <w:rPr>
          <w:rFonts w:ascii="宋体" w:hAnsi="宋体"/>
          <w:sz w:val="24"/>
          <w:szCs w:val="24"/>
        </w:rPr>
      </w:pPr>
      <w:r>
        <w:rPr>
          <w:rFonts w:hint="eastAsia" w:ascii="宋体" w:hAnsi="宋体"/>
          <w:sz w:val="24"/>
          <w:szCs w:val="24"/>
        </w:rPr>
        <w:t>合同号：</w:t>
      </w:r>
    </w:p>
    <w:p>
      <w:pPr>
        <w:snapToGrid w:val="0"/>
        <w:spacing w:line="500" w:lineRule="exact"/>
        <w:ind w:firstLine="480" w:firstLineChars="200"/>
        <w:rPr>
          <w:rFonts w:ascii="宋体" w:hAnsi="宋体"/>
          <w:sz w:val="24"/>
          <w:szCs w:val="24"/>
          <w:u w:val="single"/>
        </w:rPr>
      </w:pPr>
      <w:r>
        <w:rPr>
          <w:rFonts w:hint="eastAsia" w:ascii="宋体" w:hAnsi="宋体"/>
          <w:sz w:val="24"/>
          <w:szCs w:val="24"/>
        </w:rPr>
        <w:t xml:space="preserve">甲方（采购单位）： </w:t>
      </w:r>
    </w:p>
    <w:p>
      <w:pPr>
        <w:snapToGrid w:val="0"/>
        <w:spacing w:line="500" w:lineRule="exact"/>
        <w:ind w:firstLine="480" w:firstLineChars="200"/>
        <w:rPr>
          <w:rFonts w:ascii="宋体" w:hAnsi="宋体"/>
          <w:sz w:val="24"/>
          <w:szCs w:val="24"/>
        </w:rPr>
      </w:pPr>
      <w:r>
        <w:rPr>
          <w:rFonts w:hint="eastAsia" w:ascii="宋体" w:hAnsi="宋体"/>
          <w:sz w:val="24"/>
          <w:szCs w:val="24"/>
        </w:rPr>
        <w:t>乙方（中标人）  ：</w:t>
      </w:r>
    </w:p>
    <w:p>
      <w:pPr>
        <w:snapToGrid w:val="0"/>
        <w:spacing w:line="500" w:lineRule="exact"/>
        <w:ind w:firstLine="480" w:firstLineChars="200"/>
        <w:rPr>
          <w:rFonts w:ascii="宋体" w:hAnsi="宋体"/>
          <w:sz w:val="24"/>
          <w:szCs w:val="24"/>
        </w:rPr>
      </w:pPr>
      <w:r>
        <w:rPr>
          <w:rFonts w:hint="eastAsia" w:ascii="宋体" w:hAnsi="宋体"/>
          <w:sz w:val="24"/>
          <w:szCs w:val="24"/>
        </w:rPr>
        <w:t xml:space="preserve">甲乙双方根据   </w:t>
      </w:r>
      <w:r>
        <w:rPr>
          <w:rFonts w:ascii="宋体" w:hAnsi="宋体"/>
          <w:sz w:val="24"/>
          <w:szCs w:val="24"/>
        </w:rPr>
        <w:t>年</w:t>
      </w:r>
      <w:r>
        <w:rPr>
          <w:rFonts w:hint="eastAsia" w:ascii="宋体" w:hAnsi="宋体"/>
          <w:sz w:val="24"/>
          <w:szCs w:val="24"/>
        </w:rPr>
        <w:t xml:space="preserve"> </w:t>
      </w:r>
      <w:r>
        <w:rPr>
          <w:rFonts w:ascii="宋体" w:hAnsi="宋体"/>
          <w:sz w:val="24"/>
          <w:szCs w:val="24"/>
        </w:rPr>
        <w:t xml:space="preserve"> 月  </w:t>
      </w:r>
      <w:r>
        <w:rPr>
          <w:rFonts w:hint="eastAsia" w:ascii="宋体" w:hAnsi="宋体"/>
          <w:sz w:val="24"/>
          <w:szCs w:val="24"/>
        </w:rPr>
        <w:t>日</w:t>
      </w:r>
      <w:r>
        <w:rPr>
          <w:rFonts w:hint="eastAsia" w:ascii="宋体" w:hAnsi="宋体"/>
          <w:bCs/>
          <w:sz w:val="24"/>
          <w:szCs w:val="24"/>
          <w:u w:val="single"/>
        </w:rPr>
        <w:t xml:space="preserve">           </w:t>
      </w:r>
      <w:r>
        <w:rPr>
          <w:rFonts w:hint="eastAsia" w:ascii="宋体" w:hAnsi="宋体"/>
          <w:sz w:val="24"/>
          <w:szCs w:val="24"/>
        </w:rPr>
        <w:t>所签发的《中标通知书》（编号：   ），以及招标文件、投标文件的规定，并经双方协商一致，达成本购销合同（中标通知书、招标文件、投标文件以及甲、乙双方商定确认后的补充协议构成本合同不可分割的部份）：</w:t>
      </w:r>
    </w:p>
    <w:p>
      <w:pPr>
        <w:snapToGrid w:val="0"/>
        <w:spacing w:line="500" w:lineRule="exact"/>
        <w:rPr>
          <w:rFonts w:ascii="宋体" w:hAnsi="宋体"/>
          <w:sz w:val="24"/>
          <w:szCs w:val="24"/>
        </w:rPr>
      </w:pPr>
      <w:r>
        <w:rPr>
          <w:rFonts w:hint="eastAsia" w:ascii="宋体" w:hAnsi="宋体"/>
          <w:b/>
          <w:sz w:val="24"/>
          <w:szCs w:val="24"/>
        </w:rPr>
        <w:t>二、采购内容</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8"/>
        <w:gridCol w:w="1359"/>
        <w:gridCol w:w="1476"/>
        <w:gridCol w:w="2835"/>
        <w:gridCol w:w="1359"/>
        <w:gridCol w:w="1155"/>
        <w:gridCol w:w="11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868"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r>
              <w:rPr>
                <w:rFonts w:hint="eastAsia" w:ascii="宋体" w:hAnsi="宋体"/>
                <w:sz w:val="24"/>
                <w:szCs w:val="24"/>
              </w:rPr>
              <w:t>序号</w:t>
            </w: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r>
              <w:rPr>
                <w:rFonts w:hint="eastAsia" w:ascii="宋体" w:hAnsi="宋体"/>
                <w:sz w:val="24"/>
                <w:szCs w:val="24"/>
              </w:rPr>
              <w:t>设备名称</w:t>
            </w:r>
          </w:p>
        </w:tc>
        <w:tc>
          <w:tcPr>
            <w:tcW w:w="1476"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r>
              <w:rPr>
                <w:rFonts w:hint="eastAsia" w:ascii="宋体" w:hAnsi="宋体"/>
                <w:sz w:val="24"/>
                <w:szCs w:val="24"/>
              </w:rPr>
              <w:t>厂家、型号</w:t>
            </w:r>
          </w:p>
        </w:tc>
        <w:tc>
          <w:tcPr>
            <w:tcW w:w="2835"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r>
              <w:rPr>
                <w:rFonts w:hint="eastAsia" w:ascii="宋体" w:hAnsi="宋体"/>
                <w:sz w:val="24"/>
                <w:szCs w:val="24"/>
              </w:rPr>
              <w:t>技术参数</w:t>
            </w: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r>
              <w:rPr>
                <w:rFonts w:hint="eastAsia" w:ascii="宋体" w:hAnsi="宋体"/>
                <w:sz w:val="24"/>
                <w:szCs w:val="24"/>
              </w:rPr>
              <w:t>数量</w:t>
            </w:r>
          </w:p>
        </w:tc>
        <w:tc>
          <w:tcPr>
            <w:tcW w:w="1155"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r>
              <w:rPr>
                <w:rFonts w:hint="eastAsia" w:ascii="宋体" w:hAnsi="宋体"/>
                <w:sz w:val="24"/>
                <w:szCs w:val="24"/>
              </w:rPr>
              <w:t>单价</w:t>
            </w:r>
          </w:p>
        </w:tc>
        <w:tc>
          <w:tcPr>
            <w:tcW w:w="1185"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r>
              <w:rPr>
                <w:rFonts w:hint="eastAsia" w:ascii="宋体" w:hAnsi="宋体"/>
                <w:sz w:val="24"/>
                <w:szCs w:val="24"/>
              </w:rPr>
              <w:t>合价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68"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476"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2835"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szCs w:val="24"/>
              </w:rPr>
            </w:pP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155"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szCs w:val="24"/>
              </w:rPr>
            </w:pPr>
          </w:p>
        </w:tc>
        <w:tc>
          <w:tcPr>
            <w:tcW w:w="1185"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68"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476"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2835"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szCs w:val="24"/>
              </w:rPr>
            </w:pP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155"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szCs w:val="24"/>
              </w:rPr>
            </w:pPr>
          </w:p>
        </w:tc>
        <w:tc>
          <w:tcPr>
            <w:tcW w:w="1185"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68"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476"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2835"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szCs w:val="24"/>
              </w:rPr>
            </w:pP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155"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szCs w:val="24"/>
              </w:rPr>
            </w:pPr>
          </w:p>
        </w:tc>
        <w:tc>
          <w:tcPr>
            <w:tcW w:w="1185"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0" w:hRule="atLeast"/>
          <w:jc w:val="center"/>
        </w:trPr>
        <w:tc>
          <w:tcPr>
            <w:tcW w:w="868"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476"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2835"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szCs w:val="24"/>
              </w:rPr>
            </w:pPr>
          </w:p>
        </w:tc>
        <w:tc>
          <w:tcPr>
            <w:tcW w:w="1359"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c>
          <w:tcPr>
            <w:tcW w:w="1155" w:type="dxa"/>
            <w:tcBorders>
              <w:top w:val="single" w:color="auto" w:sz="4" w:space="0"/>
              <w:left w:val="single" w:color="auto" w:sz="4" w:space="0"/>
              <w:bottom w:val="single" w:color="auto" w:sz="4" w:space="0"/>
              <w:right w:val="single" w:color="auto" w:sz="4" w:space="0"/>
            </w:tcBorders>
          </w:tcPr>
          <w:p>
            <w:pPr>
              <w:spacing w:line="500" w:lineRule="exact"/>
              <w:rPr>
                <w:rFonts w:ascii="宋体" w:hAnsi="宋体"/>
                <w:sz w:val="24"/>
                <w:szCs w:val="24"/>
              </w:rPr>
            </w:pPr>
          </w:p>
        </w:tc>
        <w:tc>
          <w:tcPr>
            <w:tcW w:w="1185" w:type="dxa"/>
            <w:tcBorders>
              <w:top w:val="single" w:color="auto" w:sz="4" w:space="0"/>
              <w:left w:val="single" w:color="auto" w:sz="4" w:space="0"/>
              <w:bottom w:val="single" w:color="auto" w:sz="4" w:space="0"/>
              <w:right w:val="single" w:color="auto" w:sz="4" w:space="0"/>
            </w:tcBorders>
          </w:tcPr>
          <w:p>
            <w:pPr>
              <w:spacing w:line="500" w:lineRule="exact"/>
              <w:jc w:val="center"/>
              <w:rPr>
                <w:rFonts w:ascii="宋体" w:hAnsi="宋体"/>
                <w:sz w:val="24"/>
                <w:szCs w:val="24"/>
              </w:rPr>
            </w:pPr>
          </w:p>
        </w:tc>
      </w:tr>
    </w:tbl>
    <w:p>
      <w:pPr>
        <w:snapToGrid w:val="0"/>
        <w:spacing w:line="500" w:lineRule="exact"/>
        <w:ind w:firstLine="480" w:firstLineChars="200"/>
        <w:rPr>
          <w:rFonts w:ascii="宋体" w:hAnsi="宋体"/>
          <w:sz w:val="24"/>
          <w:szCs w:val="24"/>
        </w:rPr>
      </w:pPr>
    </w:p>
    <w:p>
      <w:pPr>
        <w:snapToGrid w:val="0"/>
        <w:spacing w:line="500" w:lineRule="exact"/>
        <w:ind w:firstLine="480" w:firstLineChars="200"/>
        <w:rPr>
          <w:rFonts w:ascii="宋体" w:hAnsi="宋体"/>
          <w:sz w:val="24"/>
          <w:szCs w:val="24"/>
        </w:rPr>
      </w:pPr>
      <w:r>
        <w:rPr>
          <w:rFonts w:hint="eastAsia" w:ascii="宋体" w:hAnsi="宋体"/>
          <w:sz w:val="24"/>
          <w:szCs w:val="24"/>
        </w:rPr>
        <w:t>本合同的采购总金额为（大写）</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w:t>
      </w:r>
      <w:r>
        <w:rPr>
          <w:rFonts w:hint="eastAsia" w:ascii="宋体" w:hAnsi="宋体"/>
          <w:sz w:val="24"/>
          <w:szCs w:val="24"/>
          <w:u w:val="single"/>
        </w:rPr>
        <w:t>）人民</w:t>
      </w:r>
      <w:r>
        <w:rPr>
          <w:rFonts w:hint="eastAsia" w:ascii="宋体" w:hAnsi="宋体"/>
          <w:sz w:val="24"/>
          <w:szCs w:val="24"/>
        </w:rPr>
        <w:t>币，该价格为交货含税价。</w:t>
      </w:r>
    </w:p>
    <w:p>
      <w:pPr>
        <w:pStyle w:val="13"/>
        <w:rPr>
          <w:rFonts w:ascii="宋体" w:hAnsi="宋体"/>
          <w:b/>
          <w:szCs w:val="24"/>
        </w:rPr>
      </w:pPr>
      <w:r>
        <w:rPr>
          <w:rFonts w:hint="eastAsia" w:ascii="宋体" w:hAnsi="宋体"/>
          <w:b/>
          <w:szCs w:val="24"/>
        </w:rPr>
        <w:t>三、货物条款</w:t>
      </w:r>
    </w:p>
    <w:p>
      <w:pPr>
        <w:pStyle w:val="13"/>
        <w:ind w:firstLine="480" w:firstLineChars="200"/>
      </w:pPr>
      <w:r>
        <w:rPr>
          <w:rFonts w:hint="eastAsia"/>
        </w:rPr>
        <w:t>1甲、乙双方应将招标文件、投标文件及评标委员会确认的货物名称、规格型号、技术要求、质量标准、数量、交货日期和售后服务等内容作为本条款的基础。</w:t>
      </w:r>
    </w:p>
    <w:p>
      <w:pPr>
        <w:autoSpaceDE w:val="0"/>
        <w:autoSpaceDN w:val="0"/>
        <w:adjustRightInd w:val="0"/>
        <w:snapToGrid w:val="0"/>
        <w:spacing w:line="400" w:lineRule="exact"/>
        <w:rPr>
          <w:rFonts w:hint="eastAsia" w:ascii="宋体" w:hAnsi="宋体" w:eastAsia="宋体" w:cs="Times New Roman"/>
          <w:b/>
          <w:kern w:val="2"/>
          <w:sz w:val="24"/>
          <w:szCs w:val="24"/>
          <w:lang w:val="zh-CN" w:eastAsia="zh-CN" w:bidi="ar-SA"/>
        </w:rPr>
      </w:pPr>
      <w:r>
        <w:rPr>
          <w:rFonts w:hint="eastAsia" w:ascii="宋体" w:hAnsi="宋体" w:eastAsia="宋体" w:cs="Times New Roman"/>
          <w:b/>
          <w:kern w:val="2"/>
          <w:sz w:val="24"/>
          <w:szCs w:val="24"/>
          <w:lang w:val="zh-CN" w:eastAsia="zh-CN" w:bidi="ar-SA"/>
        </w:rPr>
        <w:t>四、技术资料</w:t>
      </w:r>
    </w:p>
    <w:p>
      <w:pPr>
        <w:snapToGrid w:val="0"/>
        <w:spacing w:line="500" w:lineRule="exact"/>
        <w:ind w:firstLine="460" w:firstLineChars="192"/>
        <w:rPr>
          <w:rFonts w:ascii="宋体" w:hAnsi="宋体"/>
          <w:bCs/>
          <w:color w:val="000000"/>
          <w:sz w:val="24"/>
          <w:szCs w:val="24"/>
          <w:lang w:val="zh-CN"/>
        </w:rPr>
      </w:pPr>
      <w:r>
        <w:rPr>
          <w:rFonts w:hint="eastAsia" w:ascii="宋体" w:hAnsi="宋体"/>
          <w:bCs/>
          <w:color w:val="000000"/>
          <w:sz w:val="24"/>
          <w:szCs w:val="24"/>
          <w:lang w:val="zh-CN"/>
        </w:rPr>
        <w:t>1甲方向乙方提供所采购货物等有关技术资料。</w:t>
      </w:r>
    </w:p>
    <w:p>
      <w:pPr>
        <w:snapToGrid w:val="0"/>
        <w:spacing w:line="500" w:lineRule="exact"/>
        <w:ind w:firstLine="460" w:firstLineChars="192"/>
        <w:rPr>
          <w:rFonts w:ascii="宋体" w:hAnsi="宋体"/>
          <w:bCs/>
          <w:color w:val="000000"/>
          <w:sz w:val="24"/>
          <w:szCs w:val="24"/>
        </w:rPr>
      </w:pPr>
      <w:r>
        <w:rPr>
          <w:rFonts w:hint="eastAsia" w:ascii="宋体" w:hAnsi="宋体"/>
          <w:bCs/>
          <w:color w:val="000000"/>
          <w:sz w:val="24"/>
          <w:szCs w:val="24"/>
          <w:lang w:val="zh-CN"/>
        </w:rPr>
        <w:t>2乙方应按招标文件规定的时间向甲方提供使用货物的有关技术资料。</w:t>
      </w:r>
    </w:p>
    <w:p>
      <w:pPr>
        <w:snapToGrid w:val="0"/>
        <w:spacing w:line="500" w:lineRule="exact"/>
        <w:rPr>
          <w:rFonts w:ascii="宋体" w:hAnsi="宋体"/>
          <w:b/>
          <w:sz w:val="24"/>
          <w:szCs w:val="24"/>
        </w:rPr>
      </w:pPr>
      <w:r>
        <w:rPr>
          <w:rFonts w:hint="eastAsia" w:ascii="宋体" w:hAnsi="宋体"/>
          <w:b/>
          <w:sz w:val="24"/>
          <w:szCs w:val="24"/>
        </w:rPr>
        <w:t>五、质量要求和售后服务</w:t>
      </w:r>
    </w:p>
    <w:p>
      <w:pPr>
        <w:snapToGrid w:val="0"/>
        <w:spacing w:line="500" w:lineRule="exact"/>
        <w:ind w:firstLine="460" w:firstLineChars="192"/>
        <w:rPr>
          <w:rFonts w:ascii="宋体" w:hAnsi="宋体"/>
          <w:bCs/>
          <w:color w:val="000000"/>
          <w:sz w:val="24"/>
          <w:szCs w:val="24"/>
        </w:rPr>
      </w:pPr>
      <w:r>
        <w:rPr>
          <w:rFonts w:hint="eastAsia" w:ascii="宋体" w:hAnsi="宋体"/>
          <w:bCs/>
          <w:color w:val="000000"/>
          <w:sz w:val="24"/>
          <w:szCs w:val="24"/>
        </w:rPr>
        <w:t>1乙方应按采购文件规定的技术要求、质量标准向甲方提供服务。</w:t>
      </w:r>
    </w:p>
    <w:p>
      <w:pPr>
        <w:snapToGrid w:val="0"/>
        <w:spacing w:line="500" w:lineRule="exact"/>
        <w:ind w:firstLine="460" w:firstLineChars="192"/>
        <w:rPr>
          <w:rFonts w:ascii="宋体" w:hAnsi="宋体"/>
          <w:bCs/>
          <w:color w:val="000000"/>
          <w:sz w:val="24"/>
          <w:szCs w:val="24"/>
        </w:rPr>
      </w:pPr>
      <w:r>
        <w:rPr>
          <w:rFonts w:hint="eastAsia" w:ascii="宋体" w:hAnsi="宋体"/>
          <w:bCs/>
          <w:color w:val="000000"/>
          <w:sz w:val="24"/>
          <w:szCs w:val="24"/>
        </w:rPr>
        <w:t>2乙方货物发生质量问题，乙方应负责免费送货上门、免费更换。对达不到质量要求或技术参数要求者，根据实际情况，经双方协商，可按以下办法处理:</w:t>
      </w:r>
    </w:p>
    <w:p>
      <w:pPr>
        <w:snapToGrid w:val="0"/>
        <w:spacing w:line="500" w:lineRule="exact"/>
        <w:ind w:firstLine="460" w:firstLineChars="192"/>
        <w:rPr>
          <w:rFonts w:ascii="宋体" w:hAnsi="宋体"/>
          <w:bCs/>
          <w:color w:val="000000"/>
          <w:sz w:val="24"/>
          <w:szCs w:val="24"/>
        </w:rPr>
      </w:pPr>
      <w:r>
        <w:rPr>
          <w:rFonts w:hint="eastAsia" w:ascii="宋体" w:hAnsi="宋体"/>
          <w:bCs/>
          <w:color w:val="000000"/>
          <w:sz w:val="24"/>
          <w:szCs w:val="24"/>
        </w:rPr>
        <w:t>⑴更换:由乙方承担所发生的全部费用。</w:t>
      </w:r>
    </w:p>
    <w:p>
      <w:pPr>
        <w:snapToGrid w:val="0"/>
        <w:spacing w:line="500" w:lineRule="exact"/>
        <w:ind w:firstLine="460" w:firstLineChars="192"/>
        <w:rPr>
          <w:rFonts w:ascii="宋体" w:hAnsi="宋体"/>
          <w:bCs/>
          <w:color w:val="000000"/>
          <w:sz w:val="24"/>
          <w:szCs w:val="24"/>
        </w:rPr>
      </w:pPr>
      <w:r>
        <w:rPr>
          <w:rFonts w:hint="eastAsia" w:ascii="宋体" w:hAnsi="宋体"/>
          <w:bCs/>
          <w:color w:val="000000"/>
          <w:sz w:val="24"/>
          <w:szCs w:val="24"/>
        </w:rPr>
        <w:t>⑵贬值处理:由甲方定价。</w:t>
      </w:r>
    </w:p>
    <w:p>
      <w:pPr>
        <w:snapToGrid w:val="0"/>
        <w:spacing w:line="500" w:lineRule="exact"/>
        <w:ind w:firstLine="460" w:firstLineChars="192"/>
        <w:rPr>
          <w:rFonts w:ascii="宋体" w:hAnsi="宋体"/>
          <w:bCs/>
          <w:color w:val="000000"/>
          <w:sz w:val="24"/>
          <w:szCs w:val="24"/>
        </w:rPr>
      </w:pPr>
      <w:r>
        <w:rPr>
          <w:rFonts w:hint="eastAsia" w:ascii="宋体" w:hAnsi="宋体"/>
          <w:bCs/>
          <w:color w:val="000000"/>
          <w:sz w:val="24"/>
          <w:szCs w:val="24"/>
        </w:rPr>
        <w:t>⑶退货处理:乙方应退还甲方支付的货物款，同时应承担该货物的直接费用(运输、保险、检验、货款利息及银行手续费等)。</w:t>
      </w:r>
    </w:p>
    <w:p>
      <w:pPr>
        <w:snapToGrid w:val="0"/>
        <w:spacing w:line="500" w:lineRule="exact"/>
        <w:ind w:firstLine="460" w:firstLineChars="192"/>
        <w:rPr>
          <w:rFonts w:ascii="宋体" w:hAnsi="宋体"/>
          <w:bCs/>
          <w:color w:val="000000"/>
          <w:sz w:val="24"/>
          <w:szCs w:val="24"/>
        </w:rPr>
      </w:pPr>
      <w:r>
        <w:rPr>
          <w:rFonts w:hint="eastAsia" w:ascii="宋体" w:hAnsi="宋体"/>
          <w:bCs/>
          <w:color w:val="000000"/>
          <w:sz w:val="24"/>
          <w:szCs w:val="24"/>
        </w:rPr>
        <w:t>3必须提供所投产品维护期为12个月的免费上门服务及技术支持。维护期从验收合格之日算起（含当日）；在维护期内，如果产品发生故障，乙方要调查故障原因并免费修复直至满足产品性能的要求，或者免费更换整机或部分有缺陷的组件和材料。如产品经过维修更换部件，则该部件以维修后正常工作之日起（以维修记录日期为准）重新计算；</w:t>
      </w:r>
    </w:p>
    <w:p>
      <w:pPr>
        <w:snapToGrid w:val="0"/>
        <w:spacing w:line="500" w:lineRule="exact"/>
        <w:ind w:firstLine="460" w:firstLineChars="192"/>
        <w:rPr>
          <w:rFonts w:ascii="宋体" w:hAnsi="宋体"/>
          <w:bCs/>
          <w:color w:val="000000"/>
          <w:sz w:val="24"/>
          <w:szCs w:val="24"/>
          <w:highlight w:val="yellow"/>
        </w:rPr>
      </w:pPr>
      <w:r>
        <w:rPr>
          <w:rFonts w:hint="eastAsia" w:ascii="宋体" w:hAnsi="宋体"/>
          <w:bCs/>
          <w:color w:val="000000"/>
          <w:sz w:val="24"/>
          <w:szCs w:val="24"/>
        </w:rPr>
        <w:t>4在维护期内设备运行发生故障时，卖方在接到买方故障通知后4小时内应答，24小时内委派专业技术人员到现场免费提供咨询、维修和更换零部件等服务，并及时填写维修报告（包括故障原因、处理情况及用户意见等）报用户备案，若72小时内无法排除故障，则应先提供同档次备用机供买方使用。其中发生一切费用由卖方承担。质量保证期内卖方有责任对设备进行不定期的巡查检修。投标人视自身能力在投标文件中提供更优、更合理的维修服务承诺。提供甲方培训服务，至采购人完全学会操作止。</w:t>
      </w:r>
    </w:p>
    <w:p>
      <w:pPr>
        <w:snapToGrid w:val="0"/>
        <w:spacing w:line="500" w:lineRule="exact"/>
        <w:rPr>
          <w:rFonts w:ascii="宋体" w:hAnsi="宋体"/>
          <w:b/>
          <w:color w:val="000000"/>
          <w:sz w:val="24"/>
          <w:szCs w:val="24"/>
        </w:rPr>
      </w:pPr>
      <w:r>
        <w:rPr>
          <w:rFonts w:hint="eastAsia" w:ascii="宋体" w:hAnsi="宋体"/>
          <w:b/>
          <w:color w:val="000000"/>
          <w:sz w:val="24"/>
          <w:szCs w:val="24"/>
        </w:rPr>
        <w:t>六、设备的包装、发运及运输</w:t>
      </w:r>
    </w:p>
    <w:p>
      <w:pPr>
        <w:snapToGrid w:val="0"/>
        <w:spacing w:line="500" w:lineRule="exact"/>
        <w:ind w:left="1"/>
        <w:rPr>
          <w:rFonts w:ascii="宋体" w:hAnsi="宋体"/>
          <w:sz w:val="24"/>
          <w:szCs w:val="24"/>
        </w:rPr>
      </w:pPr>
      <w:r>
        <w:rPr>
          <w:rFonts w:ascii="宋体" w:hAnsi="宋体"/>
          <w:sz w:val="24"/>
          <w:szCs w:val="24"/>
        </w:rPr>
        <w:t xml:space="preserve">    l、乙方应在设备发运前对其进行满足于运输距离、防潮、防震、防锈和防破损装卸要求的包装，以保证货物安全运输到达甲方指定地点。</w:t>
      </w:r>
    </w:p>
    <w:p>
      <w:pPr>
        <w:snapToGrid w:val="0"/>
        <w:spacing w:line="500" w:lineRule="exact"/>
        <w:ind w:firstLine="480"/>
        <w:rPr>
          <w:rFonts w:ascii="宋体" w:hAnsi="宋体"/>
          <w:sz w:val="24"/>
          <w:szCs w:val="24"/>
        </w:rPr>
      </w:pPr>
      <w:r>
        <w:rPr>
          <w:rFonts w:ascii="宋体" w:hAnsi="宋体"/>
          <w:sz w:val="24"/>
          <w:szCs w:val="24"/>
        </w:rPr>
        <w:t>2、使用说明书、质量检验证明书、随配附件和工具以及清单一并附于设备内。</w:t>
      </w:r>
    </w:p>
    <w:p>
      <w:pPr>
        <w:snapToGrid w:val="0"/>
        <w:spacing w:line="500" w:lineRule="exact"/>
        <w:rPr>
          <w:rFonts w:ascii="宋体" w:hAnsi="宋体"/>
          <w:sz w:val="24"/>
          <w:szCs w:val="24"/>
        </w:rPr>
      </w:pPr>
      <w:r>
        <w:rPr>
          <w:rFonts w:ascii="宋体" w:hAnsi="宋体"/>
          <w:sz w:val="24"/>
          <w:szCs w:val="24"/>
        </w:rPr>
        <w:t xml:space="preserve">    3、乙方负责将设备安全送到甲方指定交货地点，不另收任何费用。</w:t>
      </w:r>
    </w:p>
    <w:p>
      <w:pPr>
        <w:snapToGrid w:val="0"/>
        <w:spacing w:line="500" w:lineRule="exact"/>
        <w:ind w:firstLine="480"/>
        <w:rPr>
          <w:rFonts w:ascii="宋体" w:hAnsi="宋体"/>
          <w:sz w:val="24"/>
          <w:szCs w:val="24"/>
        </w:rPr>
      </w:pPr>
      <w:r>
        <w:rPr>
          <w:rFonts w:ascii="宋体" w:hAnsi="宋体"/>
          <w:sz w:val="24"/>
          <w:szCs w:val="24"/>
        </w:rPr>
        <w:t>4、设备在交货前发生的不可预见的风险均由乙方负责。</w:t>
      </w:r>
    </w:p>
    <w:p>
      <w:pPr>
        <w:snapToGrid w:val="0"/>
        <w:spacing w:line="500" w:lineRule="exact"/>
        <w:ind w:firstLine="480"/>
        <w:rPr>
          <w:rFonts w:ascii="宋体" w:hAnsi="宋体"/>
          <w:color w:val="000000"/>
          <w:sz w:val="24"/>
          <w:szCs w:val="24"/>
        </w:rPr>
      </w:pPr>
      <w:r>
        <w:rPr>
          <w:rFonts w:ascii="宋体" w:hAnsi="宋体"/>
          <w:color w:val="000000"/>
          <w:sz w:val="24"/>
          <w:szCs w:val="24"/>
        </w:rPr>
        <w:t>5、设备在发运手续办理完毕后24小时内或货到甲方前48小时通知甲方，以准备接货。</w:t>
      </w:r>
    </w:p>
    <w:p>
      <w:pPr>
        <w:snapToGrid w:val="0"/>
        <w:spacing w:line="500" w:lineRule="exact"/>
        <w:ind w:left="479" w:leftChars="228"/>
        <w:rPr>
          <w:rFonts w:ascii="宋体" w:hAnsi="宋体"/>
          <w:color w:val="000000"/>
          <w:sz w:val="24"/>
          <w:szCs w:val="24"/>
        </w:rPr>
      </w:pPr>
      <w:r>
        <w:rPr>
          <w:rFonts w:hint="eastAsia" w:ascii="宋体" w:hAnsi="宋体"/>
          <w:color w:val="000000"/>
          <w:sz w:val="24"/>
          <w:szCs w:val="24"/>
        </w:rPr>
        <w:t>6、设备到场后由供应商负责所有设备的安装调试费用（包含所需材料）。                                                                                                                       7、厂家现场免费提供安装和操作培训。新疆境内设有办事处，维修工程师不得少于3名。（提供工程师维修资质证明）</w:t>
      </w:r>
    </w:p>
    <w:p>
      <w:pPr>
        <w:snapToGrid w:val="0"/>
        <w:spacing w:line="500" w:lineRule="exact"/>
        <w:rPr>
          <w:rFonts w:ascii="宋体" w:hAnsi="宋体"/>
          <w:b/>
          <w:sz w:val="24"/>
          <w:szCs w:val="24"/>
        </w:rPr>
      </w:pPr>
      <w:r>
        <w:rPr>
          <w:rFonts w:hint="eastAsia" w:ascii="宋体" w:hAnsi="宋体"/>
          <w:b/>
          <w:sz w:val="24"/>
          <w:szCs w:val="24"/>
        </w:rPr>
        <w:t>七、验收</w:t>
      </w:r>
    </w:p>
    <w:p>
      <w:pPr>
        <w:tabs>
          <w:tab w:val="left" w:pos="840"/>
        </w:tabs>
        <w:snapToGrid w:val="0"/>
        <w:spacing w:line="500" w:lineRule="exact"/>
        <w:ind w:firstLine="480"/>
        <w:rPr>
          <w:rFonts w:ascii="宋体" w:hAnsi="宋体"/>
          <w:sz w:val="24"/>
          <w:szCs w:val="24"/>
        </w:rPr>
      </w:pPr>
      <w:r>
        <w:rPr>
          <w:rFonts w:ascii="宋体" w:hAnsi="宋体"/>
          <w:sz w:val="24"/>
          <w:szCs w:val="24"/>
        </w:rPr>
        <w:t>1</w:t>
      </w:r>
      <w:r>
        <w:rPr>
          <w:rFonts w:hint="eastAsia" w:ascii="宋体" w:hAnsi="宋体"/>
          <w:sz w:val="24"/>
          <w:szCs w:val="24"/>
        </w:rPr>
        <w:t>、甲方对乙方所交设备依照国家有关技术标准进行现场验收；须安装的，由乙方现场验收，性能达到技术要求的，给予签收，验收不合格的不予签收。</w:t>
      </w:r>
    </w:p>
    <w:p>
      <w:pPr>
        <w:tabs>
          <w:tab w:val="left" w:pos="0"/>
        </w:tabs>
        <w:snapToGrid w:val="0"/>
        <w:spacing w:line="500" w:lineRule="exact"/>
        <w:ind w:firstLine="480"/>
        <w:rPr>
          <w:rFonts w:ascii="宋体" w:hAnsi="宋体"/>
          <w:sz w:val="24"/>
          <w:szCs w:val="24"/>
        </w:rPr>
      </w:pPr>
      <w:r>
        <w:rPr>
          <w:rFonts w:ascii="宋体" w:hAnsi="宋体"/>
          <w:sz w:val="24"/>
          <w:szCs w:val="24"/>
        </w:rPr>
        <w:t>2</w:t>
      </w:r>
      <w:r>
        <w:rPr>
          <w:rFonts w:hint="eastAsia" w:ascii="宋体" w:hAnsi="宋体"/>
          <w:sz w:val="24"/>
          <w:szCs w:val="24"/>
        </w:rPr>
        <w:t>、甲方应在设备验收合格完毕之日起</w:t>
      </w:r>
      <w:r>
        <w:rPr>
          <w:rFonts w:hint="eastAsia" w:ascii="宋体" w:hAnsi="宋体"/>
          <w:sz w:val="24"/>
          <w:szCs w:val="24"/>
          <w:u w:val="single"/>
        </w:rPr>
        <w:t>五个工作日内</w:t>
      </w:r>
      <w:r>
        <w:rPr>
          <w:rFonts w:hint="eastAsia" w:ascii="宋体" w:hAnsi="宋体"/>
          <w:sz w:val="24"/>
          <w:szCs w:val="24"/>
        </w:rPr>
        <w:t>验收完毕，并作出验收结果报告</w:t>
      </w:r>
      <w:r>
        <w:rPr>
          <w:rFonts w:ascii="宋体" w:hAnsi="宋体"/>
          <w:sz w:val="24"/>
          <w:szCs w:val="24"/>
        </w:rPr>
        <w:t>,验收时乙方必须在现场。</w:t>
      </w:r>
    </w:p>
    <w:p>
      <w:pPr>
        <w:snapToGrid w:val="0"/>
        <w:spacing w:line="500" w:lineRule="exact"/>
        <w:rPr>
          <w:rFonts w:ascii="宋体" w:hAnsi="宋体"/>
          <w:b/>
          <w:sz w:val="24"/>
          <w:szCs w:val="24"/>
          <w:highlight w:val="none"/>
        </w:rPr>
      </w:pPr>
      <w:r>
        <w:rPr>
          <w:rFonts w:hint="eastAsia" w:ascii="宋体" w:hAnsi="宋体"/>
          <w:b/>
          <w:sz w:val="24"/>
          <w:szCs w:val="24"/>
        </w:rPr>
        <w:t>八、交</w:t>
      </w:r>
      <w:r>
        <w:rPr>
          <w:rFonts w:hint="eastAsia" w:ascii="宋体" w:hAnsi="宋体"/>
          <w:b/>
          <w:sz w:val="24"/>
          <w:szCs w:val="24"/>
          <w:highlight w:val="none"/>
        </w:rPr>
        <w:t>货期及竣工期限及交货方式</w:t>
      </w:r>
    </w:p>
    <w:p>
      <w:pPr>
        <w:snapToGrid w:val="0"/>
        <w:spacing w:line="500" w:lineRule="exact"/>
        <w:ind w:firstLine="542" w:firstLineChars="225"/>
        <w:jc w:val="left"/>
        <w:rPr>
          <w:rFonts w:hint="default" w:ascii="宋体" w:hAnsi="宋体" w:eastAsia="宋体"/>
          <w:sz w:val="24"/>
          <w:szCs w:val="24"/>
          <w:highlight w:val="none"/>
          <w:lang w:val="en-US" w:eastAsia="zh-CN"/>
        </w:rPr>
      </w:pPr>
      <w:r>
        <w:rPr>
          <w:rFonts w:ascii="宋体" w:hAnsi="宋体"/>
          <w:b/>
          <w:bCs/>
          <w:sz w:val="24"/>
          <w:szCs w:val="24"/>
          <w:highlight w:val="none"/>
        </w:rPr>
        <w:t>1、</w:t>
      </w:r>
      <w:r>
        <w:rPr>
          <w:rFonts w:hint="eastAsia" w:ascii="宋体" w:hAnsi="宋体"/>
          <w:b/>
          <w:bCs/>
          <w:sz w:val="24"/>
          <w:szCs w:val="24"/>
          <w:highlight w:val="none"/>
          <w:lang w:eastAsia="zh-CN"/>
        </w:rPr>
        <w:t>交货期</w:t>
      </w:r>
      <w:r>
        <w:rPr>
          <w:rFonts w:hint="eastAsia" w:ascii="宋体" w:hAnsi="宋体"/>
          <w:b/>
          <w:bCs/>
          <w:sz w:val="24"/>
          <w:szCs w:val="24"/>
          <w:highlight w:val="none"/>
        </w:rPr>
        <w:t>：</w:t>
      </w:r>
      <w:r>
        <w:rPr>
          <w:rFonts w:hint="eastAsia" w:ascii="宋体" w:hAnsi="宋体"/>
          <w:sz w:val="24"/>
          <w:szCs w:val="24"/>
          <w:highlight w:val="none"/>
          <w:lang w:val="en-US" w:eastAsia="zh-CN"/>
        </w:rPr>
        <w:t xml:space="preserve"> </w:t>
      </w:r>
    </w:p>
    <w:p>
      <w:pPr>
        <w:pStyle w:val="79"/>
        <w:spacing w:line="440" w:lineRule="exact"/>
        <w:ind w:firstLine="602" w:firstLineChars="250"/>
        <w:rPr>
          <w:rFonts w:hint="eastAsia" w:ascii="宋体" w:hAnsi="宋体" w:eastAsia="宋体"/>
          <w:b/>
          <w:bCs/>
          <w:color w:val="FF0000"/>
          <w:kern w:val="2"/>
          <w:highlight w:val="none"/>
          <w:u w:val="single"/>
          <w:lang w:val="en-US" w:eastAsia="zh-CN"/>
        </w:rPr>
      </w:pPr>
      <w:r>
        <w:rPr>
          <w:rFonts w:hint="eastAsia" w:ascii="宋体" w:hAnsi="宋体"/>
          <w:b/>
          <w:bCs/>
          <w:kern w:val="2"/>
          <w:highlight w:val="none"/>
        </w:rPr>
        <w:t>2、</w:t>
      </w:r>
      <w:r>
        <w:rPr>
          <w:rFonts w:hint="eastAsia" w:ascii="宋体" w:hAnsi="宋体"/>
          <w:b/>
          <w:bCs/>
          <w:color w:val="auto"/>
          <w:kern w:val="2"/>
          <w:highlight w:val="none"/>
          <w:lang w:eastAsia="zh-CN"/>
        </w:rPr>
        <w:t>质保期</w:t>
      </w:r>
      <w:r>
        <w:rPr>
          <w:rFonts w:hint="eastAsia" w:ascii="宋体" w:hAnsi="宋体"/>
          <w:b/>
          <w:bCs/>
          <w:color w:val="auto"/>
          <w:kern w:val="2"/>
          <w:highlight w:val="none"/>
        </w:rPr>
        <w:t>：</w:t>
      </w:r>
    </w:p>
    <w:p>
      <w:pPr>
        <w:snapToGrid w:val="0"/>
        <w:spacing w:line="500" w:lineRule="exact"/>
        <w:rPr>
          <w:rFonts w:ascii="宋体" w:hAnsi="宋体"/>
          <w:bCs/>
          <w:sz w:val="24"/>
          <w:szCs w:val="24"/>
        </w:rPr>
      </w:pPr>
      <w:r>
        <w:rPr>
          <w:rFonts w:hint="eastAsia" w:ascii="宋体" w:hAnsi="宋体"/>
          <w:b/>
          <w:sz w:val="24"/>
          <w:szCs w:val="24"/>
        </w:rPr>
        <w:t>九、付款方式</w:t>
      </w:r>
      <w:r>
        <w:rPr>
          <w:rFonts w:hint="eastAsia" w:ascii="宋体" w:hAnsi="宋体"/>
          <w:b/>
          <w:sz w:val="24"/>
          <w:szCs w:val="24"/>
          <w:lang w:eastAsia="zh-CN"/>
        </w:rPr>
        <w:t>：</w:t>
      </w:r>
      <w:r>
        <w:rPr>
          <w:rFonts w:hint="eastAsia" w:ascii="宋体" w:hAnsi="宋体"/>
          <w:bCs/>
          <w:sz w:val="24"/>
          <w:szCs w:val="24"/>
        </w:rPr>
        <w:t>具体以甲方签订合同为准</w:t>
      </w:r>
    </w:p>
    <w:p>
      <w:pPr>
        <w:snapToGrid w:val="0"/>
        <w:spacing w:line="500" w:lineRule="exact"/>
        <w:rPr>
          <w:rFonts w:ascii="宋体" w:hAnsi="宋体"/>
          <w:b/>
          <w:sz w:val="24"/>
          <w:szCs w:val="24"/>
        </w:rPr>
      </w:pPr>
      <w:r>
        <w:rPr>
          <w:rFonts w:hint="eastAsia" w:ascii="宋体" w:hAnsi="宋体"/>
          <w:b/>
          <w:sz w:val="24"/>
          <w:szCs w:val="24"/>
        </w:rPr>
        <w:t>十、违约责任</w:t>
      </w:r>
    </w:p>
    <w:p>
      <w:pPr>
        <w:snapToGrid w:val="0"/>
        <w:spacing w:line="500" w:lineRule="exact"/>
        <w:ind w:firstLine="420"/>
        <w:rPr>
          <w:rFonts w:ascii="宋体" w:hAnsi="宋体"/>
          <w:sz w:val="24"/>
          <w:szCs w:val="24"/>
        </w:rPr>
      </w:pPr>
      <w:r>
        <w:rPr>
          <w:rFonts w:ascii="宋体" w:hAnsi="宋体"/>
          <w:sz w:val="24"/>
          <w:szCs w:val="24"/>
        </w:rPr>
        <w:t>1、逾期交货或付款的，每天按合同额的</w:t>
      </w:r>
      <w:r>
        <w:rPr>
          <w:rFonts w:ascii="宋体" w:hAnsi="宋体"/>
          <w:sz w:val="24"/>
          <w:szCs w:val="24"/>
          <w:u w:val="single"/>
        </w:rPr>
        <w:t>1‰</w:t>
      </w:r>
      <w:r>
        <w:rPr>
          <w:rFonts w:hint="eastAsia" w:ascii="宋体" w:hAnsi="宋体"/>
          <w:sz w:val="24"/>
          <w:szCs w:val="24"/>
        </w:rPr>
        <w:t>对违约方进行罚款。</w:t>
      </w:r>
    </w:p>
    <w:p>
      <w:pPr>
        <w:snapToGrid w:val="0"/>
        <w:spacing w:line="500" w:lineRule="exact"/>
        <w:ind w:firstLine="424" w:firstLineChars="177"/>
        <w:rPr>
          <w:rFonts w:ascii="宋体" w:hAnsi="宋体"/>
          <w:sz w:val="24"/>
          <w:szCs w:val="24"/>
        </w:rPr>
      </w:pPr>
      <w:r>
        <w:rPr>
          <w:rFonts w:ascii="宋体" w:hAnsi="宋体"/>
          <w:sz w:val="24"/>
          <w:szCs w:val="24"/>
        </w:rPr>
        <w:t>2、乙方逾期超过</w:t>
      </w:r>
      <w:r>
        <w:rPr>
          <w:rFonts w:hint="eastAsia" w:ascii="宋体" w:hAnsi="宋体"/>
          <w:sz w:val="24"/>
          <w:szCs w:val="24"/>
          <w:u w:val="single"/>
        </w:rPr>
        <w:t>15</w:t>
      </w:r>
      <w:r>
        <w:rPr>
          <w:rFonts w:ascii="宋体" w:hAnsi="宋体"/>
          <w:sz w:val="24"/>
          <w:szCs w:val="24"/>
          <w:u w:val="single"/>
        </w:rPr>
        <w:t>天</w:t>
      </w:r>
      <w:r>
        <w:rPr>
          <w:rFonts w:hint="eastAsia" w:ascii="宋体" w:hAnsi="宋体"/>
          <w:sz w:val="24"/>
          <w:szCs w:val="24"/>
        </w:rPr>
        <w:t>仍不能交货的，甲方可解除双方的供货合同，造成甲方损失的，由乙方负责赔偿。</w:t>
      </w:r>
    </w:p>
    <w:p>
      <w:pPr>
        <w:snapToGrid w:val="0"/>
        <w:spacing w:line="500" w:lineRule="exact"/>
        <w:ind w:firstLine="424" w:firstLineChars="177"/>
        <w:rPr>
          <w:rFonts w:ascii="宋体" w:hAnsi="宋体"/>
          <w:sz w:val="24"/>
          <w:szCs w:val="24"/>
        </w:rPr>
      </w:pPr>
      <w:r>
        <w:rPr>
          <w:rFonts w:ascii="宋体" w:hAnsi="宋体"/>
          <w:sz w:val="24"/>
          <w:szCs w:val="24"/>
        </w:rPr>
        <w:t>3、乙方所交的</w:t>
      </w:r>
      <w:r>
        <w:rPr>
          <w:rFonts w:hint="eastAsia" w:ascii="宋体" w:hAnsi="宋体"/>
          <w:sz w:val="24"/>
          <w:szCs w:val="24"/>
        </w:rPr>
        <w:t>货物</w:t>
      </w:r>
      <w:r>
        <w:rPr>
          <w:rFonts w:ascii="宋体" w:hAnsi="宋体"/>
          <w:sz w:val="24"/>
          <w:szCs w:val="24"/>
        </w:rPr>
        <w:t>品种、型号、规格、质量不符合规定标准的，甲方有权拒绝收货。乙方向甲方偿付设备总值百分之三十的违约金。</w:t>
      </w:r>
    </w:p>
    <w:p>
      <w:pPr>
        <w:snapToGrid w:val="0"/>
        <w:spacing w:line="500" w:lineRule="exact"/>
        <w:ind w:left="101" w:leftChars="48" w:firstLine="324" w:firstLineChars="135"/>
        <w:rPr>
          <w:rFonts w:ascii="宋体" w:hAnsi="宋体"/>
          <w:sz w:val="24"/>
          <w:szCs w:val="24"/>
        </w:rPr>
      </w:pPr>
      <w:r>
        <w:rPr>
          <w:rFonts w:ascii="宋体" w:hAnsi="宋体"/>
          <w:sz w:val="24"/>
          <w:szCs w:val="24"/>
        </w:rPr>
        <w:t>4、甲方不按规定时间予以验收</w:t>
      </w:r>
      <w:r>
        <w:rPr>
          <w:rFonts w:hint="eastAsia" w:ascii="宋体" w:hAnsi="宋体"/>
          <w:sz w:val="24"/>
          <w:szCs w:val="24"/>
        </w:rPr>
        <w:t>货物</w:t>
      </w:r>
      <w:r>
        <w:rPr>
          <w:rFonts w:ascii="宋体" w:hAnsi="宋体"/>
          <w:sz w:val="24"/>
          <w:szCs w:val="24"/>
        </w:rPr>
        <w:t>的，每天按合同额的</w:t>
      </w:r>
      <w:r>
        <w:rPr>
          <w:rFonts w:ascii="宋体" w:hAnsi="宋体"/>
          <w:sz w:val="24"/>
          <w:szCs w:val="24"/>
          <w:u w:val="single"/>
        </w:rPr>
        <w:t>1‰</w:t>
      </w:r>
      <w:r>
        <w:rPr>
          <w:rFonts w:hint="eastAsia" w:ascii="宋体" w:hAnsi="宋体"/>
          <w:sz w:val="24"/>
          <w:szCs w:val="24"/>
        </w:rPr>
        <w:t>进行罚款；甲方无正当理由拒收的，应向乙方偿付货物总值百分之三十的违约金。</w:t>
      </w:r>
    </w:p>
    <w:p>
      <w:pPr>
        <w:pStyle w:val="20"/>
        <w:snapToGrid w:val="0"/>
        <w:spacing w:line="500" w:lineRule="exact"/>
        <w:ind w:firstLine="424" w:firstLineChars="177"/>
        <w:rPr>
          <w:rFonts w:ascii="宋体" w:hAnsi="宋体"/>
          <w:szCs w:val="24"/>
        </w:rPr>
      </w:pPr>
      <w:r>
        <w:rPr>
          <w:rFonts w:ascii="宋体" w:hAnsi="宋体"/>
          <w:szCs w:val="24"/>
        </w:rPr>
        <w:t>5、乙方在保质期内如不按要求提供质量及服务，甲方可向</w:t>
      </w:r>
      <w:r>
        <w:rPr>
          <w:rFonts w:hint="eastAsia" w:ascii="宋体" w:hAnsi="宋体"/>
          <w:szCs w:val="24"/>
        </w:rPr>
        <w:t>师交易中心</w:t>
      </w:r>
      <w:r>
        <w:rPr>
          <w:rFonts w:ascii="宋体" w:hAnsi="宋体"/>
          <w:szCs w:val="24"/>
        </w:rPr>
        <w:t>处投诉，</w:t>
      </w:r>
      <w:r>
        <w:rPr>
          <w:rFonts w:hint="eastAsia" w:ascii="宋体" w:hAnsi="宋体"/>
          <w:szCs w:val="24"/>
        </w:rPr>
        <w:t>师交易中心</w:t>
      </w:r>
      <w:r>
        <w:rPr>
          <w:rFonts w:ascii="宋体" w:hAnsi="宋体"/>
          <w:szCs w:val="24"/>
        </w:rPr>
        <w:t>处将视情节轻重扣减或没收其质量保证金，质量保证金不足以赔偿损失，按实际损失赔偿。</w:t>
      </w:r>
    </w:p>
    <w:p>
      <w:pPr>
        <w:snapToGrid w:val="0"/>
        <w:spacing w:line="500" w:lineRule="exact"/>
        <w:rPr>
          <w:rFonts w:ascii="宋体" w:hAnsi="宋体"/>
          <w:b/>
          <w:sz w:val="24"/>
          <w:szCs w:val="24"/>
        </w:rPr>
      </w:pPr>
      <w:r>
        <w:rPr>
          <w:rFonts w:hint="eastAsia" w:ascii="宋体" w:hAnsi="宋体"/>
          <w:b/>
          <w:sz w:val="24"/>
          <w:szCs w:val="24"/>
        </w:rPr>
        <w:t>十一、仲裁</w:t>
      </w:r>
    </w:p>
    <w:p>
      <w:pPr>
        <w:snapToGrid w:val="0"/>
        <w:spacing w:line="500" w:lineRule="exact"/>
        <w:ind w:firstLine="540" w:firstLineChars="225"/>
        <w:rPr>
          <w:rFonts w:ascii="宋体" w:hAnsi="宋体"/>
          <w:sz w:val="24"/>
          <w:szCs w:val="24"/>
        </w:rPr>
      </w:pPr>
      <w:r>
        <w:rPr>
          <w:rFonts w:hint="eastAsia" w:ascii="宋体" w:hAnsi="宋体"/>
          <w:sz w:val="24"/>
          <w:szCs w:val="24"/>
        </w:rPr>
        <w:t>双方在执行合同中所发生的一切争议，应通过协商解决。如协商不成，则向合同签订所在地仲裁部门提交仲裁或法院起诉。</w:t>
      </w:r>
    </w:p>
    <w:p>
      <w:pPr>
        <w:snapToGrid w:val="0"/>
        <w:spacing w:line="500" w:lineRule="exact"/>
        <w:rPr>
          <w:rFonts w:ascii="宋体" w:hAnsi="宋体"/>
          <w:b/>
          <w:sz w:val="24"/>
          <w:szCs w:val="24"/>
        </w:rPr>
      </w:pPr>
      <w:r>
        <w:rPr>
          <w:rFonts w:hint="eastAsia" w:ascii="宋体" w:hAnsi="宋体"/>
          <w:b/>
          <w:sz w:val="24"/>
          <w:szCs w:val="24"/>
        </w:rPr>
        <w:t>十二、合同生效及其它</w:t>
      </w:r>
    </w:p>
    <w:p>
      <w:pPr>
        <w:tabs>
          <w:tab w:val="left" w:pos="0"/>
        </w:tabs>
        <w:snapToGrid w:val="0"/>
        <w:spacing w:line="500" w:lineRule="exact"/>
        <w:ind w:firstLine="480"/>
        <w:rPr>
          <w:rFonts w:ascii="宋体" w:hAnsi="宋体"/>
          <w:sz w:val="24"/>
          <w:szCs w:val="24"/>
        </w:rPr>
      </w:pPr>
      <w:r>
        <w:rPr>
          <w:rFonts w:ascii="宋体" w:hAnsi="宋体"/>
          <w:sz w:val="24"/>
          <w:szCs w:val="24"/>
        </w:rPr>
        <w:t>1、</w:t>
      </w:r>
      <w:r>
        <w:rPr>
          <w:rFonts w:hint="eastAsia" w:ascii="宋体" w:hAnsi="宋体"/>
          <w:sz w:val="24"/>
          <w:szCs w:val="24"/>
        </w:rPr>
        <w:t>合同经双方法定代表人或委托代理人签字加盖单位公章后生效。</w:t>
      </w:r>
    </w:p>
    <w:p>
      <w:pPr>
        <w:tabs>
          <w:tab w:val="left" w:pos="0"/>
        </w:tabs>
        <w:snapToGrid w:val="0"/>
        <w:spacing w:line="500" w:lineRule="exact"/>
        <w:ind w:firstLine="480"/>
        <w:rPr>
          <w:rFonts w:ascii="宋体" w:hAnsi="宋体"/>
          <w:sz w:val="24"/>
          <w:szCs w:val="24"/>
        </w:rPr>
      </w:pPr>
      <w:r>
        <w:rPr>
          <w:rFonts w:ascii="宋体" w:hAnsi="宋体"/>
          <w:sz w:val="24"/>
          <w:szCs w:val="24"/>
        </w:rPr>
        <w:t>2、</w:t>
      </w:r>
      <w:r>
        <w:rPr>
          <w:rFonts w:hint="eastAsia" w:ascii="宋体" w:hAnsi="宋体"/>
          <w:sz w:val="24"/>
          <w:szCs w:val="24"/>
        </w:rPr>
        <w:t>合同执行中，如需修改或补充合同内容，由双方协商同意后，另签署书面修改或补充协议作为主合同不可分割的一部分。</w:t>
      </w:r>
    </w:p>
    <w:p>
      <w:pPr>
        <w:tabs>
          <w:tab w:val="left" w:pos="0"/>
        </w:tabs>
        <w:snapToGrid w:val="0"/>
        <w:spacing w:line="500" w:lineRule="exact"/>
        <w:ind w:firstLine="480"/>
        <w:rPr>
          <w:rFonts w:ascii="宋体" w:hAnsi="宋体" w:cs="宋体"/>
          <w:sz w:val="24"/>
          <w:szCs w:val="24"/>
        </w:rPr>
      </w:pPr>
      <w:r>
        <w:rPr>
          <w:rFonts w:ascii="宋体" w:hAnsi="宋体"/>
          <w:sz w:val="24"/>
          <w:szCs w:val="24"/>
        </w:rPr>
        <w:t>3、</w:t>
      </w:r>
      <w:r>
        <w:rPr>
          <w:rFonts w:hint="eastAsia" w:ascii="宋体" w:hAnsi="宋体"/>
          <w:sz w:val="24"/>
          <w:szCs w:val="24"/>
        </w:rPr>
        <w:t>本合同一式二份，甲、乙双方各一份，均具同等法律效力。</w:t>
      </w:r>
    </w:p>
    <w:p>
      <w:pPr>
        <w:spacing w:line="400" w:lineRule="exact"/>
        <w:ind w:firstLine="480" w:firstLineChars="200"/>
        <w:rPr>
          <w:rFonts w:ascii="宋体" w:hAnsi="宋体" w:cs="宋体"/>
          <w:sz w:val="24"/>
          <w:szCs w:val="24"/>
        </w:rPr>
      </w:pPr>
      <w:r>
        <w:rPr>
          <w:rFonts w:hint="eastAsia" w:ascii="宋体" w:hAnsi="宋体" w:cs="宋体"/>
          <w:sz w:val="24"/>
          <w:szCs w:val="24"/>
        </w:rPr>
        <w:t xml:space="preserve">甲方：   （盖章）   </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 xml:space="preserve">       乙方：   （盖章）</w:t>
      </w:r>
    </w:p>
    <w:p>
      <w:pPr>
        <w:spacing w:line="400" w:lineRule="exact"/>
        <w:ind w:firstLine="480" w:firstLineChars="200"/>
        <w:rPr>
          <w:rFonts w:ascii="宋体" w:hAnsi="宋体" w:cs="宋体"/>
          <w:sz w:val="24"/>
          <w:szCs w:val="24"/>
        </w:rPr>
      </w:pPr>
      <w:r>
        <w:rPr>
          <w:rFonts w:hint="eastAsia" w:ascii="宋体" w:hAnsi="宋体" w:cs="宋体"/>
          <w:sz w:val="24"/>
          <w:szCs w:val="24"/>
        </w:rPr>
        <w:t>法定代表人（授权代表）：            法定代表人（授权代表）：</w:t>
      </w:r>
    </w:p>
    <w:p>
      <w:pPr>
        <w:spacing w:line="400" w:lineRule="exact"/>
        <w:ind w:firstLine="480" w:firstLineChars="200"/>
        <w:rPr>
          <w:rFonts w:ascii="宋体" w:hAnsi="宋体" w:cs="宋体"/>
          <w:sz w:val="24"/>
          <w:szCs w:val="24"/>
        </w:rPr>
      </w:pPr>
      <w:r>
        <w:rPr>
          <w:rFonts w:hint="eastAsia" w:ascii="宋体" w:hAnsi="宋体" w:cs="宋体"/>
          <w:sz w:val="24"/>
          <w:szCs w:val="24"/>
        </w:rPr>
        <w:t>地    址：                         地    址：</w:t>
      </w:r>
    </w:p>
    <w:p>
      <w:pPr>
        <w:spacing w:line="400" w:lineRule="exact"/>
        <w:ind w:firstLine="480" w:firstLineChars="200"/>
        <w:rPr>
          <w:rFonts w:ascii="宋体" w:hAnsi="宋体" w:cs="宋体"/>
          <w:sz w:val="24"/>
          <w:szCs w:val="24"/>
        </w:rPr>
      </w:pPr>
      <w:r>
        <w:rPr>
          <w:rFonts w:hint="eastAsia" w:ascii="宋体" w:hAnsi="宋体" w:cs="宋体"/>
          <w:sz w:val="24"/>
          <w:szCs w:val="24"/>
        </w:rPr>
        <w:t>开户银行：                         开户银行：</w:t>
      </w:r>
    </w:p>
    <w:p>
      <w:pPr>
        <w:spacing w:line="400" w:lineRule="exact"/>
        <w:ind w:firstLine="480" w:firstLineChars="200"/>
        <w:rPr>
          <w:rFonts w:ascii="宋体" w:hAnsi="宋体" w:cs="宋体"/>
          <w:sz w:val="24"/>
          <w:szCs w:val="24"/>
        </w:rPr>
      </w:pPr>
      <w:r>
        <w:rPr>
          <w:rFonts w:hint="eastAsia" w:ascii="宋体" w:hAnsi="宋体" w:cs="宋体"/>
          <w:sz w:val="24"/>
          <w:szCs w:val="24"/>
        </w:rPr>
        <w:t>账号：                             账号：</w:t>
      </w:r>
    </w:p>
    <w:p>
      <w:pPr>
        <w:spacing w:line="400" w:lineRule="exact"/>
        <w:ind w:firstLine="480" w:firstLineChars="200"/>
        <w:rPr>
          <w:rFonts w:ascii="宋体" w:hAnsi="宋体" w:cs="宋体"/>
          <w:sz w:val="24"/>
          <w:szCs w:val="24"/>
        </w:rPr>
      </w:pPr>
      <w:r>
        <w:rPr>
          <w:rFonts w:hint="eastAsia" w:ascii="宋体" w:hAnsi="宋体" w:cs="宋体"/>
          <w:sz w:val="24"/>
          <w:szCs w:val="24"/>
        </w:rPr>
        <w:t>电    话：                         电    话：</w:t>
      </w:r>
    </w:p>
    <w:p>
      <w:pPr>
        <w:spacing w:line="400" w:lineRule="exact"/>
        <w:ind w:firstLine="480" w:firstLineChars="200"/>
        <w:rPr>
          <w:rFonts w:ascii="宋体" w:hAnsi="宋体" w:cs="宋体"/>
          <w:sz w:val="24"/>
          <w:szCs w:val="24"/>
        </w:rPr>
      </w:pPr>
      <w:r>
        <w:rPr>
          <w:rFonts w:hint="eastAsia" w:ascii="宋体" w:hAnsi="宋体" w:cs="宋体"/>
          <w:sz w:val="24"/>
          <w:szCs w:val="24"/>
        </w:rPr>
        <w:t>传    真：                         传    真：</w:t>
      </w:r>
    </w:p>
    <w:p>
      <w:pPr>
        <w:spacing w:line="400" w:lineRule="exact"/>
        <w:ind w:firstLine="480" w:firstLineChars="200"/>
        <w:rPr>
          <w:rFonts w:ascii="宋体" w:hAnsi="宋体" w:cs="宋体"/>
          <w:sz w:val="24"/>
          <w:szCs w:val="24"/>
        </w:rPr>
      </w:pPr>
      <w:r>
        <w:rPr>
          <w:rFonts w:hint="eastAsia" w:ascii="宋体" w:hAnsi="宋体" w:cs="宋体"/>
          <w:sz w:val="24"/>
          <w:szCs w:val="24"/>
        </w:rPr>
        <w:t>签约日期：</w:t>
      </w:r>
      <w:r>
        <w:rPr>
          <w:rFonts w:hint="eastAsia" w:ascii="宋体" w:hAnsi="宋体" w:cs="宋体"/>
          <w:color w:val="000000"/>
          <w:sz w:val="24"/>
          <w:szCs w:val="24"/>
        </w:rPr>
        <w:t>XX</w:t>
      </w:r>
      <w:r>
        <w:rPr>
          <w:rFonts w:hint="eastAsia" w:ascii="宋体" w:hAnsi="宋体" w:cs="宋体"/>
          <w:sz w:val="24"/>
          <w:szCs w:val="24"/>
        </w:rPr>
        <w:t>年</w:t>
      </w:r>
      <w:r>
        <w:rPr>
          <w:rFonts w:hint="eastAsia" w:ascii="宋体" w:hAnsi="宋体" w:cs="宋体"/>
          <w:color w:val="000000"/>
          <w:sz w:val="24"/>
          <w:szCs w:val="24"/>
        </w:rPr>
        <w:t>XX</w:t>
      </w:r>
      <w:r>
        <w:rPr>
          <w:rFonts w:hint="eastAsia" w:ascii="宋体" w:hAnsi="宋体" w:cs="宋体"/>
          <w:sz w:val="24"/>
          <w:szCs w:val="24"/>
        </w:rPr>
        <w:t>月</w:t>
      </w:r>
      <w:r>
        <w:rPr>
          <w:rFonts w:hint="eastAsia" w:ascii="宋体" w:hAnsi="宋体" w:cs="宋体"/>
          <w:color w:val="000000"/>
          <w:sz w:val="24"/>
          <w:szCs w:val="24"/>
        </w:rPr>
        <w:t>XX</w:t>
      </w:r>
      <w:r>
        <w:rPr>
          <w:rFonts w:hint="eastAsia" w:ascii="宋体" w:hAnsi="宋体" w:cs="宋体"/>
          <w:sz w:val="24"/>
          <w:szCs w:val="24"/>
        </w:rPr>
        <w:t xml:space="preserve">日 </w:t>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ab/>
      </w:r>
      <w:r>
        <w:rPr>
          <w:rFonts w:hint="eastAsia" w:ascii="宋体" w:hAnsi="宋体" w:cs="宋体"/>
          <w:sz w:val="24"/>
          <w:szCs w:val="24"/>
        </w:rPr>
        <w:t>签约日期：</w:t>
      </w:r>
      <w:r>
        <w:rPr>
          <w:rFonts w:hint="eastAsia" w:ascii="宋体" w:hAnsi="宋体" w:cs="宋体"/>
          <w:color w:val="000000"/>
          <w:sz w:val="24"/>
          <w:szCs w:val="24"/>
        </w:rPr>
        <w:t>XX</w:t>
      </w:r>
      <w:r>
        <w:rPr>
          <w:rFonts w:hint="eastAsia" w:ascii="宋体" w:hAnsi="宋体" w:cs="宋体"/>
          <w:sz w:val="24"/>
          <w:szCs w:val="24"/>
        </w:rPr>
        <w:t>年</w:t>
      </w:r>
      <w:r>
        <w:rPr>
          <w:rFonts w:hint="eastAsia" w:ascii="宋体" w:hAnsi="宋体" w:cs="宋体"/>
          <w:color w:val="000000"/>
          <w:sz w:val="24"/>
          <w:szCs w:val="24"/>
        </w:rPr>
        <w:t>XX</w:t>
      </w:r>
      <w:r>
        <w:rPr>
          <w:rFonts w:hint="eastAsia" w:ascii="宋体" w:hAnsi="宋体" w:cs="宋体"/>
          <w:sz w:val="24"/>
          <w:szCs w:val="24"/>
        </w:rPr>
        <w:t>月</w:t>
      </w:r>
      <w:r>
        <w:rPr>
          <w:rFonts w:hint="eastAsia" w:ascii="宋体" w:hAnsi="宋体" w:cs="宋体"/>
          <w:color w:val="000000"/>
          <w:sz w:val="24"/>
          <w:szCs w:val="24"/>
        </w:rPr>
        <w:t>XX日</w:t>
      </w:r>
    </w:p>
    <w:p>
      <w:pPr>
        <w:spacing w:line="360" w:lineRule="auto"/>
        <w:ind w:firstLine="482" w:firstLineChars="200"/>
        <w:jc w:val="left"/>
        <w:rPr>
          <w:rFonts w:ascii="宋体" w:hAnsi="宋体" w:cs="宋体"/>
          <w:sz w:val="28"/>
          <w:szCs w:val="28"/>
        </w:rPr>
      </w:pPr>
      <w:r>
        <w:rPr>
          <w:rFonts w:hint="eastAsia" w:ascii="宋体" w:hAnsi="宋体" w:cs="宋体"/>
          <w:b/>
          <w:sz w:val="24"/>
          <w:szCs w:val="24"/>
        </w:rPr>
        <w:t>注：最终合同已与甲方签订的合同为准。</w:t>
      </w:r>
    </w:p>
    <w:p>
      <w:pPr>
        <w:pStyle w:val="4"/>
        <w:spacing w:before="100" w:beforeAutospacing="1" w:after="100" w:afterAutospacing="1" w:line="400" w:lineRule="atLeast"/>
        <w:jc w:val="center"/>
        <w:rPr>
          <w:rFonts w:ascii="宋体" w:hAnsi="宋体" w:eastAsia="宋体" w:cs="宋体"/>
          <w:sz w:val="28"/>
          <w:szCs w:val="28"/>
        </w:rPr>
      </w:pPr>
    </w:p>
    <w:p>
      <w:pPr>
        <w:pStyle w:val="4"/>
        <w:spacing w:before="100" w:beforeAutospacing="1" w:after="100" w:afterAutospacing="1" w:line="400" w:lineRule="atLeast"/>
        <w:jc w:val="center"/>
        <w:rPr>
          <w:rFonts w:ascii="宋体" w:hAnsi="宋体" w:eastAsia="宋体" w:cs="宋体"/>
          <w:bCs/>
          <w:sz w:val="24"/>
        </w:rPr>
      </w:pPr>
      <w:r>
        <w:rPr>
          <w:rFonts w:hint="eastAsia" w:ascii="宋体" w:hAnsi="宋体" w:eastAsia="宋体" w:cs="宋体"/>
          <w:sz w:val="28"/>
          <w:szCs w:val="28"/>
          <w:lang w:val="en-US" w:eastAsia="zh-CN"/>
        </w:rPr>
        <w:t>G</w:t>
      </w:r>
      <w:r>
        <w:rPr>
          <w:rFonts w:hint="eastAsia" w:ascii="宋体" w:hAnsi="宋体" w:eastAsia="宋体" w:cs="宋体"/>
          <w:sz w:val="28"/>
          <w:szCs w:val="28"/>
        </w:rPr>
        <w:t xml:space="preserve">  磋商失败条件</w:t>
      </w:r>
      <w:bookmarkEnd w:id="45"/>
    </w:p>
    <w:p>
      <w:pPr>
        <w:pStyle w:val="19"/>
        <w:tabs>
          <w:tab w:val="left" w:pos="720"/>
          <w:tab w:val="left" w:pos="900"/>
          <w:tab w:val="left" w:pos="1260"/>
        </w:tabs>
        <w:adjustRightInd w:val="0"/>
        <w:spacing w:line="400" w:lineRule="atLeast"/>
        <w:ind w:left="720" w:hanging="720" w:hangingChars="300"/>
        <w:rPr>
          <w:rFonts w:hAnsi="宋体" w:cs="宋体"/>
          <w:bCs/>
          <w:sz w:val="24"/>
        </w:rPr>
      </w:pPr>
      <w:r>
        <w:rPr>
          <w:rFonts w:hint="eastAsia" w:hAnsi="宋体" w:cs="宋体"/>
          <w:bCs/>
          <w:sz w:val="24"/>
        </w:rPr>
        <w:t>34.出现影响采购公正的违法、违规行为的；</w:t>
      </w:r>
    </w:p>
    <w:p>
      <w:pPr>
        <w:pStyle w:val="19"/>
        <w:tabs>
          <w:tab w:val="left" w:pos="720"/>
          <w:tab w:val="left" w:pos="900"/>
          <w:tab w:val="left" w:pos="1260"/>
        </w:tabs>
        <w:adjustRightInd w:val="0"/>
        <w:spacing w:line="400" w:lineRule="atLeast"/>
        <w:ind w:left="720" w:hanging="720" w:hangingChars="300"/>
        <w:rPr>
          <w:rFonts w:hAnsi="宋体" w:cs="宋体"/>
          <w:bCs/>
          <w:sz w:val="24"/>
        </w:rPr>
      </w:pPr>
      <w:r>
        <w:rPr>
          <w:rFonts w:hint="eastAsia" w:hAnsi="宋体" w:cs="宋体"/>
          <w:bCs/>
          <w:sz w:val="24"/>
        </w:rPr>
        <w:t>35.因重大变故，采购任务取消的；</w:t>
      </w:r>
    </w:p>
    <w:p>
      <w:pPr>
        <w:pStyle w:val="19"/>
        <w:tabs>
          <w:tab w:val="left" w:pos="720"/>
          <w:tab w:val="left" w:pos="900"/>
          <w:tab w:val="left" w:pos="1260"/>
        </w:tabs>
        <w:adjustRightInd w:val="0"/>
        <w:spacing w:line="400" w:lineRule="atLeast"/>
        <w:ind w:left="720" w:hanging="720" w:hangingChars="300"/>
        <w:rPr>
          <w:rFonts w:hAnsi="宋体" w:cs="宋体"/>
          <w:bCs/>
          <w:sz w:val="24"/>
        </w:rPr>
      </w:pPr>
      <w:r>
        <w:rPr>
          <w:rFonts w:hint="eastAsia" w:hAnsi="宋体" w:cs="宋体"/>
          <w:bCs/>
          <w:sz w:val="24"/>
        </w:rPr>
        <w:t>36.磋商响应文件截止时间后，实际参与的供应商不足法定家数的；</w:t>
      </w:r>
    </w:p>
    <w:p>
      <w:pPr>
        <w:pStyle w:val="19"/>
        <w:tabs>
          <w:tab w:val="left" w:pos="720"/>
          <w:tab w:val="left" w:pos="900"/>
          <w:tab w:val="left" w:pos="1260"/>
        </w:tabs>
        <w:adjustRightInd w:val="0"/>
        <w:spacing w:line="400" w:lineRule="atLeast"/>
        <w:ind w:left="720" w:hanging="720" w:hangingChars="300"/>
        <w:rPr>
          <w:rFonts w:hAnsi="宋体" w:cs="宋体"/>
          <w:bCs/>
          <w:sz w:val="24"/>
        </w:rPr>
      </w:pPr>
      <w:r>
        <w:rPr>
          <w:rFonts w:hint="eastAsia" w:hAnsi="宋体" w:cs="宋体"/>
          <w:bCs/>
          <w:sz w:val="24"/>
        </w:rPr>
        <w:t>37.最终报价均超过采购预算的；</w:t>
      </w:r>
    </w:p>
    <w:p>
      <w:pPr>
        <w:pStyle w:val="19"/>
        <w:tabs>
          <w:tab w:val="left" w:pos="720"/>
          <w:tab w:val="left" w:pos="900"/>
          <w:tab w:val="left" w:pos="1260"/>
        </w:tabs>
        <w:adjustRightInd w:val="0"/>
        <w:spacing w:line="400" w:lineRule="atLeast"/>
        <w:ind w:left="720" w:hanging="720" w:hangingChars="300"/>
        <w:rPr>
          <w:rFonts w:hAnsi="宋体" w:cs="宋体"/>
          <w:bCs/>
          <w:sz w:val="24"/>
        </w:rPr>
      </w:pPr>
      <w:r>
        <w:rPr>
          <w:rFonts w:hint="eastAsia" w:hAnsi="宋体" w:cs="宋体"/>
          <w:bCs/>
          <w:sz w:val="24"/>
        </w:rPr>
        <w:t>38.对磋商文件作出实质性响应的供应商不足法定家数的；</w:t>
      </w:r>
    </w:p>
    <w:p>
      <w:pPr>
        <w:pStyle w:val="19"/>
        <w:tabs>
          <w:tab w:val="left" w:pos="720"/>
          <w:tab w:val="left" w:pos="900"/>
          <w:tab w:val="left" w:pos="1260"/>
        </w:tabs>
        <w:adjustRightInd w:val="0"/>
        <w:spacing w:line="400" w:lineRule="atLeast"/>
        <w:ind w:left="720" w:hanging="720" w:hangingChars="300"/>
        <w:rPr>
          <w:rFonts w:hAnsi="宋体" w:cs="宋体"/>
          <w:bCs/>
          <w:sz w:val="24"/>
        </w:rPr>
      </w:pPr>
    </w:p>
    <w:p>
      <w:pPr>
        <w:pStyle w:val="3"/>
        <w:numPr>
          <w:ilvl w:val="0"/>
          <w:numId w:val="6"/>
        </w:numPr>
        <w:spacing w:line="400" w:lineRule="atLeast"/>
        <w:ind w:left="0" w:firstLine="0"/>
        <w:jc w:val="center"/>
        <w:rPr>
          <w:rFonts w:hint="eastAsia" w:ascii="宋体" w:hAnsi="宋体" w:cs="宋体"/>
          <w:sz w:val="32"/>
          <w:szCs w:val="32"/>
        </w:rPr>
        <w:sectPr>
          <w:footerReference r:id="rId8" w:type="first"/>
          <w:footerReference r:id="rId7" w:type="default"/>
          <w:pgSz w:w="11907" w:h="16840"/>
          <w:pgMar w:top="1276" w:right="1080" w:bottom="1440" w:left="1134" w:header="851" w:footer="798" w:gutter="0"/>
          <w:pgNumType w:fmt="decimal" w:start="1"/>
          <w:cols w:space="720" w:num="1"/>
          <w:titlePg/>
          <w:docGrid w:type="lines" w:linePitch="409" w:charSpace="0"/>
        </w:sectPr>
      </w:pPr>
    </w:p>
    <w:p>
      <w:pPr>
        <w:pStyle w:val="3"/>
        <w:numPr>
          <w:ilvl w:val="0"/>
          <w:numId w:val="0"/>
        </w:numPr>
        <w:spacing w:line="400" w:lineRule="atLeast"/>
        <w:ind w:leftChars="0"/>
        <w:jc w:val="center"/>
        <w:rPr>
          <w:rFonts w:hint="eastAsia" w:ascii="宋体" w:hAnsi="宋体" w:cs="宋体"/>
          <w:sz w:val="32"/>
          <w:szCs w:val="32"/>
        </w:rPr>
      </w:pPr>
      <w:bookmarkStart w:id="50" w:name="_Toc298240411"/>
      <w:bookmarkStart w:id="51" w:name="_Toc468707225"/>
      <w:bookmarkStart w:id="52" w:name="_Toc349637926"/>
      <w:bookmarkStart w:id="53" w:name="_Toc349573127"/>
      <w:r>
        <w:rPr>
          <w:rFonts w:hint="eastAsia" w:ascii="宋体" w:hAnsi="宋体" w:cs="宋体"/>
          <w:sz w:val="32"/>
          <w:szCs w:val="32"/>
          <w:lang w:eastAsia="zh-CN"/>
        </w:rPr>
        <w:t>第四部分</w:t>
      </w:r>
      <w:r>
        <w:rPr>
          <w:rFonts w:hint="eastAsia" w:ascii="宋体" w:hAnsi="宋体" w:cs="宋体"/>
          <w:sz w:val="32"/>
          <w:szCs w:val="32"/>
        </w:rPr>
        <w:t>编写需求及技术要求</w:t>
      </w:r>
      <w:bookmarkEnd w:id="44"/>
      <w:bookmarkEnd w:id="50"/>
      <w:bookmarkEnd w:id="51"/>
      <w:bookmarkEnd w:id="52"/>
      <w:bookmarkEnd w:id="53"/>
      <w:bookmarkStart w:id="54" w:name="_Toc267301295"/>
    </w:p>
    <w:tbl>
      <w:tblPr>
        <w:tblStyle w:val="34"/>
        <w:tblW w:w="14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723"/>
        <w:gridCol w:w="940"/>
        <w:gridCol w:w="5901"/>
        <w:gridCol w:w="4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名称</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数量</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单位</w:t>
            </w:r>
          </w:p>
        </w:tc>
        <w:tc>
          <w:tcPr>
            <w:tcW w:w="5901"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参数</w:t>
            </w:r>
          </w:p>
        </w:tc>
        <w:tc>
          <w:tcPr>
            <w:tcW w:w="4905"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8度音阶木琴</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both"/>
              <w:rPr>
                <w:rFonts w:hint="eastAsia" w:ascii="宋体" w:hAnsi="宋体" w:eastAsia="宋体" w:cs="宋体"/>
                <w:sz w:val="21"/>
                <w:szCs w:val="21"/>
                <w:vertAlign w:val="baseline"/>
              </w:rPr>
            </w:pPr>
            <w:r>
              <w:rPr>
                <w:rFonts w:hint="eastAsia" w:ascii="宋体" w:hAnsi="宋体" w:eastAsia="宋体" w:cs="宋体"/>
                <w:sz w:val="21"/>
                <w:szCs w:val="21"/>
                <w:vertAlign w:val="baseline"/>
              </w:rPr>
              <w:t>这是一款由实木制成的木琴,含有两个琴槌</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8个音阶可供演奏,音乐活泼灵动有感染力</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含有C</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rPr>
              <w:t>D</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rPr>
              <w:t>E</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rPr>
              <w:t>F</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rPr>
              <w:t>G</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rPr>
              <w:t>A</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rPr>
              <w:t>B</w:t>
            </w:r>
            <w:r>
              <w:rPr>
                <w:rFonts w:hint="eastAsia" w:ascii="宋体" w:hAnsi="宋体" w:eastAsia="宋体" w:cs="宋体"/>
                <w:sz w:val="21"/>
                <w:szCs w:val="21"/>
                <w:vertAlign w:val="baseline"/>
                <w:lang w:val="en-US" w:eastAsia="zh-CN"/>
              </w:rPr>
              <w:t xml:space="preserve"> </w:t>
            </w:r>
            <w:r>
              <w:rPr>
                <w:rFonts w:hint="eastAsia" w:ascii="宋体" w:hAnsi="宋体" w:eastAsia="宋体" w:cs="宋体"/>
                <w:sz w:val="21"/>
                <w:szCs w:val="21"/>
                <w:vertAlign w:val="baseline"/>
              </w:rPr>
              <w:t>C1八个音，可以满足幼儿对简单乐曲的基础探索。通过两根木槌的交替敲击可以获得旋律优美的乐曲</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木琴的音色清脆而明亮,每个音准和音色在常见的天气情况中都可以保持不变</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 xml:space="preserve">产品尺寸: </w:t>
            </w: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00mm</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木琴横面尺寸: 600x</w:t>
            </w: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00mm</w:t>
            </w:r>
          </w:p>
        </w:tc>
        <w:tc>
          <w:tcPr>
            <w:tcW w:w="4905" w:type="dxa"/>
            <w:noWrap w:val="0"/>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1077595</wp:posOffset>
                  </wp:positionH>
                  <wp:positionV relativeFrom="paragraph">
                    <wp:posOffset>147320</wp:posOffset>
                  </wp:positionV>
                  <wp:extent cx="828040" cy="739775"/>
                  <wp:effectExtent l="0" t="0" r="10160" b="3175"/>
                  <wp:wrapSquare wrapText="bothSides"/>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0"/>
                          <a:stretch>
                            <a:fillRect/>
                          </a:stretch>
                        </pic:blipFill>
                        <pic:spPr>
                          <a:xfrm>
                            <a:off x="0" y="0"/>
                            <a:ext cx="828040" cy="739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Giter户外钟</w:t>
            </w:r>
          </w:p>
        </w:tc>
        <w:tc>
          <w:tcPr>
            <w:tcW w:w="723" w:type="dxa"/>
            <w:noWrap w:val="0"/>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套</w:t>
            </w:r>
          </w:p>
        </w:tc>
        <w:tc>
          <w:tcPr>
            <w:tcW w:w="5901" w:type="dxa"/>
            <w:noWrap w:val="0"/>
            <w:vAlign w:val="center"/>
          </w:tcPr>
          <w:p>
            <w:pPr>
              <w:jc w:val="both"/>
              <w:rPr>
                <w:rFonts w:hint="eastAsia" w:ascii="宋体" w:hAnsi="宋体" w:eastAsia="宋体" w:cs="宋体"/>
                <w:sz w:val="21"/>
                <w:szCs w:val="21"/>
                <w:vertAlign w:val="baseline"/>
              </w:rPr>
            </w:pPr>
            <w:r>
              <w:rPr>
                <w:rFonts w:hint="eastAsia" w:ascii="宋体" w:hAnsi="宋体" w:eastAsia="宋体" w:cs="宋体"/>
                <w:sz w:val="21"/>
                <w:szCs w:val="21"/>
                <w:vertAlign w:val="baseline"/>
              </w:rPr>
              <w:t>防腐木材和</w:t>
            </w:r>
            <w:r>
              <w:rPr>
                <w:rFonts w:hint="eastAsia" w:ascii="宋体" w:hAnsi="宋体" w:eastAsia="宋体" w:cs="宋体"/>
                <w:sz w:val="21"/>
                <w:szCs w:val="21"/>
                <w:vertAlign w:val="baseline"/>
                <w:lang w:val="en-US" w:eastAsia="zh-CN"/>
              </w:rPr>
              <w:t>PS</w:t>
            </w:r>
            <w:r>
              <w:rPr>
                <w:rFonts w:hint="eastAsia" w:ascii="宋体" w:hAnsi="宋体" w:eastAsia="宋体" w:cs="宋体"/>
                <w:sz w:val="21"/>
                <w:szCs w:val="21"/>
                <w:vertAlign w:val="baseline"/>
              </w:rPr>
              <w:t>板金属的结合</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再加上鲜艳醒目的钟面</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缔造了完美的户外</w:t>
            </w:r>
            <w:r>
              <w:rPr>
                <w:rFonts w:hint="eastAsia" w:ascii="宋体" w:hAnsi="宋体" w:eastAsia="宋体" w:cs="宋体"/>
                <w:sz w:val="21"/>
                <w:szCs w:val="21"/>
                <w:vertAlign w:val="baseline"/>
                <w:lang w:eastAsia="zh-CN"/>
              </w:rPr>
              <w:t>钟</w:t>
            </w:r>
            <w:r>
              <w:rPr>
                <w:rFonts w:hint="eastAsia" w:ascii="宋体" w:hAnsi="宋体" w:eastAsia="宋体" w:cs="宋体"/>
                <w:sz w:val="21"/>
                <w:szCs w:val="21"/>
                <w:vertAlign w:val="baseline"/>
              </w:rPr>
              <w:t>，钟面上的时针和分针可以360°旋转</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秒针是用来发展的装置</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左右摆动，钟就会发生悠扬悦耳的声音了。产品尺寸:高</w:t>
            </w:r>
            <w:r>
              <w:rPr>
                <w:rFonts w:hint="eastAsia" w:ascii="宋体" w:hAnsi="宋体" w:eastAsia="宋体" w:cs="宋体"/>
                <w:sz w:val="21"/>
                <w:szCs w:val="21"/>
                <w:vertAlign w:val="baseline"/>
                <w:lang w:eastAsia="zh-CN"/>
              </w:rPr>
              <w:t>约</w:t>
            </w:r>
            <w:r>
              <w:rPr>
                <w:rFonts w:hint="eastAsia" w:ascii="宋体" w:hAnsi="宋体" w:eastAsia="宋体" w:cs="宋体"/>
                <w:sz w:val="21"/>
                <w:szCs w:val="21"/>
                <w:vertAlign w:val="baseline"/>
              </w:rPr>
              <w:t>1</w:t>
            </w: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 xml:space="preserve">00mm </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钟面直径650mm</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0" locked="0" layoutInCell="1" allowOverlap="1">
                  <wp:simplePos x="0" y="0"/>
                  <wp:positionH relativeFrom="column">
                    <wp:posOffset>1099820</wp:posOffset>
                  </wp:positionH>
                  <wp:positionV relativeFrom="paragraph">
                    <wp:posOffset>59055</wp:posOffset>
                  </wp:positionV>
                  <wp:extent cx="767715" cy="863600"/>
                  <wp:effectExtent l="0" t="0" r="13335" b="12700"/>
                  <wp:wrapSquare wrapText="bothSides"/>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1"/>
                          <a:stretch>
                            <a:fillRect/>
                          </a:stretch>
                        </pic:blipFill>
                        <pic:spPr>
                          <a:xfrm>
                            <a:off x="0" y="0"/>
                            <a:ext cx="767715" cy="863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trPr>
        <w:tc>
          <w:tcPr>
            <w:tcW w:w="1548"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手动打击乐</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both"/>
              <w:rPr>
                <w:rFonts w:hint="eastAsia" w:ascii="宋体" w:hAnsi="宋体" w:eastAsia="宋体" w:cs="宋体"/>
                <w:sz w:val="21"/>
                <w:szCs w:val="21"/>
                <w:vertAlign w:val="baseline"/>
              </w:rPr>
            </w:pPr>
            <w:r>
              <w:rPr>
                <w:rFonts w:hint="eastAsia" w:ascii="宋体" w:hAnsi="宋体" w:eastAsia="宋体" w:cs="宋体"/>
                <w:sz w:val="21"/>
                <w:szCs w:val="21"/>
                <w:vertAlign w:val="baseline"/>
              </w:rPr>
              <w:t>3个可供打击的部位，3种不同的音乐感受。这是</w:t>
            </w:r>
            <w:r>
              <w:rPr>
                <w:rFonts w:hint="eastAsia" w:ascii="宋体" w:hAnsi="宋体" w:eastAsia="宋体" w:cs="宋体"/>
                <w:sz w:val="21"/>
                <w:szCs w:val="21"/>
                <w:vertAlign w:val="baseline"/>
                <w:lang w:eastAsia="zh-CN"/>
              </w:rPr>
              <w:t>一</w:t>
            </w:r>
            <w:r>
              <w:rPr>
                <w:rFonts w:hint="eastAsia" w:ascii="宋体" w:hAnsi="宋体" w:eastAsia="宋体" w:cs="宋体"/>
                <w:sz w:val="21"/>
                <w:szCs w:val="21"/>
                <w:vertAlign w:val="baseline"/>
              </w:rPr>
              <w:t>款由金属制成的户外乐器，通过手部按压重锤，就可以听到清脆而明亮的钟声。产品共有三足</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三组钟声的声音高低不同，适合与其他类户外音乐乐器进行合奏。产品尺寸</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H</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90</w:t>
            </w:r>
            <w:r>
              <w:rPr>
                <w:rFonts w:hint="eastAsia" w:ascii="宋体" w:hAnsi="宋体" w:eastAsia="宋体" w:cs="宋体"/>
                <w:sz w:val="21"/>
                <w:szCs w:val="21"/>
                <w:vertAlign w:val="baseline"/>
              </w:rPr>
              <w:t>0mm</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W</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650mm</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979170</wp:posOffset>
                  </wp:positionH>
                  <wp:positionV relativeFrom="paragraph">
                    <wp:posOffset>57785</wp:posOffset>
                  </wp:positionV>
                  <wp:extent cx="949325" cy="1383030"/>
                  <wp:effectExtent l="0" t="0" r="3175" b="7620"/>
                  <wp:wrapSquare wrapText="bothSides"/>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2"/>
                          <a:stretch>
                            <a:fillRect/>
                          </a:stretch>
                        </pic:blipFill>
                        <pic:spPr>
                          <a:xfrm>
                            <a:off x="0" y="0"/>
                            <a:ext cx="949325" cy="13830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548" w:type="dxa"/>
            <w:noWrap w:val="0"/>
            <w:vAlign w:val="center"/>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传声筒系列</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eastAsia="zh-CN"/>
              </w:rPr>
              <w:t>墙体尺寸</w:t>
            </w:r>
            <w:r>
              <w:rPr>
                <w:rFonts w:hint="eastAsia" w:ascii="宋体" w:hAnsi="宋体" w:eastAsia="宋体" w:cs="宋体"/>
                <w:sz w:val="21"/>
                <w:szCs w:val="21"/>
                <w:vertAlign w:val="baseline"/>
              </w:rPr>
              <w:t>长7.3高度1.5</w:t>
            </w:r>
            <w:r>
              <w:rPr>
                <w:rFonts w:hint="eastAsia" w:ascii="宋体" w:hAnsi="宋体" w:eastAsia="宋体" w:cs="宋体"/>
                <w:sz w:val="21"/>
                <w:szCs w:val="21"/>
                <w:vertAlign w:val="baseline"/>
                <w:lang w:eastAsia="zh-CN"/>
              </w:rPr>
              <w:t>，</w:t>
            </w:r>
            <w:r>
              <w:rPr>
                <w:rFonts w:hint="eastAsia" w:ascii="宋体" w:hAnsi="宋体" w:eastAsia="宋体" w:cs="宋体"/>
                <w:sz w:val="21"/>
                <w:szCs w:val="21"/>
              </w:rPr>
              <w:t>优质钢管，安装使用方便。</w:t>
            </w:r>
          </w:p>
        </w:tc>
        <w:tc>
          <w:tcPr>
            <w:tcW w:w="4905" w:type="dxa"/>
            <w:noWrap w:val="0"/>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1037590</wp:posOffset>
                  </wp:positionH>
                  <wp:positionV relativeFrom="paragraph">
                    <wp:posOffset>127000</wp:posOffset>
                  </wp:positionV>
                  <wp:extent cx="774700" cy="520700"/>
                  <wp:effectExtent l="0" t="0" r="6350" b="12700"/>
                  <wp:wrapSquare wrapText="bothSides"/>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13"/>
                          <a:stretch>
                            <a:fillRect/>
                          </a:stretch>
                        </pic:blipFill>
                        <pic:spPr>
                          <a:xfrm>
                            <a:off x="0" y="0"/>
                            <a:ext cx="774700" cy="520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w:t>
            </w:r>
          </w:p>
        </w:tc>
        <w:tc>
          <w:tcPr>
            <w:tcW w:w="5901" w:type="dxa"/>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b w:val="0"/>
                <w:bCs/>
                <w:i w:val="0"/>
                <w:iCs w:val="0"/>
                <w:caps w:val="0"/>
                <w:color w:val="000000"/>
                <w:spacing w:val="0"/>
                <w:sz w:val="21"/>
                <w:szCs w:val="21"/>
              </w:rPr>
            </w:pPr>
            <w:r>
              <w:rPr>
                <w:rFonts w:hint="eastAsia" w:ascii="宋体" w:hAnsi="宋体" w:eastAsia="宋体" w:cs="宋体"/>
                <w:bCs/>
                <w:kern w:val="0"/>
                <w:sz w:val="21"/>
                <w:szCs w:val="21"/>
                <w:lang w:val="en-US" w:eastAsia="zh-CN"/>
              </w:rPr>
              <w:t>227*94*62cm，</w:t>
            </w:r>
            <w:r>
              <w:rPr>
                <w:rFonts w:hint="eastAsia" w:ascii="宋体" w:hAnsi="宋体" w:eastAsia="宋体" w:cs="宋体"/>
                <w:bCs/>
                <w:kern w:val="0"/>
                <w:sz w:val="21"/>
                <w:szCs w:val="21"/>
              </w:rPr>
              <w:t>进口工程塑料</w:t>
            </w:r>
            <w:r>
              <w:rPr>
                <w:rFonts w:hint="eastAsia" w:ascii="宋体" w:hAnsi="宋体" w:eastAsia="宋体" w:cs="宋体"/>
                <w:bCs/>
                <w:kern w:val="0"/>
                <w:sz w:val="21"/>
                <w:szCs w:val="21"/>
                <w:lang w:val="en-US" w:eastAsia="zh-CN"/>
              </w:rPr>
              <w:t>12个</w:t>
            </w:r>
            <w:r>
              <w:rPr>
                <w:rFonts w:hint="eastAsia" w:ascii="宋体" w:hAnsi="宋体" w:eastAsia="宋体" w:cs="宋体"/>
                <w:bCs/>
                <w:kern w:val="0"/>
                <w:sz w:val="21"/>
                <w:szCs w:val="21"/>
                <w:lang w:eastAsia="zh-CN"/>
              </w:rPr>
              <w:t>八角</w:t>
            </w:r>
            <w:r>
              <w:rPr>
                <w:rFonts w:hint="eastAsia" w:ascii="宋体" w:hAnsi="宋体" w:eastAsia="宋体" w:cs="宋体"/>
                <w:bCs/>
                <w:kern w:val="0"/>
                <w:sz w:val="21"/>
                <w:szCs w:val="21"/>
              </w:rPr>
              <w:t>盘直径33厘米,</w:t>
            </w:r>
            <w:r>
              <w:rPr>
                <w:rFonts w:hint="eastAsia" w:ascii="宋体" w:hAnsi="宋体" w:eastAsia="宋体" w:cs="宋体"/>
                <w:bCs/>
                <w:kern w:val="0"/>
                <w:sz w:val="21"/>
                <w:szCs w:val="21"/>
                <w:lang w:eastAsia="zh-CN"/>
              </w:rPr>
              <w:t>搭配彩色</w:t>
            </w:r>
            <w:r>
              <w:rPr>
                <w:rFonts w:hint="eastAsia" w:ascii="宋体" w:hAnsi="宋体" w:eastAsia="宋体" w:cs="宋体"/>
                <w:bCs/>
                <w:kern w:val="0"/>
                <w:sz w:val="21"/>
                <w:szCs w:val="21"/>
                <w:lang w:val="en-US" w:eastAsia="zh-CN"/>
              </w:rPr>
              <w:t>PVC管道</w:t>
            </w:r>
            <w:r>
              <w:rPr>
                <w:rFonts w:hint="eastAsia" w:ascii="宋体" w:hAnsi="宋体" w:eastAsia="宋体" w:cs="宋体"/>
                <w:bCs/>
                <w:kern w:val="0"/>
                <w:sz w:val="21"/>
                <w:szCs w:val="21"/>
              </w:rPr>
              <w:t>.</w:t>
            </w:r>
            <w:r>
              <w:rPr>
                <w:rStyle w:val="36"/>
                <w:rFonts w:hint="eastAsia" w:ascii="宋体" w:hAnsi="宋体" w:eastAsia="宋体" w:cs="宋体"/>
                <w:b w:val="0"/>
                <w:bCs/>
                <w:i w:val="0"/>
                <w:iCs w:val="0"/>
                <w:caps w:val="0"/>
                <w:color w:val="000000"/>
                <w:spacing w:val="0"/>
                <w:kern w:val="0"/>
                <w:sz w:val="21"/>
                <w:szCs w:val="21"/>
                <w:shd w:val="clear" w:color="auto" w:fill="FFFFFF"/>
                <w:lang w:val="en-US" w:eastAsia="zh-CN" w:bidi="ar"/>
              </w:rPr>
              <w:t>锻炼幼儿走、爬、跳等平衡动</w:t>
            </w:r>
          </w:p>
          <w:p>
            <w:pPr>
              <w:jc w:val="both"/>
              <w:rPr>
                <w:rFonts w:hint="eastAsia" w:ascii="宋体" w:hAnsi="宋体" w:eastAsia="宋体" w:cs="宋体"/>
                <w:sz w:val="21"/>
                <w:szCs w:val="21"/>
                <w:vertAlign w:val="baseline"/>
              </w:rPr>
            </w:pPr>
            <w:r>
              <w:rPr>
                <w:rStyle w:val="36"/>
                <w:rFonts w:hint="eastAsia" w:ascii="宋体" w:hAnsi="宋体" w:eastAsia="宋体" w:cs="宋体"/>
                <w:b w:val="0"/>
                <w:bCs/>
                <w:i w:val="0"/>
                <w:iCs w:val="0"/>
                <w:caps w:val="0"/>
                <w:color w:val="000000"/>
                <w:spacing w:val="0"/>
                <w:kern w:val="0"/>
                <w:sz w:val="21"/>
                <w:szCs w:val="21"/>
                <w:shd w:val="clear" w:color="auto" w:fill="FFFFFF"/>
                <w:lang w:val="en-US" w:eastAsia="zh-CN" w:bidi="ar"/>
              </w:rPr>
              <w:t>作。色彩鲜艳，适用于各种气候环境，耐紫外线照射，颜色持久不退；产品保证安全，耐用可靠，使用寿命长。</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85825" cy="650875"/>
                  <wp:effectExtent l="0" t="0" r="9525" b="1587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4"/>
                          <a:stretch>
                            <a:fillRect/>
                          </a:stretch>
                        </pic:blipFill>
                        <pic:spPr>
                          <a:xfrm>
                            <a:off x="0" y="0"/>
                            <a:ext cx="885825" cy="650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w:t>
            </w:r>
          </w:p>
        </w:tc>
        <w:tc>
          <w:tcPr>
            <w:tcW w:w="5901" w:type="dxa"/>
            <w:noWrap w:val="0"/>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b w:val="0"/>
                <w:bCs/>
                <w:i w:val="0"/>
                <w:iCs w:val="0"/>
                <w:caps w:val="0"/>
                <w:color w:val="000000"/>
                <w:spacing w:val="0"/>
                <w:sz w:val="21"/>
                <w:szCs w:val="21"/>
              </w:rPr>
            </w:pPr>
            <w:r>
              <w:rPr>
                <w:rFonts w:hint="eastAsia" w:ascii="宋体" w:hAnsi="宋体" w:eastAsia="宋体" w:cs="宋体"/>
                <w:bCs/>
                <w:kern w:val="0"/>
                <w:sz w:val="21"/>
                <w:szCs w:val="21"/>
                <w:lang w:val="en-US" w:eastAsia="zh-CN"/>
              </w:rPr>
              <w:t>240*120*85cm，</w:t>
            </w:r>
            <w:r>
              <w:rPr>
                <w:rFonts w:hint="eastAsia" w:ascii="宋体" w:hAnsi="宋体" w:eastAsia="宋体" w:cs="宋体"/>
                <w:bCs/>
                <w:kern w:val="0"/>
                <w:sz w:val="21"/>
                <w:szCs w:val="21"/>
              </w:rPr>
              <w:t>进口工程塑料圆盘</w:t>
            </w:r>
            <w:r>
              <w:rPr>
                <w:rFonts w:hint="eastAsia" w:ascii="宋体" w:hAnsi="宋体" w:eastAsia="宋体" w:cs="宋体"/>
                <w:bCs/>
                <w:kern w:val="0"/>
                <w:sz w:val="21"/>
                <w:szCs w:val="21"/>
                <w:lang w:val="en-US" w:eastAsia="zh-CN"/>
              </w:rPr>
              <w:t>64个，</w:t>
            </w:r>
            <w:r>
              <w:rPr>
                <w:rFonts w:hint="eastAsia" w:ascii="宋体" w:hAnsi="宋体" w:eastAsia="宋体" w:cs="宋体"/>
                <w:bCs/>
                <w:kern w:val="0"/>
                <w:sz w:val="21"/>
                <w:szCs w:val="21"/>
              </w:rPr>
              <w:t>直径33厘米,</w:t>
            </w:r>
            <w:r>
              <w:rPr>
                <w:rFonts w:hint="eastAsia" w:ascii="宋体" w:hAnsi="宋体" w:eastAsia="宋体" w:cs="宋体"/>
                <w:bCs/>
                <w:kern w:val="0"/>
                <w:sz w:val="21"/>
                <w:szCs w:val="21"/>
                <w:lang w:eastAsia="zh-CN"/>
              </w:rPr>
              <w:t>搭配彩色</w:t>
            </w:r>
            <w:r>
              <w:rPr>
                <w:rFonts w:hint="eastAsia" w:ascii="宋体" w:hAnsi="宋体" w:eastAsia="宋体" w:cs="宋体"/>
                <w:bCs/>
                <w:kern w:val="0"/>
                <w:sz w:val="21"/>
                <w:szCs w:val="21"/>
                <w:lang w:val="en-US" w:eastAsia="zh-CN"/>
              </w:rPr>
              <w:t>PVC管道。</w:t>
            </w:r>
            <w:r>
              <w:rPr>
                <w:rFonts w:hint="eastAsia" w:ascii="宋体" w:hAnsi="宋体" w:eastAsia="宋体" w:cs="宋体"/>
                <w:bCs/>
                <w:kern w:val="0"/>
                <w:sz w:val="21"/>
                <w:szCs w:val="21"/>
                <w:lang w:eastAsia="zh-CN"/>
              </w:rPr>
              <w:t>此产品</w:t>
            </w:r>
            <w:r>
              <w:rPr>
                <w:rStyle w:val="36"/>
                <w:rFonts w:hint="eastAsia" w:ascii="宋体" w:hAnsi="宋体" w:eastAsia="宋体" w:cs="宋体"/>
                <w:b w:val="0"/>
                <w:bCs/>
                <w:i w:val="0"/>
                <w:iCs w:val="0"/>
                <w:caps w:val="0"/>
                <w:color w:val="000000"/>
                <w:spacing w:val="0"/>
                <w:kern w:val="0"/>
                <w:sz w:val="21"/>
                <w:szCs w:val="21"/>
                <w:shd w:val="clear" w:color="auto" w:fill="FFFFFF"/>
                <w:lang w:val="en-US" w:eastAsia="zh-CN" w:bidi="ar"/>
              </w:rPr>
              <w:t>着重儿童身心的均衡发展；设计新颖突出，含有挑战性，锻炼走、爬、跳、滚等平衡动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b w:val="0"/>
                <w:bCs/>
                <w:i w:val="0"/>
                <w:iCs w:val="0"/>
                <w:caps w:val="0"/>
                <w:color w:val="000000"/>
                <w:spacing w:val="0"/>
                <w:sz w:val="21"/>
                <w:szCs w:val="21"/>
              </w:rPr>
            </w:pPr>
            <w:r>
              <w:rPr>
                <w:rStyle w:val="36"/>
                <w:rFonts w:hint="eastAsia" w:ascii="宋体" w:hAnsi="宋体" w:eastAsia="宋体" w:cs="宋体"/>
                <w:b w:val="0"/>
                <w:bCs/>
                <w:i w:val="0"/>
                <w:iCs w:val="0"/>
                <w:caps w:val="0"/>
                <w:color w:val="000000"/>
                <w:spacing w:val="0"/>
                <w:kern w:val="0"/>
                <w:sz w:val="21"/>
                <w:szCs w:val="21"/>
                <w:shd w:val="clear" w:color="auto" w:fill="FFFFFF"/>
                <w:lang w:val="en-US" w:eastAsia="zh-CN" w:bidi="ar"/>
              </w:rPr>
              <w:t>作。色彩鲜艳，适用于各种气候环境，耐紫外线照射，颜色持久不退；产品保证安全，耐用可靠，使用寿命长。</w:t>
            </w:r>
          </w:p>
          <w:p>
            <w:pPr>
              <w:jc w:val="both"/>
              <w:rPr>
                <w:rFonts w:hint="eastAsia" w:ascii="宋体" w:hAnsi="宋体" w:eastAsia="宋体" w:cs="宋体"/>
                <w:bCs/>
                <w:kern w:val="0"/>
                <w:sz w:val="21"/>
                <w:szCs w:val="21"/>
                <w:lang w:val="en-US" w:eastAsia="zh-CN"/>
              </w:rPr>
            </w:pPr>
          </w:p>
        </w:tc>
        <w:tc>
          <w:tcPr>
            <w:tcW w:w="4905" w:type="dxa"/>
            <w:noWrap w:val="0"/>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rPr>
              <w:drawing>
                <wp:inline distT="0" distB="0" distL="114300" distR="114300">
                  <wp:extent cx="1005840" cy="619125"/>
                  <wp:effectExtent l="0" t="0" r="3810" b="952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5"/>
                          <a:stretch>
                            <a:fillRect/>
                          </a:stretch>
                        </pic:blipFill>
                        <pic:spPr>
                          <a:xfrm>
                            <a:off x="0" y="0"/>
                            <a:ext cx="1005840" cy="619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攀爬组合</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ind w:firstLine="420" w:firstLineChars="200"/>
              <w:jc w:val="left"/>
              <w:rPr>
                <w:rFonts w:hint="eastAsia" w:ascii="宋体" w:hAnsi="宋体" w:eastAsia="宋体" w:cs="宋体"/>
                <w:sz w:val="21"/>
                <w:szCs w:val="21"/>
              </w:rPr>
            </w:pPr>
            <w:r>
              <w:rPr>
                <w:rFonts w:hint="eastAsia" w:ascii="宋体" w:hAnsi="宋体" w:eastAsia="宋体" w:cs="宋体"/>
                <w:bCs/>
                <w:kern w:val="0"/>
                <w:sz w:val="21"/>
                <w:szCs w:val="21"/>
                <w:lang w:val="en-US" w:eastAsia="zh-CN"/>
              </w:rPr>
              <w:t>根据尺寸订制，</w:t>
            </w:r>
            <w:r>
              <w:rPr>
                <w:rFonts w:hint="eastAsia" w:ascii="宋体" w:hAnsi="宋体" w:eastAsia="宋体" w:cs="宋体"/>
                <w:sz w:val="21"/>
                <w:szCs w:val="21"/>
              </w:rPr>
              <w:t>1.材质：柳桉木弹性和透气性强，导热性能好且保养简单，各类铺材为不低于国家标准的环保粘剂和涂料，无色无味。安全性能高，结实耐用，坚固厚实。全圆边造型设计无任何棱角，毛刺，安全性能高。</w:t>
            </w:r>
            <w:r>
              <w:rPr>
                <w:rFonts w:hint="eastAsia" w:ascii="宋体" w:hAnsi="宋体" w:eastAsia="宋体" w:cs="宋体"/>
                <w:sz w:val="21"/>
                <w:szCs w:val="21"/>
                <w:lang w:val="en-US" w:eastAsia="zh-CN"/>
              </w:rPr>
              <w:t>2</w:t>
            </w:r>
            <w:r>
              <w:rPr>
                <w:rFonts w:hint="eastAsia" w:ascii="宋体" w:hAnsi="宋体" w:eastAsia="宋体" w:cs="宋体"/>
                <w:sz w:val="21"/>
                <w:szCs w:val="21"/>
              </w:rPr>
              <w:t>.油漆：必须为环保型油漆，甲醛释放量等各项技术指标达到国家EO级环保标准。</w:t>
            </w:r>
          </w:p>
          <w:p>
            <w:pPr>
              <w:ind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.绳网：船舶用绳，内含0.4CM直径钢丝，胶套防护。</w:t>
            </w:r>
          </w:p>
          <w:p>
            <w:pPr>
              <w:ind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.整套设施结构稳固，各连接部位安全可靠，滚塑件表面光滑无毛边，无凸点和凹痕。钢制部件棱角采用圆滑过渡，格局安全性，设施和基础链接牢固，稳定性好。</w:t>
            </w:r>
          </w:p>
          <w:p>
            <w:pPr>
              <w:jc w:val="both"/>
              <w:rPr>
                <w:rFonts w:hint="eastAsia" w:ascii="宋体" w:hAnsi="宋体" w:eastAsia="宋体" w:cs="宋体"/>
                <w:bCs/>
                <w:kern w:val="0"/>
                <w:sz w:val="21"/>
                <w:szCs w:val="21"/>
                <w:lang w:val="en-US" w:eastAsia="zh-CN"/>
              </w:rPr>
            </w:pPr>
            <w:r>
              <w:rPr>
                <w:rFonts w:hint="eastAsia" w:ascii="宋体" w:hAnsi="宋体" w:eastAsia="宋体" w:cs="宋体"/>
                <w:color w:val="000000"/>
                <w:sz w:val="21"/>
                <w:szCs w:val="21"/>
                <w:lang w:eastAsia="zh-CN"/>
              </w:rPr>
              <w:t>▲</w:t>
            </w:r>
            <w:r>
              <w:rPr>
                <w:rFonts w:hint="eastAsia" w:ascii="宋体" w:hAnsi="宋体" w:eastAsia="宋体" w:cs="宋体"/>
                <w:bCs/>
                <w:color w:val="000000"/>
                <w:kern w:val="0"/>
                <w:sz w:val="21"/>
                <w:szCs w:val="21"/>
              </w:rPr>
              <w:t>需提供由CQC出具的中国环保产品认证证书（儿童木制家具）</w:t>
            </w:r>
            <w:r>
              <w:rPr>
                <w:rFonts w:hint="eastAsia" w:ascii="宋体" w:hAnsi="宋体" w:eastAsia="宋体" w:cs="宋体"/>
                <w:bCs/>
                <w:sz w:val="21"/>
                <w:szCs w:val="21"/>
                <w:lang w:eastAsia="zh-CN"/>
              </w:rPr>
              <w:t>▲</w:t>
            </w:r>
            <w:r>
              <w:rPr>
                <w:rFonts w:hint="eastAsia" w:ascii="宋体" w:hAnsi="宋体" w:eastAsia="宋体" w:cs="宋体"/>
                <w:bCs/>
                <w:sz w:val="21"/>
                <w:szCs w:val="21"/>
              </w:rPr>
              <w:t>产品制造企业提供能源管理体系符合ISO50001：2018和RB/T119-2015《能源管理体系机械制造企业认证要求》认证证书及官网查询截图</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57225" cy="1102995"/>
                  <wp:effectExtent l="0" t="0" r="9525" b="190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6"/>
                          <a:stretch>
                            <a:fillRect/>
                          </a:stretch>
                        </pic:blipFill>
                        <pic:spPr>
                          <a:xfrm>
                            <a:off x="0" y="0"/>
                            <a:ext cx="657225" cy="1102995"/>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506095" cy="1000760"/>
                  <wp:effectExtent l="0" t="0" r="8255" b="889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7"/>
                          <a:stretch>
                            <a:fillRect/>
                          </a:stretch>
                        </pic:blipFill>
                        <pic:spPr>
                          <a:xfrm>
                            <a:off x="0" y="0"/>
                            <a:ext cx="506095" cy="100076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710565" cy="594360"/>
                  <wp:effectExtent l="0" t="0" r="13335" b="1524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8"/>
                          <a:stretch>
                            <a:fillRect/>
                          </a:stretch>
                        </pic:blipFill>
                        <pic:spPr>
                          <a:xfrm>
                            <a:off x="0" y="0"/>
                            <a:ext cx="710565" cy="59436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933450" cy="1343025"/>
                  <wp:effectExtent l="0" t="0" r="0" b="952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19"/>
                          <a:stretch>
                            <a:fillRect/>
                          </a:stretch>
                        </pic:blipFill>
                        <pic:spPr>
                          <a:xfrm>
                            <a:off x="0" y="0"/>
                            <a:ext cx="933450" cy="1343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1"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ind w:firstLine="420" w:firstLineChars="200"/>
              <w:jc w:val="left"/>
              <w:rPr>
                <w:rFonts w:hint="eastAsia" w:ascii="宋体" w:hAnsi="宋体" w:eastAsia="宋体" w:cs="宋体"/>
                <w:sz w:val="21"/>
                <w:szCs w:val="21"/>
              </w:rPr>
            </w:pPr>
            <w:r>
              <w:rPr>
                <w:rFonts w:hint="eastAsia" w:ascii="宋体" w:hAnsi="宋体" w:eastAsia="宋体" w:cs="宋体"/>
                <w:sz w:val="21"/>
                <w:szCs w:val="21"/>
              </w:rPr>
              <w:t>1.规格：16件/套 优质严寒地带大自然樟子松木，经过防腐工序处理, 配置6敦4梯6个桥，敦子规格：80×53×100cm（3个），80×42×70cm（3个），梯子规格：180×35cm（4个），桥板规格：180×18cm（6个），无棱角、无毛刺，手感细腻。可以调节不同高度，用梯子拼塔后，进行平衡运动，可随便移动调整。圆角设计，外表一层清水漆，防蛀虫、酸雨，材质坚硬,强度和韧性较高,抗震性能很好,抗腐蚀性。</w:t>
            </w:r>
          </w:p>
          <w:p>
            <w:pPr>
              <w:jc w:val="both"/>
              <w:rPr>
                <w:rFonts w:hint="eastAsia" w:ascii="宋体" w:hAnsi="宋体" w:eastAsia="宋体" w:cs="宋体"/>
                <w:sz w:val="21"/>
                <w:szCs w:val="21"/>
                <w:vertAlign w:val="baseline"/>
              </w:rPr>
            </w:pPr>
            <w:r>
              <w:rPr>
                <w:rFonts w:hint="eastAsia" w:ascii="宋体" w:hAnsi="宋体" w:eastAsia="宋体" w:cs="宋体"/>
                <w:sz w:val="21"/>
                <w:szCs w:val="21"/>
              </w:rPr>
              <w:t>2.甲醛释放量≤1.5mg/L，符合GB6675-2014《国家玩具安全技术规范》</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016635" cy="807085"/>
                  <wp:effectExtent l="0" t="0" r="12065" b="1206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0"/>
                          <a:stretch>
                            <a:fillRect/>
                          </a:stretch>
                        </pic:blipFill>
                        <pic:spPr>
                          <a:xfrm>
                            <a:off x="0" y="0"/>
                            <a:ext cx="1016635" cy="8070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9" w:hRule="atLeast"/>
        </w:trPr>
        <w:tc>
          <w:tcPr>
            <w:tcW w:w="1548" w:type="dxa"/>
            <w:noWrap w:val="0"/>
            <w:vAlign w:val="center"/>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户外拓展训练组合</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A</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 xml:space="preserve">木质类：主体进口巴蒂木。经专业加工后，表面进行防腐、防火、防蛀处理，后采用原子灰进行两次刮灰抹平，并打磨光滑，表面再喷室外专用PU环保油性面漆                                       </w:t>
            </w:r>
          </w:p>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B</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金属类：扣件采用铝制铸造成型，表面经打磨喷砂后采用静电喷涂烤漆（</w:t>
            </w:r>
            <w:r>
              <w:rPr>
                <w:rFonts w:hint="eastAsia" w:ascii="宋体" w:hAnsi="宋体" w:eastAsia="宋体" w:cs="宋体"/>
                <w:sz w:val="21"/>
                <w:szCs w:val="21"/>
                <w:highlight w:val="none"/>
                <w:vertAlign w:val="baseline"/>
              </w:rPr>
              <w:t>环保塑粉</w:t>
            </w:r>
            <w:r>
              <w:rPr>
                <w:rFonts w:hint="eastAsia" w:ascii="宋体" w:hAnsi="宋体" w:eastAsia="宋体" w:cs="宋体"/>
                <w:sz w:val="21"/>
                <w:szCs w:val="21"/>
                <w:vertAlign w:val="baseline"/>
              </w:rPr>
              <w:t>）。滑梯采用304不锈钢经加工成型，滑梯滑道部分采用不锈钢，</w:t>
            </w:r>
          </w:p>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C</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 xml:space="preserve">塑料类：采用高强度PE板雕刻成型；                                                              </w:t>
            </w:r>
          </w:p>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D</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 xml:space="preserve">配件：304不锈钢螺丝                              </w:t>
            </w:r>
          </w:p>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E</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连接件：主体连接为铝制扣件与钢管，钢管直径为32mm，钢管壁厚1.5,mm，钢管长度为为723mm和1532mm两种，表面经打磨喷砂后采用静电喷涂烤漆（</w:t>
            </w:r>
            <w:r>
              <w:rPr>
                <w:rFonts w:hint="eastAsia" w:ascii="宋体" w:hAnsi="宋体" w:eastAsia="宋体" w:cs="宋体"/>
                <w:sz w:val="21"/>
                <w:szCs w:val="21"/>
                <w:highlight w:val="none"/>
                <w:vertAlign w:val="baseline"/>
              </w:rPr>
              <w:t>环保塑粉</w:t>
            </w:r>
            <w:r>
              <w:rPr>
                <w:rFonts w:hint="eastAsia" w:ascii="宋体" w:hAnsi="宋体" w:eastAsia="宋体" w:cs="宋体"/>
                <w:sz w:val="21"/>
                <w:szCs w:val="21"/>
                <w:vertAlign w:val="baseline"/>
              </w:rPr>
              <w:t>）</w:t>
            </w:r>
          </w:p>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F</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整套设备安全环保、耐候性好、不易老化、不易褪色、不易生锈、防腐、防火、防蛀</w:t>
            </w:r>
          </w:p>
          <w:p>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G</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 xml:space="preserve">主体柱采用60mm*60mm方柱，采用原子灰进行两次刮灰抹平，并打磨光滑，圆角处理，表面再喷室外专用PU环保油性面漆，平台尺寸799.6mm*799.6mm，滑梯：高881mm地面直线长度1475.95mm  </w:t>
            </w:r>
          </w:p>
          <w:p>
            <w:pPr>
              <w:jc w:val="left"/>
              <w:rPr>
                <w:rFonts w:hint="eastAsia" w:ascii="宋体" w:hAnsi="宋体" w:eastAsia="宋体" w:cs="宋体"/>
                <w:sz w:val="21"/>
                <w:szCs w:val="21"/>
                <w:vertAlign w:val="baseline"/>
              </w:rPr>
            </w:pPr>
          </w:p>
          <w:p>
            <w:pPr>
              <w:jc w:val="left"/>
              <w:rPr>
                <w:rFonts w:hint="eastAsia" w:ascii="宋体" w:hAnsi="宋体" w:eastAsia="宋体" w:cs="宋体"/>
                <w:sz w:val="21"/>
                <w:szCs w:val="21"/>
                <w:vertAlign w:val="baseline"/>
                <w:lang w:val="en-US" w:eastAsia="zh-CN"/>
              </w:rPr>
            </w:pPr>
            <w:r>
              <w:rPr>
                <w:rFonts w:hint="eastAsia" w:ascii="宋体" w:hAnsi="宋体" w:eastAsia="宋体" w:cs="宋体"/>
                <w:bCs/>
                <w:kern w:val="0"/>
                <w:sz w:val="21"/>
                <w:szCs w:val="21"/>
                <w:lang w:eastAsia="zh-CN"/>
              </w:rPr>
              <w:t>▲</w:t>
            </w:r>
            <w:r>
              <w:rPr>
                <w:rFonts w:hint="eastAsia" w:ascii="宋体" w:hAnsi="宋体" w:eastAsia="宋体" w:cs="宋体"/>
                <w:sz w:val="21"/>
                <w:szCs w:val="21"/>
                <w:vertAlign w:val="baseline"/>
                <w:lang w:val="en-US" w:eastAsia="zh-CN"/>
              </w:rPr>
              <w:t>提供扣件、木制件、螺丝、铁件检测报告。</w:t>
            </w:r>
          </w:p>
        </w:tc>
        <w:tc>
          <w:tcPr>
            <w:tcW w:w="4905" w:type="dxa"/>
            <w:noWrap w:val="0"/>
            <w:vAlign w:val="center"/>
          </w:tcPr>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823595</wp:posOffset>
                  </wp:positionH>
                  <wp:positionV relativeFrom="paragraph">
                    <wp:posOffset>79375</wp:posOffset>
                  </wp:positionV>
                  <wp:extent cx="1336675" cy="574675"/>
                  <wp:effectExtent l="0" t="0" r="15875" b="15875"/>
                  <wp:wrapSquare wrapText="bothSides"/>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1"/>
                          <a:stretch>
                            <a:fillRect/>
                          </a:stretch>
                        </pic:blipFill>
                        <pic:spPr>
                          <a:xfrm>
                            <a:off x="0" y="0"/>
                            <a:ext cx="1336675" cy="574675"/>
                          </a:xfrm>
                          <a:prstGeom prst="rect">
                            <a:avLst/>
                          </a:prstGeom>
                          <a:noFill/>
                          <a:ln>
                            <a:noFill/>
                          </a:ln>
                        </pic:spPr>
                      </pic:pic>
                    </a:graphicData>
                  </a:graphic>
                </wp:anchor>
              </w:drawing>
            </w: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p>
            <w:pPr>
              <w:jc w:val="center"/>
              <w:rPr>
                <w:rFonts w:hint="eastAsia" w:ascii="宋体" w:hAnsi="宋体" w:eastAsia="宋体" w:cs="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bCs/>
                <w:kern w:val="0"/>
                <w:sz w:val="21"/>
                <w:szCs w:val="21"/>
                <w:lang w:eastAsia="zh-CN"/>
              </w:rPr>
              <w:t xml:space="preserve">凭证装订机 </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 xml:space="preserve">1、凭证装订机  </w:t>
            </w:r>
          </w:p>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 xml:space="preserve">规格:装订厚度38的，装订厚度38边距15-30可调的 </w:t>
            </w:r>
          </w:p>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 xml:space="preserve">2、裁纸打孔一体器（档案）  </w:t>
            </w:r>
          </w:p>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规格:三孔</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101090" cy="1131570"/>
                  <wp:effectExtent l="0" t="0" r="3810" b="1143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2"/>
                          <a:stretch>
                            <a:fillRect/>
                          </a:stretch>
                        </pic:blipFill>
                        <pic:spPr>
                          <a:xfrm>
                            <a:off x="0" y="0"/>
                            <a:ext cx="1101090" cy="11315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沙发</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jc w:val="both"/>
              <w:rPr>
                <w:rFonts w:hint="eastAsia" w:ascii="宋体" w:hAnsi="宋体" w:eastAsia="宋体" w:cs="宋体"/>
                <w:kern w:val="0"/>
                <w:sz w:val="21"/>
                <w:szCs w:val="21"/>
              </w:rPr>
            </w:pPr>
            <w:r>
              <w:rPr>
                <w:rFonts w:hint="eastAsia" w:ascii="宋体" w:hAnsi="宋体" w:eastAsia="宋体" w:cs="宋体"/>
                <w:kern w:val="0"/>
                <w:sz w:val="21"/>
                <w:szCs w:val="21"/>
              </w:rPr>
              <w:t>1、材质：木制、环保 PU 耐磨皮、高密度泡棉。</w:t>
            </w:r>
          </w:p>
          <w:p>
            <w:pPr>
              <w:jc w:val="both"/>
              <w:rPr>
                <w:rFonts w:hint="eastAsia" w:ascii="宋体" w:hAnsi="宋体" w:eastAsia="宋体" w:cs="宋体"/>
                <w:kern w:val="0"/>
                <w:sz w:val="21"/>
                <w:szCs w:val="21"/>
              </w:rPr>
            </w:pPr>
            <w:r>
              <w:rPr>
                <w:rFonts w:hint="eastAsia" w:ascii="宋体" w:hAnsi="宋体" w:eastAsia="宋体" w:cs="宋体"/>
                <w:kern w:val="0"/>
                <w:sz w:val="21"/>
                <w:szCs w:val="21"/>
              </w:rPr>
              <w:t>2、尺寸：</w:t>
            </w:r>
            <w:r>
              <w:rPr>
                <w:rFonts w:hint="eastAsia" w:ascii="宋体" w:hAnsi="宋体" w:eastAsia="宋体" w:cs="宋体"/>
                <w:kern w:val="0"/>
                <w:sz w:val="21"/>
                <w:szCs w:val="21"/>
                <w:lang w:val="en-US" w:eastAsia="zh-CN"/>
              </w:rPr>
              <w:t>60</w:t>
            </w:r>
            <w:r>
              <w:rPr>
                <w:rFonts w:hint="eastAsia" w:ascii="宋体" w:hAnsi="宋体" w:eastAsia="宋体" w:cs="宋体"/>
                <w:kern w:val="0"/>
                <w:sz w:val="21"/>
                <w:szCs w:val="21"/>
              </w:rPr>
              <w:t>×4</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×5</w:t>
            </w:r>
            <w:r>
              <w:rPr>
                <w:rFonts w:hint="eastAsia" w:ascii="宋体" w:hAnsi="宋体" w:eastAsia="宋体" w:cs="宋体"/>
                <w:kern w:val="0"/>
                <w:sz w:val="21"/>
                <w:szCs w:val="21"/>
                <w:lang w:val="en-US" w:eastAsia="zh-CN"/>
              </w:rPr>
              <w:t>8</w:t>
            </w:r>
            <w:r>
              <w:rPr>
                <w:rFonts w:hint="eastAsia" w:ascii="宋体" w:hAnsi="宋体" w:eastAsia="宋体" w:cs="宋体"/>
                <w:kern w:val="0"/>
                <w:sz w:val="21"/>
                <w:szCs w:val="21"/>
              </w:rPr>
              <w:t>cm。</w:t>
            </w:r>
          </w:p>
          <w:p>
            <w:pPr>
              <w:jc w:val="both"/>
              <w:rPr>
                <w:rFonts w:hint="eastAsia" w:ascii="宋体" w:hAnsi="宋体" w:eastAsia="宋体" w:cs="宋体"/>
                <w:bCs/>
                <w:kern w:val="0"/>
                <w:sz w:val="21"/>
                <w:szCs w:val="21"/>
                <w:lang w:eastAsia="zh-CN"/>
              </w:rPr>
            </w:pPr>
            <w:r>
              <w:rPr>
                <w:rFonts w:hint="eastAsia" w:ascii="宋体" w:hAnsi="宋体" w:eastAsia="宋体" w:cs="宋体"/>
                <w:kern w:val="0"/>
                <w:sz w:val="21"/>
                <w:szCs w:val="21"/>
              </w:rPr>
              <w:t>3、采用木框架，环保 PU 耐磨皮和高密度泡棉包覆，沙发座脚采用实木。</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34845" cy="1225550"/>
                  <wp:effectExtent l="0" t="0" r="8255" b="1270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23"/>
                          <a:stretch>
                            <a:fillRect/>
                          </a:stretch>
                        </pic:blipFill>
                        <pic:spPr>
                          <a:xfrm>
                            <a:off x="0" y="0"/>
                            <a:ext cx="1934845" cy="12255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花架</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规格：1.2*0.4*1.2m</w:t>
            </w:r>
          </w:p>
          <w:p>
            <w:pPr>
              <w:jc w:val="left"/>
              <w:rPr>
                <w:rFonts w:hint="eastAsia" w:ascii="宋体" w:hAnsi="宋体" w:eastAsia="宋体" w:cs="宋体"/>
                <w:bCs/>
                <w:kern w:val="0"/>
                <w:sz w:val="21"/>
                <w:szCs w:val="21"/>
                <w:lang w:eastAsia="zh-CN"/>
              </w:rPr>
            </w:pPr>
            <w:r>
              <w:rPr>
                <w:rFonts w:hint="eastAsia" w:ascii="宋体" w:hAnsi="宋体" w:eastAsia="宋体" w:cs="宋体"/>
                <w:sz w:val="21"/>
                <w:szCs w:val="21"/>
              </w:rPr>
              <w:t>材质：采用1.5cm厚进口樟子松，光滑无毛刺,环保漆无味。</w:t>
            </w:r>
            <w:r>
              <w:rPr>
                <w:rFonts w:hint="eastAsia" w:ascii="宋体" w:hAnsi="宋体" w:eastAsia="宋体" w:cs="宋体"/>
                <w:sz w:val="21"/>
                <w:szCs w:val="21"/>
                <w:lang w:eastAsia="zh-CN"/>
              </w:rPr>
              <w:t>▲</w:t>
            </w:r>
            <w:r>
              <w:rPr>
                <w:rFonts w:hint="eastAsia" w:ascii="宋体" w:hAnsi="宋体" w:eastAsia="宋体" w:cs="宋体"/>
                <w:sz w:val="21"/>
                <w:szCs w:val="21"/>
              </w:rPr>
              <w:t xml:space="preserve">产品须达到《儿童家具通用技术条件》（GB28007-2011）标准要求，需提供第三方检测机构出具的有“CMA”（中国计量认证）认证标识，且检验报告中需有“安全要求、警示标识、有害物质限量、甲醛释放量”检测项目并提供国家级检验报告. </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46455" cy="1242695"/>
                  <wp:effectExtent l="0" t="0" r="10795" b="1460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4"/>
                          <a:stretch>
                            <a:fillRect/>
                          </a:stretch>
                        </pic:blipFill>
                        <pic:spPr>
                          <a:xfrm>
                            <a:off x="0" y="0"/>
                            <a:ext cx="846455" cy="12426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花架</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规格：1.2*0.4*1.2m</w:t>
            </w:r>
          </w:p>
          <w:p>
            <w:pPr>
              <w:jc w:val="left"/>
              <w:rPr>
                <w:rFonts w:hint="eastAsia" w:ascii="宋体" w:hAnsi="宋体" w:eastAsia="宋体" w:cs="宋体"/>
                <w:bCs/>
                <w:kern w:val="0"/>
                <w:sz w:val="21"/>
                <w:szCs w:val="21"/>
                <w:lang w:eastAsia="zh-CN"/>
              </w:rPr>
            </w:pPr>
            <w:r>
              <w:rPr>
                <w:rFonts w:hint="eastAsia" w:ascii="宋体" w:hAnsi="宋体" w:eastAsia="宋体" w:cs="宋体"/>
                <w:sz w:val="21"/>
                <w:szCs w:val="21"/>
              </w:rPr>
              <w:t>材质：采用1.5cm厚进口樟子松，光滑无毛刺,环保漆无味。</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603375" cy="1699895"/>
                  <wp:effectExtent l="0" t="0" r="15875" b="14605"/>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25"/>
                          <a:stretch>
                            <a:fillRect/>
                          </a:stretch>
                        </pic:blipFill>
                        <pic:spPr>
                          <a:xfrm>
                            <a:off x="0" y="0"/>
                            <a:ext cx="1603375" cy="1699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花架</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规格：1.2*0.4*1.2m</w:t>
            </w:r>
          </w:p>
          <w:p>
            <w:pPr>
              <w:jc w:val="left"/>
              <w:rPr>
                <w:rFonts w:hint="eastAsia" w:ascii="宋体" w:hAnsi="宋体" w:eastAsia="宋体" w:cs="宋体"/>
                <w:bCs/>
                <w:kern w:val="0"/>
                <w:sz w:val="21"/>
                <w:szCs w:val="21"/>
                <w:lang w:eastAsia="zh-CN"/>
              </w:rPr>
            </w:pPr>
            <w:r>
              <w:rPr>
                <w:rFonts w:hint="eastAsia" w:ascii="宋体" w:hAnsi="宋体" w:eastAsia="宋体" w:cs="宋体"/>
                <w:sz w:val="21"/>
                <w:szCs w:val="21"/>
              </w:rPr>
              <w:t>材质：采用1.5cm厚进口樟子松，光滑无毛刺,环保漆无味。</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424940" cy="1752600"/>
                  <wp:effectExtent l="0" t="0" r="3810" b="0"/>
                  <wp:docPr id="8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1"/>
                          </pic:cNvPicPr>
                        </pic:nvPicPr>
                        <pic:blipFill>
                          <a:blip r:embed="rId26"/>
                          <a:stretch>
                            <a:fillRect/>
                          </a:stretch>
                        </pic:blipFill>
                        <pic:spPr>
                          <a:xfrm>
                            <a:off x="0" y="0"/>
                            <a:ext cx="1424940" cy="1752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花架</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规格：1.2*0.4*1.2m</w:t>
            </w:r>
          </w:p>
          <w:p>
            <w:pPr>
              <w:jc w:val="left"/>
              <w:rPr>
                <w:rFonts w:hint="eastAsia" w:ascii="宋体" w:hAnsi="宋体" w:eastAsia="宋体" w:cs="宋体"/>
                <w:bCs/>
                <w:kern w:val="0"/>
                <w:sz w:val="21"/>
                <w:szCs w:val="21"/>
                <w:lang w:eastAsia="zh-CN"/>
              </w:rPr>
            </w:pPr>
            <w:r>
              <w:rPr>
                <w:rFonts w:hint="eastAsia" w:ascii="宋体" w:hAnsi="宋体" w:eastAsia="宋体" w:cs="宋体"/>
                <w:sz w:val="21"/>
                <w:szCs w:val="21"/>
              </w:rPr>
              <w:t>材质：采用1.5cm厚进口樟子松，光滑无毛刺,环保漆无味。</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363980" cy="1731645"/>
                  <wp:effectExtent l="0" t="0" r="7620" b="1905"/>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27"/>
                          <a:stretch>
                            <a:fillRect/>
                          </a:stretch>
                        </pic:blipFill>
                        <pic:spPr>
                          <a:xfrm>
                            <a:off x="0" y="0"/>
                            <a:ext cx="1363980" cy="1731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花架</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规格：1.2*0.4*1.2m</w:t>
            </w:r>
          </w:p>
          <w:p>
            <w:pPr>
              <w:jc w:val="left"/>
              <w:rPr>
                <w:rFonts w:hint="eastAsia" w:ascii="宋体" w:hAnsi="宋体" w:eastAsia="宋体" w:cs="宋体"/>
                <w:bCs/>
                <w:kern w:val="0"/>
                <w:sz w:val="21"/>
                <w:szCs w:val="21"/>
                <w:lang w:eastAsia="zh-CN"/>
              </w:rPr>
            </w:pPr>
            <w:r>
              <w:rPr>
                <w:rFonts w:hint="eastAsia" w:ascii="宋体" w:hAnsi="宋体" w:eastAsia="宋体" w:cs="宋体"/>
                <w:sz w:val="21"/>
                <w:szCs w:val="21"/>
              </w:rPr>
              <w:t>材质：采用1.5cm厚进口樟子松，光滑无毛刺,环保漆无味。</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078230" cy="1522730"/>
                  <wp:effectExtent l="0" t="0" r="7620" b="127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28"/>
                          <a:stretch>
                            <a:fillRect/>
                          </a:stretch>
                        </pic:blipFill>
                        <pic:spPr>
                          <a:xfrm>
                            <a:off x="0" y="0"/>
                            <a:ext cx="1078230" cy="15227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花架</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长1.0*0.4*1.02m，加厚铁艺花架。</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400175" cy="1633220"/>
                  <wp:effectExtent l="0" t="0" r="9525" b="5080"/>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29"/>
                          <a:stretch>
                            <a:fillRect/>
                          </a:stretch>
                        </pic:blipFill>
                        <pic:spPr>
                          <a:xfrm>
                            <a:off x="0" y="0"/>
                            <a:ext cx="1400175" cy="16332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花架</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长80-100的可挂花架。</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952750" cy="1409700"/>
                  <wp:effectExtent l="0" t="0" r="0"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30"/>
                          <a:stretch>
                            <a:fillRect/>
                          </a:stretch>
                        </pic:blipFill>
                        <pic:spPr>
                          <a:xfrm>
                            <a:off x="0" y="0"/>
                            <a:ext cx="2952750" cy="1409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塑料整理筐</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150</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长：36cm 宽：26.5cm 高：9cm，</w:t>
            </w:r>
            <w:r>
              <w:rPr>
                <w:rFonts w:hint="eastAsia" w:ascii="宋体" w:hAnsi="宋体" w:eastAsia="宋体" w:cs="宋体"/>
                <w:sz w:val="21"/>
                <w:szCs w:val="21"/>
              </w:rPr>
              <w:t>环保材料无毒无味，耐老化、抗紫外线、防静电、颜料采用耐光性八级，在户外长期使用不褪色，大型正反转流水线注塑一次性成型。韧性好、高强度、两面都光滑、不会破裂、造型美、抗老化、抗静电、表面光滑亮光、色彩鲜艳、不褪色、经久耐用。</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71675" cy="982980"/>
                  <wp:effectExtent l="0" t="0" r="9525" b="7620"/>
                  <wp:docPr id="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pic:cNvPicPr>
                            <a:picLocks noChangeAspect="1"/>
                          </pic:cNvPicPr>
                        </pic:nvPicPr>
                        <pic:blipFill>
                          <a:blip r:embed="rId31"/>
                          <a:stretch>
                            <a:fillRect/>
                          </a:stretch>
                        </pic:blipFill>
                        <pic:spPr>
                          <a:xfrm>
                            <a:off x="0" y="0"/>
                            <a:ext cx="1971675" cy="9829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体操圈</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480</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红黄篮各160个，</w:t>
            </w:r>
            <w:r>
              <w:rPr>
                <w:rFonts w:hint="eastAsia" w:ascii="宋体" w:hAnsi="宋体" w:eastAsia="宋体" w:cs="宋体"/>
                <w:sz w:val="21"/>
                <w:szCs w:val="21"/>
              </w:rPr>
              <w:t>体操圈：直径18cm，采用环保工程塑料，色彩鲜艳，安全环保。</w:t>
            </w:r>
            <w:r>
              <w:rPr>
                <w:rFonts w:hint="eastAsia" w:ascii="宋体" w:hAnsi="宋体" w:eastAsia="宋体" w:cs="宋体"/>
                <w:sz w:val="21"/>
                <w:szCs w:val="21"/>
                <w:lang w:eastAsia="zh-CN"/>
              </w:rPr>
              <w:t>▲</w:t>
            </w:r>
            <w:r>
              <w:rPr>
                <w:rFonts w:hint="eastAsia" w:ascii="宋体" w:hAnsi="宋体" w:eastAsia="宋体" w:cs="宋体"/>
                <w:sz w:val="21"/>
                <w:szCs w:val="21"/>
              </w:rPr>
              <w:t>提供3C证书。</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85035" cy="1301750"/>
                  <wp:effectExtent l="0" t="0" r="5715" b="12700"/>
                  <wp:docPr id="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pic:cNvPicPr>
                            <a:picLocks noChangeAspect="1"/>
                          </pic:cNvPicPr>
                        </pic:nvPicPr>
                        <pic:blipFill>
                          <a:blip r:embed="rId32"/>
                          <a:stretch>
                            <a:fillRect/>
                          </a:stretch>
                        </pic:blipFill>
                        <pic:spPr>
                          <a:xfrm>
                            <a:off x="0" y="0"/>
                            <a:ext cx="2185035" cy="13017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档案盒</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200</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蓝色，23.5*5.5*32cm，柔韧性好，三层复合PP板，承载力强，耐用。</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781810" cy="1572895"/>
                  <wp:effectExtent l="0" t="0" r="8890" b="8255"/>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33"/>
                          <a:stretch>
                            <a:fillRect/>
                          </a:stretch>
                        </pic:blipFill>
                        <pic:spPr>
                          <a:xfrm>
                            <a:off x="0" y="0"/>
                            <a:ext cx="1781810" cy="1572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1548" w:type="dxa"/>
            <w:noWrap w:val="0"/>
            <w:vAlign w:val="center"/>
          </w:tcPr>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建构游戏材料箱子</w:t>
            </w:r>
          </w:p>
          <w:p>
            <w:pPr>
              <w:jc w:val="center"/>
              <w:rPr>
                <w:rFonts w:hint="eastAsia" w:ascii="宋体" w:hAnsi="宋体" w:eastAsia="宋体" w:cs="宋体"/>
                <w:sz w:val="21"/>
                <w:szCs w:val="21"/>
                <w:vertAlign w:val="baseline"/>
                <w:lang w:val="en-US" w:eastAsia="zh-CN"/>
              </w:rPr>
            </w:pP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40</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尺寸是：箱子上面：长61cm，宽45cm</w:t>
            </w:r>
          </w:p>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下底：长50cm，宽35cm，箱子高度37cm</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014855" cy="1440815"/>
                  <wp:effectExtent l="0" t="0" r="4445" b="6985"/>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34"/>
                          <a:stretch>
                            <a:fillRect/>
                          </a:stretch>
                        </pic:blipFill>
                        <pic:spPr>
                          <a:xfrm>
                            <a:off x="0" y="0"/>
                            <a:ext cx="2014855" cy="14408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置物箱</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60</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lang w:eastAsia="zh-CN"/>
              </w:rPr>
              <w:t>置物架的上面一层放园区的 蓝绿色箱子刚好，尺寸是：箱子上面：长53.5cm，宽40cm，下底：长44cm，宽30.5cm</w:t>
            </w:r>
          </w:p>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eastAsia="zh-CN"/>
              </w:rPr>
              <w:t>箱子高度32cm大中小号各</w:t>
            </w:r>
            <w:r>
              <w:rPr>
                <w:rFonts w:hint="eastAsia" w:ascii="宋体" w:hAnsi="宋体" w:eastAsia="宋体" w:cs="宋体"/>
                <w:bCs/>
                <w:kern w:val="0"/>
                <w:sz w:val="21"/>
                <w:szCs w:val="21"/>
                <w:lang w:val="en-US" w:eastAsia="zh-CN"/>
              </w:rPr>
              <w:t>20个</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461770" cy="1202690"/>
                  <wp:effectExtent l="0" t="0" r="5080" b="1651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35"/>
                          <a:stretch>
                            <a:fillRect/>
                          </a:stretch>
                        </pic:blipFill>
                        <pic:spPr>
                          <a:xfrm>
                            <a:off x="0" y="0"/>
                            <a:ext cx="1461770" cy="1202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神奇编织积木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sz w:val="21"/>
                <w:szCs w:val="21"/>
                <w:lang w:val="en-US" w:eastAsia="zh-CN"/>
              </w:rPr>
              <w:t>1408件，</w:t>
            </w:r>
            <w:r>
              <w:rPr>
                <w:rFonts w:hint="eastAsia" w:ascii="宋体" w:hAnsi="宋体" w:eastAsia="宋体" w:cs="宋体"/>
                <w:color w:val="000000"/>
                <w:kern w:val="0"/>
                <w:sz w:val="21"/>
                <w:szCs w:val="21"/>
              </w:rPr>
              <w:t>进口PP环保塑料，工艺：前沿注塑（光泽细腻 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03605" cy="1056005"/>
                  <wp:effectExtent l="0" t="0" r="10795" b="1079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36"/>
                          <a:stretch>
                            <a:fillRect/>
                          </a:stretch>
                        </pic:blipFill>
                        <pic:spPr>
                          <a:xfrm>
                            <a:off x="0" y="0"/>
                            <a:ext cx="903605" cy="10560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新百变积木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300件</w:t>
            </w:r>
            <w:r>
              <w:rPr>
                <w:rFonts w:hint="eastAsia" w:ascii="宋体" w:hAnsi="宋体" w:eastAsia="宋体" w:cs="宋体"/>
                <w:sz w:val="21"/>
                <w:szCs w:val="21"/>
                <w:lang w:val="en-US" w:eastAsia="zh-CN"/>
              </w:rPr>
              <w:t>，</w:t>
            </w:r>
            <w:r>
              <w:rPr>
                <w:rFonts w:hint="eastAsia" w:ascii="宋体" w:hAnsi="宋体" w:eastAsia="宋体" w:cs="宋体"/>
                <w:color w:val="000000"/>
                <w:kern w:val="0"/>
                <w:sz w:val="21"/>
                <w:szCs w:val="21"/>
              </w:rPr>
              <w:t>进口PP环保塑料，工艺：前沿注塑（光泽细腻 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51865" cy="1125220"/>
                  <wp:effectExtent l="0" t="0" r="635" b="1778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37"/>
                          <a:stretch>
                            <a:fillRect/>
                          </a:stretch>
                        </pic:blipFill>
                        <pic:spPr>
                          <a:xfrm>
                            <a:off x="0" y="0"/>
                            <a:ext cx="951865" cy="11252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新一代塑管</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408件，</w:t>
            </w:r>
            <w:r>
              <w:rPr>
                <w:rFonts w:hint="eastAsia" w:ascii="宋体" w:hAnsi="宋体" w:eastAsia="宋体" w:cs="宋体"/>
                <w:color w:val="000000"/>
                <w:kern w:val="0"/>
                <w:sz w:val="21"/>
                <w:szCs w:val="21"/>
              </w:rPr>
              <w:t>进口PP环保塑料，工艺：前沿注塑（光泽细腻 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738505" cy="888365"/>
                  <wp:effectExtent l="0" t="0" r="4445" b="6985"/>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38"/>
                          <a:stretch>
                            <a:fillRect/>
                          </a:stretch>
                        </pic:blipFill>
                        <pic:spPr>
                          <a:xfrm>
                            <a:off x="0" y="0"/>
                            <a:ext cx="738505" cy="888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几何环扣积木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428件，</w:t>
            </w:r>
            <w:r>
              <w:rPr>
                <w:rFonts w:hint="eastAsia" w:ascii="宋体" w:hAnsi="宋体" w:eastAsia="宋体" w:cs="宋体"/>
                <w:color w:val="000000"/>
                <w:kern w:val="0"/>
                <w:sz w:val="21"/>
                <w:szCs w:val="21"/>
              </w:rPr>
              <w:t>进口PP环保塑料，工艺：前沿注塑（光泽细腻不退色不划手)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046480" cy="1179195"/>
                  <wp:effectExtent l="0" t="0" r="1270" b="1905"/>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9"/>
                          <a:stretch>
                            <a:fillRect/>
                          </a:stretch>
                        </pic:blipFill>
                        <pic:spPr>
                          <a:xfrm>
                            <a:off x="0" y="0"/>
                            <a:ext cx="1046480" cy="1179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圆形花轮积木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288件，</w:t>
            </w:r>
            <w:r>
              <w:rPr>
                <w:rFonts w:hint="eastAsia" w:ascii="宋体" w:hAnsi="宋体" w:eastAsia="宋体" w:cs="宋体"/>
                <w:color w:val="000000"/>
                <w:kern w:val="0"/>
                <w:sz w:val="21"/>
                <w:szCs w:val="21"/>
              </w:rPr>
              <w:t>进口PP环保塑料，工艺：前沿注塑（光泽细腻 不退色不划手)</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lang w:val="en-US" w:eastAsia="zh-CN"/>
              </w:rPr>
              <w:t>提供</w:t>
            </w:r>
            <w:r>
              <w:rPr>
                <w:rFonts w:hint="eastAsia" w:ascii="宋体" w:hAnsi="宋体" w:eastAsia="宋体" w:cs="宋体"/>
                <w:b w:val="0"/>
                <w:bCs w:val="0"/>
                <w:sz w:val="21"/>
                <w:szCs w:val="21"/>
              </w:rPr>
              <w:t>3C认证证书</w:t>
            </w:r>
          </w:p>
          <w:p>
            <w:pPr>
              <w:jc w:val="left"/>
              <w:rPr>
                <w:rFonts w:hint="eastAsia" w:ascii="宋体" w:hAnsi="宋体" w:eastAsia="宋体" w:cs="宋体"/>
                <w:bCs/>
                <w:kern w:val="0"/>
                <w:sz w:val="21"/>
                <w:szCs w:val="21"/>
                <w:lang w:val="en-US" w:eastAsia="zh-CN"/>
              </w:rPr>
            </w:pP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42975" cy="1065530"/>
                  <wp:effectExtent l="0" t="0" r="9525" b="127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40"/>
                          <a:stretch>
                            <a:fillRect/>
                          </a:stretch>
                        </pic:blipFill>
                        <pic:spPr>
                          <a:xfrm>
                            <a:off x="0" y="0"/>
                            <a:ext cx="942975" cy="1065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bCs/>
                <w:kern w:val="0"/>
                <w:sz w:val="21"/>
                <w:szCs w:val="21"/>
                <w:lang w:val="en-US" w:eastAsia="zh-CN"/>
              </w:rPr>
              <w:t>双星积木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270件</w:t>
            </w:r>
            <w:r>
              <w:rPr>
                <w:rFonts w:hint="eastAsia" w:ascii="宋体" w:hAnsi="宋体" w:eastAsia="宋体" w:cs="宋体"/>
                <w:sz w:val="21"/>
                <w:szCs w:val="21"/>
                <w:lang w:val="en-US" w:eastAsia="zh-CN"/>
              </w:rPr>
              <w:t>，</w:t>
            </w:r>
            <w:r>
              <w:rPr>
                <w:rFonts w:hint="eastAsia" w:ascii="宋体" w:hAnsi="宋体" w:eastAsia="宋体" w:cs="宋体"/>
                <w:color w:val="000000"/>
                <w:kern w:val="0"/>
                <w:sz w:val="21"/>
                <w:szCs w:val="21"/>
              </w:rPr>
              <w:t>进口PP环保塑料，工艺：前沿注塑（光泽细腻不退色不划手)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278255" cy="1473835"/>
                  <wp:effectExtent l="0" t="0" r="17145" b="12065"/>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41"/>
                          <a:stretch>
                            <a:fillRect/>
                          </a:stretch>
                        </pic:blipFill>
                        <pic:spPr>
                          <a:xfrm>
                            <a:off x="0" y="0"/>
                            <a:ext cx="1278255" cy="1473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软体齿轮积木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318件，</w:t>
            </w:r>
            <w:r>
              <w:rPr>
                <w:rFonts w:hint="eastAsia" w:ascii="宋体" w:hAnsi="宋体" w:eastAsia="宋体" w:cs="宋体"/>
                <w:color w:val="000000"/>
                <w:kern w:val="0"/>
                <w:sz w:val="21"/>
                <w:szCs w:val="21"/>
              </w:rPr>
              <w:t>进口PP环保塑料，工艺：前沿注塑（光泽细腻不退色不划手)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172845" cy="1045845"/>
                  <wp:effectExtent l="0" t="0" r="8255" b="190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pic:cNvPicPr>
                        </pic:nvPicPr>
                        <pic:blipFill>
                          <a:blip r:embed="rId42"/>
                          <a:stretch>
                            <a:fillRect/>
                          </a:stretch>
                        </pic:blipFill>
                        <pic:spPr>
                          <a:xfrm>
                            <a:off x="0" y="0"/>
                            <a:ext cx="1172845" cy="1045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快乐拼装</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220件，</w:t>
            </w:r>
            <w:r>
              <w:rPr>
                <w:rFonts w:hint="eastAsia" w:ascii="宋体" w:hAnsi="宋体" w:eastAsia="宋体" w:cs="宋体"/>
                <w:color w:val="000000"/>
                <w:kern w:val="0"/>
                <w:sz w:val="21"/>
                <w:szCs w:val="21"/>
              </w:rPr>
              <w:t>进口PP环保塑料，工艺：前沿注塑（光泽细腻不退色不划手)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991870" cy="1019810"/>
                  <wp:effectExtent l="0" t="0" r="17780" b="8890"/>
                  <wp:docPr id="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pic:cNvPicPr>
                            <a:picLocks noChangeAspect="1"/>
                          </pic:cNvPicPr>
                        </pic:nvPicPr>
                        <pic:blipFill>
                          <a:blip r:embed="rId43"/>
                          <a:stretch>
                            <a:fillRect/>
                          </a:stretch>
                        </pic:blipFill>
                        <pic:spPr>
                          <a:xfrm>
                            <a:off x="0" y="0"/>
                            <a:ext cx="991870" cy="1019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火车头积木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128件，</w:t>
            </w:r>
            <w:r>
              <w:rPr>
                <w:rFonts w:hint="eastAsia" w:ascii="宋体" w:hAnsi="宋体" w:eastAsia="宋体" w:cs="宋体"/>
                <w:color w:val="000000"/>
                <w:kern w:val="0"/>
                <w:sz w:val="21"/>
                <w:szCs w:val="21"/>
              </w:rPr>
              <w:t>进口PP环保塑料，工艺：前沿注塑（光泽细腻不退色不划手)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08355" cy="900430"/>
                  <wp:effectExtent l="0" t="0" r="10795" b="1397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pic:cNvPicPr>
                            <a:picLocks noChangeAspect="1"/>
                          </pic:cNvPicPr>
                        </pic:nvPicPr>
                        <pic:blipFill>
                          <a:blip r:embed="rId44"/>
                          <a:stretch>
                            <a:fillRect/>
                          </a:stretch>
                        </pic:blipFill>
                        <pic:spPr>
                          <a:xfrm>
                            <a:off x="0" y="0"/>
                            <a:ext cx="808355" cy="900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几何圆形拼搭</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420件，</w:t>
            </w:r>
            <w:r>
              <w:rPr>
                <w:rFonts w:hint="eastAsia" w:ascii="宋体" w:hAnsi="宋体" w:eastAsia="宋体" w:cs="宋体"/>
                <w:color w:val="000000"/>
                <w:kern w:val="0"/>
                <w:sz w:val="21"/>
                <w:szCs w:val="21"/>
              </w:rPr>
              <w:t>进口PP环保塑料，工艺：前沿注塑（光泽细腻不退色不划手)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897255" cy="655955"/>
                  <wp:effectExtent l="0" t="0" r="17145" b="10795"/>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45"/>
                          <a:stretch>
                            <a:fillRect/>
                          </a:stretch>
                        </pic:blipFill>
                        <pic:spPr>
                          <a:xfrm>
                            <a:off x="0" y="0"/>
                            <a:ext cx="897255" cy="6559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建筑工程积木</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328件，</w:t>
            </w:r>
            <w:r>
              <w:rPr>
                <w:rFonts w:hint="eastAsia" w:ascii="宋体" w:hAnsi="宋体" w:eastAsia="宋体" w:cs="宋体"/>
                <w:color w:val="000000"/>
                <w:kern w:val="0"/>
                <w:sz w:val="21"/>
                <w:szCs w:val="21"/>
              </w:rPr>
              <w:t>进口PP环保塑料，工艺：前沿注塑（光泽细腻不退色不划手)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610870" cy="697865"/>
                  <wp:effectExtent l="0" t="0" r="17780" b="6985"/>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46"/>
                          <a:stretch>
                            <a:fillRect/>
                          </a:stretch>
                        </pic:blipFill>
                        <pic:spPr>
                          <a:xfrm>
                            <a:off x="0" y="0"/>
                            <a:ext cx="610870" cy="6978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儿童乐园</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108件，</w:t>
            </w:r>
            <w:r>
              <w:rPr>
                <w:rFonts w:hint="eastAsia" w:ascii="宋体" w:hAnsi="宋体" w:eastAsia="宋体" w:cs="宋体"/>
                <w:color w:val="000000"/>
                <w:kern w:val="0"/>
                <w:sz w:val="21"/>
                <w:szCs w:val="21"/>
              </w:rPr>
              <w:t>进口PP环保塑料，工艺：前沿注塑（光泽细腻不退色不划手)</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756285" cy="845820"/>
                  <wp:effectExtent l="0" t="0" r="5715" b="11430"/>
                  <wp:docPr id="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3"/>
                          <pic:cNvPicPr>
                            <a:picLocks noChangeAspect="1"/>
                          </pic:cNvPicPr>
                        </pic:nvPicPr>
                        <pic:blipFill>
                          <a:blip r:embed="rId47"/>
                          <a:stretch>
                            <a:fillRect/>
                          </a:stretch>
                        </pic:blipFill>
                        <pic:spPr>
                          <a:xfrm>
                            <a:off x="0" y="0"/>
                            <a:ext cx="756285" cy="845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颜料</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12色丙烯颜料，规格:500ml</w:t>
            </w:r>
          </w:p>
          <w:p>
            <w:pPr>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红、黄、蓝、绿、白、黑各多2瓶</w:t>
            </w:r>
          </w:p>
        </w:tc>
        <w:tc>
          <w:tcPr>
            <w:tcW w:w="49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473960" cy="2152650"/>
                  <wp:effectExtent l="0" t="0" r="2540" b="0"/>
                  <wp:docPr id="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4"/>
                          <pic:cNvPicPr>
                            <a:picLocks noChangeAspect="1"/>
                          </pic:cNvPicPr>
                        </pic:nvPicPr>
                        <pic:blipFill>
                          <a:blip r:embed="rId48"/>
                          <a:stretch>
                            <a:fillRect/>
                          </a:stretch>
                        </pic:blipFill>
                        <pic:spPr>
                          <a:xfrm>
                            <a:off x="0" y="0"/>
                            <a:ext cx="2473960" cy="2152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8" w:hRule="atLeast"/>
        </w:trPr>
        <w:tc>
          <w:tcPr>
            <w:tcW w:w="1548"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小皮球</w:t>
            </w:r>
          </w:p>
        </w:tc>
        <w:tc>
          <w:tcPr>
            <w:tcW w:w="723"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50</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规格：5号</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尺寸：直径21厘米，球周大约70厘米！</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重量：480克左右，</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材质：外表PU软皮，内胆优质环保橡胶！                                                      PU软皮材质：弹性好，耐磨，手感舒适，不易伤手。</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内胆材质：选用优质环保橡胶，弹性稳定，不易爆裂！</w:t>
            </w:r>
          </w:p>
          <w:p>
            <w:pPr>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适合场地：室外，室内，草坪，悬浮地板，瓷砖，水泥地，塑胶场地！</w:t>
            </w:r>
          </w:p>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提供3C认证</w:t>
            </w:r>
          </w:p>
        </w:tc>
        <w:tc>
          <w:tcPr>
            <w:tcW w:w="4905"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96135" cy="2068830"/>
                  <wp:effectExtent l="0" t="0" r="18415" b="7620"/>
                  <wp:docPr id="63" name="图片 35" descr="963977a6e50fae2f7d68ef87040a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descr="963977a6e50fae2f7d68ef87040ac5c"/>
                          <pic:cNvPicPr>
                            <a:picLocks noChangeAspect="1"/>
                          </pic:cNvPicPr>
                        </pic:nvPicPr>
                        <pic:blipFill>
                          <a:blip r:embed="rId49"/>
                          <a:srcRect t="30470" b="25121"/>
                          <a:stretch>
                            <a:fillRect/>
                          </a:stretch>
                        </pic:blipFill>
                        <pic:spPr>
                          <a:xfrm>
                            <a:off x="0" y="0"/>
                            <a:ext cx="2096135" cy="20688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垃圾分类MDD-KJ-2098</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专为3-6岁低幼儿童设计的智能分类垃圾教学玩具，游戏练习，激发幼儿游戏乐趣，全面考察幼儿的记忆力、反应速度。适合不同认知水平的幼儿。智能程序判断垃圾类别选择的正误，反应灵敏，让幼儿和教师都摆脱时刻对照说明书的状态。正误的实时语音播报，适时的游戏引导，帮助老师教学的同时,给幼儿更好的游戏体验，同时学习如何区分四类垃圾，增强环保意识，从而应用到生活中，养成垃圾分类的好习惯。</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lang w:val="en-US" w:eastAsia="zh-CN" w:bidi="ar"/>
              </w:rPr>
              <mc:AlternateContent>
                <mc:Choice Requires="wps">
                  <w:drawing>
                    <wp:anchor distT="0" distB="0" distL="114300" distR="114300" simplePos="0" relativeHeight="251664384" behindDoc="0" locked="0" layoutInCell="1" allowOverlap="1">
                      <wp:simplePos x="0" y="0"/>
                      <wp:positionH relativeFrom="column">
                        <wp:posOffset>273685</wp:posOffset>
                      </wp:positionH>
                      <wp:positionV relativeFrom="paragraph">
                        <wp:posOffset>146050</wp:posOffset>
                      </wp:positionV>
                      <wp:extent cx="1743710" cy="1288415"/>
                      <wp:effectExtent l="0" t="0" r="0" b="0"/>
                      <wp:wrapNone/>
                      <wp:docPr id="60" name="矩形 60"/>
                      <wp:cNvGraphicFramePr/>
                      <a:graphic xmlns:a="http://schemas.openxmlformats.org/drawingml/2006/main">
                        <a:graphicData uri="http://schemas.microsoft.com/office/word/2010/wordprocessingShape">
                          <wps:wsp>
                            <wps:cNvSpPr/>
                            <wps:spPr>
                              <a:xfrm>
                                <a:off x="0" y="0"/>
                                <a:ext cx="1743710" cy="1288415"/>
                              </a:xfrm>
                              <a:prstGeom prst="rect">
                                <a:avLst/>
                              </a:prstGeom>
                              <a:noFill/>
                              <a:ln>
                                <a:noFill/>
                              </a:ln>
                            </wps:spPr>
                            <wps:bodyPr upright="1"/>
                          </wps:wsp>
                        </a:graphicData>
                      </a:graphic>
                    </wp:anchor>
                  </w:drawing>
                </mc:Choice>
                <mc:Fallback>
                  <w:pict>
                    <v:rect id="_x0000_s1026" o:spid="_x0000_s1026" o:spt="1" style="position:absolute;left:0pt;margin-left:21.55pt;margin-top:11.5pt;height:101.45pt;width:137.3pt;z-index:251664384;mso-width-relative:page;mso-height-relative:page;" filled="f" stroked="f" coordsize="21600,21600" o:gfxdata="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u10h9oAAAAJAQAADwAAAAAA&#10;AAABACAAAAAiAAAAZHJzL2Rvd25yZXYueG1sUEsBAhQAFAAAAAgAh07iQOLaoRSfAQAAOQMAAA4A&#10;AAAAAAAAAQAgAAAAKQEAAGRycy9lMm9Eb2MueG1sUEsFBgAAAAAGAAYAWQEAADoFAAAAAA==&#10;">
                      <v:fill on="f" focussize="0,0"/>
                      <v:stroke on="f"/>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出行安全教育-游泳MDD-KJ-2201</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游泳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65408" behindDoc="0" locked="0" layoutInCell="1" allowOverlap="1">
                      <wp:simplePos x="0" y="0"/>
                      <wp:positionH relativeFrom="column">
                        <wp:posOffset>234950</wp:posOffset>
                      </wp:positionH>
                      <wp:positionV relativeFrom="paragraph">
                        <wp:posOffset>93345</wp:posOffset>
                      </wp:positionV>
                      <wp:extent cx="2179955" cy="1397000"/>
                      <wp:effectExtent l="0" t="0" r="0" b="0"/>
                      <wp:wrapNone/>
                      <wp:docPr id="58" name="矩形 58"/>
                      <wp:cNvGraphicFramePr/>
                      <a:graphic xmlns:a="http://schemas.openxmlformats.org/drawingml/2006/main">
                        <a:graphicData uri="http://schemas.microsoft.com/office/word/2010/wordprocessingShape">
                          <wps:wsp>
                            <wps:cNvSpPr/>
                            <wps:spPr>
                              <a:xfrm>
                                <a:off x="0" y="0"/>
                                <a:ext cx="2179955" cy="1397000"/>
                              </a:xfrm>
                              <a:prstGeom prst="rect">
                                <a:avLst/>
                              </a:prstGeom>
                              <a:noFill/>
                              <a:ln>
                                <a:noFill/>
                              </a:ln>
                            </wps:spPr>
                            <wps:bodyPr upright="1"/>
                          </wps:wsp>
                        </a:graphicData>
                      </a:graphic>
                    </wp:anchor>
                  </w:drawing>
                </mc:Choice>
                <mc:Fallback>
                  <w:pict>
                    <v:rect id="_x0000_s1026" o:spid="_x0000_s1026" o:spt="1" style="position:absolute;left:0pt;margin-left:18.5pt;margin-top:7.35pt;height:110pt;width:171.65pt;z-index:251665408;mso-width-relative:page;mso-height-relative:page;" filled="f" stroked="f" coordsize="21600,21600" o:gfxdata="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F709qtoAAAAJAQAADwAAAAAA&#10;AAABACAAAAAiAAAAZHJzL2Rvd25yZXYueG1sUEsBAhQAFAAAAAgAh07iQOVKrLGfAQAAOQMAAA4A&#10;AAAAAAAAAQAgAAAAKQEAAGRycy9lMm9Eb2MueG1sUEsFBgAAAAAGAAYAWQEAADoFAAAAAA==&#10;">
                      <v:fill on="f" focussize="0,0"/>
                      <v:stroke on="f"/>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出行安全教育--爬山MDD-KJ-2203 </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爬山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66432" behindDoc="0" locked="0" layoutInCell="1" allowOverlap="1">
                      <wp:simplePos x="0" y="0"/>
                      <wp:positionH relativeFrom="column">
                        <wp:posOffset>267970</wp:posOffset>
                      </wp:positionH>
                      <wp:positionV relativeFrom="paragraph">
                        <wp:posOffset>66675</wp:posOffset>
                      </wp:positionV>
                      <wp:extent cx="1548130" cy="1532255"/>
                      <wp:effectExtent l="0" t="0" r="0" b="0"/>
                      <wp:wrapNone/>
                      <wp:docPr id="54" name="矩形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130" cy="1532255"/>
                              </a:xfrm>
                              <a:prstGeom prst="rect">
                                <a:avLst/>
                              </a:prstGeom>
                              <a:noFill/>
                              <a:ln>
                                <a:noFill/>
                              </a:ln>
                            </wps:spPr>
                            <wps:bodyPr upright="1"/>
                          </wps:wsp>
                        </a:graphicData>
                      </a:graphic>
                    </wp:anchor>
                  </w:drawing>
                </mc:Choice>
                <mc:Fallback>
                  <w:pict>
                    <v:rect id="_x0000_s1026" o:spid="_x0000_s1026" o:spt="1" style="position:absolute;left:0pt;margin-left:21.1pt;margin-top:5.25pt;height:120.65pt;width:121.9pt;z-index:251666432;mso-width-relative:page;mso-height-relative:page;" filled="f" stroked="f" coordsize="21600,21600" o:gfxdata="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mh7Eq2QAAAAkBAAAPAAAAAAAAAAEAIAAAACIAAABkcnMvZG93bnJldi54bWxQSwECFAAUAAAA&#10;CACHTuJA2zo4tbQBAABlAwAADgAAAAAAAAABACAAAAAoAQAAZHJzL2Uyb0RvYy54bWxQSwUGAAAA&#10;AAYABgBZAQAATgU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 出行安全教育--地震MDD-KJ-2204</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地震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267970</wp:posOffset>
                      </wp:positionH>
                      <wp:positionV relativeFrom="paragraph">
                        <wp:posOffset>74295</wp:posOffset>
                      </wp:positionV>
                      <wp:extent cx="1440180" cy="1440180"/>
                      <wp:effectExtent l="0" t="0" r="0" b="0"/>
                      <wp:wrapNone/>
                      <wp:docPr id="62" name="矩形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180" cy="1440180"/>
                              </a:xfrm>
                              <a:prstGeom prst="rect">
                                <a:avLst/>
                              </a:prstGeom>
                              <a:noFill/>
                              <a:ln>
                                <a:noFill/>
                              </a:ln>
                            </wps:spPr>
                            <wps:bodyPr upright="1"/>
                          </wps:wsp>
                        </a:graphicData>
                      </a:graphic>
                    </wp:anchor>
                  </w:drawing>
                </mc:Choice>
                <mc:Fallback>
                  <w:pict>
                    <v:rect id="_x0000_s1026" o:spid="_x0000_s1026" o:spt="1" style="position:absolute;left:0pt;margin-left:21.1pt;margin-top:5.85pt;height:113.4pt;width:113.4pt;z-index:251667456;mso-width-relative:page;mso-height-relative:page;" filled="f" stroked="f" coordsize="21600,21600" o:gfxdata="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y&#10;jKnaAAAACQEAAA8AAAAAAAAAAQAgAAAAIgAAAGRycy9kb3ducmV2LnhtbFBLAQIUABQAAAAIAIdO&#10;4kBnyhF1rwEAAGUDAAAOAAAAAAAAAAEAIAAAACkBAABkcnMvZTJvRG9jLnhtbFBLBQYAAAAABgAG&#10;AFkBAABKBQ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出行安全教育--海边MDD-KJ-2205 </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海边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68480" behindDoc="0" locked="0" layoutInCell="1" allowOverlap="1">
                      <wp:simplePos x="0" y="0"/>
                      <wp:positionH relativeFrom="column">
                        <wp:posOffset>222250</wp:posOffset>
                      </wp:positionH>
                      <wp:positionV relativeFrom="paragraph">
                        <wp:posOffset>82550</wp:posOffset>
                      </wp:positionV>
                      <wp:extent cx="1440180" cy="1440180"/>
                      <wp:effectExtent l="0" t="0" r="0" b="0"/>
                      <wp:wrapNone/>
                      <wp:docPr id="20" name="矩形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180" cy="1440180"/>
                              </a:xfrm>
                              <a:prstGeom prst="rect">
                                <a:avLst/>
                              </a:prstGeom>
                              <a:noFill/>
                              <a:ln>
                                <a:noFill/>
                              </a:ln>
                            </wps:spPr>
                            <wps:bodyPr upright="1"/>
                          </wps:wsp>
                        </a:graphicData>
                      </a:graphic>
                    </wp:anchor>
                  </w:drawing>
                </mc:Choice>
                <mc:Fallback>
                  <w:pict>
                    <v:rect id="_x0000_s1026" o:spid="_x0000_s1026" o:spt="1" style="position:absolute;left:0pt;margin-left:17.5pt;margin-top:6.5pt;height:113.4pt;width:113.4pt;z-index:251668480;mso-width-relative:page;mso-height-relative:page;" filled="f" stroked="f" coordsize="21600,21600" o:gfxdata="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gSv&#10;UdoAAAAJAQAADwAAAAAAAAABACAAAAAiAAAAZHJzL2Rvd25yZXYueG1sUEsBAhQAFAAAAAgAh07i&#10;QOBygT6uAQAAZQMAAA4AAAAAAAAAAQAgAAAAKQEAAGRycy9lMm9Eb2MueG1sUEsFBgAAAAAGAAYA&#10;WQEAAEkFA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出行安全教育--高原旅行、露营MDD-KJ-2206</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高原旅行、露营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69504" behindDoc="0" locked="0" layoutInCell="1" allowOverlap="1">
                      <wp:simplePos x="0" y="0"/>
                      <wp:positionH relativeFrom="column">
                        <wp:posOffset>245745</wp:posOffset>
                      </wp:positionH>
                      <wp:positionV relativeFrom="paragraph">
                        <wp:posOffset>97790</wp:posOffset>
                      </wp:positionV>
                      <wp:extent cx="1441450" cy="1440180"/>
                      <wp:effectExtent l="0" t="0" r="0" b="0"/>
                      <wp:wrapNone/>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1450" cy="1440180"/>
                              </a:xfrm>
                              <a:prstGeom prst="rect">
                                <a:avLst/>
                              </a:prstGeom>
                              <a:noFill/>
                              <a:ln>
                                <a:noFill/>
                              </a:ln>
                            </wps:spPr>
                            <wps:bodyPr upright="1"/>
                          </wps:wsp>
                        </a:graphicData>
                      </a:graphic>
                    </wp:anchor>
                  </w:drawing>
                </mc:Choice>
                <mc:Fallback>
                  <w:pict>
                    <v:rect id="_x0000_s1026" o:spid="_x0000_s1026" o:spt="1" style="position:absolute;left:0pt;margin-left:19.35pt;margin-top:7.7pt;height:113.4pt;width:113.5pt;z-index:251669504;mso-width-relative:page;mso-height-relative:page;" filled="f" stroked="f" coordsize="21600,21600" o:gfxdata="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21QT2gAAAAkBAAAPAAAAAAAAAAEAIAAAACIAAABkcnMvZG93bnJldi54bWxQSwECFAAUAAAA&#10;CACHTuJAuVJRG7MBAABlAwAADgAAAAAAAAABACAAAAApAQAAZHJzL2Uyb0RvYy54bWxQSwUGAAAA&#10;AAYABgBZAQAATgU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 出行安全教育--打雷、下雨MDD-KJ-2207</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打雷、下雨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0528" behindDoc="0" locked="0" layoutInCell="1" allowOverlap="1">
                      <wp:simplePos x="0" y="0"/>
                      <wp:positionH relativeFrom="column">
                        <wp:posOffset>207010</wp:posOffset>
                      </wp:positionH>
                      <wp:positionV relativeFrom="paragraph">
                        <wp:posOffset>66675</wp:posOffset>
                      </wp:positionV>
                      <wp:extent cx="1426210" cy="1440180"/>
                      <wp:effectExtent l="0" t="0" r="0" b="0"/>
                      <wp:wrapNone/>
                      <wp:docPr id="24" name="矩形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6210" cy="1440180"/>
                              </a:xfrm>
                              <a:prstGeom prst="rect">
                                <a:avLst/>
                              </a:prstGeom>
                              <a:noFill/>
                              <a:ln>
                                <a:noFill/>
                              </a:ln>
                            </wps:spPr>
                            <wps:bodyPr upright="1"/>
                          </wps:wsp>
                        </a:graphicData>
                      </a:graphic>
                    </wp:anchor>
                  </w:drawing>
                </mc:Choice>
                <mc:Fallback>
                  <w:pict>
                    <v:rect id="_x0000_s1026" o:spid="_x0000_s1026" o:spt="1" style="position:absolute;left:0pt;margin-left:16.3pt;margin-top:5.25pt;height:113.4pt;width:112.3pt;z-index:251670528;mso-width-relative:page;mso-height-relative:page;" filled="f" stroked="f" coordsize="21600,21600" o:gfxdata="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50t0QdoAAAAJAQAADwAAAAAAAAABACAAAAAiAAAAZHJzL2Rvd25yZXYueG1sUEsBAhQAFAAA&#10;AAgAh07iQB/ucOe0AQAAZQMAAA4AAAAAAAAAAQAgAAAAKQEAAGRycy9lMm9Eb2MueG1sUEsFBgAA&#10;AAAGAAYAWQEAAE8FA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出行安全教育--预防溺水MDD-KJ-2208</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如何预防溺水。</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1552" behindDoc="0" locked="0" layoutInCell="1" allowOverlap="1">
                      <wp:simplePos x="0" y="0"/>
                      <wp:positionH relativeFrom="column">
                        <wp:posOffset>267970</wp:posOffset>
                      </wp:positionH>
                      <wp:positionV relativeFrom="paragraph">
                        <wp:posOffset>59055</wp:posOffset>
                      </wp:positionV>
                      <wp:extent cx="1414145" cy="1440180"/>
                      <wp:effectExtent l="0" t="0" r="0" b="0"/>
                      <wp:wrapNone/>
                      <wp:docPr id="30" name="矩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14145" cy="1440180"/>
                              </a:xfrm>
                              <a:prstGeom prst="rect">
                                <a:avLst/>
                              </a:prstGeom>
                              <a:noFill/>
                              <a:ln>
                                <a:noFill/>
                              </a:ln>
                            </wps:spPr>
                            <wps:bodyPr upright="1"/>
                          </wps:wsp>
                        </a:graphicData>
                      </a:graphic>
                    </wp:anchor>
                  </w:drawing>
                </mc:Choice>
                <mc:Fallback>
                  <w:pict>
                    <v:rect id="_x0000_s1026" o:spid="_x0000_s1026" o:spt="1" style="position:absolute;left:0pt;margin-left:21.1pt;margin-top:4.65pt;height:113.4pt;width:111.35pt;z-index:251671552;mso-width-relative:page;mso-height-relative:page;" filled="f" stroked="f" coordsize="21600,21600" o:gfxdata="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nYWCy2gAAAAgBAAAPAAAAAAAAAAEAIAAAACIAAABkcnMvZG93bnJldi54bWxQSwECFAAUAAAA&#10;CACHTuJANafAebMBAABlAwAADgAAAAAAAAABACAAAAApAQAAZHJzL2Uyb0RvYy54bWxQSwUGAAAA&#10;AAYABgBZAQAATgU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公共安全教育--公园、动物园MDD-KJ-2209</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公园、动物园玩耍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2576" behindDoc="0" locked="0" layoutInCell="1" allowOverlap="1">
                      <wp:simplePos x="0" y="0"/>
                      <wp:positionH relativeFrom="column">
                        <wp:posOffset>317500</wp:posOffset>
                      </wp:positionH>
                      <wp:positionV relativeFrom="paragraph">
                        <wp:posOffset>106045</wp:posOffset>
                      </wp:positionV>
                      <wp:extent cx="1455420" cy="1440180"/>
                      <wp:effectExtent l="0" t="0" r="0" b="0"/>
                      <wp:wrapNone/>
                      <wp:docPr id="23" name="矩形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55420" cy="1440180"/>
                              </a:xfrm>
                              <a:prstGeom prst="rect">
                                <a:avLst/>
                              </a:prstGeom>
                              <a:noFill/>
                              <a:ln>
                                <a:noFill/>
                              </a:ln>
                            </wps:spPr>
                            <wps:bodyPr upright="1"/>
                          </wps:wsp>
                        </a:graphicData>
                      </a:graphic>
                    </wp:anchor>
                  </w:drawing>
                </mc:Choice>
                <mc:Fallback>
                  <w:pict>
                    <v:rect id="_x0000_s1026" o:spid="_x0000_s1026" o:spt="1" style="position:absolute;left:0pt;margin-left:25pt;margin-top:8.35pt;height:113.4pt;width:114.6pt;z-index:251672576;mso-width-relative:page;mso-height-relative:page;" filled="f" stroked="f" coordsize="21600,21600" o:gfxdata="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wh/dHaAAAACQEAAA8AAAAAAAAAAQAgAAAAIgAAAGRycy9kb3ducmV2LnhtbFBLAQIUABQA&#10;AAAIAIdO4kB1eTdBtQEAAGUDAAAOAAAAAAAAAAEAIAAAACkBAABkcnMvZTJvRG9jLnhtbFBLBQYA&#10;AAAABgAGAFkBAABQBQ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公共安全教育--商场MDD-KJ-2210</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逛商场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3600" behindDoc="0" locked="0" layoutInCell="1" allowOverlap="1">
                      <wp:simplePos x="0" y="0"/>
                      <wp:positionH relativeFrom="column">
                        <wp:posOffset>267970</wp:posOffset>
                      </wp:positionH>
                      <wp:positionV relativeFrom="paragraph">
                        <wp:posOffset>121285</wp:posOffset>
                      </wp:positionV>
                      <wp:extent cx="1438910" cy="1440180"/>
                      <wp:effectExtent l="0" t="0" r="0" b="0"/>
                      <wp:wrapNone/>
                      <wp:docPr id="29" name="矩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8910" cy="1440180"/>
                              </a:xfrm>
                              <a:prstGeom prst="rect">
                                <a:avLst/>
                              </a:prstGeom>
                              <a:noFill/>
                              <a:ln>
                                <a:noFill/>
                              </a:ln>
                            </wps:spPr>
                            <wps:bodyPr upright="1"/>
                          </wps:wsp>
                        </a:graphicData>
                      </a:graphic>
                    </wp:anchor>
                  </w:drawing>
                </mc:Choice>
                <mc:Fallback>
                  <w:pict>
                    <v:rect id="_x0000_s1026" o:spid="_x0000_s1026" o:spt="1" style="position:absolute;left:0pt;margin-left:21.1pt;margin-top:9.55pt;height:113.4pt;width:113.3pt;z-index:251673600;mso-width-relative:page;mso-height-relative:page;" filled="f" stroked="f" coordsize="21600,21600" o:gfxdata="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Jf4+9oAAAAJAQAADwAAAAAAAAABACAAAAAiAAAAZHJzL2Rvd25yZXYueG1sUEsBAhQAFAAA&#10;AAgAh07iQOIIHiG0AQAAZQMAAA4AAAAAAAAAAQAgAAAAKQEAAGRycy9lMm9Eb2MueG1sUEsFBgAA&#10;AAAGAAYAWQEAAE8FA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公共安全教育--游乐场MDD-KJ-2211</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游乐场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4624" behindDoc="0" locked="0" layoutInCell="1" allowOverlap="1">
                      <wp:simplePos x="0" y="0"/>
                      <wp:positionH relativeFrom="column">
                        <wp:posOffset>238125</wp:posOffset>
                      </wp:positionH>
                      <wp:positionV relativeFrom="paragraph">
                        <wp:posOffset>90170</wp:posOffset>
                      </wp:positionV>
                      <wp:extent cx="1426845" cy="1440180"/>
                      <wp:effectExtent l="0" t="0" r="0" b="0"/>
                      <wp:wrapNone/>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6845" cy="1440180"/>
                              </a:xfrm>
                              <a:prstGeom prst="rect">
                                <a:avLst/>
                              </a:prstGeom>
                              <a:noFill/>
                              <a:ln>
                                <a:noFill/>
                              </a:ln>
                            </wps:spPr>
                            <wps:bodyPr upright="1"/>
                          </wps:wsp>
                        </a:graphicData>
                      </a:graphic>
                    </wp:anchor>
                  </w:drawing>
                </mc:Choice>
                <mc:Fallback>
                  <w:pict>
                    <v:rect id="_x0000_s1026" o:spid="_x0000_s1026" o:spt="1" style="position:absolute;left:0pt;margin-left:18.75pt;margin-top:7.1pt;height:113.4pt;width:112.35pt;z-index:251674624;mso-width-relative:page;mso-height-relative:page;" filled="f" stroked="f" coordsize="21600,21600" o:gfxdata="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Ufl02QAAAAkBAAAPAAAAAAAAAAEAIAAAACIAAABkcnMvZG93bnJldi54bWxQSwECFAAUAAAA&#10;CACHTuJAxwt8xrQBAABlAwAADgAAAAAAAAABACAAAAAoAQAAZHJzL2Uyb0RvYy54bWxQSwUGAAAA&#10;AAYABgBZAQAATgU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公共安全教育--电梯MDD-KJ-2212</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乘坐电梯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5648" behindDoc="0" locked="0" layoutInCell="1" allowOverlap="1">
                      <wp:simplePos x="0" y="0"/>
                      <wp:positionH relativeFrom="column">
                        <wp:posOffset>234950</wp:posOffset>
                      </wp:positionH>
                      <wp:positionV relativeFrom="paragraph">
                        <wp:posOffset>63500</wp:posOffset>
                      </wp:positionV>
                      <wp:extent cx="1400175" cy="1440180"/>
                      <wp:effectExtent l="0" t="0" r="0" b="0"/>
                      <wp:wrapNone/>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00175" cy="1440180"/>
                              </a:xfrm>
                              <a:prstGeom prst="rect">
                                <a:avLst/>
                              </a:prstGeom>
                              <a:noFill/>
                              <a:ln>
                                <a:noFill/>
                              </a:ln>
                            </wps:spPr>
                            <wps:bodyPr upright="1"/>
                          </wps:wsp>
                        </a:graphicData>
                      </a:graphic>
                    </wp:anchor>
                  </w:drawing>
                </mc:Choice>
                <mc:Fallback>
                  <w:pict>
                    <v:rect id="_x0000_s1026" o:spid="_x0000_s1026" o:spt="1" style="position:absolute;left:0pt;margin-left:18.5pt;margin-top:5pt;height:113.4pt;width:110.25pt;z-index:251675648;mso-width-relative:page;mso-height-relative:page;" filled="f" stroked="f" coordsize="21600,21600" o:gfxdata="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ldGQNoAAAAJAQAADwAAAAAAAAABACAAAAAiAAAAZHJzL2Rvd25yZXYueG1sUEsBAhQAFAAA&#10;AAgAh07iQDHiWr60AQAAZQMAAA4AAAAAAAAAAQAgAAAAKQEAAGRycy9lMm9Eb2MueG1sUEsFBgAA&#10;AAAGAAYAWQEAAE8FA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公共安全教育--走失后MDD-KJ-2213 </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走失后的处理方法。</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6672" behindDoc="0" locked="0" layoutInCell="1" allowOverlap="1">
                      <wp:simplePos x="0" y="0"/>
                      <wp:positionH relativeFrom="column">
                        <wp:posOffset>245745</wp:posOffset>
                      </wp:positionH>
                      <wp:positionV relativeFrom="paragraph">
                        <wp:posOffset>66675</wp:posOffset>
                      </wp:positionV>
                      <wp:extent cx="1440180" cy="1440180"/>
                      <wp:effectExtent l="0" t="0" r="0" b="0"/>
                      <wp:wrapNone/>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180" cy="1440180"/>
                              </a:xfrm>
                              <a:prstGeom prst="rect">
                                <a:avLst/>
                              </a:prstGeom>
                              <a:noFill/>
                              <a:ln>
                                <a:noFill/>
                              </a:ln>
                            </wps:spPr>
                            <wps:bodyPr upright="1"/>
                          </wps:wsp>
                        </a:graphicData>
                      </a:graphic>
                    </wp:anchor>
                  </w:drawing>
                </mc:Choice>
                <mc:Fallback>
                  <w:pict>
                    <v:rect id="_x0000_s1026" o:spid="_x0000_s1026" o:spt="1" style="position:absolute;left:0pt;margin-left:19.35pt;margin-top:5.25pt;height:113.4pt;width:113.4pt;z-index:251676672;mso-width-relative:page;mso-height-relative:page;" filled="f" stroked="f" coordsize="21600,21600" o:gfxdata="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OB4&#10;09oAAAAJAQAADwAAAAAAAAABACAAAAAiAAAAZHJzL2Rvd25yZXYueG1sUEsBAhQAFAAAAAgAh07i&#10;QJgxCaauAQAAZQMAAA4AAAAAAAAAAQAgAAAAKQEAAGRycy9lMm9Eb2MueG1sUEsFBgAAAAAGAAYA&#10;WQEAAEkFA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 公共安全教育-- 预防病毒MDD-KJ-2214</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如何预防病毒。</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7696" behindDoc="0" locked="0" layoutInCell="1" allowOverlap="1">
                      <wp:simplePos x="0" y="0"/>
                      <wp:positionH relativeFrom="column">
                        <wp:posOffset>238125</wp:posOffset>
                      </wp:positionH>
                      <wp:positionV relativeFrom="paragraph">
                        <wp:posOffset>106045</wp:posOffset>
                      </wp:positionV>
                      <wp:extent cx="1455420" cy="1440180"/>
                      <wp:effectExtent l="0" t="0" r="0" b="0"/>
                      <wp:wrapNone/>
                      <wp:docPr id="21"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55420" cy="1440180"/>
                              </a:xfrm>
                              <a:prstGeom prst="rect">
                                <a:avLst/>
                              </a:prstGeom>
                              <a:noFill/>
                              <a:ln>
                                <a:noFill/>
                              </a:ln>
                            </wps:spPr>
                            <wps:bodyPr upright="1"/>
                          </wps:wsp>
                        </a:graphicData>
                      </a:graphic>
                    </wp:anchor>
                  </w:drawing>
                </mc:Choice>
                <mc:Fallback>
                  <w:pict>
                    <v:rect id="_x0000_s1026" o:spid="_x0000_s1026" o:spt="1" style="position:absolute;left:0pt;margin-left:18.75pt;margin-top:8.35pt;height:113.4pt;width:114.6pt;z-index:251677696;mso-width-relative:page;mso-height-relative:page;" filled="f" stroked="f" coordsize="21600,21600" o:gfxdata="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afXL+2QAAAAkBAAAPAAAAAAAAAAEAIAAAACIAAABkcnMvZG93bnJldi54bWxQSwECFAAUAAAA&#10;CACHTuJAV+9ie7QBAABlAwAADgAAAAAAAAABACAAAAAoAQAAZHJzL2Uyb0RvYy54bWxQSwUGAAAA&#10;AAYABgBZAQAATgU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 公共安全教育--幼儿园MDD-KJ-2215</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幼儿园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8720" behindDoc="0" locked="0" layoutInCell="1" allowOverlap="1">
                      <wp:simplePos x="0" y="0"/>
                      <wp:positionH relativeFrom="column">
                        <wp:posOffset>207010</wp:posOffset>
                      </wp:positionH>
                      <wp:positionV relativeFrom="paragraph">
                        <wp:posOffset>50800</wp:posOffset>
                      </wp:positionV>
                      <wp:extent cx="1411605" cy="1440180"/>
                      <wp:effectExtent l="0" t="0" r="0" b="0"/>
                      <wp:wrapNone/>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11605" cy="1440180"/>
                              </a:xfrm>
                              <a:prstGeom prst="rect">
                                <a:avLst/>
                              </a:prstGeom>
                              <a:noFill/>
                              <a:ln>
                                <a:noFill/>
                              </a:ln>
                            </wps:spPr>
                            <wps:bodyPr upright="1"/>
                          </wps:wsp>
                        </a:graphicData>
                      </a:graphic>
                    </wp:anchor>
                  </w:drawing>
                </mc:Choice>
                <mc:Fallback>
                  <w:pict>
                    <v:rect id="_x0000_s1026" o:spid="_x0000_s1026" o:spt="1" style="position:absolute;left:0pt;margin-left:16.3pt;margin-top:4pt;height:113.4pt;width:111.15pt;z-index:251678720;mso-width-relative:page;mso-height-relative:page;" filled="f" stroked="f" coordsize="21600,21600" o:gfxdata="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EgIOdoAAAAIAQAADwAAAAAAAAABACAAAAAiAAAAZHJzL2Rvd25yZXYueG1sUEsBAhQAFAAA&#10;AAgAh07iQH8e+420AQAAZQMAAA4AAAAAAAAAAQAgAAAAKQEAAGRycy9lMm9Eb2MueG1sUEsFBgAA&#10;AAAGAAYAWQEAAE8FA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交通安全教育--乘飞机、乘公交MDD-KJ-2216</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乘飞机、乘公交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79744" behindDoc="0" locked="0" layoutInCell="1" allowOverlap="1">
                      <wp:simplePos x="0" y="0"/>
                      <wp:positionH relativeFrom="column">
                        <wp:posOffset>245745</wp:posOffset>
                      </wp:positionH>
                      <wp:positionV relativeFrom="paragraph">
                        <wp:posOffset>74295</wp:posOffset>
                      </wp:positionV>
                      <wp:extent cx="1425575" cy="1440180"/>
                      <wp:effectExtent l="0" t="0" r="0" b="0"/>
                      <wp:wrapNone/>
                      <wp:docPr id="15" name="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5575" cy="1440180"/>
                              </a:xfrm>
                              <a:prstGeom prst="rect">
                                <a:avLst/>
                              </a:prstGeom>
                              <a:noFill/>
                              <a:ln>
                                <a:noFill/>
                              </a:ln>
                            </wps:spPr>
                            <wps:bodyPr upright="1"/>
                          </wps:wsp>
                        </a:graphicData>
                      </a:graphic>
                    </wp:anchor>
                  </w:drawing>
                </mc:Choice>
                <mc:Fallback>
                  <w:pict>
                    <v:rect id="_x0000_s1026" o:spid="_x0000_s1026" o:spt="1" style="position:absolute;left:0pt;margin-left:19.35pt;margin-top:5.85pt;height:113.4pt;width:112.25pt;z-index:251679744;mso-width-relative:page;mso-height-relative:page;" filled="f" stroked="f" coordsize="21600,21600" o:gfxdata="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FtSvDZAAAACQEAAA8AAAAAAAAAAQAgAAAAIgAAAGRycy9kb3ducmV2LnhtbFBLAQIUABQAAAAI&#10;AIdO4kC78a9JswEAAGUDAAAOAAAAAAAAAAEAIAAAACgBAABkcnMvZTJvRG9jLnhtbFBLBQYAAAAA&#10;BgAGAFkBAABNBQ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公共安全教育--乘地铁MDD-KJ-2217 </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乘飞机、乘地铁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80768" behindDoc="0" locked="0" layoutInCell="1" allowOverlap="1">
                      <wp:simplePos x="0" y="0"/>
                      <wp:positionH relativeFrom="column">
                        <wp:posOffset>238125</wp:posOffset>
                      </wp:positionH>
                      <wp:positionV relativeFrom="paragraph">
                        <wp:posOffset>59055</wp:posOffset>
                      </wp:positionV>
                      <wp:extent cx="1424940" cy="1440180"/>
                      <wp:effectExtent l="0" t="0" r="0" b="0"/>
                      <wp:wrapNone/>
                      <wp:docPr id="19" name="矩形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4940" cy="1440180"/>
                              </a:xfrm>
                              <a:prstGeom prst="rect">
                                <a:avLst/>
                              </a:prstGeom>
                              <a:noFill/>
                              <a:ln>
                                <a:noFill/>
                              </a:ln>
                            </wps:spPr>
                            <wps:bodyPr upright="1"/>
                          </wps:wsp>
                        </a:graphicData>
                      </a:graphic>
                    </wp:anchor>
                  </w:drawing>
                </mc:Choice>
                <mc:Fallback>
                  <w:pict>
                    <v:rect id="_x0000_s1026" o:spid="_x0000_s1026" o:spt="1" style="position:absolute;left:0pt;margin-left:18.75pt;margin-top:4.65pt;height:113.4pt;width:112.2pt;z-index:251680768;mso-width-relative:page;mso-height-relative:page;" filled="f" stroked="f" coordsize="21600,21600" o:gfxdata="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zSBtNoAAAAIAQAADwAAAAAAAAABACAAAAAiAAAAZHJzL2Rvd25yZXYueG1sUEsBAhQAFAAA&#10;AAgAh07iQOxgKlK0AQAAZQMAAA4AAAAAAAAAAQAgAAAAKQEAAGRycy9lMm9Eb2MueG1sUEsFBgAA&#10;AAAGAAYAWQEAAE8FA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 xml:space="preserve">交通安全教育--私家车MDD-KJ-2218 </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乘飞机、乘私家车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81792" behindDoc="0" locked="0" layoutInCell="1" allowOverlap="1">
                      <wp:simplePos x="0" y="0"/>
                      <wp:positionH relativeFrom="column">
                        <wp:posOffset>200025</wp:posOffset>
                      </wp:positionH>
                      <wp:positionV relativeFrom="paragraph">
                        <wp:posOffset>50800</wp:posOffset>
                      </wp:positionV>
                      <wp:extent cx="1450975" cy="1440180"/>
                      <wp:effectExtent l="0" t="0" r="0" b="0"/>
                      <wp:wrapNone/>
                      <wp:docPr id="28" name="矩形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50975" cy="1440180"/>
                              </a:xfrm>
                              <a:prstGeom prst="rect">
                                <a:avLst/>
                              </a:prstGeom>
                              <a:noFill/>
                              <a:ln>
                                <a:noFill/>
                              </a:ln>
                            </wps:spPr>
                            <wps:bodyPr upright="1"/>
                          </wps:wsp>
                        </a:graphicData>
                      </a:graphic>
                    </wp:anchor>
                  </w:drawing>
                </mc:Choice>
                <mc:Fallback>
                  <w:pict>
                    <v:rect id="_x0000_s1026" o:spid="_x0000_s1026" o:spt="1" style="position:absolute;left:0pt;margin-left:15.75pt;margin-top:4pt;height:113.4pt;width:114.25pt;z-index:251681792;mso-width-relative:page;mso-height-relative:page;" filled="f" stroked="f" coordsize="21600,21600" o:gfxdata="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LG5n2AAAAAgBAAAPAAAAAAAAAAEAIAAAACIAAABkcnMvZG93bnJldi54bWxQSwECFAAUAAAA&#10;CACHTuJAm3yJDLUBAABlAwAADgAAAAAAAAABACAAAAAnAQAAZHJzL2Uyb0RvYy54bWxQSwUGAAAA&#10;AAYABgBZAQAATgU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交通安全教育--马路上MDD-KJ-2220</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马路上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82816" behindDoc="0" locked="0" layoutInCell="1" allowOverlap="1">
                      <wp:simplePos x="0" y="0"/>
                      <wp:positionH relativeFrom="column">
                        <wp:posOffset>231140</wp:posOffset>
                      </wp:positionH>
                      <wp:positionV relativeFrom="paragraph">
                        <wp:posOffset>66675</wp:posOffset>
                      </wp:positionV>
                      <wp:extent cx="1411605" cy="1440180"/>
                      <wp:effectExtent l="0" t="0" r="0" b="0"/>
                      <wp:wrapNone/>
                      <wp:docPr id="27" name="矩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11605" cy="1440180"/>
                              </a:xfrm>
                              <a:prstGeom prst="rect">
                                <a:avLst/>
                              </a:prstGeom>
                              <a:noFill/>
                              <a:ln>
                                <a:noFill/>
                              </a:ln>
                            </wps:spPr>
                            <wps:bodyPr upright="1"/>
                          </wps:wsp>
                        </a:graphicData>
                      </a:graphic>
                    </wp:anchor>
                  </w:drawing>
                </mc:Choice>
                <mc:Fallback>
                  <w:pict>
                    <v:rect id="_x0000_s1026" o:spid="_x0000_s1026" o:spt="1" style="position:absolute;left:0pt;margin-left:18.2pt;margin-top:5.25pt;height:113.4pt;width:111.15pt;z-index:251682816;mso-width-relative:page;mso-height-relative:page;" filled="f" stroked="f" coordsize="21600,21600" o:gfxdata="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WwpqLbAAAACQEAAA8AAAAAAAAAAQAgAAAAIgAAAGRycy9kb3ducmV2LnhtbFBLAQIUABQA&#10;AAAIAIdO4kA0AAwytAEAAGUDAAAOAAAAAAAAAAEAIAAAACoBAABkcnMvZTJvRG9jLnhtbFBLBQYA&#10;AAAABgAGAFkBAABQBQ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居家安全教育--厨房MDD-KJ-2221</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厨房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83840" behindDoc="0" locked="0" layoutInCell="1" allowOverlap="1">
                      <wp:simplePos x="0" y="0"/>
                      <wp:positionH relativeFrom="column">
                        <wp:posOffset>231140</wp:posOffset>
                      </wp:positionH>
                      <wp:positionV relativeFrom="paragraph">
                        <wp:posOffset>50800</wp:posOffset>
                      </wp:positionV>
                      <wp:extent cx="1435735" cy="1440180"/>
                      <wp:effectExtent l="0" t="0" r="0" b="0"/>
                      <wp:wrapNone/>
                      <wp:docPr id="22"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735" cy="1440180"/>
                              </a:xfrm>
                              <a:prstGeom prst="rect">
                                <a:avLst/>
                              </a:prstGeom>
                              <a:noFill/>
                              <a:ln>
                                <a:noFill/>
                              </a:ln>
                            </wps:spPr>
                            <wps:bodyPr upright="1"/>
                          </wps:wsp>
                        </a:graphicData>
                      </a:graphic>
                    </wp:anchor>
                  </w:drawing>
                </mc:Choice>
                <mc:Fallback>
                  <w:pict>
                    <v:rect id="_x0000_s1026" o:spid="_x0000_s1026" o:spt="1" style="position:absolute;left:0pt;margin-left:18.2pt;margin-top:4pt;height:113.4pt;width:113.05pt;z-index:251683840;mso-width-relative:page;mso-height-relative:page;" filled="f" stroked="f" coordsize="21600,21600" o:gfxdata="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norUNkAAAAIAQAADwAAAAAAAAABACAAAAAiAAAAZHJzL2Rvd25yZXYueG1sUEsBAhQAFAAA&#10;AAgAh07iQM2sl+O1AQAAZQMAAA4AAAAAAAAAAQAgAAAAKAEAAGRycy9lMm9Eb2MueG1sUEsFBgAA&#10;AAAGAAYAWQEAAE8FA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居家安全教育--浴室MDD-KJ-2222</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浴室洗澡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84864" behindDoc="0" locked="0" layoutInCell="1" allowOverlap="1">
                      <wp:simplePos x="0" y="0"/>
                      <wp:positionH relativeFrom="column">
                        <wp:posOffset>207010</wp:posOffset>
                      </wp:positionH>
                      <wp:positionV relativeFrom="paragraph">
                        <wp:posOffset>43180</wp:posOffset>
                      </wp:positionV>
                      <wp:extent cx="1435735" cy="1440180"/>
                      <wp:effectExtent l="0" t="0" r="0" b="0"/>
                      <wp:wrapNone/>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35735" cy="1440180"/>
                              </a:xfrm>
                              <a:prstGeom prst="rect">
                                <a:avLst/>
                              </a:prstGeom>
                              <a:noFill/>
                              <a:ln>
                                <a:noFill/>
                              </a:ln>
                            </wps:spPr>
                            <wps:bodyPr upright="1"/>
                          </wps:wsp>
                        </a:graphicData>
                      </a:graphic>
                    </wp:anchor>
                  </w:drawing>
                </mc:Choice>
                <mc:Fallback>
                  <w:pict>
                    <v:rect id="_x0000_s1026" o:spid="_x0000_s1026" o:spt="1" style="position:absolute;left:0pt;margin-left:16.3pt;margin-top:3.4pt;height:113.4pt;width:113.05pt;z-index:251684864;mso-width-relative:page;mso-height-relative:page;" filled="f" stroked="f" coordsize="21600,21600" o:gfxdata="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7odN2QAAAAgBAAAPAAAAAAAAAAEAIAAAACIAAABkcnMvZG93bnJldi54bWxQSwECFAAUAAAA&#10;CACHTuJApCQ1ZrQBAABlAwAADgAAAAAAAAABACAAAAAoAQAAZHJzL2Uyb0RvYy54bWxQSwUGAAAA&#10;AAYABgBZAQAATgU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居家安全教育--用火、应对火灾MDD-KJ-2223</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用火时的安全注意事项。和应对火灾时的处理方法。</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85888" behindDoc="0" locked="0" layoutInCell="1" allowOverlap="1">
                      <wp:simplePos x="0" y="0"/>
                      <wp:positionH relativeFrom="column">
                        <wp:posOffset>207010</wp:posOffset>
                      </wp:positionH>
                      <wp:positionV relativeFrom="paragraph">
                        <wp:posOffset>39370</wp:posOffset>
                      </wp:positionV>
                      <wp:extent cx="1452245" cy="1440180"/>
                      <wp:effectExtent l="0" t="0" r="0" b="0"/>
                      <wp:wrapNone/>
                      <wp:docPr id="12"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52245" cy="1440180"/>
                              </a:xfrm>
                              <a:prstGeom prst="rect">
                                <a:avLst/>
                              </a:prstGeom>
                              <a:noFill/>
                              <a:ln>
                                <a:noFill/>
                              </a:ln>
                            </wps:spPr>
                            <wps:bodyPr upright="1"/>
                          </wps:wsp>
                        </a:graphicData>
                      </a:graphic>
                    </wp:anchor>
                  </w:drawing>
                </mc:Choice>
                <mc:Fallback>
                  <w:pict>
                    <v:rect id="_x0000_s1026" o:spid="_x0000_s1026" o:spt="1" style="position:absolute;left:0pt;margin-left:16.3pt;margin-top:3.1pt;height:113.4pt;width:114.35pt;z-index:251685888;mso-width-relative:page;mso-height-relative:page;" filled="f" stroked="f" coordsize="21600,21600" o:gfxdata="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KtwVnYAAAACAEAAA8AAAAAAAAAAQAgAAAAIgAAAGRycy9kb3ducmV2LnhtbFBLAQIUABQAAAAI&#10;AIdO4kBB6fV4tAEAAGUDAAAOAAAAAAAAAAEAIAAAACcBAABkcnMvZTJvRG9jLnhtbFBLBQYAAAAA&#10;BgAGAFkBAABNBQ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color w:val="000000"/>
                <w:kern w:val="0"/>
                <w:sz w:val="21"/>
                <w:szCs w:val="21"/>
                <w:u w:val="none"/>
                <w:lang w:val="en-US" w:eastAsia="zh-CN" w:bidi="ar"/>
              </w:rPr>
              <w:t>居家安全教育-用电、用水MDD-KJ-2225</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尺寸74cm*74cm   材质：进口桦木夹板，环保水性漆；无毒，无味，产品质量通过中国强制性产品GB6675认证，通过ISO9001,2015国际质量体系认证，达到出口欧美标准。这款玩具属于steam教育系列玩具，技术与安全主题教育相结合，内容与时俱进，“学中玩、玩中学”，符合幼儿园教育特色。在游戏过程中，手动发电、语音播报，增加了玩具的趣味性，在游戏中进行公共安全教育和自我安全教育。同时，可以促进3-6、7岁儿童专注力、空间知觉能力，观察力、手部精细肌肉运动技能、目测能力、身体控制能力、专注力以及手、眼、脑综合协调能力的发展，进而促进智力品质的发展。从而运用到实际中，学习在用电、用水时的安全注意事项。</w:t>
            </w:r>
          </w:p>
        </w:tc>
        <w:tc>
          <w:tcPr>
            <w:tcW w:w="4905" w:type="dxa"/>
            <w:noWrap w:val="0"/>
            <w:vAlign w:val="bottom"/>
          </w:tcPr>
          <w:p>
            <w:pPr>
              <w:keepNext w:val="0"/>
              <w:keepLines w:val="0"/>
              <w:widowControl/>
              <w:suppressLineNumbers w:val="0"/>
              <w:jc w:val="both"/>
              <w:textAlignment w:val="bottom"/>
              <w:rPr>
                <w:rFonts w:hint="eastAsia" w:ascii="宋体" w:hAnsi="宋体" w:eastAsia="宋体" w:cs="宋体"/>
                <w:sz w:val="21"/>
                <w:szCs w:val="21"/>
                <w:lang w:eastAsia="zh-CN"/>
              </w:rPr>
            </w:pPr>
            <w:r>
              <w:rPr>
                <w:rFonts w:hint="eastAsia" w:ascii="宋体" w:hAnsi="宋体" w:eastAsia="宋体" w:cs="宋体"/>
                <w:b/>
                <w:i w:val="0"/>
                <w:color w:val="000000"/>
                <w:kern w:val="0"/>
                <w:sz w:val="21"/>
                <w:szCs w:val="21"/>
                <w:u w:val="none"/>
                <w:bdr w:val="single" w:color="000000" w:sz="4" w:space="0"/>
                <w:shd w:val="clear" w:color="auto" w:fill="FFFFFF"/>
                <w:lang w:val="en-US" w:eastAsia="zh-CN" w:bidi="ar"/>
              </w:rPr>
              <mc:AlternateContent>
                <mc:Choice Requires="wps">
                  <w:drawing>
                    <wp:anchor distT="0" distB="0" distL="114300" distR="114300" simplePos="0" relativeHeight="251686912" behindDoc="0" locked="0" layoutInCell="1" allowOverlap="1">
                      <wp:simplePos x="0" y="0"/>
                      <wp:positionH relativeFrom="column">
                        <wp:posOffset>200025</wp:posOffset>
                      </wp:positionH>
                      <wp:positionV relativeFrom="paragraph">
                        <wp:posOffset>50800</wp:posOffset>
                      </wp:positionV>
                      <wp:extent cx="1426845" cy="1440180"/>
                      <wp:effectExtent l="0" t="0" r="0" b="0"/>
                      <wp:wrapNone/>
                      <wp:docPr id="25"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6845" cy="1440180"/>
                              </a:xfrm>
                              <a:prstGeom prst="rect">
                                <a:avLst/>
                              </a:prstGeom>
                              <a:noFill/>
                              <a:ln>
                                <a:noFill/>
                              </a:ln>
                            </wps:spPr>
                            <wps:bodyPr upright="1"/>
                          </wps:wsp>
                        </a:graphicData>
                      </a:graphic>
                    </wp:anchor>
                  </w:drawing>
                </mc:Choice>
                <mc:Fallback>
                  <w:pict>
                    <v:rect id="_x0000_s1026" o:spid="_x0000_s1026" o:spt="1" style="position:absolute;left:0pt;margin-left:15.75pt;margin-top:4pt;height:113.4pt;width:112.35pt;z-index:251686912;mso-width-relative:page;mso-height-relative:page;" filled="f" stroked="f" coordsize="21600,21600" o:gfxdata="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I8Wx2QAAAAgBAAAPAAAAAAAAAAEAIAAAACIAAABkcnMvZG93bnJldi54bWxQSwECFAAUAAAA&#10;CACHTuJAv0j0XrQBAABlAwAADgAAAAAAAAABACAAAAAoAQAAZHJzL2Uyb0RvYy54bWxQSwUGAAAA&#10;AAYABgBZAQAATgUAAAAA&#10;">
                      <v:fill on="f" focussize="0,0"/>
                      <v:stroke on="f"/>
                      <v:imagedata o:title=""/>
                      <o:lock v:ext="edit" aspectratio="t"/>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出行安全教育-- 洪水</w:t>
            </w:r>
          </w:p>
          <w:p>
            <w:pPr>
              <w:pStyle w:val="5"/>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MDD-KJ-2202 </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尺寸74cm*74cm   材质：新西兰进口桦木夹板，环保水性漆；无毒，无味，产品质量通过中国强制性产品GB6675认证，通过ISO9001,2015国际质量体系认证，达到出口欧美标准。采用模块化手摇发电结构供电、微电流升压技术，产生高压放电现象，接通电源，孩子在仿真生活场景中操作玩具，自动语音播放安全知识，全景式观察生活，探究性理解生活中安全知识，感知体验安全生活的生命价值。了解洪水时的一些安全防范注意事项。</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*产品质量通过中国强制性产品GB6675认证，通过ISO9001,2015国际质量体系认证，达到出口欧美标准，提供检测报告。</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771525</wp:posOffset>
                  </wp:positionH>
                  <wp:positionV relativeFrom="paragraph">
                    <wp:posOffset>98425</wp:posOffset>
                  </wp:positionV>
                  <wp:extent cx="1461135" cy="1440180"/>
                  <wp:effectExtent l="0" t="0" r="5715" b="7620"/>
                  <wp:wrapNone/>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50" r:link="rId51"/>
                          <a:stretch>
                            <a:fillRect/>
                          </a:stretch>
                        </pic:blipFill>
                        <pic:spPr>
                          <a:xfrm>
                            <a:off x="0" y="0"/>
                            <a:ext cx="1461135" cy="14401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交通安全教育--乘船</w:t>
            </w:r>
          </w:p>
          <w:p>
            <w:pPr>
              <w:pStyle w:val="5"/>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MDD-KJ-2219</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尺寸74cm*74cm   材质：新西兰进口桦木夹板，环保水性漆；无毒，无味，产品质量通过中国强制性产品GB6675认证，通过ISO9001,2015国际质量体系认证，达到出口欧美标准。采用模块化手摇发电结构供电、微电流升压技术，产生高压放电现象，接通电源，孩子在仿真生活场景中操作玩具，自动语音播放安全知识，全景式观察生活，探究性理解生活中安全知识，感知体验安全生活的生命价值。了解乘船时的一些安全防范注意事项。</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*产品质量通过中国强制性产品GB6675认证，通过ISO9001,2015国际质量体系认证，达到出口欧美标准，提供检测报告。</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819150</wp:posOffset>
                  </wp:positionH>
                  <wp:positionV relativeFrom="paragraph">
                    <wp:posOffset>152400</wp:posOffset>
                  </wp:positionV>
                  <wp:extent cx="1470025" cy="1440180"/>
                  <wp:effectExtent l="0" t="0" r="15875" b="7620"/>
                  <wp:wrapNone/>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pic:cNvPicPr>
                        </pic:nvPicPr>
                        <pic:blipFill>
                          <a:blip r:embed="rId52" r:link="rId53"/>
                          <a:stretch>
                            <a:fillRect/>
                          </a:stretch>
                        </pic:blipFill>
                        <pic:spPr>
                          <a:xfrm>
                            <a:off x="0" y="0"/>
                            <a:ext cx="1470025" cy="14401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居家安全教育--客厅</w:t>
            </w:r>
          </w:p>
          <w:p>
            <w:pPr>
              <w:pStyle w:val="5"/>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MDD-KJ-2224</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套</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尺寸74cm*74cm   材质：新西兰进口桦木夹板，环保水性漆；无毒，无味，产品质量通过中国强制性产品GB6675认证，通过ISO9001,2015国际质量体系认证，达到出口欧美标准。采用模块化手摇发电结构供电、微电流升压技术，产生高压放电现象，接通电源，孩子在仿真生活场景中操作玩具，自动语音播放安全知识，全景式观察生活，探究性理解生活中安全知识，感知体验安全生活的生命价值。了解在客厅玩耍时的一些安全防范注意事项。</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*产品质量通过中国强制性产品GB6675认证，通过ISO9001,2015国际质量体系认证，达到出口欧美标准，提供检测报告。</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1038225</wp:posOffset>
                  </wp:positionH>
                  <wp:positionV relativeFrom="paragraph">
                    <wp:posOffset>152400</wp:posOffset>
                  </wp:positionV>
                  <wp:extent cx="946785" cy="927735"/>
                  <wp:effectExtent l="0" t="0" r="5715" b="5715"/>
                  <wp:wrapNone/>
                  <wp:docPr id="8" name="图片 32"/>
                  <wp:cNvGraphicFramePr/>
                  <a:graphic xmlns:a="http://schemas.openxmlformats.org/drawingml/2006/main">
                    <a:graphicData uri="http://schemas.openxmlformats.org/drawingml/2006/picture">
                      <pic:pic xmlns:pic="http://schemas.openxmlformats.org/drawingml/2006/picture">
                        <pic:nvPicPr>
                          <pic:cNvPr id="8" name="图片 32"/>
                          <pic:cNvPicPr/>
                        </pic:nvPicPr>
                        <pic:blipFill>
                          <a:blip r:embed="rId52" r:link="rId53"/>
                          <a:stretch>
                            <a:fillRect/>
                          </a:stretch>
                        </pic:blipFill>
                        <pic:spPr>
                          <a:xfrm>
                            <a:off x="0" y="0"/>
                            <a:ext cx="946785" cy="927735"/>
                          </a:xfrm>
                          <a:prstGeom prst="rect">
                            <a:avLst/>
                          </a:prstGeom>
                          <a:noFill/>
                          <a:ln>
                            <a:noFill/>
                          </a:ln>
                        </pic:spPr>
                      </pic:pic>
                    </a:graphicData>
                  </a:graphic>
                </wp:anchor>
              </w:drawing>
            </w:r>
            <w:r>
              <w:rPr>
                <w:rFonts w:hint="eastAsia" w:ascii="宋体" w:hAnsi="宋体" w:eastAsia="宋体" w:cs="宋体"/>
                <w:i w:val="0"/>
                <w:color w:val="000000"/>
                <w:kern w:val="0"/>
                <w:sz w:val="21"/>
                <w:szCs w:val="21"/>
                <w:u w:val="none"/>
                <w:bdr w:val="single" w:color="000000" w:sz="4" w:space="0"/>
                <w:lang w:val="en-US" w:eastAsia="zh-CN" w:bidi="ar"/>
              </w:rPr>
              <mc:AlternateContent>
                <mc:Choice Requires="wps">
                  <w:drawing>
                    <wp:anchor distT="0" distB="0" distL="114300" distR="114300" simplePos="0" relativeHeight="251692032" behindDoc="0" locked="0" layoutInCell="1" allowOverlap="1">
                      <wp:simplePos x="0" y="0"/>
                      <wp:positionH relativeFrom="column">
                        <wp:posOffset>847725</wp:posOffset>
                      </wp:positionH>
                      <wp:positionV relativeFrom="paragraph">
                        <wp:posOffset>55880</wp:posOffset>
                      </wp:positionV>
                      <wp:extent cx="1440180" cy="1440180"/>
                      <wp:effectExtent l="0" t="0" r="0" b="0"/>
                      <wp:wrapNone/>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180" cy="1440180"/>
                              </a:xfrm>
                              <a:prstGeom prst="rect">
                                <a:avLst/>
                              </a:prstGeom>
                              <a:noFill/>
                              <a:ln>
                                <a:noFill/>
                              </a:ln>
                            </wps:spPr>
                            <wps:bodyPr upright="1"/>
                          </wps:wsp>
                        </a:graphicData>
                      </a:graphic>
                    </wp:anchor>
                  </w:drawing>
                </mc:Choice>
                <mc:Fallback>
                  <w:pict>
                    <v:rect id="_x0000_s1026" o:spid="_x0000_s1026" o:spt="1" style="position:absolute;left:0pt;margin-left:66.75pt;margin-top:4.4pt;height:113.4pt;width:113.4pt;z-index:251692032;mso-width-relative:page;mso-height-relative:page;" filled="f" stroked="f" coordsize="21600,21600" o:gfxdata="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3pIyk&#10;2QAAAAkBAAAPAAAAAAAAAAEAIAAAACIAAABkcnMvZG93bnJldi54bWxQSwECFAAUAAAACACHTuJA&#10;dOyrDq4BAABjAwAADgAAAAAAAAABACAAAAAoAQAAZHJzL2Uyb0RvYy54bWxQSwUGAAAAAAYABgBZ&#10;AQAASAUAAAAA&#10;">
                      <v:fill on="f" focussize="0,0"/>
                      <v:stroke on="f"/>
                      <v:imagedata o:title=""/>
                      <o:lock v:ext="edit" aspectratio="t"/>
                    </v:rect>
                  </w:pict>
                </mc:Fallback>
              </mc:AlternateContent>
            </w:r>
            <w:r>
              <w:rPr>
                <w:rFonts w:hint="eastAsia" w:ascii="宋体" w:hAnsi="宋体" w:eastAsia="宋体" w:cs="宋体"/>
                <w:i w:val="0"/>
                <w:color w:val="000000"/>
                <w:kern w:val="0"/>
                <w:sz w:val="21"/>
                <w:szCs w:val="21"/>
                <w:u w:val="none"/>
                <w:bdr w:val="single" w:color="000000" w:sz="4" w:space="0"/>
                <w:lang w:val="en-US" w:eastAsia="zh-CN" w:bidi="ar"/>
              </w:rPr>
              <mc:AlternateContent>
                <mc:Choice Requires="wps">
                  <w:drawing>
                    <wp:anchor distT="0" distB="0" distL="114300" distR="114300" simplePos="0" relativeHeight="251689984" behindDoc="0" locked="0" layoutInCell="1" allowOverlap="1">
                      <wp:simplePos x="0" y="0"/>
                      <wp:positionH relativeFrom="column">
                        <wp:posOffset>238125</wp:posOffset>
                      </wp:positionH>
                      <wp:positionV relativeFrom="paragraph">
                        <wp:posOffset>55880</wp:posOffset>
                      </wp:positionV>
                      <wp:extent cx="1125220" cy="1125220"/>
                      <wp:effectExtent l="0" t="0" r="0" b="0"/>
                      <wp:wrapNone/>
                      <wp:docPr id="5" name="矩形 5"/>
                      <wp:cNvGraphicFramePr/>
                      <a:graphic xmlns:a="http://schemas.openxmlformats.org/drawingml/2006/main">
                        <a:graphicData uri="http://schemas.microsoft.com/office/word/2010/wordprocessingShape">
                          <wps:wsp>
                            <wps:cNvSpPr/>
                            <wps:spPr>
                              <a:xfrm>
                                <a:off x="0" y="0"/>
                                <a:ext cx="1125220" cy="1125220"/>
                              </a:xfrm>
                              <a:prstGeom prst="rect">
                                <a:avLst/>
                              </a:prstGeom>
                              <a:noFill/>
                              <a:ln>
                                <a:noFill/>
                              </a:ln>
                            </wps:spPr>
                            <wps:bodyPr upright="1"/>
                          </wps:wsp>
                        </a:graphicData>
                      </a:graphic>
                    </wp:anchor>
                  </w:drawing>
                </mc:Choice>
                <mc:Fallback>
                  <w:pict>
                    <v:rect id="_x0000_s1026" o:spid="_x0000_s1026" o:spt="1" style="position:absolute;left:0pt;margin-left:18.75pt;margin-top:4.4pt;height:88.6pt;width:88.6pt;z-index:251689984;mso-width-relative:page;mso-height-relative:page;" filled="f" stroked="f" coordsize="21600,21600" o:gfxdata="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KEJ4IbZAAAACAEAAA8AAAAAAAAAAQAgAAAA&#10;IgAAAGRycy9kb3ducmV2LnhtbFBLAQIUABQAAAAIAIdO4kD8IqIlmAEAADcDAAAOAAAAAAAAAAEA&#10;IAAAACgBAABkcnMvZTJvRG9jLnhtbFBLBQYAAAAABgAGAFkBAAAyBQAAAAA=&#10;">
                      <v:fill on="f" focussize="0,0"/>
                      <v:stroke on="f"/>
                      <v:imagedata o:title=""/>
                      <o:lock v:ext="edit" aspectratio="f"/>
                    </v:rect>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舞台道具1</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小草和树</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94080" behindDoc="1" locked="0" layoutInCell="1" allowOverlap="1">
                  <wp:simplePos x="0" y="0"/>
                  <wp:positionH relativeFrom="column">
                    <wp:posOffset>1492250</wp:posOffset>
                  </wp:positionH>
                  <wp:positionV relativeFrom="paragraph">
                    <wp:posOffset>57150</wp:posOffset>
                  </wp:positionV>
                  <wp:extent cx="1417955" cy="2095500"/>
                  <wp:effectExtent l="0" t="0" r="10795" b="0"/>
                  <wp:wrapTight wrapText="bothSides">
                    <wp:wrapPolygon>
                      <wp:start x="0" y="0"/>
                      <wp:lineTo x="0" y="21404"/>
                      <wp:lineTo x="21184" y="21404"/>
                      <wp:lineTo x="21184" y="0"/>
                      <wp:lineTo x="0" y="0"/>
                    </wp:wrapPolygon>
                  </wp:wrapTight>
                  <wp:docPr id="4" name="图片 162" descr="f12e61335591c4e52e8f91acfb5c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2" descr="f12e61335591c4e52e8f91acfb5c518"/>
                          <pic:cNvPicPr>
                            <a:picLocks noChangeAspect="1"/>
                          </pic:cNvPicPr>
                        </pic:nvPicPr>
                        <pic:blipFill>
                          <a:blip r:embed="rId54"/>
                          <a:srcRect l="7188" t="36580" r="71799" b="32368"/>
                          <a:stretch>
                            <a:fillRect/>
                          </a:stretch>
                        </pic:blipFill>
                        <pic:spPr>
                          <a:xfrm>
                            <a:off x="0" y="0"/>
                            <a:ext cx="1417955" cy="2095500"/>
                          </a:xfrm>
                          <a:prstGeom prst="rect">
                            <a:avLst/>
                          </a:prstGeom>
                          <a:noFill/>
                          <a:ln>
                            <a:noFill/>
                          </a:ln>
                        </pic:spPr>
                      </pic:pic>
                    </a:graphicData>
                  </a:graphic>
                </wp:anchor>
              </w:drawing>
            </w:r>
            <w:r>
              <w:rPr>
                <w:rFonts w:hint="eastAsia" w:ascii="宋体" w:hAnsi="宋体" w:eastAsia="宋体" w:cs="宋体"/>
                <w:i w:val="0"/>
                <w:color w:val="000000"/>
                <w:kern w:val="0"/>
                <w:sz w:val="21"/>
                <w:szCs w:val="21"/>
                <w:u w:val="none"/>
                <w:bdr w:val="single" w:color="000000" w:sz="4" w:space="0"/>
                <w:lang w:val="en-US" w:eastAsia="zh-CN" w:bidi="ar"/>
              </w:rPr>
              <w:drawing>
                <wp:anchor distT="0" distB="0" distL="114300" distR="114300" simplePos="0" relativeHeight="251693056" behindDoc="1" locked="0" layoutInCell="1" allowOverlap="1">
                  <wp:simplePos x="0" y="0"/>
                  <wp:positionH relativeFrom="column">
                    <wp:posOffset>11430</wp:posOffset>
                  </wp:positionH>
                  <wp:positionV relativeFrom="paragraph">
                    <wp:posOffset>341630</wp:posOffset>
                  </wp:positionV>
                  <wp:extent cx="1349375" cy="1609725"/>
                  <wp:effectExtent l="0" t="0" r="3175" b="9525"/>
                  <wp:wrapTight wrapText="bothSides">
                    <wp:wrapPolygon>
                      <wp:start x="0" y="0"/>
                      <wp:lineTo x="0" y="21472"/>
                      <wp:lineTo x="21346" y="21472"/>
                      <wp:lineTo x="21346" y="0"/>
                      <wp:lineTo x="0" y="0"/>
                    </wp:wrapPolygon>
                  </wp:wrapTight>
                  <wp:docPr id="6" name="图片 163" descr="2a4c026bc2d29d60edda10fc5edf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3" descr="2a4c026bc2d29d60edda10fc5edf3af"/>
                          <pic:cNvPicPr>
                            <a:picLocks noChangeAspect="1"/>
                          </pic:cNvPicPr>
                        </pic:nvPicPr>
                        <pic:blipFill>
                          <a:blip r:embed="rId55"/>
                          <a:srcRect r="70715" b="65791"/>
                          <a:stretch>
                            <a:fillRect/>
                          </a:stretch>
                        </pic:blipFill>
                        <pic:spPr>
                          <a:xfrm>
                            <a:off x="0" y="0"/>
                            <a:ext cx="1349375" cy="1609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舞台道具2</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1.5高</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i w:val="0"/>
                <w:color w:val="000000"/>
                <w:kern w:val="0"/>
                <w:sz w:val="21"/>
                <w:szCs w:val="21"/>
                <w:u w:val="none"/>
                <w:bdr w:val="single" w:color="000000" w:sz="4" w:space="0"/>
                <w:lang w:val="en-US" w:eastAsia="zh-CN" w:bidi="ar"/>
              </w:rPr>
              <w:drawing>
                <wp:inline distT="0" distB="0" distL="114300" distR="114300">
                  <wp:extent cx="2100580" cy="2465070"/>
                  <wp:effectExtent l="0" t="0" r="13970" b="11430"/>
                  <wp:docPr id="18" name="图片 36" descr="2a4c026bc2d29d60edda10fc5edf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6" descr="2a4c026bc2d29d60edda10fc5edf3af"/>
                          <pic:cNvPicPr>
                            <a:picLocks noChangeAspect="1"/>
                          </pic:cNvPicPr>
                        </pic:nvPicPr>
                        <pic:blipFill>
                          <a:blip r:embed="rId55"/>
                          <a:srcRect l="46704" r="25372" b="67896"/>
                          <a:stretch>
                            <a:fillRect/>
                          </a:stretch>
                        </pic:blipFill>
                        <pic:spPr>
                          <a:xfrm>
                            <a:off x="0" y="0"/>
                            <a:ext cx="2100580" cy="2465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舞台道具3</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小树，小蘑菇，小草等</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i w:val="0"/>
                <w:color w:val="000000"/>
                <w:kern w:val="0"/>
                <w:sz w:val="21"/>
                <w:szCs w:val="21"/>
                <w:u w:val="none"/>
                <w:bdr w:val="single" w:color="000000" w:sz="4" w:space="0"/>
                <w:lang w:val="en-US" w:eastAsia="zh-CN" w:bidi="ar"/>
              </w:rPr>
              <w:drawing>
                <wp:inline distT="0" distB="0" distL="114300" distR="114300">
                  <wp:extent cx="1873885" cy="1882140"/>
                  <wp:effectExtent l="0" t="0" r="12065" b="3810"/>
                  <wp:docPr id="36" name="图片 37" descr="98688b809497f16c54d04f80dbb6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98688b809497f16c54d04f80dbb6e89"/>
                          <pic:cNvPicPr>
                            <a:picLocks noChangeAspect="1"/>
                          </pic:cNvPicPr>
                        </pic:nvPicPr>
                        <pic:blipFill>
                          <a:blip r:embed="rId56"/>
                          <a:srcRect l="32909" r="32611" b="65370"/>
                          <a:stretch>
                            <a:fillRect/>
                          </a:stretch>
                        </pic:blipFill>
                        <pic:spPr>
                          <a:xfrm>
                            <a:off x="0" y="0"/>
                            <a:ext cx="1873885" cy="1882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rPr>
                <w:rFonts w:hint="eastAsia" w:ascii="宋体" w:hAnsi="宋体" w:eastAsia="宋体" w:cs="宋体"/>
                <w:b w:val="0"/>
                <w:bCs w:val="0"/>
                <w:sz w:val="21"/>
                <w:szCs w:val="21"/>
                <w:lang w:val="en-US" w:eastAsia="zh-CN"/>
              </w:rPr>
            </w:pPr>
            <w:r>
              <w:rPr>
                <w:rFonts w:hint="eastAsia" w:ascii="宋体" w:hAnsi="宋体" w:eastAsia="宋体" w:cs="宋体"/>
                <w:i w:val="0"/>
                <w:color w:val="000000"/>
                <w:kern w:val="0"/>
                <w:sz w:val="21"/>
                <w:szCs w:val="21"/>
                <w:u w:val="none"/>
                <w:lang w:val="en-US" w:eastAsia="zh-CN" w:bidi="ar"/>
              </w:rPr>
              <w:t>动物1</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带草坪</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i w:val="0"/>
                <w:color w:val="000000"/>
                <w:kern w:val="0"/>
                <w:sz w:val="21"/>
                <w:szCs w:val="21"/>
                <w:u w:val="none"/>
                <w:bdr w:val="single" w:color="000000" w:sz="4" w:space="0"/>
                <w:lang w:val="en-US" w:eastAsia="zh-CN" w:bidi="ar"/>
              </w:rPr>
              <w:drawing>
                <wp:inline distT="0" distB="0" distL="114300" distR="114300">
                  <wp:extent cx="2978785" cy="2592070"/>
                  <wp:effectExtent l="0" t="0" r="12065" b="17780"/>
                  <wp:docPr id="35" name="图片 38" descr="49d3e17434c7580689056c2e821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49d3e17434c7580689056c2e8218440"/>
                          <pic:cNvPicPr>
                            <a:picLocks noChangeAspect="1"/>
                          </pic:cNvPicPr>
                        </pic:nvPicPr>
                        <pic:blipFill>
                          <a:blip r:embed="rId57"/>
                          <a:stretch>
                            <a:fillRect/>
                          </a:stretch>
                        </pic:blipFill>
                        <pic:spPr>
                          <a:xfrm>
                            <a:off x="0" y="0"/>
                            <a:ext cx="2978785" cy="2592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rPr>
                <w:rFonts w:hint="eastAsia" w:ascii="宋体" w:hAnsi="宋体" w:eastAsia="宋体" w:cs="宋体"/>
                <w:b w:val="0"/>
                <w:bCs w:val="0"/>
                <w:sz w:val="21"/>
                <w:szCs w:val="21"/>
                <w:lang w:val="en-US" w:eastAsia="zh-CN"/>
              </w:rPr>
            </w:pPr>
            <w:r>
              <w:rPr>
                <w:rFonts w:hint="eastAsia" w:ascii="宋体" w:hAnsi="宋体" w:eastAsia="宋体" w:cs="宋体"/>
                <w:i w:val="0"/>
                <w:color w:val="000000"/>
                <w:kern w:val="0"/>
                <w:sz w:val="21"/>
                <w:szCs w:val="21"/>
                <w:u w:val="none"/>
                <w:lang w:val="en-US" w:eastAsia="zh-CN" w:bidi="ar"/>
              </w:rPr>
              <w:t>动物2</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组</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带草坪</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i w:val="0"/>
                <w:color w:val="000000"/>
                <w:kern w:val="0"/>
                <w:sz w:val="21"/>
                <w:szCs w:val="21"/>
                <w:u w:val="none"/>
                <w:bdr w:val="single" w:color="000000" w:sz="4" w:space="0"/>
                <w:lang w:val="en-US" w:eastAsia="zh-CN" w:bidi="ar"/>
              </w:rPr>
              <w:drawing>
                <wp:inline distT="0" distB="0" distL="114300" distR="114300">
                  <wp:extent cx="1751330" cy="2233295"/>
                  <wp:effectExtent l="0" t="0" r="1270" b="14605"/>
                  <wp:docPr id="33" name="图片 39" descr="6508e0e1fbaee681fd8b2c628e5c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9" descr="6508e0e1fbaee681fd8b2c628e5c5c0"/>
                          <pic:cNvPicPr>
                            <a:picLocks noChangeAspect="1"/>
                          </pic:cNvPicPr>
                        </pic:nvPicPr>
                        <pic:blipFill>
                          <a:blip r:embed="rId58"/>
                          <a:srcRect l="40570" t="45518" r="723" b="870"/>
                          <a:stretch>
                            <a:fillRect/>
                          </a:stretch>
                        </pic:blipFill>
                        <pic:spPr>
                          <a:xfrm>
                            <a:off x="0" y="0"/>
                            <a:ext cx="1751330" cy="22332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鼠标垫</w:t>
            </w:r>
          </w:p>
          <w:p>
            <w:pPr>
              <w:jc w:val="center"/>
              <w:rPr>
                <w:rFonts w:hint="eastAsia" w:ascii="宋体" w:hAnsi="宋体" w:eastAsia="宋体" w:cs="宋体"/>
                <w:i w:val="0"/>
                <w:color w:val="000000"/>
                <w:kern w:val="0"/>
                <w:sz w:val="21"/>
                <w:szCs w:val="21"/>
                <w:u w:val="none"/>
                <w:lang w:val="en-US" w:eastAsia="zh-CN" w:bidi="ar"/>
              </w:rPr>
            </w:pP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Pu软面绒底</w:t>
            </w:r>
          </w:p>
          <w:p>
            <w:pPr>
              <w:pStyle w:val="5"/>
              <w:keepNext w:val="0"/>
              <w:keepLines w:val="0"/>
              <w:pageBreakBefore w:val="0"/>
              <w:widowControl/>
              <w:kinsoku/>
              <w:wordWrap/>
              <w:overflowPunct/>
              <w:topLinePunct w:val="0"/>
              <w:autoSpaceDE/>
              <w:autoSpaceDN/>
              <w:bidi w:val="0"/>
              <w:adjustRightInd/>
              <w:snapToGrid/>
              <w:spacing w:line="480" w:lineRule="auto"/>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val="0"/>
                <w:bCs w:val="0"/>
                <w:sz w:val="21"/>
                <w:szCs w:val="21"/>
                <w:lang w:val="en-US" w:eastAsia="zh-CN"/>
              </w:rPr>
              <w:t>900*400mm</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i w:val="0"/>
                <w:color w:val="000000"/>
                <w:kern w:val="0"/>
                <w:sz w:val="21"/>
                <w:szCs w:val="21"/>
                <w:u w:val="none"/>
                <w:bdr w:val="single" w:color="000000" w:sz="4" w:space="0"/>
                <w:lang w:val="en-US" w:eastAsia="zh-CN" w:bidi="ar"/>
              </w:rPr>
              <w:drawing>
                <wp:inline distT="0" distB="0" distL="114300" distR="114300">
                  <wp:extent cx="2874645" cy="1285875"/>
                  <wp:effectExtent l="0" t="0" r="1905" b="9525"/>
                  <wp:docPr id="34" name="图片 40" descr="93f27440ffdd6ffd3f8135bdd19e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0" descr="93f27440ffdd6ffd3f8135bdd19e732"/>
                          <pic:cNvPicPr>
                            <a:picLocks noChangeAspect="1"/>
                          </pic:cNvPicPr>
                        </pic:nvPicPr>
                        <pic:blipFill>
                          <a:blip r:embed="rId59"/>
                          <a:srcRect t="45496" b="34372"/>
                          <a:stretch>
                            <a:fillRect/>
                          </a:stretch>
                        </pic:blipFill>
                        <pic:spPr>
                          <a:xfrm>
                            <a:off x="0" y="0"/>
                            <a:ext cx="2874645" cy="1285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val="0"/>
                <w:bCs w:val="0"/>
                <w:sz w:val="21"/>
                <w:szCs w:val="21"/>
                <w:lang w:val="en-US" w:eastAsia="zh-CN"/>
              </w:rPr>
              <w:t>鼠标垫</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天然橡胶</w:t>
            </w:r>
          </w:p>
          <w:p>
            <w:pPr>
              <w:pStyle w:val="5"/>
              <w:keepNext w:val="0"/>
              <w:keepLines w:val="0"/>
              <w:pageBreakBefore w:val="0"/>
              <w:widowControl/>
              <w:kinsoku/>
              <w:wordWrap/>
              <w:overflowPunct/>
              <w:topLinePunct w:val="0"/>
              <w:autoSpaceDE/>
              <w:autoSpaceDN/>
              <w:bidi w:val="0"/>
              <w:adjustRightInd/>
              <w:snapToGrid/>
              <w:spacing w:line="480" w:lineRule="auto"/>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val="0"/>
                <w:bCs w:val="0"/>
                <w:sz w:val="21"/>
                <w:szCs w:val="21"/>
                <w:lang w:val="en-US" w:eastAsia="zh-CN"/>
              </w:rPr>
              <w:t>260*210mm，厚度3mm</w:t>
            </w: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i w:val="0"/>
                <w:color w:val="000000"/>
                <w:kern w:val="0"/>
                <w:sz w:val="21"/>
                <w:szCs w:val="21"/>
                <w:u w:val="none"/>
                <w:bdr w:val="single" w:color="000000" w:sz="4" w:space="0"/>
                <w:lang w:val="en-US" w:eastAsia="zh-CN" w:bidi="ar"/>
              </w:rPr>
              <w:drawing>
                <wp:inline distT="0" distB="0" distL="114300" distR="114300">
                  <wp:extent cx="2920365" cy="1490345"/>
                  <wp:effectExtent l="0" t="0" r="13335" b="14605"/>
                  <wp:docPr id="37" name="图片 41" descr="eaed77dc8a20dac6063aeba9624b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eaed77dc8a20dac6063aeba9624bfc2"/>
                          <pic:cNvPicPr>
                            <a:picLocks noChangeAspect="1"/>
                          </pic:cNvPicPr>
                        </pic:nvPicPr>
                        <pic:blipFill>
                          <a:blip r:embed="rId60"/>
                          <a:srcRect t="880" r="2232" b="58612"/>
                          <a:stretch>
                            <a:fillRect/>
                          </a:stretch>
                        </pic:blipFill>
                        <pic:spPr>
                          <a:xfrm>
                            <a:off x="0" y="0"/>
                            <a:ext cx="2920365" cy="1490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小音箱</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个</w:t>
            </w:r>
          </w:p>
        </w:tc>
        <w:tc>
          <w:tcPr>
            <w:tcW w:w="5901" w:type="dxa"/>
            <w:noWrap w:val="0"/>
            <w:vAlign w:val="center"/>
          </w:tcPr>
          <w:p>
            <w:pPr>
              <w:pStyle w:val="5"/>
              <w:keepNext w:val="0"/>
              <w:keepLines w:val="0"/>
              <w:pageBreakBefore w:val="0"/>
              <w:widowControl/>
              <w:kinsoku/>
              <w:wordWrap/>
              <w:overflowPunct/>
              <w:topLinePunct w:val="0"/>
              <w:autoSpaceDE/>
              <w:autoSpaceDN/>
              <w:bidi w:val="0"/>
              <w:adjustRightInd/>
              <w:snapToGrid/>
              <w:spacing w:line="480" w:lineRule="auto"/>
              <w:jc w:val="center"/>
              <w:rPr>
                <w:rFonts w:hint="eastAsia" w:ascii="宋体" w:hAnsi="宋体" w:eastAsia="宋体" w:cs="宋体"/>
                <w:b w:val="0"/>
                <w:bCs w:val="0"/>
                <w:sz w:val="21"/>
                <w:szCs w:val="21"/>
                <w:lang w:val="en-US" w:eastAsia="zh-CN"/>
              </w:rPr>
            </w:pP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sz w:val="21"/>
                <w:szCs w:val="21"/>
              </w:rPr>
              <w:drawing>
                <wp:inline distT="0" distB="0" distL="114300" distR="114300">
                  <wp:extent cx="2457450" cy="2433955"/>
                  <wp:effectExtent l="0" t="0" r="0" b="4445"/>
                  <wp:docPr id="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2"/>
                          <pic:cNvPicPr>
                            <a:picLocks noChangeAspect="1"/>
                          </pic:cNvPicPr>
                        </pic:nvPicPr>
                        <pic:blipFill>
                          <a:blip r:embed="rId61"/>
                          <a:stretch>
                            <a:fillRect/>
                          </a:stretch>
                        </pic:blipFill>
                        <pic:spPr>
                          <a:xfrm>
                            <a:off x="0" y="0"/>
                            <a:ext cx="2457450" cy="24339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548" w:type="dxa"/>
            <w:noWrap w:val="0"/>
            <w:vAlign w:val="center"/>
          </w:tcPr>
          <w:p>
            <w:pPr>
              <w:pStyle w:val="5"/>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翻页笔</w:t>
            </w:r>
          </w:p>
        </w:tc>
        <w:tc>
          <w:tcPr>
            <w:tcW w:w="723" w:type="dxa"/>
            <w:noWrap w:val="0"/>
            <w:vAlign w:val="center"/>
          </w:tcPr>
          <w:p>
            <w:pPr>
              <w:keepNext w:val="0"/>
              <w:keepLines w:val="0"/>
              <w:widowControl/>
              <w:suppressLineNumbers w:val="0"/>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40" w:type="dxa"/>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支</w:t>
            </w:r>
          </w:p>
        </w:tc>
        <w:tc>
          <w:tcPr>
            <w:tcW w:w="5901" w:type="dxa"/>
            <w:noWrap w:val="0"/>
            <w:vAlign w:val="center"/>
          </w:tcPr>
          <w:p>
            <w:pPr>
              <w:pStyle w:val="5"/>
              <w:keepNext w:val="0"/>
              <w:keepLines w:val="0"/>
              <w:pageBreakBefore w:val="0"/>
              <w:widowControl/>
              <w:kinsoku/>
              <w:wordWrap/>
              <w:overflowPunct/>
              <w:topLinePunct w:val="0"/>
              <w:autoSpaceDE/>
              <w:autoSpaceDN/>
              <w:bidi w:val="0"/>
              <w:adjustRightInd/>
              <w:snapToGrid/>
              <w:spacing w:line="480" w:lineRule="auto"/>
              <w:jc w:val="center"/>
              <w:rPr>
                <w:rFonts w:hint="eastAsia" w:ascii="宋体" w:hAnsi="宋体" w:eastAsia="宋体" w:cs="宋体"/>
                <w:b w:val="0"/>
                <w:bCs w:val="0"/>
                <w:sz w:val="21"/>
                <w:szCs w:val="21"/>
                <w:lang w:val="en-US" w:eastAsia="zh-CN"/>
              </w:rPr>
            </w:pPr>
          </w:p>
        </w:tc>
        <w:tc>
          <w:tcPr>
            <w:tcW w:w="490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1"/>
                <w:szCs w:val="21"/>
                <w:u w:val="none"/>
                <w:bdr w:val="single" w:color="000000" w:sz="4" w:space="0"/>
                <w:lang w:val="en-US" w:eastAsia="zh-CN" w:bidi="ar"/>
              </w:rPr>
            </w:pPr>
            <w:r>
              <w:rPr>
                <w:rFonts w:hint="eastAsia" w:ascii="宋体" w:hAnsi="宋体" w:eastAsia="宋体" w:cs="宋体"/>
                <w:sz w:val="21"/>
                <w:szCs w:val="21"/>
              </w:rPr>
              <w:drawing>
                <wp:inline distT="0" distB="0" distL="114300" distR="114300">
                  <wp:extent cx="1800225" cy="1800225"/>
                  <wp:effectExtent l="0" t="0" r="9525" b="9525"/>
                  <wp:docPr id="31"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 descr="IMG_256"/>
                          <pic:cNvPicPr>
                            <a:picLocks noChangeAspect="1"/>
                          </pic:cNvPicPr>
                        </pic:nvPicPr>
                        <pic:blipFill>
                          <a:blip r:embed="rId62"/>
                          <a:stretch>
                            <a:fillRect/>
                          </a:stretch>
                        </pic:blipFill>
                        <pic:spPr>
                          <a:xfrm>
                            <a:off x="0" y="0"/>
                            <a:ext cx="1800225" cy="1800225"/>
                          </a:xfrm>
                          <a:prstGeom prst="rect">
                            <a:avLst/>
                          </a:prstGeom>
                          <a:noFill/>
                          <a:ln>
                            <a:noFill/>
                          </a:ln>
                        </pic:spPr>
                      </pic:pic>
                    </a:graphicData>
                  </a:graphic>
                </wp:inline>
              </w:drawing>
            </w:r>
          </w:p>
        </w:tc>
      </w:tr>
    </w:tbl>
    <w:p/>
    <w:p>
      <w:pPr>
        <w:pStyle w:val="85"/>
        <w:widowControl w:val="0"/>
        <w:numPr>
          <w:ilvl w:val="0"/>
          <w:numId w:val="0"/>
        </w:numPr>
        <w:autoSpaceDE w:val="0"/>
        <w:autoSpaceDN w:val="0"/>
        <w:adjustRightInd w:val="0"/>
        <w:spacing w:line="500" w:lineRule="exact"/>
        <w:ind w:firstLine="482" w:firstLineChars="200"/>
        <w:jc w:val="both"/>
        <w:outlineLvl w:val="0"/>
        <w:rPr>
          <w:rFonts w:hint="default" w:hAnsi="宋体" w:cs="宋体"/>
          <w:b/>
          <w:bCs w:val="0"/>
          <w:sz w:val="24"/>
          <w:lang w:val="en-US" w:eastAsia="zh-CN"/>
        </w:rPr>
      </w:pPr>
      <w:bookmarkStart w:id="55" w:name="_Toc349637936"/>
      <w:bookmarkStart w:id="56" w:name="_Toc349573137"/>
      <w:bookmarkStart w:id="57" w:name="_Toc298240422"/>
      <w:r>
        <w:rPr>
          <w:rFonts w:hint="default" w:hAnsi="宋体" w:cs="宋体"/>
          <w:b/>
          <w:bCs w:val="0"/>
          <w:sz w:val="24"/>
          <w:lang w:val="en-US" w:eastAsia="zh-CN"/>
        </w:rPr>
        <w:t>注</w:t>
      </w:r>
      <w:r>
        <w:rPr>
          <w:rFonts w:hint="eastAsia" w:hAnsi="宋体" w:cs="宋体"/>
          <w:b/>
          <w:bCs w:val="0"/>
          <w:sz w:val="24"/>
          <w:lang w:val="en-US" w:eastAsia="zh-CN"/>
        </w:rPr>
        <w:t>：</w:t>
      </w:r>
    </w:p>
    <w:p>
      <w:pPr>
        <w:pStyle w:val="85"/>
        <w:widowControl w:val="0"/>
        <w:numPr>
          <w:ilvl w:val="0"/>
          <w:numId w:val="0"/>
        </w:numPr>
        <w:autoSpaceDE w:val="0"/>
        <w:autoSpaceDN w:val="0"/>
        <w:adjustRightInd w:val="0"/>
        <w:spacing w:line="500" w:lineRule="exact"/>
        <w:ind w:firstLine="482" w:firstLineChars="200"/>
        <w:jc w:val="both"/>
        <w:outlineLvl w:val="0"/>
        <w:rPr>
          <w:rFonts w:hint="default" w:hAnsi="宋体" w:cs="宋体"/>
          <w:b/>
          <w:bCs w:val="0"/>
          <w:sz w:val="24"/>
          <w:lang w:val="en-US" w:eastAsia="zh-CN"/>
        </w:rPr>
      </w:pPr>
      <w:r>
        <w:rPr>
          <w:rFonts w:hint="eastAsia" w:hAnsi="宋体" w:cs="宋体"/>
          <w:b/>
          <w:bCs w:val="0"/>
          <w:sz w:val="24"/>
          <w:lang w:val="en-US" w:eastAsia="zh-CN"/>
        </w:rPr>
        <w:t>1</w:t>
      </w:r>
      <w:r>
        <w:rPr>
          <w:rFonts w:hint="default" w:hAnsi="宋体" w:cs="宋体"/>
          <w:b/>
          <w:bCs w:val="0"/>
          <w:sz w:val="24"/>
          <w:lang w:val="en-US" w:eastAsia="zh-CN"/>
        </w:rPr>
        <w:t>.本章所列品牌均为参考品牌，不作为指定品牌，投标人可以自行选择其他品牌报价，但提供产品的品质、档次、性能、技术参数等特点不低于或相当于参考品牌。</w:t>
      </w:r>
    </w:p>
    <w:p>
      <w:pPr>
        <w:pStyle w:val="85"/>
        <w:widowControl w:val="0"/>
        <w:numPr>
          <w:ilvl w:val="0"/>
          <w:numId w:val="0"/>
        </w:numPr>
        <w:autoSpaceDE w:val="0"/>
        <w:autoSpaceDN w:val="0"/>
        <w:adjustRightInd w:val="0"/>
        <w:spacing w:line="500" w:lineRule="exact"/>
        <w:ind w:firstLine="482" w:firstLineChars="200"/>
        <w:jc w:val="both"/>
        <w:outlineLvl w:val="0"/>
        <w:rPr>
          <w:rFonts w:hint="default" w:hAnsi="宋体" w:cs="宋体"/>
          <w:b/>
          <w:bCs w:val="0"/>
          <w:sz w:val="24"/>
          <w:lang w:val="en-US" w:eastAsia="zh-CN"/>
        </w:rPr>
        <w:sectPr>
          <w:pgSz w:w="16840" w:h="11907" w:orient="landscape"/>
          <w:pgMar w:top="1134" w:right="1276" w:bottom="1080" w:left="1440" w:header="851" w:footer="798" w:gutter="0"/>
          <w:pgNumType w:fmt="decimal"/>
          <w:cols w:space="720" w:num="1"/>
          <w:titlePg/>
          <w:docGrid w:type="lines" w:linePitch="409" w:charSpace="0"/>
        </w:sectPr>
      </w:pPr>
      <w:r>
        <w:rPr>
          <w:rFonts w:hint="eastAsia" w:ascii="宋体" w:hAnsi="宋体" w:eastAsia="宋体" w:cs="宋体"/>
          <w:b/>
          <w:bCs w:val="0"/>
          <w:sz w:val="24"/>
          <w:lang w:val="en-US" w:eastAsia="zh-CN"/>
        </w:rPr>
        <w:t>2、涉</w:t>
      </w:r>
      <w:r>
        <w:rPr>
          <w:rFonts w:hint="default" w:hAnsi="宋体" w:cs="宋体"/>
          <w:b/>
          <w:bCs w:val="0"/>
          <w:sz w:val="24"/>
          <w:lang w:val="en-US" w:eastAsia="zh-CN"/>
        </w:rPr>
        <w:t>及到产品图册须附彩打件。</w:t>
      </w:r>
    </w:p>
    <w:bookmarkEnd w:id="54"/>
    <w:bookmarkEnd w:id="55"/>
    <w:bookmarkEnd w:id="56"/>
    <w:bookmarkEnd w:id="57"/>
    <w:p>
      <w:pPr>
        <w:pStyle w:val="3"/>
        <w:spacing w:after="100" w:afterAutospacing="1" w:line="400" w:lineRule="atLeast"/>
        <w:ind w:left="0" w:firstLine="0"/>
        <w:jc w:val="center"/>
        <w:rPr>
          <w:rFonts w:ascii="宋体" w:hAnsi="宋体" w:cs="宋体"/>
          <w:sz w:val="32"/>
          <w:szCs w:val="32"/>
        </w:rPr>
      </w:pPr>
      <w:bookmarkStart w:id="58" w:name="_Toc349637943"/>
      <w:bookmarkStart w:id="59" w:name="_Toc349573144"/>
      <w:bookmarkStart w:id="60" w:name="_Toc298240429"/>
      <w:bookmarkStart w:id="61" w:name="_Toc468707227"/>
      <w:r>
        <w:rPr>
          <w:rFonts w:hint="eastAsia" w:ascii="宋体" w:hAnsi="宋体" w:cs="宋体"/>
          <w:sz w:val="32"/>
          <w:szCs w:val="32"/>
        </w:rPr>
        <w:t>第五部分　范本格式</w:t>
      </w:r>
      <w:bookmarkEnd w:id="58"/>
      <w:bookmarkEnd w:id="59"/>
      <w:bookmarkEnd w:id="60"/>
      <w:bookmarkEnd w:id="61"/>
    </w:p>
    <w:p>
      <w:pPr>
        <w:spacing w:line="400" w:lineRule="atLeast"/>
        <w:jc w:val="center"/>
        <w:rPr>
          <w:rFonts w:ascii="宋体" w:hAnsi="宋体" w:cs="宋体"/>
          <w:sz w:val="24"/>
        </w:rPr>
      </w:pPr>
      <w:r>
        <w:rPr>
          <w:rFonts w:hint="eastAsia" w:ascii="宋体" w:hAnsi="宋体" w:cs="宋体"/>
          <w:sz w:val="24"/>
        </w:rPr>
        <w:t>1、 磋商书承诺书</w:t>
      </w:r>
    </w:p>
    <w:p>
      <w:pPr>
        <w:spacing w:line="400" w:lineRule="atLeast"/>
        <w:rPr>
          <w:rFonts w:ascii="宋体" w:hAnsi="宋体" w:cs="宋体"/>
          <w:sz w:val="24"/>
        </w:rPr>
      </w:pPr>
      <w:r>
        <w:rPr>
          <w:rFonts w:hint="eastAsia" w:ascii="宋体" w:hAnsi="宋体" w:cs="宋体"/>
          <w:sz w:val="24"/>
        </w:rPr>
        <w:t>致： 华春建设工程项目管理有限责任公司</w:t>
      </w:r>
    </w:p>
    <w:p>
      <w:pPr>
        <w:spacing w:line="400" w:lineRule="atLeast"/>
        <w:ind w:firstLine="555"/>
        <w:rPr>
          <w:rFonts w:ascii="宋体" w:hAnsi="宋体" w:cs="宋体"/>
          <w:sz w:val="24"/>
        </w:rPr>
      </w:pPr>
      <w:r>
        <w:rPr>
          <w:rFonts w:hint="eastAsia" w:ascii="宋体" w:hAnsi="宋体" w:cs="宋体"/>
          <w:sz w:val="24"/>
        </w:rPr>
        <w:t>根据贵方为</w:t>
      </w:r>
      <w:r>
        <w:rPr>
          <w:rFonts w:hint="eastAsia" w:ascii="宋体" w:hAnsi="宋体" w:cs="宋体"/>
          <w:sz w:val="24"/>
          <w:u w:val="single"/>
        </w:rPr>
        <w:t xml:space="preserve">　　　（项目名称）    </w:t>
      </w:r>
      <w:r>
        <w:rPr>
          <w:rFonts w:hint="eastAsia" w:ascii="宋体" w:hAnsi="宋体" w:cs="宋体"/>
          <w:sz w:val="24"/>
        </w:rPr>
        <w:t>项目采购的招标邀请（项目编号），签字代表（姓名、职务）经正式授权并代表供应商（供应商名称、地址）提交下述文件正本一份和副本</w:t>
      </w:r>
      <w:r>
        <w:rPr>
          <w:rFonts w:hint="eastAsia" w:ascii="宋体" w:hAnsi="宋体" w:cs="宋体"/>
          <w:sz w:val="24"/>
          <w:lang w:eastAsia="zh-CN"/>
        </w:rPr>
        <w:t>二</w:t>
      </w:r>
      <w:r>
        <w:rPr>
          <w:rFonts w:hint="eastAsia" w:ascii="宋体" w:hAnsi="宋体" w:cs="宋体"/>
          <w:sz w:val="24"/>
        </w:rPr>
        <w:t>份。</w:t>
      </w:r>
    </w:p>
    <w:p>
      <w:pPr>
        <w:numPr>
          <w:ilvl w:val="0"/>
          <w:numId w:val="7"/>
        </w:numPr>
        <w:spacing w:line="400" w:lineRule="atLeast"/>
        <w:rPr>
          <w:rFonts w:ascii="宋体" w:hAnsi="宋体" w:cs="宋体"/>
          <w:sz w:val="24"/>
        </w:rPr>
      </w:pPr>
      <w:r>
        <w:rPr>
          <w:rFonts w:hint="eastAsia" w:ascii="宋体" w:hAnsi="宋体" w:cs="宋体"/>
          <w:sz w:val="24"/>
        </w:rPr>
        <w:t>报价表</w:t>
      </w:r>
    </w:p>
    <w:p>
      <w:pPr>
        <w:numPr>
          <w:ilvl w:val="0"/>
          <w:numId w:val="7"/>
        </w:numPr>
        <w:spacing w:line="400" w:lineRule="atLeast"/>
        <w:rPr>
          <w:rFonts w:ascii="宋体" w:hAnsi="宋体" w:cs="宋体"/>
          <w:sz w:val="24"/>
        </w:rPr>
      </w:pPr>
      <w:r>
        <w:rPr>
          <w:rFonts w:hint="eastAsia" w:ascii="宋体" w:hAnsi="宋体" w:cs="宋体"/>
          <w:sz w:val="24"/>
        </w:rPr>
        <w:t>资格证明文件</w:t>
      </w:r>
    </w:p>
    <w:p>
      <w:pPr>
        <w:numPr>
          <w:ilvl w:val="0"/>
          <w:numId w:val="7"/>
        </w:numPr>
        <w:spacing w:line="400" w:lineRule="atLeast"/>
        <w:rPr>
          <w:rFonts w:ascii="宋体" w:hAnsi="宋体" w:cs="宋体"/>
          <w:sz w:val="24"/>
        </w:rPr>
      </w:pPr>
      <w:r>
        <w:rPr>
          <w:rFonts w:hint="eastAsia" w:ascii="宋体" w:hAnsi="宋体" w:cs="宋体"/>
          <w:sz w:val="24"/>
        </w:rPr>
        <w:t>磋商保证金，形式（网银或电汇），金额为（注明币种）。</w:t>
      </w:r>
    </w:p>
    <w:p>
      <w:pPr>
        <w:spacing w:line="400" w:lineRule="atLeast"/>
        <w:ind w:firstLine="555"/>
        <w:rPr>
          <w:rFonts w:ascii="宋体" w:hAnsi="宋体" w:cs="宋体"/>
          <w:sz w:val="24"/>
        </w:rPr>
      </w:pPr>
      <w:r>
        <w:rPr>
          <w:rFonts w:hint="eastAsia" w:ascii="宋体" w:hAnsi="宋体" w:cs="宋体"/>
          <w:sz w:val="24"/>
        </w:rPr>
        <w:t>据此函，签字代表宣布同意如下：</w:t>
      </w:r>
    </w:p>
    <w:p>
      <w:pPr>
        <w:spacing w:line="400" w:lineRule="atLeast"/>
        <w:ind w:firstLine="555"/>
        <w:rPr>
          <w:rFonts w:ascii="宋体" w:hAnsi="宋体" w:cs="宋体"/>
          <w:sz w:val="24"/>
        </w:rPr>
      </w:pPr>
      <w:r>
        <w:rPr>
          <w:rFonts w:hint="eastAsia" w:ascii="宋体" w:hAnsi="宋体" w:cs="宋体"/>
          <w:sz w:val="24"/>
        </w:rPr>
        <w:t>1．供应商将按磋商文件的规定履行合同责任和义务；</w:t>
      </w:r>
    </w:p>
    <w:p>
      <w:pPr>
        <w:spacing w:line="400" w:lineRule="atLeast"/>
        <w:ind w:left="1112" w:hanging="560"/>
        <w:rPr>
          <w:rFonts w:ascii="宋体" w:hAnsi="宋体" w:cs="宋体"/>
          <w:sz w:val="24"/>
        </w:rPr>
      </w:pPr>
      <w:r>
        <w:rPr>
          <w:rFonts w:hint="eastAsia" w:ascii="宋体" w:hAnsi="宋体" w:cs="宋体"/>
          <w:sz w:val="24"/>
        </w:rPr>
        <w:t>2．供应商已详细审查全部磋商文件，包括修改文件（如有的话）。我们完全理解并同意放弃对这方面有不明及误解的权利。</w:t>
      </w:r>
    </w:p>
    <w:p>
      <w:pPr>
        <w:spacing w:line="400" w:lineRule="atLeast"/>
        <w:ind w:firstLine="555"/>
        <w:rPr>
          <w:rFonts w:ascii="宋体" w:hAnsi="宋体" w:cs="宋体"/>
          <w:sz w:val="24"/>
        </w:rPr>
      </w:pPr>
      <w:r>
        <w:rPr>
          <w:rFonts w:hint="eastAsia" w:ascii="宋体" w:hAnsi="宋体" w:cs="宋体"/>
          <w:sz w:val="24"/>
        </w:rPr>
        <w:t>3．本投标有效期自开标之日起60个日历日。</w:t>
      </w:r>
    </w:p>
    <w:p>
      <w:pPr>
        <w:spacing w:line="400" w:lineRule="atLeast"/>
        <w:ind w:left="900" w:hanging="348"/>
        <w:rPr>
          <w:rFonts w:ascii="宋体" w:hAnsi="宋体" w:cs="宋体"/>
          <w:sz w:val="24"/>
        </w:rPr>
      </w:pPr>
      <w:r>
        <w:rPr>
          <w:rFonts w:hint="eastAsia" w:ascii="宋体" w:hAnsi="宋体" w:cs="宋体"/>
          <w:sz w:val="24"/>
        </w:rPr>
        <w:t>4．如果在规定的开标时间后，供应商在投标有效期内撤回投标，其磋商保证金将被贵方没收。</w:t>
      </w:r>
    </w:p>
    <w:p>
      <w:pPr>
        <w:spacing w:line="400" w:lineRule="atLeast"/>
        <w:ind w:left="900" w:hanging="335"/>
        <w:rPr>
          <w:rFonts w:ascii="宋体" w:hAnsi="宋体" w:cs="宋体"/>
          <w:sz w:val="24"/>
        </w:rPr>
      </w:pPr>
      <w:r>
        <w:rPr>
          <w:rFonts w:hint="eastAsia" w:ascii="宋体" w:hAnsi="宋体" w:cs="宋体"/>
          <w:sz w:val="24"/>
        </w:rPr>
        <w:t>5．供应商同意提供按照贵方可能要求的与其磋商有关的一切数据或资料，完全理解贵方不一定要接受最低价的报价投标或收到的任何磋商。</w:t>
      </w:r>
    </w:p>
    <w:p>
      <w:pPr>
        <w:spacing w:line="400" w:lineRule="atLeast"/>
        <w:ind w:firstLine="570"/>
        <w:rPr>
          <w:rFonts w:ascii="宋体" w:hAnsi="宋体" w:cs="宋体"/>
          <w:sz w:val="24"/>
        </w:rPr>
      </w:pPr>
      <w:r>
        <w:rPr>
          <w:rFonts w:hint="eastAsia" w:ascii="宋体" w:hAnsi="宋体" w:cs="宋体"/>
          <w:sz w:val="24"/>
        </w:rPr>
        <w:t>6．与本磋商有关的一切正式往来信函</w:t>
      </w:r>
      <w:r>
        <w:rPr>
          <w:rFonts w:hint="eastAsia" w:ascii="宋体" w:hAnsi="宋体" w:cs="宋体"/>
          <w:sz w:val="24"/>
          <w:lang w:eastAsia="zh-CN"/>
        </w:rPr>
        <w:t>资料以原件形式递交</w:t>
      </w:r>
      <w:r>
        <w:rPr>
          <w:rFonts w:hint="eastAsia" w:ascii="宋体" w:hAnsi="宋体" w:cs="宋体"/>
          <w:sz w:val="24"/>
        </w:rPr>
        <w:t>：</w:t>
      </w:r>
    </w:p>
    <w:p>
      <w:pPr>
        <w:spacing w:line="400" w:lineRule="atLeast"/>
        <w:ind w:firstLine="280"/>
        <w:rPr>
          <w:rFonts w:ascii="宋体" w:hAnsi="宋体" w:cs="宋体"/>
          <w:sz w:val="24"/>
        </w:rPr>
      </w:pPr>
    </w:p>
    <w:p>
      <w:pPr>
        <w:spacing w:line="400" w:lineRule="atLeast"/>
        <w:ind w:firstLine="280"/>
        <w:rPr>
          <w:rFonts w:ascii="宋体" w:hAnsi="宋体" w:cs="宋体"/>
          <w:sz w:val="24"/>
        </w:rPr>
      </w:pPr>
      <w:r>
        <w:rPr>
          <w:rFonts w:hint="eastAsia" w:ascii="宋体" w:hAnsi="宋体" w:cs="宋体"/>
          <w:sz w:val="24"/>
        </w:rPr>
        <w:t>地址：　　　　　　　　    　　邮编：　　　　   　　　　　</w:t>
      </w:r>
    </w:p>
    <w:p>
      <w:pPr>
        <w:spacing w:line="400" w:lineRule="atLeast"/>
        <w:rPr>
          <w:rFonts w:ascii="宋体" w:hAnsi="宋体" w:cs="宋体"/>
          <w:sz w:val="24"/>
        </w:rPr>
      </w:pPr>
      <w:r>
        <w:rPr>
          <w:rFonts w:hint="eastAsia" w:ascii="宋体" w:hAnsi="宋体" w:cs="宋体"/>
          <w:sz w:val="24"/>
        </w:rPr>
        <w:t>　电话：　　　　　　　　　　    传真：　   　　　　　　　　</w:t>
      </w:r>
    </w:p>
    <w:p>
      <w:pPr>
        <w:spacing w:line="400" w:lineRule="atLeast"/>
        <w:rPr>
          <w:rFonts w:ascii="宋体" w:hAnsi="宋体" w:cs="宋体"/>
          <w:sz w:val="24"/>
        </w:rPr>
      </w:pPr>
      <w:r>
        <w:rPr>
          <w:rFonts w:hint="eastAsia" w:ascii="宋体" w:hAnsi="宋体" w:cs="宋体"/>
          <w:sz w:val="24"/>
        </w:rPr>
        <w:t>　　</w:t>
      </w:r>
    </w:p>
    <w:p>
      <w:pPr>
        <w:spacing w:line="400" w:lineRule="atLeast"/>
        <w:rPr>
          <w:rFonts w:ascii="宋体" w:hAnsi="宋体" w:cs="宋体"/>
          <w:sz w:val="24"/>
        </w:rPr>
      </w:pPr>
      <w:r>
        <w:rPr>
          <w:rFonts w:hint="eastAsia" w:ascii="宋体" w:hAnsi="宋体" w:cs="宋体"/>
          <w:sz w:val="24"/>
        </w:rPr>
        <w:t>　供应商法定代表人或被授权人签字</w:t>
      </w:r>
      <w:r>
        <w:rPr>
          <w:rFonts w:hint="eastAsia" w:ascii="宋体" w:hAnsi="宋体" w:cs="宋体"/>
          <w:sz w:val="24"/>
          <w:lang w:eastAsia="zh-CN"/>
        </w:rPr>
        <w:t>或盖章</w:t>
      </w:r>
      <w:r>
        <w:rPr>
          <w:rFonts w:hint="eastAsia" w:ascii="宋体" w:hAnsi="宋体" w:cs="宋体"/>
          <w:sz w:val="24"/>
        </w:rPr>
        <w:t xml:space="preserve">： </w:t>
      </w:r>
    </w:p>
    <w:p>
      <w:pPr>
        <w:spacing w:line="400" w:lineRule="atLeast"/>
        <w:rPr>
          <w:rFonts w:ascii="宋体" w:hAnsi="宋体" w:cs="宋体"/>
          <w:sz w:val="24"/>
        </w:rPr>
      </w:pPr>
      <w:r>
        <w:rPr>
          <w:rFonts w:hint="eastAsia" w:ascii="宋体" w:hAnsi="宋体" w:cs="宋体"/>
          <w:sz w:val="24"/>
        </w:rPr>
        <w:t>　供应商名称：　      　　　　　　　　</w:t>
      </w:r>
    </w:p>
    <w:p>
      <w:pPr>
        <w:spacing w:line="400" w:lineRule="atLeast"/>
        <w:rPr>
          <w:rFonts w:ascii="宋体" w:hAnsi="宋体" w:cs="宋体"/>
          <w:sz w:val="24"/>
        </w:rPr>
      </w:pPr>
      <w:r>
        <w:rPr>
          <w:rFonts w:hint="eastAsia" w:ascii="宋体" w:hAnsi="宋体" w:cs="宋体"/>
          <w:sz w:val="24"/>
        </w:rPr>
        <w:t>　公      章：　　　　　　　　　　</w:t>
      </w:r>
    </w:p>
    <w:p>
      <w:pPr>
        <w:spacing w:line="400" w:lineRule="atLeast"/>
        <w:rPr>
          <w:rFonts w:ascii="宋体" w:hAnsi="宋体" w:cs="宋体"/>
          <w:sz w:val="24"/>
        </w:rPr>
      </w:pPr>
      <w:r>
        <w:rPr>
          <w:rFonts w:hint="eastAsia" w:ascii="宋体" w:hAnsi="宋体" w:cs="宋体"/>
          <w:sz w:val="24"/>
        </w:rPr>
        <w:t>　日　　　期：　　 　年　  月  　日</w:t>
      </w:r>
    </w:p>
    <w:p>
      <w:pPr>
        <w:spacing w:line="400" w:lineRule="atLeast"/>
        <w:rPr>
          <w:rFonts w:ascii="宋体" w:hAnsi="宋体" w:cs="宋体"/>
          <w:sz w:val="24"/>
        </w:rPr>
        <w:sectPr>
          <w:pgSz w:w="11907" w:h="16840"/>
          <w:pgMar w:top="1276" w:right="1080" w:bottom="1440" w:left="1134" w:header="851" w:footer="798" w:gutter="0"/>
          <w:pgNumType w:fmt="decimal"/>
          <w:cols w:space="720" w:num="1"/>
          <w:titlePg/>
          <w:docGrid w:type="lines" w:linePitch="409" w:charSpace="0"/>
        </w:sectPr>
      </w:pPr>
    </w:p>
    <w:p>
      <w:pPr>
        <w:tabs>
          <w:tab w:val="left" w:pos="9135"/>
        </w:tabs>
        <w:spacing w:line="400" w:lineRule="atLeast"/>
        <w:jc w:val="center"/>
        <w:rPr>
          <w:rFonts w:ascii="宋体" w:hAnsi="宋体" w:cs="宋体"/>
          <w:sz w:val="24"/>
        </w:rPr>
      </w:pPr>
      <w:r>
        <w:rPr>
          <w:rFonts w:hint="eastAsia" w:ascii="宋体" w:hAnsi="宋体" w:cs="宋体"/>
          <w:sz w:val="24"/>
        </w:rPr>
        <w:t>　2、报价表</w:t>
      </w:r>
    </w:p>
    <w:p>
      <w:pPr>
        <w:tabs>
          <w:tab w:val="left" w:pos="9135"/>
        </w:tabs>
        <w:spacing w:line="400" w:lineRule="atLeast"/>
        <w:rPr>
          <w:rFonts w:ascii="宋体" w:hAnsi="宋体" w:cs="宋体"/>
          <w:sz w:val="24"/>
        </w:rPr>
      </w:pPr>
    </w:p>
    <w:p>
      <w:pPr>
        <w:tabs>
          <w:tab w:val="left" w:pos="9135"/>
        </w:tabs>
        <w:spacing w:line="400" w:lineRule="atLeast"/>
        <w:rPr>
          <w:rFonts w:ascii="宋体" w:hAnsi="宋体" w:cs="宋体"/>
          <w:sz w:val="24"/>
          <w:u w:val="single"/>
        </w:rPr>
      </w:pPr>
      <w:r>
        <w:rPr>
          <w:rFonts w:hint="eastAsia" w:ascii="宋体" w:hAnsi="宋体" w:cs="宋体"/>
          <w:sz w:val="24"/>
        </w:rPr>
        <w:t>供应商名称(公章)：</w:t>
      </w:r>
      <w:r>
        <w:rPr>
          <w:rFonts w:hint="eastAsia" w:ascii="宋体" w:hAnsi="宋体" w:cs="宋体"/>
          <w:sz w:val="24"/>
          <w:u w:val="single"/>
        </w:rPr>
        <w:t>　　           　　　　　　　</w:t>
      </w:r>
      <w:r>
        <w:rPr>
          <w:rFonts w:hint="eastAsia" w:ascii="宋体" w:hAnsi="宋体" w:cs="宋体"/>
          <w:sz w:val="24"/>
        </w:rPr>
        <w:t>　项目编号：</w:t>
      </w:r>
      <w:r>
        <w:rPr>
          <w:rFonts w:hint="eastAsia" w:ascii="宋体" w:hAnsi="宋体" w:cs="宋体"/>
          <w:sz w:val="24"/>
          <w:u w:val="single"/>
        </w:rPr>
        <w:t>　　　　　　　　　　</w:t>
      </w:r>
    </w:p>
    <w:p>
      <w:pPr>
        <w:tabs>
          <w:tab w:val="left" w:pos="9135"/>
        </w:tabs>
        <w:spacing w:line="400" w:lineRule="atLeast"/>
        <w:rPr>
          <w:rFonts w:ascii="宋体" w:hAnsi="宋体" w:cs="宋体"/>
          <w:sz w:val="24"/>
        </w:rPr>
      </w:pPr>
    </w:p>
    <w:tbl>
      <w:tblPr>
        <w:tblStyle w:val="33"/>
        <w:tblW w:w="99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2715"/>
        <w:gridCol w:w="1965"/>
        <w:gridCol w:w="252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blHeader/>
        </w:trPr>
        <w:tc>
          <w:tcPr>
            <w:tcW w:w="1364" w:type="dxa"/>
            <w:vAlign w:val="center"/>
          </w:tcPr>
          <w:p>
            <w:pPr>
              <w:tabs>
                <w:tab w:val="left" w:pos="9135"/>
              </w:tabs>
              <w:spacing w:line="400" w:lineRule="atLeast"/>
              <w:jc w:val="center"/>
              <w:rPr>
                <w:rFonts w:ascii="宋体" w:hAnsi="宋体" w:cs="宋体"/>
                <w:sz w:val="24"/>
              </w:rPr>
            </w:pPr>
            <w:r>
              <w:rPr>
                <w:rFonts w:hint="eastAsia" w:ascii="宋体" w:hAnsi="宋体" w:cs="宋体"/>
                <w:sz w:val="24"/>
              </w:rPr>
              <w:t>项目名称</w:t>
            </w:r>
          </w:p>
        </w:tc>
        <w:tc>
          <w:tcPr>
            <w:tcW w:w="2715" w:type="dxa"/>
            <w:vAlign w:val="center"/>
          </w:tcPr>
          <w:p>
            <w:pPr>
              <w:tabs>
                <w:tab w:val="left" w:pos="9135"/>
              </w:tabs>
              <w:spacing w:line="400" w:lineRule="atLeast"/>
              <w:jc w:val="center"/>
              <w:rPr>
                <w:rFonts w:ascii="宋体" w:hAnsi="宋体" w:cs="宋体"/>
                <w:sz w:val="24"/>
              </w:rPr>
            </w:pPr>
            <w:r>
              <w:rPr>
                <w:rFonts w:hint="eastAsia" w:ascii="宋体" w:hAnsi="宋体" w:cs="宋体"/>
                <w:sz w:val="24"/>
              </w:rPr>
              <w:t>磋商总价</w:t>
            </w:r>
          </w:p>
          <w:p>
            <w:pPr>
              <w:tabs>
                <w:tab w:val="left" w:pos="9135"/>
              </w:tabs>
              <w:spacing w:line="400" w:lineRule="atLeast"/>
              <w:jc w:val="center"/>
              <w:rPr>
                <w:rFonts w:ascii="宋体" w:hAnsi="宋体" w:cs="宋体"/>
                <w:sz w:val="24"/>
              </w:rPr>
            </w:pPr>
            <w:r>
              <w:rPr>
                <w:rFonts w:hint="eastAsia" w:ascii="宋体" w:hAnsi="宋体" w:cs="宋体"/>
                <w:sz w:val="24"/>
              </w:rPr>
              <w:t>（元）</w:t>
            </w:r>
          </w:p>
        </w:tc>
        <w:tc>
          <w:tcPr>
            <w:tcW w:w="1965" w:type="dxa"/>
            <w:vAlign w:val="center"/>
          </w:tcPr>
          <w:p>
            <w:pPr>
              <w:tabs>
                <w:tab w:val="left" w:pos="9135"/>
              </w:tabs>
              <w:spacing w:line="400" w:lineRule="atLeast"/>
              <w:jc w:val="center"/>
              <w:rPr>
                <w:rFonts w:ascii="宋体" w:hAnsi="宋体" w:cs="宋体"/>
                <w:sz w:val="24"/>
              </w:rPr>
            </w:pPr>
            <w:r>
              <w:rPr>
                <w:rFonts w:hint="eastAsia" w:ascii="宋体" w:hAnsi="宋体" w:cs="宋体"/>
                <w:sz w:val="24"/>
                <w:lang w:eastAsia="zh-CN"/>
              </w:rPr>
              <w:t>交货期</w:t>
            </w:r>
          </w:p>
        </w:tc>
        <w:tc>
          <w:tcPr>
            <w:tcW w:w="2525" w:type="dxa"/>
            <w:vAlign w:val="center"/>
          </w:tcPr>
          <w:p>
            <w:pPr>
              <w:tabs>
                <w:tab w:val="left" w:pos="9135"/>
              </w:tabs>
              <w:spacing w:line="400" w:lineRule="atLeast"/>
              <w:jc w:val="center"/>
              <w:rPr>
                <w:rFonts w:hint="eastAsia" w:ascii="宋体" w:hAnsi="宋体" w:eastAsia="宋体" w:cs="宋体"/>
                <w:sz w:val="24"/>
                <w:lang w:eastAsia="zh-CN"/>
              </w:rPr>
            </w:pPr>
            <w:r>
              <w:rPr>
                <w:rFonts w:hint="eastAsia" w:ascii="宋体" w:hAnsi="宋体" w:cs="宋体"/>
                <w:sz w:val="24"/>
                <w:lang w:eastAsia="zh-CN"/>
              </w:rPr>
              <w:t>质保期</w:t>
            </w:r>
          </w:p>
        </w:tc>
        <w:tc>
          <w:tcPr>
            <w:tcW w:w="1428" w:type="dxa"/>
            <w:vAlign w:val="center"/>
          </w:tcPr>
          <w:p>
            <w:pPr>
              <w:tabs>
                <w:tab w:val="left" w:pos="9135"/>
              </w:tabs>
              <w:spacing w:line="400" w:lineRule="atLeast"/>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1364" w:type="dxa"/>
            <w:vAlign w:val="center"/>
          </w:tcPr>
          <w:p>
            <w:pPr>
              <w:spacing w:line="400" w:lineRule="atLeast"/>
              <w:rPr>
                <w:rFonts w:ascii="宋体" w:hAnsi="宋体" w:cs="宋体"/>
                <w:sz w:val="24"/>
              </w:rPr>
            </w:pPr>
          </w:p>
        </w:tc>
        <w:tc>
          <w:tcPr>
            <w:tcW w:w="2715" w:type="dxa"/>
            <w:vAlign w:val="center"/>
          </w:tcPr>
          <w:p>
            <w:pPr>
              <w:tabs>
                <w:tab w:val="left" w:pos="9135"/>
              </w:tabs>
              <w:spacing w:line="400" w:lineRule="atLeast"/>
              <w:jc w:val="center"/>
              <w:rPr>
                <w:rFonts w:ascii="宋体" w:hAnsi="宋体" w:cs="Arial"/>
                <w:sz w:val="24"/>
              </w:rPr>
            </w:pPr>
            <w:r>
              <w:rPr>
                <w:rFonts w:hint="eastAsia" w:ascii="宋体" w:hAnsi="宋体" w:cs="Arial"/>
                <w:sz w:val="24"/>
              </w:rPr>
              <w:t>大写：</w:t>
            </w:r>
          </w:p>
          <w:p>
            <w:pPr>
              <w:tabs>
                <w:tab w:val="left" w:pos="9135"/>
              </w:tabs>
              <w:spacing w:line="400" w:lineRule="atLeast"/>
              <w:jc w:val="center"/>
              <w:rPr>
                <w:rFonts w:ascii="宋体" w:hAnsi="宋体" w:cs="宋体"/>
                <w:sz w:val="24"/>
              </w:rPr>
            </w:pPr>
            <w:r>
              <w:rPr>
                <w:rFonts w:hint="eastAsia" w:ascii="宋体" w:hAnsi="宋体" w:cs="Arial"/>
                <w:sz w:val="24"/>
              </w:rPr>
              <w:t>小写：</w:t>
            </w:r>
          </w:p>
        </w:tc>
        <w:tc>
          <w:tcPr>
            <w:tcW w:w="1965" w:type="dxa"/>
            <w:vAlign w:val="center"/>
          </w:tcPr>
          <w:p>
            <w:pPr>
              <w:tabs>
                <w:tab w:val="left" w:pos="9135"/>
              </w:tabs>
              <w:spacing w:line="400" w:lineRule="atLeast"/>
              <w:jc w:val="center"/>
              <w:rPr>
                <w:rFonts w:ascii="宋体" w:hAnsi="宋体" w:cs="宋体"/>
                <w:sz w:val="24"/>
              </w:rPr>
            </w:pPr>
          </w:p>
        </w:tc>
        <w:tc>
          <w:tcPr>
            <w:tcW w:w="2525" w:type="dxa"/>
            <w:vAlign w:val="center"/>
          </w:tcPr>
          <w:p>
            <w:pPr>
              <w:tabs>
                <w:tab w:val="left" w:pos="9135"/>
              </w:tabs>
              <w:spacing w:line="400" w:lineRule="atLeast"/>
              <w:jc w:val="center"/>
              <w:rPr>
                <w:rFonts w:ascii="宋体" w:hAnsi="宋体" w:cs="宋体"/>
                <w:sz w:val="24"/>
              </w:rPr>
            </w:pPr>
          </w:p>
        </w:tc>
        <w:tc>
          <w:tcPr>
            <w:tcW w:w="1428" w:type="dxa"/>
            <w:vAlign w:val="center"/>
          </w:tcPr>
          <w:p>
            <w:pPr>
              <w:tabs>
                <w:tab w:val="left" w:pos="9135"/>
              </w:tabs>
              <w:spacing w:line="400" w:lineRule="atLeast"/>
              <w:rPr>
                <w:rFonts w:ascii="宋体" w:hAnsi="宋体" w:cs="宋体"/>
                <w:sz w:val="24"/>
              </w:rPr>
            </w:pPr>
          </w:p>
        </w:tc>
      </w:tr>
    </w:tbl>
    <w:p>
      <w:pPr>
        <w:tabs>
          <w:tab w:val="left" w:pos="9135"/>
        </w:tabs>
        <w:spacing w:line="400" w:lineRule="atLeast"/>
        <w:rPr>
          <w:rFonts w:ascii="宋体" w:hAnsi="宋体" w:cs="宋体"/>
          <w:sz w:val="24"/>
        </w:rPr>
      </w:pPr>
      <w:r>
        <w:rPr>
          <w:rFonts w:hint="eastAsia" w:ascii="宋体" w:hAnsi="宋体" w:cs="宋体"/>
          <w:sz w:val="24"/>
        </w:rPr>
        <w:t>注：1、</w:t>
      </w:r>
      <w:r>
        <w:rPr>
          <w:rFonts w:hint="eastAsia" w:ascii="宋体" w:hAnsi="宋体" w:cs="宋体"/>
          <w:sz w:val="24"/>
          <w:szCs w:val="24"/>
        </w:rPr>
        <w:t>报价包括项目实施所需的人工费、服务费、运输费、税费及其他一切费用。</w:t>
      </w:r>
    </w:p>
    <w:p>
      <w:pPr>
        <w:pStyle w:val="13"/>
        <w:rPr>
          <w:rFonts w:ascii="宋体" w:hAnsi="宋体" w:cs="宋体"/>
        </w:rPr>
      </w:pPr>
      <w:r>
        <w:rPr>
          <w:rFonts w:hint="eastAsia" w:ascii="宋体" w:hAnsi="宋体" w:cs="宋体"/>
        </w:rPr>
        <w:t>1.供应商应将开标一览表附在正本里。</w:t>
      </w:r>
    </w:p>
    <w:p>
      <w:pPr>
        <w:pStyle w:val="13"/>
        <w:rPr>
          <w:rFonts w:ascii="宋体" w:hAnsi="宋体" w:cs="宋体"/>
        </w:rPr>
      </w:pPr>
      <w:r>
        <w:rPr>
          <w:rFonts w:hint="eastAsia" w:ascii="宋体" w:hAnsi="宋体" w:cs="宋体"/>
        </w:rPr>
        <w:t>2.开标时，价格明细表及分项价格表的内容不一致的，以本表为准；大写金额与小写金额不一致的，以大写金额为准；总价金额与按单价汇总金额不一致的，以单价金额计算结果为准；单价金额小数点有明显错位的，应以总价为准，并修改单价。</w:t>
      </w:r>
    </w:p>
    <w:p>
      <w:pPr>
        <w:pStyle w:val="13"/>
        <w:rPr>
          <w:rFonts w:ascii="宋体" w:hAnsi="宋体" w:cs="宋体"/>
        </w:rPr>
      </w:pPr>
      <w:r>
        <w:rPr>
          <w:rFonts w:hint="eastAsia" w:ascii="宋体" w:hAnsi="宋体" w:cs="宋体"/>
        </w:rPr>
        <w:t>供应商名称： （加盖公章）</w:t>
      </w:r>
    </w:p>
    <w:p>
      <w:pPr>
        <w:pStyle w:val="13"/>
      </w:pPr>
      <w:r>
        <w:rPr>
          <w:rFonts w:hint="eastAsia" w:ascii="宋体" w:hAnsi="宋体" w:cs="宋体"/>
        </w:rPr>
        <w:t>法定</w:t>
      </w:r>
      <w:r>
        <w:rPr>
          <w:rFonts w:hint="eastAsia"/>
        </w:rPr>
        <w:t>代表人签字或盖章：</w:t>
      </w:r>
    </w:p>
    <w:p>
      <w:pPr>
        <w:pStyle w:val="13"/>
      </w:pPr>
      <w:r>
        <w:rPr>
          <w:rFonts w:hint="eastAsia"/>
        </w:rPr>
        <w:t>授权代表签字或盖章：</w:t>
      </w:r>
    </w:p>
    <w:p>
      <w:pPr>
        <w:pStyle w:val="13"/>
      </w:pPr>
      <w:r>
        <w:rPr>
          <w:rFonts w:hint="eastAsia"/>
        </w:rPr>
        <w:t>签署日期：    年   月  日</w:t>
      </w:r>
    </w:p>
    <w:p>
      <w:pPr>
        <w:pStyle w:val="13"/>
      </w:pPr>
    </w:p>
    <w:p/>
    <w:p>
      <w:pPr>
        <w:pStyle w:val="13"/>
      </w:pPr>
    </w:p>
    <w:p/>
    <w:p>
      <w:pPr>
        <w:pStyle w:val="13"/>
      </w:pPr>
    </w:p>
    <w:p/>
    <w:p>
      <w:pPr>
        <w:pStyle w:val="13"/>
      </w:pPr>
    </w:p>
    <w:p/>
    <w:p>
      <w:pPr>
        <w:pStyle w:val="13"/>
      </w:pPr>
    </w:p>
    <w:p/>
    <w:p>
      <w:pPr>
        <w:pStyle w:val="13"/>
      </w:pPr>
    </w:p>
    <w:p/>
    <w:p>
      <w:pPr>
        <w:pStyle w:val="13"/>
      </w:pPr>
    </w:p>
    <w:p/>
    <w:p>
      <w:pPr>
        <w:pStyle w:val="13"/>
      </w:pPr>
    </w:p>
    <w:p>
      <w:pPr>
        <w:sectPr>
          <w:pgSz w:w="11906" w:h="16838"/>
          <w:pgMar w:top="1103" w:right="720" w:bottom="1276" w:left="720" w:header="851" w:footer="992" w:gutter="0"/>
          <w:pgNumType w:fmt="decimal"/>
          <w:cols w:space="720" w:num="1"/>
          <w:docGrid w:type="linesAndChars" w:linePitch="312" w:charSpace="0"/>
        </w:sectPr>
      </w:pPr>
    </w:p>
    <w:p>
      <w:pPr>
        <w:spacing w:line="400" w:lineRule="atLeast"/>
        <w:jc w:val="center"/>
        <w:rPr>
          <w:rFonts w:ascii="宋体" w:hAnsi="宋体" w:cs="宋体"/>
          <w:b/>
          <w:bCs/>
          <w:sz w:val="24"/>
        </w:rPr>
      </w:pPr>
    </w:p>
    <w:p>
      <w:pPr>
        <w:pStyle w:val="13"/>
        <w:rPr>
          <w:rFonts w:ascii="宋体" w:hAnsi="宋体" w:cs="宋体"/>
          <w:b/>
          <w:bCs/>
        </w:rPr>
      </w:pPr>
    </w:p>
    <w:p>
      <w:pPr>
        <w:spacing w:line="500" w:lineRule="exact"/>
        <w:jc w:val="center"/>
        <w:outlineLvl w:val="1"/>
        <w:rPr>
          <w:rFonts w:ascii="宋体" w:hAnsi="宋体"/>
          <w:b/>
          <w:bCs/>
          <w:sz w:val="24"/>
          <w:szCs w:val="24"/>
        </w:rPr>
      </w:pPr>
      <w:r>
        <w:rPr>
          <w:rFonts w:hint="eastAsia" w:ascii="宋体" w:hAnsi="宋体"/>
          <w:b/>
          <w:bCs/>
          <w:sz w:val="24"/>
          <w:szCs w:val="24"/>
        </w:rPr>
        <w:t>投标分项报价明细表</w:t>
      </w:r>
    </w:p>
    <w:p>
      <w:pPr>
        <w:spacing w:line="500" w:lineRule="exact"/>
        <w:ind w:firstLine="480" w:firstLineChars="200"/>
        <w:rPr>
          <w:rFonts w:ascii="宋体" w:hAnsi="宋体"/>
          <w:sz w:val="24"/>
          <w:szCs w:val="24"/>
        </w:rPr>
      </w:pPr>
      <w:r>
        <w:rPr>
          <w:rFonts w:hint="eastAsia" w:ascii="宋体" w:hAnsi="宋体"/>
          <w:sz w:val="24"/>
          <w:szCs w:val="24"/>
        </w:rPr>
        <w:t xml:space="preserve">项目名称： </w:t>
      </w:r>
    </w:p>
    <w:p>
      <w:pPr>
        <w:spacing w:line="500" w:lineRule="exact"/>
        <w:ind w:firstLine="480" w:firstLineChars="200"/>
        <w:rPr>
          <w:rFonts w:ascii="宋体" w:hAnsi="宋体"/>
          <w:sz w:val="24"/>
          <w:szCs w:val="24"/>
        </w:rPr>
      </w:pPr>
      <w:r>
        <w:rPr>
          <w:rFonts w:hint="eastAsia" w:ascii="宋体" w:hAnsi="宋体"/>
          <w:sz w:val="24"/>
          <w:szCs w:val="24"/>
        </w:rPr>
        <w:t xml:space="preserve">招标编号： </w:t>
      </w:r>
    </w:p>
    <w:tbl>
      <w:tblPr>
        <w:tblStyle w:val="33"/>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2" w:hRule="atLeast"/>
          <w:jc w:val="center"/>
        </w:trPr>
        <w:tc>
          <w:tcPr>
            <w:tcW w:w="9337" w:type="dxa"/>
          </w:tcPr>
          <w:p>
            <w:pPr>
              <w:spacing w:line="500" w:lineRule="exact"/>
              <w:rPr>
                <w:rFonts w:ascii="宋体" w:hAnsi="宋体"/>
                <w:sz w:val="24"/>
                <w:szCs w:val="24"/>
              </w:rPr>
            </w:pPr>
            <w:r>
              <w:rPr>
                <w:rFonts w:hint="eastAsia" w:ascii="宋体" w:hAnsi="宋体"/>
                <w:sz w:val="24"/>
                <w:szCs w:val="24"/>
              </w:rPr>
              <w:t>注：格式自拟，内容包括：规格、型号、技术参数、</w:t>
            </w:r>
            <w:r>
              <w:rPr>
                <w:rFonts w:hint="eastAsia" w:ascii="宋体" w:hAnsi="宋体"/>
                <w:bCs/>
                <w:sz w:val="24"/>
                <w:szCs w:val="24"/>
              </w:rPr>
              <w:t>产地、品牌、</w:t>
            </w:r>
            <w:r>
              <w:rPr>
                <w:rFonts w:hint="eastAsia" w:ascii="宋体" w:hAnsi="宋体"/>
                <w:sz w:val="24"/>
                <w:szCs w:val="24"/>
              </w:rPr>
              <w:t>供货厂商名称、</w:t>
            </w:r>
            <w:r>
              <w:rPr>
                <w:rFonts w:hint="eastAsia" w:ascii="宋体" w:hAnsi="宋体"/>
                <w:bCs/>
                <w:sz w:val="24"/>
                <w:szCs w:val="24"/>
              </w:rPr>
              <w:t>价格、运保、安装、</w:t>
            </w:r>
            <w:r>
              <w:rPr>
                <w:rFonts w:ascii="宋体" w:hAnsi="宋体"/>
                <w:bCs/>
                <w:sz w:val="24"/>
                <w:szCs w:val="24"/>
              </w:rPr>
              <w:t>调试费</w:t>
            </w:r>
            <w:r>
              <w:rPr>
                <w:rFonts w:hint="eastAsia" w:ascii="宋体" w:hAnsi="宋体"/>
                <w:bCs/>
                <w:sz w:val="24"/>
                <w:szCs w:val="24"/>
              </w:rPr>
              <w:t>等</w:t>
            </w:r>
            <w:r>
              <w:rPr>
                <w:rFonts w:hint="eastAsia" w:ascii="宋体" w:hAnsi="宋体"/>
                <w:sz w:val="24"/>
                <w:szCs w:val="24"/>
              </w:rPr>
              <w:t>，如果不提供详细报价将视为没有实质性响应招标文件。</w:t>
            </w:r>
          </w:p>
        </w:tc>
      </w:tr>
    </w:tbl>
    <w:p>
      <w:pPr>
        <w:spacing w:line="500" w:lineRule="exact"/>
        <w:rPr>
          <w:rFonts w:ascii="宋体" w:hAnsi="宋体"/>
          <w:sz w:val="24"/>
          <w:szCs w:val="24"/>
        </w:rPr>
      </w:pPr>
      <w:r>
        <w:rPr>
          <w:rFonts w:hint="eastAsia" w:ascii="宋体" w:hAnsi="宋体"/>
          <w:sz w:val="24"/>
          <w:szCs w:val="24"/>
        </w:rPr>
        <w:t xml:space="preserve"> </w:t>
      </w:r>
    </w:p>
    <w:p>
      <w:pPr>
        <w:spacing w:line="500" w:lineRule="exact"/>
        <w:rPr>
          <w:rFonts w:ascii="宋体" w:hAnsi="宋体"/>
          <w:sz w:val="24"/>
          <w:szCs w:val="24"/>
        </w:rPr>
      </w:pPr>
      <w:r>
        <w:rPr>
          <w:rFonts w:hint="eastAsia" w:ascii="宋体" w:hAnsi="宋体"/>
          <w:sz w:val="24"/>
          <w:szCs w:val="24"/>
        </w:rPr>
        <w:t xml:space="preserve">供应商法定代表人或授权代表签字或盖章：                      </w:t>
      </w:r>
    </w:p>
    <w:p>
      <w:pPr>
        <w:spacing w:line="500" w:lineRule="exact"/>
        <w:rPr>
          <w:rFonts w:ascii="宋体" w:hAnsi="宋体"/>
          <w:sz w:val="24"/>
          <w:szCs w:val="24"/>
        </w:rPr>
      </w:pPr>
    </w:p>
    <w:p>
      <w:pPr>
        <w:spacing w:line="500" w:lineRule="exact"/>
        <w:rPr>
          <w:rFonts w:ascii="宋体" w:hAnsi="宋体" w:cs="宋体"/>
          <w:b/>
          <w:bCs/>
          <w:sz w:val="24"/>
          <w:szCs w:val="24"/>
        </w:rPr>
      </w:pPr>
      <w:r>
        <w:rPr>
          <w:rFonts w:hint="eastAsia" w:ascii="宋体" w:hAnsi="宋体"/>
          <w:sz w:val="24"/>
          <w:szCs w:val="24"/>
        </w:rPr>
        <w:t>供应商盖章：</w:t>
      </w:r>
    </w:p>
    <w:p>
      <w:pPr>
        <w:rPr>
          <w:rFonts w:ascii="宋体" w:hAnsi="宋体" w:cs="宋体"/>
          <w:b/>
          <w:bCs/>
          <w:sz w:val="24"/>
          <w:szCs w:val="24"/>
        </w:rPr>
      </w:pPr>
    </w:p>
    <w:p>
      <w:pPr>
        <w:pStyle w:val="13"/>
        <w:rPr>
          <w:rFonts w:ascii="宋体" w:hAnsi="宋体" w:cs="宋体"/>
          <w:b/>
          <w:bCs/>
          <w:szCs w:val="24"/>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hint="eastAsia" w:ascii="宋体" w:hAnsi="宋体" w:cs="宋体"/>
          <w:b/>
          <w:bCs/>
          <w:sz w:val="24"/>
        </w:rPr>
      </w:pPr>
    </w:p>
    <w:p>
      <w:pPr>
        <w:spacing w:line="400" w:lineRule="atLeast"/>
        <w:jc w:val="center"/>
        <w:rPr>
          <w:rFonts w:ascii="宋体" w:hAnsi="宋体" w:cs="宋体"/>
          <w:sz w:val="24"/>
        </w:rPr>
      </w:pPr>
      <w:r>
        <w:rPr>
          <w:rFonts w:hint="eastAsia" w:ascii="宋体" w:hAnsi="宋体" w:cs="宋体"/>
          <w:b/>
          <w:bCs/>
          <w:sz w:val="24"/>
        </w:rPr>
        <w:t>3、法定代表人授权书格式</w:t>
      </w:r>
    </w:p>
    <w:p>
      <w:pPr>
        <w:pStyle w:val="17"/>
        <w:spacing w:line="400" w:lineRule="atLeast"/>
        <w:rPr>
          <w:rFonts w:cs="宋体"/>
        </w:rPr>
      </w:pPr>
      <w:r>
        <w:rPr>
          <w:rFonts w:hint="eastAsia" w:cs="宋体"/>
        </w:rPr>
        <w:t>本授权书声明：注册于（地区的名称）的（公司名称）的在下面签字的（法定代表人姓名、职务）代表本公司授权（单位名称）的在下面签字的（被授权人的姓名、职务）为本公司的合法代理人，就（项目名称、项目编号）的磋商，以本公司的名义处理一切与之有关的事务。（）</w:t>
      </w:r>
    </w:p>
    <w:p>
      <w:pPr>
        <w:spacing w:line="400" w:lineRule="atLeast"/>
        <w:ind w:firstLine="480"/>
        <w:rPr>
          <w:rFonts w:ascii="宋体" w:hAnsi="宋体" w:cs="宋体"/>
          <w:sz w:val="24"/>
        </w:rPr>
      </w:pPr>
    </w:p>
    <w:p>
      <w:pPr>
        <w:spacing w:line="400" w:lineRule="atLeast"/>
        <w:ind w:firstLine="480"/>
        <w:rPr>
          <w:rFonts w:ascii="宋体" w:hAnsi="宋体" w:cs="宋体"/>
          <w:sz w:val="24"/>
        </w:rPr>
      </w:pPr>
      <w:r>
        <w:rPr>
          <w:rFonts w:hint="eastAsia" w:ascii="宋体" w:hAnsi="宋体" w:cs="宋体"/>
          <w:sz w:val="24"/>
        </w:rPr>
        <w:t>本授权书于　　　　　　年　　　月　　日签字生效，特此声明。</w:t>
      </w:r>
    </w:p>
    <w:p>
      <w:pPr>
        <w:spacing w:line="400" w:lineRule="atLeast"/>
        <w:ind w:firstLine="480"/>
        <w:rPr>
          <w:rFonts w:ascii="宋体" w:hAnsi="宋体" w:cs="宋体"/>
          <w:sz w:val="24"/>
        </w:rPr>
      </w:pPr>
      <w:r>
        <w:rPr>
          <w:rFonts w:hint="eastAsia" w:ascii="宋体" w:hAnsi="宋体" w:cs="宋体"/>
          <w:sz w:val="24"/>
        </w:rPr>
        <w:t>（附授权书人身份证正、反面）</w:t>
      </w:r>
    </w:p>
    <w:p>
      <w:pPr>
        <w:spacing w:line="400" w:lineRule="atLeast"/>
        <w:ind w:firstLine="480"/>
        <w:rPr>
          <w:rFonts w:ascii="宋体" w:hAnsi="宋体" w:cs="宋体"/>
          <w:sz w:val="24"/>
        </w:rPr>
      </w:pPr>
      <w:r>
        <w:rPr>
          <w:rFonts w:hint="eastAsia" w:ascii="宋体" w:hAnsi="宋体" w:cs="宋体"/>
          <w:sz w:val="24"/>
        </w:rPr>
        <w:t>法定代表人:签字或盖章　　　　　　　　　　　　　　　　　</w:t>
      </w:r>
    </w:p>
    <w:p>
      <w:pPr>
        <w:spacing w:line="400" w:lineRule="atLeast"/>
        <w:ind w:firstLine="480"/>
        <w:rPr>
          <w:rFonts w:ascii="宋体" w:hAnsi="宋体" w:cs="宋体"/>
          <w:sz w:val="24"/>
        </w:rPr>
      </w:pPr>
      <w:r>
        <w:rPr>
          <w:rFonts w:hint="eastAsia" w:ascii="宋体" w:hAnsi="宋体" w:cs="宋体"/>
          <w:sz w:val="24"/>
        </w:rPr>
        <w:t>被授权人：签字或盖章　　　　　　　　　　　　　　　　　</w:t>
      </w:r>
    </w:p>
    <w:p>
      <w:pPr>
        <w:spacing w:line="400" w:lineRule="atLeast"/>
        <w:ind w:firstLine="480"/>
        <w:rPr>
          <w:rFonts w:ascii="宋体" w:hAnsi="宋体" w:cs="宋体"/>
          <w:sz w:val="24"/>
        </w:rPr>
      </w:pPr>
      <w:r>
        <w:rPr>
          <w:rFonts w:hint="eastAsia" w:ascii="宋体" w:hAnsi="宋体" w:cs="宋体"/>
          <w:sz w:val="24"/>
        </w:rPr>
        <w:t xml:space="preserve">公        章：                         </w:t>
      </w:r>
    </w:p>
    <w:p>
      <w:pPr>
        <w:spacing w:line="400" w:lineRule="atLeast"/>
        <w:ind w:firstLine="480"/>
        <w:rPr>
          <w:rFonts w:ascii="宋体" w:hAnsi="宋体" w:cs="宋体"/>
          <w:sz w:val="24"/>
        </w:rPr>
      </w:pPr>
    </w:p>
    <w:p>
      <w:pPr>
        <w:spacing w:line="400" w:lineRule="atLeast"/>
        <w:rPr>
          <w:rFonts w:ascii="宋体" w:hAnsi="宋体" w:cs="宋体"/>
          <w:sz w:val="24"/>
        </w:rPr>
      </w:pPr>
      <w:r>
        <w:rPr>
          <w:rFonts w:hint="eastAsia" w:ascii="宋体" w:hAnsi="宋体" w:cs="宋体"/>
          <w:sz w:val="24"/>
        </w:rPr>
        <w:t>注：凡公司法定代表人前来参加磋商的供应商，可以不提供此项证明文件。</w:t>
      </w: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p>
    <w:p>
      <w:pPr>
        <w:spacing w:line="400" w:lineRule="atLeast"/>
        <w:jc w:val="center"/>
        <w:rPr>
          <w:rFonts w:ascii="宋体" w:hAnsi="宋体"/>
          <w:szCs w:val="21"/>
        </w:rPr>
      </w:pPr>
      <w:r>
        <w:rPr>
          <w:rFonts w:hint="eastAsia" w:ascii="宋体" w:hAnsi="宋体" w:cs="宋体"/>
          <w:b/>
          <w:bCs/>
          <w:sz w:val="24"/>
        </w:rPr>
        <w:t>4、法定代表人身份证明书</w:t>
      </w:r>
    </w:p>
    <w:p>
      <w:pPr>
        <w:autoSpaceDE w:val="0"/>
        <w:autoSpaceDN w:val="0"/>
        <w:adjustRightInd w:val="0"/>
        <w:ind w:firstLine="480" w:firstLineChars="200"/>
        <w:rPr>
          <w:rFonts w:ascii="宋体" w:hAnsi="宋体"/>
          <w:sz w:val="24"/>
        </w:rPr>
      </w:pPr>
      <w:r>
        <w:rPr>
          <w:rFonts w:hint="eastAsia" w:ascii="宋体" w:hAnsi="宋体"/>
          <w:sz w:val="24"/>
          <w:lang w:val="zh-CN"/>
        </w:rPr>
        <w:t>企业名称：</w:t>
      </w:r>
      <w:r>
        <w:rPr>
          <w:rFonts w:ascii="宋体" w:hAnsi="宋体"/>
          <w:sz w:val="24"/>
          <w:u w:val="single"/>
        </w:rPr>
        <w:t xml:space="preserve">                                                   </w:t>
      </w:r>
    </w:p>
    <w:p>
      <w:pPr>
        <w:autoSpaceDE w:val="0"/>
        <w:autoSpaceDN w:val="0"/>
        <w:adjustRightInd w:val="0"/>
        <w:rPr>
          <w:rFonts w:ascii="宋体" w:hAnsi="宋体"/>
          <w:sz w:val="24"/>
        </w:rPr>
      </w:pPr>
    </w:p>
    <w:p>
      <w:pPr>
        <w:autoSpaceDE w:val="0"/>
        <w:autoSpaceDN w:val="0"/>
        <w:adjustRightInd w:val="0"/>
        <w:ind w:firstLine="480" w:firstLineChars="200"/>
        <w:rPr>
          <w:rFonts w:ascii="宋体" w:hAnsi="宋体"/>
          <w:sz w:val="24"/>
          <w:u w:val="single"/>
        </w:rPr>
      </w:pPr>
      <w:r>
        <w:rPr>
          <w:rFonts w:hint="eastAsia" w:ascii="宋体" w:hAnsi="宋体"/>
          <w:sz w:val="24"/>
          <w:lang w:val="zh-CN"/>
        </w:rPr>
        <w:t>企业类型：</w:t>
      </w:r>
      <w:r>
        <w:rPr>
          <w:rFonts w:ascii="宋体" w:hAnsi="宋体"/>
          <w:sz w:val="24"/>
          <w:u w:val="single"/>
        </w:rPr>
        <w:t xml:space="preserve">                                                   </w:t>
      </w:r>
    </w:p>
    <w:p>
      <w:pPr>
        <w:autoSpaceDE w:val="0"/>
        <w:autoSpaceDN w:val="0"/>
        <w:adjustRightInd w:val="0"/>
        <w:rPr>
          <w:rFonts w:ascii="宋体" w:hAnsi="宋体"/>
          <w:sz w:val="24"/>
        </w:rPr>
      </w:pPr>
    </w:p>
    <w:p>
      <w:pPr>
        <w:autoSpaceDE w:val="0"/>
        <w:autoSpaceDN w:val="0"/>
        <w:adjustRightInd w:val="0"/>
        <w:ind w:firstLine="480" w:firstLineChars="200"/>
        <w:rPr>
          <w:rFonts w:ascii="宋体" w:hAnsi="宋体"/>
          <w:sz w:val="24"/>
        </w:rPr>
      </w:pPr>
      <w:r>
        <w:rPr>
          <w:rFonts w:hint="eastAsia" w:ascii="宋体" w:hAnsi="宋体"/>
          <w:sz w:val="24"/>
          <w:lang w:val="zh-CN"/>
        </w:rPr>
        <w:t>地</w:t>
      </w:r>
      <w:r>
        <w:rPr>
          <w:rFonts w:ascii="宋体" w:hAnsi="宋体"/>
          <w:sz w:val="24"/>
        </w:rPr>
        <w:t xml:space="preserve">    </w:t>
      </w:r>
      <w:r>
        <w:rPr>
          <w:rFonts w:hint="eastAsia" w:ascii="宋体" w:hAnsi="宋体"/>
          <w:sz w:val="24"/>
          <w:lang w:val="zh-CN"/>
        </w:rPr>
        <w:t>址：</w:t>
      </w:r>
      <w:r>
        <w:rPr>
          <w:rFonts w:ascii="宋体" w:hAnsi="宋体"/>
          <w:sz w:val="24"/>
          <w:u w:val="single"/>
        </w:rPr>
        <w:t xml:space="preserve">                                                   </w:t>
      </w:r>
    </w:p>
    <w:p>
      <w:pPr>
        <w:autoSpaceDE w:val="0"/>
        <w:autoSpaceDN w:val="0"/>
        <w:adjustRightInd w:val="0"/>
        <w:rPr>
          <w:rFonts w:ascii="宋体" w:hAnsi="宋体"/>
          <w:sz w:val="24"/>
        </w:rPr>
      </w:pPr>
    </w:p>
    <w:p>
      <w:pPr>
        <w:autoSpaceDE w:val="0"/>
        <w:autoSpaceDN w:val="0"/>
        <w:adjustRightInd w:val="0"/>
        <w:ind w:firstLine="480" w:firstLineChars="200"/>
        <w:rPr>
          <w:rFonts w:ascii="宋体" w:hAnsi="宋体"/>
          <w:sz w:val="24"/>
        </w:rPr>
      </w:pPr>
      <w:r>
        <w:rPr>
          <w:rFonts w:hint="eastAsia" w:ascii="宋体" w:hAnsi="宋体"/>
          <w:sz w:val="24"/>
          <w:lang w:val="zh-CN"/>
        </w:rPr>
        <w:t>营业期限：</w:t>
      </w:r>
      <w:r>
        <w:rPr>
          <w:rFonts w:ascii="宋体" w:hAnsi="宋体"/>
          <w:sz w:val="24"/>
          <w:u w:val="single"/>
        </w:rPr>
        <w:t xml:space="preserve">                                                   </w:t>
      </w:r>
    </w:p>
    <w:p>
      <w:pPr>
        <w:autoSpaceDE w:val="0"/>
        <w:autoSpaceDN w:val="0"/>
        <w:adjustRightInd w:val="0"/>
        <w:rPr>
          <w:rFonts w:ascii="宋体" w:hAnsi="宋体"/>
          <w:sz w:val="24"/>
        </w:rPr>
      </w:pPr>
    </w:p>
    <w:p>
      <w:pPr>
        <w:autoSpaceDE w:val="0"/>
        <w:autoSpaceDN w:val="0"/>
        <w:adjustRightInd w:val="0"/>
        <w:ind w:firstLine="480" w:firstLineChars="200"/>
        <w:rPr>
          <w:rFonts w:ascii="宋体" w:hAnsi="宋体"/>
          <w:sz w:val="24"/>
        </w:rPr>
      </w:pPr>
      <w:r>
        <w:rPr>
          <w:rFonts w:hint="eastAsia" w:ascii="宋体" w:hAnsi="宋体"/>
          <w:sz w:val="24"/>
          <w:lang w:val="zh-CN"/>
        </w:rPr>
        <w:t>成立时间：</w:t>
      </w:r>
      <w:r>
        <w:rPr>
          <w:rFonts w:ascii="宋体" w:hAnsi="宋体"/>
          <w:sz w:val="24"/>
          <w:u w:val="single"/>
        </w:rPr>
        <w:t xml:space="preserve">                                                   </w:t>
      </w:r>
    </w:p>
    <w:p>
      <w:pPr>
        <w:autoSpaceDE w:val="0"/>
        <w:autoSpaceDN w:val="0"/>
        <w:adjustRightInd w:val="0"/>
        <w:rPr>
          <w:rFonts w:ascii="宋体" w:hAnsi="宋体"/>
          <w:sz w:val="24"/>
        </w:rPr>
      </w:pPr>
    </w:p>
    <w:p>
      <w:pPr>
        <w:autoSpaceDE w:val="0"/>
        <w:autoSpaceDN w:val="0"/>
        <w:adjustRightInd w:val="0"/>
        <w:rPr>
          <w:rFonts w:ascii="宋体" w:hAnsi="宋体"/>
          <w:sz w:val="24"/>
        </w:rPr>
      </w:pPr>
      <w:r>
        <w:rPr>
          <w:rFonts w:hint="eastAsia" w:ascii="宋体" w:hAnsi="宋体"/>
          <w:sz w:val="24"/>
          <w:lang w:val="zh-CN"/>
        </w:rPr>
        <w:t>姓名：</w:t>
      </w:r>
      <w:r>
        <w:rPr>
          <w:rFonts w:ascii="宋体" w:hAnsi="宋体"/>
          <w:sz w:val="24"/>
          <w:u w:val="single"/>
        </w:rPr>
        <w:t xml:space="preserve">                  </w:t>
      </w:r>
      <w:r>
        <w:rPr>
          <w:rFonts w:hint="eastAsia" w:ascii="宋体" w:hAnsi="宋体"/>
          <w:sz w:val="24"/>
          <w:lang w:val="zh-CN"/>
        </w:rPr>
        <w:t>性别：</w:t>
      </w:r>
      <w:r>
        <w:rPr>
          <w:rFonts w:ascii="宋体" w:hAnsi="宋体"/>
          <w:sz w:val="24"/>
          <w:u w:val="single"/>
        </w:rPr>
        <w:t xml:space="preserve">                 </w:t>
      </w:r>
      <w:r>
        <w:rPr>
          <w:rFonts w:hint="eastAsia" w:ascii="宋体" w:hAnsi="宋体"/>
          <w:sz w:val="24"/>
          <w:lang w:val="zh-CN"/>
        </w:rPr>
        <w:t>年龄：</w:t>
      </w:r>
      <w:r>
        <w:rPr>
          <w:rFonts w:ascii="宋体" w:hAnsi="宋体"/>
          <w:sz w:val="24"/>
          <w:u w:val="single"/>
        </w:rPr>
        <w:t xml:space="preserve">                </w:t>
      </w:r>
      <w:r>
        <w:rPr>
          <w:rFonts w:hint="eastAsia" w:ascii="宋体" w:hAnsi="宋体"/>
          <w:sz w:val="24"/>
          <w:lang w:val="zh-CN"/>
        </w:rPr>
        <w:t>职务：</w:t>
      </w:r>
      <w:r>
        <w:rPr>
          <w:rFonts w:ascii="宋体" w:hAnsi="宋体"/>
          <w:sz w:val="24"/>
        </w:rPr>
        <w:t xml:space="preserve">     </w:t>
      </w:r>
      <w:r>
        <w:rPr>
          <w:rFonts w:ascii="宋体" w:hAnsi="宋体"/>
          <w:sz w:val="24"/>
          <w:u w:val="single"/>
        </w:rPr>
        <w:t xml:space="preserve">      </w:t>
      </w:r>
      <w:r>
        <w:rPr>
          <w:rFonts w:ascii="宋体" w:hAnsi="宋体"/>
          <w:sz w:val="24"/>
        </w:rPr>
        <w:t xml:space="preserve">    </w:t>
      </w:r>
    </w:p>
    <w:p>
      <w:pPr>
        <w:autoSpaceDE w:val="0"/>
        <w:autoSpaceDN w:val="0"/>
        <w:adjustRightInd w:val="0"/>
        <w:rPr>
          <w:rFonts w:ascii="宋体" w:hAnsi="宋体"/>
          <w:sz w:val="24"/>
        </w:rPr>
      </w:pPr>
      <w:r>
        <w:rPr>
          <w:rFonts w:hint="eastAsia" w:ascii="宋体" w:hAnsi="宋体"/>
          <w:sz w:val="24"/>
          <w:lang w:val="zh-CN"/>
        </w:rPr>
        <w:t>系</w:t>
      </w:r>
      <w:r>
        <w:rPr>
          <w:rFonts w:ascii="宋体" w:hAnsi="宋体"/>
          <w:sz w:val="24"/>
          <w:u w:val="single"/>
        </w:rPr>
        <w:t xml:space="preserve">          </w:t>
      </w:r>
      <w:r>
        <w:rPr>
          <w:rFonts w:hint="eastAsia" w:ascii="宋体" w:hAnsi="宋体"/>
          <w:sz w:val="24"/>
          <w:lang w:val="zh-CN"/>
        </w:rPr>
        <w:t>（投标人名称）</w:t>
      </w:r>
      <w:r>
        <w:rPr>
          <w:rFonts w:ascii="宋体" w:hAnsi="宋体"/>
          <w:sz w:val="24"/>
          <w:u w:val="single"/>
        </w:rPr>
        <w:t xml:space="preserve">               </w:t>
      </w:r>
      <w:r>
        <w:rPr>
          <w:rFonts w:hint="eastAsia" w:ascii="宋体" w:hAnsi="宋体"/>
          <w:sz w:val="24"/>
          <w:lang w:val="zh-CN"/>
        </w:rPr>
        <w:t>的法定代表人。</w:t>
      </w:r>
    </w:p>
    <w:p>
      <w:pPr>
        <w:autoSpaceDE w:val="0"/>
        <w:autoSpaceDN w:val="0"/>
        <w:adjustRightInd w:val="0"/>
        <w:rPr>
          <w:rFonts w:ascii="宋体" w:hAnsi="宋体"/>
          <w:sz w:val="24"/>
        </w:rPr>
      </w:pPr>
    </w:p>
    <w:p>
      <w:pPr>
        <w:autoSpaceDE w:val="0"/>
        <w:autoSpaceDN w:val="0"/>
        <w:adjustRightInd w:val="0"/>
        <w:rPr>
          <w:rFonts w:ascii="宋体" w:hAnsi="宋体"/>
          <w:sz w:val="24"/>
        </w:rPr>
      </w:pPr>
      <w:r>
        <w:rPr>
          <w:rFonts w:hint="eastAsia" w:ascii="宋体" w:hAnsi="宋体"/>
          <w:sz w:val="24"/>
          <w:lang w:val="zh-CN"/>
        </w:rPr>
        <w:t>特此证明。</w:t>
      </w:r>
    </w:p>
    <w:p>
      <w:pPr>
        <w:spacing w:line="400" w:lineRule="atLeast"/>
        <w:rPr>
          <w:rFonts w:ascii="宋体" w:hAnsi="宋体"/>
          <w:sz w:val="24"/>
        </w:rPr>
      </w:pPr>
      <w:r>
        <w:rPr>
          <w:rFonts w:hint="eastAsia" w:ascii="宋体" w:hAnsi="宋体" w:cs="宋体"/>
          <w:sz w:val="24"/>
        </w:rPr>
        <w:t>（附法定代表人身份证正、反面）</w:t>
      </w:r>
    </w:p>
    <w:p>
      <w:pPr>
        <w:autoSpaceDE w:val="0"/>
        <w:autoSpaceDN w:val="0"/>
        <w:adjustRightInd w:val="0"/>
        <w:rPr>
          <w:rFonts w:ascii="宋体" w:hAnsi="宋体"/>
          <w:sz w:val="24"/>
        </w:rPr>
      </w:pPr>
      <w:r>
        <w:rPr>
          <w:rFonts w:hint="eastAsia" w:ascii="宋体" w:hAnsi="宋体"/>
          <w:sz w:val="24"/>
          <w:lang w:val="zh-CN"/>
        </w:rPr>
        <w:t>投标人：</w:t>
      </w:r>
      <w:r>
        <w:rPr>
          <w:rFonts w:ascii="宋体" w:hAnsi="宋体"/>
          <w:sz w:val="24"/>
          <w:u w:val="single"/>
        </w:rPr>
        <w:t xml:space="preserve">                      </w:t>
      </w:r>
      <w:r>
        <w:rPr>
          <w:rFonts w:hint="eastAsia" w:ascii="宋体" w:hAnsi="宋体"/>
          <w:sz w:val="24"/>
          <w:lang w:val="zh-CN"/>
        </w:rPr>
        <w:t>（盖章）</w:t>
      </w:r>
    </w:p>
    <w:p>
      <w:pPr>
        <w:autoSpaceDE w:val="0"/>
        <w:autoSpaceDN w:val="0"/>
        <w:adjustRightInd w:val="0"/>
        <w:rPr>
          <w:rFonts w:ascii="宋体" w:hAnsi="宋体"/>
          <w:sz w:val="24"/>
          <w:lang w:val="zh-CN"/>
        </w:rPr>
      </w:pPr>
      <w:r>
        <w:rPr>
          <w:rFonts w:hint="eastAsia" w:ascii="宋体" w:hAnsi="宋体"/>
          <w:sz w:val="24"/>
          <w:lang w:val="zh-CN"/>
        </w:rPr>
        <w:t>日</w:t>
      </w:r>
      <w:r>
        <w:rPr>
          <w:rFonts w:ascii="宋体" w:hAnsi="宋体"/>
          <w:sz w:val="24"/>
        </w:rPr>
        <w:t xml:space="preserve">  </w:t>
      </w:r>
      <w:r>
        <w:rPr>
          <w:rFonts w:hint="eastAsia" w:ascii="宋体" w:hAnsi="宋体"/>
          <w:sz w:val="24"/>
          <w:lang w:val="zh-CN"/>
        </w:rPr>
        <w:t>期：</w:t>
      </w:r>
      <w:r>
        <w:rPr>
          <w:rFonts w:ascii="宋体" w:hAnsi="宋体"/>
          <w:sz w:val="24"/>
          <w:u w:val="single"/>
        </w:rPr>
        <w:t xml:space="preserve">        </w:t>
      </w:r>
      <w:r>
        <w:rPr>
          <w:rFonts w:hint="eastAsia" w:ascii="宋体" w:hAnsi="宋体"/>
          <w:sz w:val="24"/>
          <w:lang w:val="zh-CN"/>
        </w:rPr>
        <w:t>年</w:t>
      </w:r>
      <w:r>
        <w:rPr>
          <w:rFonts w:ascii="宋体" w:hAnsi="宋体"/>
          <w:sz w:val="24"/>
          <w:u w:val="single"/>
        </w:rPr>
        <w:t xml:space="preserve">        </w:t>
      </w:r>
      <w:r>
        <w:rPr>
          <w:rFonts w:hint="eastAsia" w:ascii="宋体" w:hAnsi="宋体"/>
          <w:sz w:val="24"/>
          <w:lang w:val="zh-CN"/>
        </w:rPr>
        <w:t>月</w:t>
      </w:r>
      <w:r>
        <w:rPr>
          <w:rFonts w:ascii="宋体" w:hAnsi="宋体"/>
          <w:sz w:val="24"/>
          <w:u w:val="single"/>
        </w:rPr>
        <w:t xml:space="preserve">        </w:t>
      </w:r>
      <w:r>
        <w:rPr>
          <w:rFonts w:hint="eastAsia" w:ascii="宋体" w:hAnsi="宋体"/>
          <w:sz w:val="24"/>
          <w:lang w:val="zh-CN"/>
        </w:rPr>
        <w:t>日</w:t>
      </w:r>
    </w:p>
    <w:p>
      <w:pPr>
        <w:spacing w:line="400" w:lineRule="atLeast"/>
        <w:rPr>
          <w:rFonts w:ascii="宋体" w:hAnsi="宋体" w:cs="宋体"/>
          <w:sz w:val="24"/>
        </w:rPr>
      </w:pPr>
    </w:p>
    <w:p>
      <w:pPr>
        <w:spacing w:line="400" w:lineRule="atLeast"/>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
      <w:pPr>
        <w:spacing w:line="400" w:lineRule="atLeast"/>
        <w:jc w:val="center"/>
        <w:rPr>
          <w:rFonts w:ascii="宋体" w:hAnsi="宋体" w:cs="宋体"/>
          <w:b/>
          <w:bCs/>
          <w:sz w:val="24"/>
        </w:rPr>
      </w:pPr>
    </w:p>
    <w:p>
      <w:pPr>
        <w:spacing w:line="400" w:lineRule="atLeast"/>
        <w:jc w:val="center"/>
        <w:rPr>
          <w:rFonts w:ascii="宋体" w:hAnsi="宋体" w:cs="宋体"/>
          <w:b/>
          <w:bCs/>
          <w:sz w:val="24"/>
        </w:rPr>
      </w:pPr>
      <w:r>
        <w:rPr>
          <w:rFonts w:hint="eastAsia" w:ascii="宋体" w:hAnsi="宋体" w:cs="宋体"/>
          <w:b/>
          <w:bCs/>
          <w:sz w:val="24"/>
        </w:rPr>
        <w:t>5、商务标</w:t>
      </w:r>
    </w:p>
    <w:p>
      <w:pPr>
        <w:spacing w:line="400" w:lineRule="atLeast"/>
        <w:rPr>
          <w:rFonts w:ascii="宋体" w:hAnsi="宋体" w:cs="宋体"/>
          <w:b/>
          <w:sz w:val="24"/>
        </w:rPr>
      </w:pPr>
      <w:r>
        <w:rPr>
          <w:rFonts w:hint="eastAsia" w:ascii="宋体" w:hAnsi="宋体" w:cs="宋体"/>
          <w:b/>
          <w:sz w:val="24"/>
        </w:rPr>
        <w:t>（1）*商务偏离表（逐条响应）</w:t>
      </w:r>
    </w:p>
    <w:p>
      <w:pPr>
        <w:spacing w:line="400" w:lineRule="atLeast"/>
        <w:rPr>
          <w:rFonts w:ascii="宋体" w:hAnsi="宋体" w:cs="宋体"/>
          <w:b/>
          <w:bCs/>
          <w:sz w:val="24"/>
          <w:szCs w:val="24"/>
        </w:rPr>
      </w:pPr>
      <w:r>
        <w:rPr>
          <w:rFonts w:hint="eastAsia" w:ascii="宋体" w:hAnsi="宋体" w:cs="宋体"/>
          <w:sz w:val="24"/>
        </w:rPr>
        <w:t>（2）评分细则提及或响应人认为需要提供的其他说明和资料</w:t>
      </w:r>
    </w:p>
    <w:p>
      <w:pPr>
        <w:pStyle w:val="79"/>
        <w:spacing w:line="500" w:lineRule="exact"/>
        <w:ind w:hanging="23"/>
        <w:rPr>
          <w:rFonts w:ascii="宋体" w:hAnsi="宋体" w:cs="宋体"/>
          <w:color w:val="auto"/>
          <w:u w:val="single"/>
        </w:rPr>
      </w:pPr>
      <w:r>
        <w:rPr>
          <w:rFonts w:hint="eastAsia" w:ascii="宋体" w:hAnsi="宋体" w:cs="宋体"/>
          <w:color w:val="auto"/>
        </w:rPr>
        <w:t>项目名称：</w:t>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项目编号：</w:t>
      </w:r>
    </w:p>
    <w:p>
      <w:pPr>
        <w:pStyle w:val="93"/>
        <w:ind w:firstLine="480"/>
        <w:rPr>
          <w:rFonts w:cs="宋体"/>
        </w:rPr>
      </w:pPr>
    </w:p>
    <w:tbl>
      <w:tblPr>
        <w:tblStyle w:val="33"/>
        <w:tblW w:w="913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131"/>
        <w:gridCol w:w="1275"/>
        <w:gridCol w:w="1215"/>
        <w:gridCol w:w="93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vAlign w:val="center"/>
          </w:tcPr>
          <w:p>
            <w:pPr>
              <w:pStyle w:val="79"/>
              <w:spacing w:line="500" w:lineRule="exact"/>
              <w:jc w:val="center"/>
              <w:rPr>
                <w:rFonts w:ascii="宋体" w:hAnsi="宋体" w:cs="宋体"/>
                <w:color w:val="auto"/>
              </w:rPr>
            </w:pPr>
            <w:r>
              <w:rPr>
                <w:rFonts w:hint="eastAsia" w:ascii="宋体" w:hAnsi="宋体" w:cs="宋体"/>
                <w:color w:val="auto"/>
              </w:rPr>
              <w:t>序号</w:t>
            </w:r>
          </w:p>
        </w:tc>
        <w:tc>
          <w:tcPr>
            <w:tcW w:w="4131" w:type="dxa"/>
            <w:vAlign w:val="center"/>
          </w:tcPr>
          <w:p>
            <w:pPr>
              <w:pStyle w:val="79"/>
              <w:spacing w:line="500" w:lineRule="exact"/>
              <w:jc w:val="center"/>
              <w:rPr>
                <w:rFonts w:ascii="宋体" w:hAnsi="宋体" w:cs="宋体"/>
                <w:color w:val="auto"/>
              </w:rPr>
            </w:pPr>
            <w:r>
              <w:rPr>
                <w:rFonts w:hint="eastAsia" w:ascii="宋体" w:hAnsi="宋体" w:cs="宋体"/>
                <w:color w:val="auto"/>
              </w:rPr>
              <w:t>招标项目</w:t>
            </w:r>
          </w:p>
        </w:tc>
        <w:tc>
          <w:tcPr>
            <w:tcW w:w="1275" w:type="dxa"/>
            <w:vAlign w:val="center"/>
          </w:tcPr>
          <w:p>
            <w:pPr>
              <w:pStyle w:val="79"/>
              <w:spacing w:line="500" w:lineRule="exact"/>
              <w:jc w:val="center"/>
              <w:rPr>
                <w:rFonts w:ascii="宋体" w:hAnsi="宋体" w:cs="宋体"/>
                <w:color w:val="auto"/>
              </w:rPr>
            </w:pPr>
            <w:r>
              <w:rPr>
                <w:rFonts w:hint="eastAsia" w:ascii="宋体" w:hAnsi="宋体" w:cs="宋体"/>
                <w:color w:val="auto"/>
              </w:rPr>
              <w:t>招标要求</w:t>
            </w:r>
          </w:p>
        </w:tc>
        <w:tc>
          <w:tcPr>
            <w:tcW w:w="1215" w:type="dxa"/>
            <w:vAlign w:val="center"/>
          </w:tcPr>
          <w:p>
            <w:pPr>
              <w:pStyle w:val="79"/>
              <w:spacing w:line="500" w:lineRule="exact"/>
              <w:jc w:val="center"/>
              <w:rPr>
                <w:rFonts w:ascii="宋体" w:hAnsi="宋体" w:cs="宋体"/>
                <w:color w:val="auto"/>
              </w:rPr>
            </w:pPr>
            <w:r>
              <w:rPr>
                <w:rFonts w:hint="eastAsia" w:ascii="宋体" w:hAnsi="宋体" w:cs="宋体"/>
                <w:color w:val="auto"/>
              </w:rPr>
              <w:t>投标内容</w:t>
            </w:r>
          </w:p>
        </w:tc>
        <w:tc>
          <w:tcPr>
            <w:tcW w:w="930" w:type="dxa"/>
            <w:vAlign w:val="center"/>
          </w:tcPr>
          <w:p>
            <w:pPr>
              <w:pStyle w:val="79"/>
              <w:spacing w:line="500" w:lineRule="exact"/>
              <w:jc w:val="center"/>
              <w:rPr>
                <w:rFonts w:ascii="宋体" w:hAnsi="宋体" w:cs="宋体"/>
                <w:color w:val="auto"/>
              </w:rPr>
            </w:pPr>
            <w:r>
              <w:rPr>
                <w:rFonts w:hint="eastAsia" w:ascii="宋体" w:hAnsi="宋体" w:cs="宋体"/>
                <w:color w:val="auto"/>
              </w:rPr>
              <w:t>偏离</w:t>
            </w:r>
          </w:p>
        </w:tc>
        <w:tc>
          <w:tcPr>
            <w:tcW w:w="780" w:type="dxa"/>
            <w:vAlign w:val="center"/>
          </w:tcPr>
          <w:p>
            <w:pPr>
              <w:pStyle w:val="79"/>
              <w:spacing w:line="500" w:lineRule="exact"/>
              <w:jc w:val="center"/>
              <w:rPr>
                <w:rFonts w:ascii="宋体" w:hAnsi="宋体" w:cs="宋体"/>
                <w:color w:val="auto"/>
              </w:rPr>
            </w:pPr>
            <w:r>
              <w:rPr>
                <w:rFonts w:hint="eastAsia" w:ascii="宋体" w:hAnsi="宋体"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jc w:val="center"/>
              <w:rPr>
                <w:rFonts w:hint="eastAsia" w:ascii="宋体" w:hAnsi="宋体" w:eastAsia="宋体" w:cs="宋体"/>
                <w:color w:val="auto"/>
                <w:lang w:val="en-US" w:eastAsia="zh-CN"/>
              </w:rPr>
            </w:pPr>
            <w:r>
              <w:rPr>
                <w:rFonts w:hint="eastAsia" w:ascii="宋体" w:hAnsi="宋体" w:cs="宋体"/>
                <w:color w:val="auto"/>
                <w:lang w:val="en-US" w:eastAsia="zh-CN"/>
              </w:rPr>
              <w:t>1</w:t>
            </w:r>
          </w:p>
        </w:tc>
        <w:tc>
          <w:tcPr>
            <w:tcW w:w="4131" w:type="dxa"/>
          </w:tcPr>
          <w:p>
            <w:pPr>
              <w:pStyle w:val="79"/>
              <w:spacing w:line="500" w:lineRule="exact"/>
              <w:rPr>
                <w:rFonts w:hint="eastAsia" w:ascii="宋体" w:hAnsi="宋体" w:eastAsia="宋体" w:cs="宋体"/>
                <w:color w:val="auto"/>
                <w:lang w:eastAsia="zh-CN"/>
              </w:rPr>
            </w:pPr>
          </w:p>
        </w:tc>
        <w:tc>
          <w:tcPr>
            <w:tcW w:w="1275" w:type="dxa"/>
          </w:tcPr>
          <w:p>
            <w:pPr>
              <w:pStyle w:val="79"/>
              <w:spacing w:line="500" w:lineRule="exact"/>
              <w:rPr>
                <w:rFonts w:ascii="宋体" w:hAnsi="宋体" w:cs="宋体"/>
                <w:color w:val="auto"/>
              </w:rPr>
            </w:pPr>
          </w:p>
        </w:tc>
        <w:tc>
          <w:tcPr>
            <w:tcW w:w="1215" w:type="dxa"/>
          </w:tcPr>
          <w:p>
            <w:pPr>
              <w:pStyle w:val="79"/>
              <w:spacing w:line="500" w:lineRule="exact"/>
              <w:rPr>
                <w:rFonts w:ascii="宋体" w:hAnsi="宋体" w:cs="宋体"/>
                <w:color w:val="auto"/>
              </w:rPr>
            </w:pPr>
          </w:p>
        </w:tc>
        <w:tc>
          <w:tcPr>
            <w:tcW w:w="930" w:type="dxa"/>
          </w:tcPr>
          <w:p>
            <w:pPr>
              <w:pStyle w:val="79"/>
              <w:spacing w:line="500" w:lineRule="exact"/>
              <w:rPr>
                <w:rFonts w:ascii="宋体" w:hAnsi="宋体" w:cs="宋体"/>
                <w:color w:val="auto"/>
              </w:rPr>
            </w:pPr>
          </w:p>
        </w:tc>
        <w:tc>
          <w:tcPr>
            <w:tcW w:w="7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jc w:val="center"/>
              <w:rPr>
                <w:rFonts w:hint="eastAsia" w:ascii="宋体" w:hAnsi="宋体" w:eastAsia="宋体" w:cs="宋体"/>
                <w:color w:val="auto"/>
                <w:lang w:val="en-US" w:eastAsia="zh-CN"/>
              </w:rPr>
            </w:pPr>
            <w:r>
              <w:rPr>
                <w:rFonts w:hint="eastAsia" w:ascii="宋体" w:hAnsi="宋体" w:cs="宋体"/>
                <w:color w:val="auto"/>
                <w:lang w:val="en-US" w:eastAsia="zh-CN"/>
              </w:rPr>
              <w:t>2</w:t>
            </w:r>
          </w:p>
        </w:tc>
        <w:tc>
          <w:tcPr>
            <w:tcW w:w="4131" w:type="dxa"/>
          </w:tcPr>
          <w:p>
            <w:pPr>
              <w:pStyle w:val="79"/>
              <w:spacing w:line="500" w:lineRule="exact"/>
              <w:rPr>
                <w:rFonts w:hint="eastAsia" w:ascii="宋体" w:hAnsi="宋体" w:eastAsia="宋体" w:cs="宋体"/>
                <w:color w:val="auto"/>
                <w:lang w:eastAsia="zh-CN"/>
              </w:rPr>
            </w:pPr>
          </w:p>
        </w:tc>
        <w:tc>
          <w:tcPr>
            <w:tcW w:w="1275" w:type="dxa"/>
          </w:tcPr>
          <w:p>
            <w:pPr>
              <w:pStyle w:val="79"/>
              <w:spacing w:line="500" w:lineRule="exact"/>
              <w:rPr>
                <w:rFonts w:ascii="宋体" w:hAnsi="宋体" w:cs="宋体"/>
                <w:color w:val="auto"/>
              </w:rPr>
            </w:pPr>
          </w:p>
        </w:tc>
        <w:tc>
          <w:tcPr>
            <w:tcW w:w="1215" w:type="dxa"/>
          </w:tcPr>
          <w:p>
            <w:pPr>
              <w:pStyle w:val="79"/>
              <w:spacing w:line="500" w:lineRule="exact"/>
              <w:rPr>
                <w:rFonts w:ascii="宋体" w:hAnsi="宋体" w:cs="宋体"/>
                <w:color w:val="auto"/>
              </w:rPr>
            </w:pPr>
          </w:p>
        </w:tc>
        <w:tc>
          <w:tcPr>
            <w:tcW w:w="930" w:type="dxa"/>
          </w:tcPr>
          <w:p>
            <w:pPr>
              <w:pStyle w:val="79"/>
              <w:spacing w:line="500" w:lineRule="exact"/>
              <w:rPr>
                <w:rFonts w:ascii="宋体" w:hAnsi="宋体" w:cs="宋体"/>
                <w:color w:val="auto"/>
              </w:rPr>
            </w:pPr>
          </w:p>
        </w:tc>
        <w:tc>
          <w:tcPr>
            <w:tcW w:w="7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jc w:val="center"/>
              <w:rPr>
                <w:rFonts w:hint="eastAsia" w:ascii="宋体" w:hAnsi="宋体" w:cs="宋体"/>
                <w:color w:val="auto"/>
                <w:lang w:val="en-US" w:eastAsia="zh-CN"/>
              </w:rPr>
            </w:pPr>
            <w:r>
              <w:rPr>
                <w:rFonts w:hint="eastAsia" w:ascii="宋体" w:hAnsi="宋体" w:cs="宋体"/>
                <w:color w:val="auto"/>
                <w:lang w:val="en-US" w:eastAsia="zh-CN"/>
              </w:rPr>
              <w:t>3</w:t>
            </w:r>
          </w:p>
        </w:tc>
        <w:tc>
          <w:tcPr>
            <w:tcW w:w="4131" w:type="dxa"/>
          </w:tcPr>
          <w:p>
            <w:pPr>
              <w:pStyle w:val="79"/>
              <w:spacing w:line="500" w:lineRule="exact"/>
              <w:rPr>
                <w:rFonts w:hint="eastAsia" w:ascii="宋体" w:hAnsi="宋体" w:eastAsia="宋体" w:cs="宋体"/>
                <w:color w:val="auto"/>
                <w:lang w:eastAsia="zh-CN"/>
              </w:rPr>
            </w:pPr>
          </w:p>
        </w:tc>
        <w:tc>
          <w:tcPr>
            <w:tcW w:w="1275" w:type="dxa"/>
          </w:tcPr>
          <w:p>
            <w:pPr>
              <w:pStyle w:val="79"/>
              <w:spacing w:line="500" w:lineRule="exact"/>
              <w:rPr>
                <w:rFonts w:ascii="宋体" w:hAnsi="宋体" w:cs="宋体"/>
                <w:color w:val="auto"/>
              </w:rPr>
            </w:pPr>
          </w:p>
        </w:tc>
        <w:tc>
          <w:tcPr>
            <w:tcW w:w="1215" w:type="dxa"/>
          </w:tcPr>
          <w:p>
            <w:pPr>
              <w:pStyle w:val="79"/>
              <w:spacing w:line="500" w:lineRule="exact"/>
              <w:rPr>
                <w:rFonts w:ascii="宋体" w:hAnsi="宋体" w:cs="宋体"/>
                <w:color w:val="auto"/>
              </w:rPr>
            </w:pPr>
          </w:p>
        </w:tc>
        <w:tc>
          <w:tcPr>
            <w:tcW w:w="930" w:type="dxa"/>
          </w:tcPr>
          <w:p>
            <w:pPr>
              <w:pStyle w:val="79"/>
              <w:spacing w:line="500" w:lineRule="exact"/>
              <w:rPr>
                <w:rFonts w:ascii="宋体" w:hAnsi="宋体" w:cs="宋体"/>
                <w:color w:val="auto"/>
              </w:rPr>
            </w:pPr>
          </w:p>
        </w:tc>
        <w:tc>
          <w:tcPr>
            <w:tcW w:w="7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jc w:val="center"/>
              <w:rPr>
                <w:rFonts w:hint="eastAsia" w:ascii="宋体" w:hAnsi="宋体" w:eastAsia="宋体" w:cs="宋体"/>
                <w:color w:val="auto"/>
                <w:lang w:val="en-US" w:eastAsia="zh-CN"/>
              </w:rPr>
            </w:pPr>
            <w:r>
              <w:rPr>
                <w:rFonts w:hint="eastAsia" w:ascii="宋体" w:hAnsi="宋体" w:cs="宋体"/>
                <w:color w:val="auto"/>
                <w:lang w:val="en-US" w:eastAsia="zh-CN"/>
              </w:rPr>
              <w:t>4</w:t>
            </w:r>
          </w:p>
        </w:tc>
        <w:tc>
          <w:tcPr>
            <w:tcW w:w="4131" w:type="dxa"/>
          </w:tcPr>
          <w:p>
            <w:pPr>
              <w:pStyle w:val="79"/>
              <w:spacing w:line="500" w:lineRule="exact"/>
              <w:rPr>
                <w:rFonts w:hint="eastAsia" w:ascii="宋体" w:hAnsi="宋体" w:eastAsia="宋体" w:cs="宋体"/>
                <w:color w:val="auto"/>
                <w:lang w:eastAsia="zh-CN"/>
              </w:rPr>
            </w:pPr>
          </w:p>
        </w:tc>
        <w:tc>
          <w:tcPr>
            <w:tcW w:w="1275" w:type="dxa"/>
          </w:tcPr>
          <w:p>
            <w:pPr>
              <w:pStyle w:val="79"/>
              <w:spacing w:line="500" w:lineRule="exact"/>
              <w:rPr>
                <w:rFonts w:ascii="宋体" w:hAnsi="宋体" w:cs="宋体"/>
                <w:color w:val="auto"/>
              </w:rPr>
            </w:pPr>
          </w:p>
        </w:tc>
        <w:tc>
          <w:tcPr>
            <w:tcW w:w="1215" w:type="dxa"/>
          </w:tcPr>
          <w:p>
            <w:pPr>
              <w:pStyle w:val="79"/>
              <w:spacing w:line="500" w:lineRule="exact"/>
              <w:rPr>
                <w:rFonts w:ascii="宋体" w:hAnsi="宋体" w:cs="宋体"/>
                <w:color w:val="auto"/>
              </w:rPr>
            </w:pPr>
          </w:p>
        </w:tc>
        <w:tc>
          <w:tcPr>
            <w:tcW w:w="930" w:type="dxa"/>
          </w:tcPr>
          <w:p>
            <w:pPr>
              <w:pStyle w:val="79"/>
              <w:spacing w:line="500" w:lineRule="exact"/>
              <w:rPr>
                <w:rFonts w:ascii="宋体" w:hAnsi="宋体" w:cs="宋体"/>
                <w:color w:val="auto"/>
              </w:rPr>
            </w:pPr>
          </w:p>
        </w:tc>
        <w:tc>
          <w:tcPr>
            <w:tcW w:w="7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jc w:val="center"/>
              <w:rPr>
                <w:rFonts w:hint="eastAsia" w:ascii="宋体" w:hAnsi="宋体" w:eastAsia="宋体" w:cs="宋体"/>
                <w:color w:val="auto"/>
                <w:lang w:val="en-US" w:eastAsia="zh-CN"/>
              </w:rPr>
            </w:pPr>
            <w:r>
              <w:rPr>
                <w:rFonts w:hint="eastAsia" w:ascii="宋体" w:hAnsi="宋体" w:cs="宋体"/>
                <w:color w:val="auto"/>
                <w:lang w:val="en-US" w:eastAsia="zh-CN"/>
              </w:rPr>
              <w:t>5</w:t>
            </w:r>
          </w:p>
        </w:tc>
        <w:tc>
          <w:tcPr>
            <w:tcW w:w="4131" w:type="dxa"/>
          </w:tcPr>
          <w:p>
            <w:pPr>
              <w:pStyle w:val="79"/>
              <w:spacing w:line="500" w:lineRule="exact"/>
              <w:rPr>
                <w:rFonts w:hint="eastAsia" w:ascii="宋体" w:hAnsi="宋体" w:eastAsia="宋体" w:cs="宋体"/>
                <w:color w:val="auto"/>
                <w:lang w:eastAsia="zh-CN"/>
              </w:rPr>
            </w:pPr>
          </w:p>
        </w:tc>
        <w:tc>
          <w:tcPr>
            <w:tcW w:w="1275" w:type="dxa"/>
          </w:tcPr>
          <w:p>
            <w:pPr>
              <w:pStyle w:val="79"/>
              <w:spacing w:line="500" w:lineRule="exact"/>
              <w:rPr>
                <w:rFonts w:ascii="宋体" w:hAnsi="宋体" w:cs="宋体"/>
                <w:color w:val="auto"/>
              </w:rPr>
            </w:pPr>
          </w:p>
        </w:tc>
        <w:tc>
          <w:tcPr>
            <w:tcW w:w="1215" w:type="dxa"/>
          </w:tcPr>
          <w:p>
            <w:pPr>
              <w:pStyle w:val="79"/>
              <w:spacing w:line="500" w:lineRule="exact"/>
              <w:rPr>
                <w:rFonts w:ascii="宋体" w:hAnsi="宋体" w:cs="宋体"/>
                <w:color w:val="auto"/>
              </w:rPr>
            </w:pPr>
          </w:p>
        </w:tc>
        <w:tc>
          <w:tcPr>
            <w:tcW w:w="930" w:type="dxa"/>
          </w:tcPr>
          <w:p>
            <w:pPr>
              <w:pStyle w:val="79"/>
              <w:spacing w:line="500" w:lineRule="exact"/>
              <w:rPr>
                <w:rFonts w:ascii="宋体" w:hAnsi="宋体" w:cs="宋体"/>
                <w:color w:val="auto"/>
              </w:rPr>
            </w:pPr>
          </w:p>
        </w:tc>
        <w:tc>
          <w:tcPr>
            <w:tcW w:w="7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jc w:val="center"/>
              <w:rPr>
                <w:rFonts w:hint="eastAsia" w:ascii="宋体" w:hAnsi="宋体" w:eastAsia="宋体" w:cs="宋体"/>
                <w:color w:val="auto"/>
                <w:lang w:val="en-US" w:eastAsia="zh-CN"/>
              </w:rPr>
            </w:pPr>
            <w:r>
              <w:rPr>
                <w:rFonts w:hint="eastAsia" w:ascii="宋体" w:hAnsi="宋体" w:cs="宋体"/>
                <w:color w:val="auto"/>
                <w:lang w:val="en-US" w:eastAsia="zh-CN"/>
              </w:rPr>
              <w:t>6</w:t>
            </w:r>
          </w:p>
        </w:tc>
        <w:tc>
          <w:tcPr>
            <w:tcW w:w="4131" w:type="dxa"/>
          </w:tcPr>
          <w:p>
            <w:pPr>
              <w:pStyle w:val="79"/>
              <w:spacing w:line="500" w:lineRule="exact"/>
              <w:rPr>
                <w:rFonts w:hint="eastAsia" w:ascii="宋体" w:hAnsi="宋体" w:eastAsia="宋体" w:cs="宋体"/>
                <w:color w:val="auto"/>
                <w:lang w:eastAsia="zh-CN"/>
              </w:rPr>
            </w:pPr>
          </w:p>
        </w:tc>
        <w:tc>
          <w:tcPr>
            <w:tcW w:w="1275" w:type="dxa"/>
          </w:tcPr>
          <w:p>
            <w:pPr>
              <w:pStyle w:val="79"/>
              <w:spacing w:line="500" w:lineRule="exact"/>
              <w:rPr>
                <w:rFonts w:ascii="宋体" w:hAnsi="宋体" w:cs="宋体"/>
                <w:color w:val="auto"/>
              </w:rPr>
            </w:pPr>
          </w:p>
        </w:tc>
        <w:tc>
          <w:tcPr>
            <w:tcW w:w="1215" w:type="dxa"/>
          </w:tcPr>
          <w:p>
            <w:pPr>
              <w:pStyle w:val="79"/>
              <w:spacing w:line="500" w:lineRule="exact"/>
              <w:rPr>
                <w:rFonts w:ascii="宋体" w:hAnsi="宋体" w:cs="宋体"/>
                <w:color w:val="auto"/>
              </w:rPr>
            </w:pPr>
          </w:p>
        </w:tc>
        <w:tc>
          <w:tcPr>
            <w:tcW w:w="930" w:type="dxa"/>
          </w:tcPr>
          <w:p>
            <w:pPr>
              <w:pStyle w:val="79"/>
              <w:spacing w:line="500" w:lineRule="exact"/>
              <w:rPr>
                <w:rFonts w:ascii="宋体" w:hAnsi="宋体" w:cs="宋体"/>
                <w:color w:val="auto"/>
              </w:rPr>
            </w:pPr>
          </w:p>
        </w:tc>
        <w:tc>
          <w:tcPr>
            <w:tcW w:w="7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05" w:type="dxa"/>
          </w:tcPr>
          <w:p>
            <w:pPr>
              <w:pStyle w:val="79"/>
              <w:spacing w:line="500" w:lineRule="exact"/>
              <w:jc w:val="center"/>
              <w:rPr>
                <w:rFonts w:hint="eastAsia" w:ascii="宋体" w:hAnsi="宋体" w:eastAsia="宋体" w:cs="宋体"/>
                <w:color w:val="auto"/>
                <w:lang w:val="en-US" w:eastAsia="zh-CN"/>
              </w:rPr>
            </w:pPr>
            <w:r>
              <w:rPr>
                <w:rFonts w:hint="eastAsia" w:ascii="宋体" w:hAnsi="宋体" w:cs="宋体"/>
                <w:color w:val="auto"/>
                <w:lang w:val="en-US" w:eastAsia="zh-CN"/>
              </w:rPr>
              <w:t>7</w:t>
            </w:r>
          </w:p>
        </w:tc>
        <w:tc>
          <w:tcPr>
            <w:tcW w:w="4131" w:type="dxa"/>
          </w:tcPr>
          <w:p>
            <w:pPr>
              <w:pStyle w:val="79"/>
              <w:spacing w:line="500" w:lineRule="exact"/>
              <w:rPr>
                <w:rFonts w:hint="default" w:ascii="宋体" w:hAnsi="宋体" w:eastAsia="宋体" w:cs="宋体"/>
                <w:color w:val="auto"/>
                <w:lang w:val="en-US" w:eastAsia="zh-CN"/>
              </w:rPr>
            </w:pPr>
          </w:p>
        </w:tc>
        <w:tc>
          <w:tcPr>
            <w:tcW w:w="1275" w:type="dxa"/>
          </w:tcPr>
          <w:p>
            <w:pPr>
              <w:pStyle w:val="79"/>
              <w:spacing w:line="500" w:lineRule="exact"/>
              <w:rPr>
                <w:rFonts w:ascii="宋体" w:hAnsi="宋体" w:cs="宋体"/>
                <w:color w:val="auto"/>
              </w:rPr>
            </w:pPr>
          </w:p>
        </w:tc>
        <w:tc>
          <w:tcPr>
            <w:tcW w:w="1215" w:type="dxa"/>
          </w:tcPr>
          <w:p>
            <w:pPr>
              <w:pStyle w:val="79"/>
              <w:spacing w:line="500" w:lineRule="exact"/>
              <w:rPr>
                <w:rFonts w:ascii="宋体" w:hAnsi="宋体" w:cs="宋体"/>
                <w:color w:val="auto"/>
              </w:rPr>
            </w:pPr>
          </w:p>
        </w:tc>
        <w:tc>
          <w:tcPr>
            <w:tcW w:w="930" w:type="dxa"/>
          </w:tcPr>
          <w:p>
            <w:pPr>
              <w:pStyle w:val="79"/>
              <w:spacing w:line="500" w:lineRule="exact"/>
              <w:rPr>
                <w:rFonts w:ascii="宋体" w:hAnsi="宋体" w:cs="宋体"/>
                <w:color w:val="auto"/>
              </w:rPr>
            </w:pPr>
          </w:p>
        </w:tc>
        <w:tc>
          <w:tcPr>
            <w:tcW w:w="780" w:type="dxa"/>
          </w:tcPr>
          <w:p>
            <w:pPr>
              <w:pStyle w:val="79"/>
              <w:spacing w:line="500" w:lineRule="exact"/>
              <w:rPr>
                <w:rFonts w:ascii="宋体" w:hAnsi="宋体" w:cs="宋体"/>
                <w:color w:val="auto"/>
              </w:rPr>
            </w:pPr>
          </w:p>
        </w:tc>
      </w:tr>
    </w:tbl>
    <w:p>
      <w:pPr>
        <w:pStyle w:val="93"/>
        <w:ind w:firstLine="0" w:firstLineChars="0"/>
        <w:rPr>
          <w:rFonts w:cs="宋体"/>
        </w:rPr>
      </w:pPr>
    </w:p>
    <w:p>
      <w:pPr>
        <w:pStyle w:val="93"/>
        <w:ind w:firstLine="0" w:firstLineChars="0"/>
        <w:rPr>
          <w:rFonts w:cs="宋体"/>
        </w:rPr>
      </w:pPr>
    </w:p>
    <w:p>
      <w:pPr>
        <w:pStyle w:val="79"/>
        <w:spacing w:line="500" w:lineRule="exact"/>
        <w:rPr>
          <w:rFonts w:hint="eastAsia" w:ascii="宋体" w:hAnsi="宋体" w:eastAsia="宋体" w:cs="宋体"/>
          <w:b/>
          <w:color w:val="auto"/>
          <w:lang w:eastAsia="zh-CN"/>
        </w:rPr>
      </w:pPr>
      <w:r>
        <w:rPr>
          <w:rFonts w:hint="eastAsia" w:ascii="宋体" w:hAnsi="宋体" w:cs="宋体"/>
          <w:color w:val="auto"/>
        </w:rPr>
        <w:t>注:若有偏离,请将具体偏离条款在”偏离”一栏中详细说明;若无偏离,请在”偏离”一栏中标注”无”字样</w:t>
      </w:r>
      <w:r>
        <w:rPr>
          <w:rFonts w:hint="eastAsia" w:ascii="宋体" w:hAnsi="宋体" w:cs="宋体"/>
          <w:color w:val="auto"/>
          <w:lang w:eastAsia="zh-CN"/>
        </w:rPr>
        <w:t>。</w:t>
      </w:r>
    </w:p>
    <w:p>
      <w:pPr>
        <w:pStyle w:val="79"/>
        <w:spacing w:line="500" w:lineRule="exact"/>
        <w:rPr>
          <w:rFonts w:ascii="宋体" w:hAnsi="宋体" w:cs="宋体"/>
          <w:b/>
          <w:color w:val="auto"/>
        </w:rPr>
      </w:pPr>
    </w:p>
    <w:p>
      <w:pPr>
        <w:pStyle w:val="79"/>
        <w:spacing w:line="500" w:lineRule="exact"/>
        <w:rPr>
          <w:rFonts w:ascii="宋体" w:hAnsi="宋体" w:cs="宋体"/>
          <w:b/>
          <w:color w:val="auto"/>
        </w:rPr>
      </w:pPr>
    </w:p>
    <w:p>
      <w:pPr>
        <w:adjustRightInd w:val="0"/>
        <w:snapToGrid w:val="0"/>
        <w:spacing w:line="360" w:lineRule="auto"/>
        <w:ind w:firstLine="480" w:firstLineChars="200"/>
        <w:rPr>
          <w:rFonts w:ascii="宋体" w:hAnsi="宋体" w:cs="宋体"/>
          <w:sz w:val="24"/>
          <w:szCs w:val="21"/>
        </w:rPr>
      </w:pP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供应商</w:t>
      </w:r>
      <w:r>
        <w:rPr>
          <w:rFonts w:ascii="宋体" w:hAnsi="宋体" w:cs="宋体"/>
          <w:sz w:val="24"/>
          <w:szCs w:val="24"/>
        </w:rPr>
        <w:t>(公章)</w:t>
      </w:r>
      <w:r>
        <w:rPr>
          <w:rFonts w:hint="eastAsia" w:ascii="宋体" w:hAnsi="宋体" w:cs="宋体"/>
          <w:sz w:val="24"/>
          <w:szCs w:val="21"/>
        </w:rPr>
        <w:t>）：</w:t>
      </w:r>
    </w:p>
    <w:p>
      <w:pPr>
        <w:adjustRightInd w:val="0"/>
        <w:snapToGrid w:val="0"/>
        <w:spacing w:line="360" w:lineRule="auto"/>
        <w:ind w:left="479" w:leftChars="228" w:firstLine="9360" w:firstLineChars="3900"/>
        <w:rPr>
          <w:rFonts w:ascii="宋体" w:hAnsi="宋体" w:cs="宋体"/>
          <w:sz w:val="24"/>
          <w:szCs w:val="21"/>
        </w:rPr>
      </w:pPr>
      <w:r>
        <w:rPr>
          <w:rFonts w:hint="eastAsia" w:ascii="宋体" w:hAnsi="宋体" w:cs="宋体"/>
          <w:sz w:val="24"/>
          <w:szCs w:val="21"/>
        </w:rPr>
        <w:t xml:space="preserve"> 法定代表人或其委托代理人签字或盖章：</w:t>
      </w:r>
      <w:r>
        <w:rPr>
          <w:rFonts w:hint="eastAsia" w:ascii="宋体" w:hAnsi="宋体" w:cs="宋体"/>
          <w:sz w:val="24"/>
          <w:szCs w:val="21"/>
          <w:u w:val="single"/>
        </w:rPr>
        <w:t xml:space="preserve">       </w:t>
      </w:r>
    </w:p>
    <w:p>
      <w:pPr>
        <w:adjustRightInd w:val="0"/>
        <w:snapToGrid w:val="0"/>
        <w:spacing w:line="360" w:lineRule="auto"/>
        <w:ind w:left="479" w:leftChars="228" w:right="24" w:firstLine="9360" w:firstLineChars="3900"/>
        <w:rPr>
          <w:rFonts w:ascii="宋体" w:hAnsi="宋体" w:cs="宋体"/>
          <w:bCs/>
          <w:sz w:val="36"/>
          <w:szCs w:val="28"/>
        </w:rPr>
      </w:pPr>
      <w:r>
        <w:rPr>
          <w:rFonts w:hint="eastAsia" w:ascii="宋体" w:hAnsi="宋体" w:cs="宋体"/>
          <w:sz w:val="24"/>
          <w:szCs w:val="21"/>
        </w:rPr>
        <w:t xml:space="preserve">  日期：</w:t>
      </w:r>
      <w:r>
        <w:rPr>
          <w:rFonts w:hint="eastAsia" w:ascii="宋体" w:hAnsi="宋体" w:cs="宋体"/>
          <w:sz w:val="24"/>
          <w:szCs w:val="21"/>
          <w:u w:val="single"/>
        </w:rPr>
        <w:t xml:space="preserve">         </w:t>
      </w:r>
      <w:r>
        <w:rPr>
          <w:rFonts w:hint="eastAsia" w:ascii="宋体" w:hAnsi="宋体" w:cs="宋体"/>
          <w:sz w:val="24"/>
          <w:szCs w:val="21"/>
        </w:rPr>
        <w:t>年</w:t>
      </w:r>
      <w:r>
        <w:rPr>
          <w:rFonts w:hint="eastAsia" w:ascii="宋体" w:hAnsi="宋体" w:cs="宋体"/>
          <w:sz w:val="24"/>
          <w:szCs w:val="21"/>
          <w:u w:val="single"/>
        </w:rPr>
        <w:t xml:space="preserve">    </w:t>
      </w:r>
      <w:r>
        <w:rPr>
          <w:rFonts w:hint="eastAsia" w:ascii="宋体" w:hAnsi="宋体" w:cs="宋体"/>
          <w:sz w:val="24"/>
          <w:szCs w:val="21"/>
        </w:rPr>
        <w:t>月</w:t>
      </w:r>
      <w:r>
        <w:rPr>
          <w:rFonts w:hint="eastAsia" w:ascii="宋体" w:hAnsi="宋体" w:cs="宋体"/>
          <w:sz w:val="24"/>
          <w:szCs w:val="21"/>
          <w:u w:val="single"/>
        </w:rPr>
        <w:t xml:space="preserve">   </w:t>
      </w:r>
      <w:r>
        <w:rPr>
          <w:rFonts w:hint="eastAsia" w:ascii="宋体" w:hAnsi="宋体" w:cs="宋体"/>
          <w:sz w:val="24"/>
          <w:szCs w:val="21"/>
        </w:rPr>
        <w:t>日</w:t>
      </w:r>
    </w:p>
    <w:p>
      <w:pPr>
        <w:spacing w:line="360" w:lineRule="auto"/>
        <w:rPr>
          <w:rFonts w:ascii="宋体" w:hAnsi="宋体" w:cs="宋体"/>
          <w:b/>
          <w:bCs/>
          <w:sz w:val="24"/>
          <w:szCs w:val="24"/>
        </w:rPr>
      </w:pPr>
    </w:p>
    <w:p>
      <w:pPr>
        <w:spacing w:line="400" w:lineRule="atLeast"/>
        <w:rPr>
          <w:rFonts w:ascii="宋体" w:hAnsi="宋体" w:cs="宋体"/>
          <w:sz w:val="24"/>
        </w:rPr>
      </w:pPr>
    </w:p>
    <w:p>
      <w:pPr>
        <w:spacing w:line="400" w:lineRule="atLeast"/>
        <w:rPr>
          <w:rFonts w:ascii="宋体" w:hAnsi="宋体" w:cs="宋体"/>
          <w:sz w:val="24"/>
        </w:rPr>
      </w:pPr>
    </w:p>
    <w:p>
      <w:pPr>
        <w:spacing w:line="400" w:lineRule="atLeast"/>
        <w:rPr>
          <w:rFonts w:ascii="宋体" w:hAnsi="宋体" w:cs="宋体"/>
          <w:sz w:val="24"/>
        </w:rPr>
      </w:pPr>
    </w:p>
    <w:p>
      <w:pPr>
        <w:spacing w:line="400" w:lineRule="atLeast"/>
        <w:rPr>
          <w:rFonts w:ascii="宋体" w:hAnsi="宋体" w:cs="宋体"/>
          <w:sz w:val="24"/>
        </w:rPr>
      </w:pPr>
    </w:p>
    <w:p>
      <w:pPr>
        <w:spacing w:line="400" w:lineRule="atLeast"/>
        <w:jc w:val="center"/>
        <w:rPr>
          <w:rFonts w:ascii="宋体" w:hAnsi="宋体" w:cs="宋体"/>
          <w:b/>
          <w:bCs/>
          <w:sz w:val="24"/>
        </w:rPr>
      </w:pPr>
      <w:r>
        <w:rPr>
          <w:rFonts w:hint="eastAsia" w:ascii="宋体" w:hAnsi="宋体" w:cs="宋体"/>
          <w:b/>
          <w:bCs/>
          <w:sz w:val="24"/>
        </w:rPr>
        <w:t>6、技术标</w:t>
      </w:r>
    </w:p>
    <w:p>
      <w:pPr>
        <w:spacing w:line="400" w:lineRule="atLeast"/>
        <w:rPr>
          <w:rFonts w:ascii="宋体" w:hAnsi="宋体" w:cs="宋体"/>
          <w:b/>
          <w:sz w:val="24"/>
        </w:rPr>
      </w:pPr>
      <w:r>
        <w:rPr>
          <w:rFonts w:hint="eastAsia" w:ascii="宋体" w:hAnsi="宋体" w:cs="宋体"/>
          <w:b/>
          <w:sz w:val="24"/>
        </w:rPr>
        <w:t>（1）*技术偏离表（逐条响应）</w:t>
      </w:r>
    </w:p>
    <w:p>
      <w:pPr>
        <w:spacing w:line="400" w:lineRule="atLeast"/>
        <w:rPr>
          <w:rFonts w:ascii="宋体" w:hAnsi="宋体" w:cs="宋体"/>
          <w:b/>
          <w:bCs/>
          <w:sz w:val="24"/>
          <w:szCs w:val="24"/>
        </w:rPr>
      </w:pPr>
      <w:r>
        <w:rPr>
          <w:rFonts w:hint="eastAsia" w:ascii="宋体" w:hAnsi="宋体" w:cs="宋体"/>
          <w:sz w:val="24"/>
        </w:rPr>
        <w:t>（2）评分细则提及或响应人认为需要提供的其他说明和资料</w:t>
      </w:r>
    </w:p>
    <w:p>
      <w:pPr>
        <w:pStyle w:val="79"/>
        <w:spacing w:line="500" w:lineRule="exact"/>
        <w:ind w:hanging="23"/>
        <w:rPr>
          <w:rFonts w:ascii="宋体" w:hAnsi="宋体" w:cs="宋体"/>
          <w:color w:val="auto"/>
          <w:u w:val="single"/>
        </w:rPr>
      </w:pPr>
      <w:r>
        <w:rPr>
          <w:rFonts w:hint="eastAsia" w:ascii="宋体" w:hAnsi="宋体" w:cs="宋体"/>
          <w:color w:val="auto"/>
        </w:rPr>
        <w:t>项目名称：</w:t>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ab/>
      </w:r>
      <w:r>
        <w:rPr>
          <w:rFonts w:hint="eastAsia" w:ascii="宋体" w:hAnsi="宋体" w:cs="宋体"/>
          <w:color w:val="auto"/>
        </w:rPr>
        <w:t>项目编号：</w:t>
      </w:r>
    </w:p>
    <w:p>
      <w:pPr>
        <w:pStyle w:val="93"/>
        <w:ind w:firstLine="480"/>
        <w:rPr>
          <w:rFonts w:cs="宋体"/>
        </w:rPr>
      </w:pPr>
    </w:p>
    <w:tbl>
      <w:tblPr>
        <w:tblStyle w:val="33"/>
        <w:tblW w:w="913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177"/>
        <w:gridCol w:w="1330"/>
        <w:gridCol w:w="1208"/>
        <w:gridCol w:w="1236"/>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vAlign w:val="center"/>
          </w:tcPr>
          <w:p>
            <w:pPr>
              <w:pStyle w:val="79"/>
              <w:spacing w:line="500" w:lineRule="exact"/>
              <w:jc w:val="center"/>
              <w:rPr>
                <w:rFonts w:ascii="宋体" w:hAnsi="宋体" w:cs="宋体"/>
                <w:color w:val="auto"/>
              </w:rPr>
            </w:pPr>
            <w:r>
              <w:rPr>
                <w:rFonts w:hint="eastAsia" w:ascii="宋体" w:hAnsi="宋体" w:cs="宋体"/>
                <w:color w:val="auto"/>
              </w:rPr>
              <w:t>序号</w:t>
            </w:r>
          </w:p>
        </w:tc>
        <w:tc>
          <w:tcPr>
            <w:tcW w:w="3177" w:type="dxa"/>
            <w:vAlign w:val="center"/>
          </w:tcPr>
          <w:p>
            <w:pPr>
              <w:pStyle w:val="79"/>
              <w:spacing w:line="500" w:lineRule="exact"/>
              <w:jc w:val="center"/>
              <w:rPr>
                <w:rFonts w:ascii="宋体" w:hAnsi="宋体" w:cs="宋体"/>
                <w:color w:val="auto"/>
              </w:rPr>
            </w:pPr>
            <w:r>
              <w:rPr>
                <w:rFonts w:hint="eastAsia" w:ascii="宋体" w:hAnsi="宋体" w:cs="宋体"/>
                <w:color w:val="auto"/>
              </w:rPr>
              <w:t>货物名称</w:t>
            </w:r>
          </w:p>
        </w:tc>
        <w:tc>
          <w:tcPr>
            <w:tcW w:w="1330" w:type="dxa"/>
            <w:vAlign w:val="center"/>
          </w:tcPr>
          <w:p>
            <w:pPr>
              <w:pStyle w:val="79"/>
              <w:spacing w:line="500" w:lineRule="exact"/>
              <w:jc w:val="center"/>
              <w:rPr>
                <w:rFonts w:ascii="宋体" w:hAnsi="宋体" w:cs="宋体"/>
                <w:color w:val="auto"/>
              </w:rPr>
            </w:pPr>
            <w:r>
              <w:rPr>
                <w:rFonts w:hint="eastAsia" w:ascii="宋体" w:hAnsi="宋体" w:cs="宋体"/>
                <w:color w:val="auto"/>
              </w:rPr>
              <w:t>招标规格</w:t>
            </w:r>
          </w:p>
        </w:tc>
        <w:tc>
          <w:tcPr>
            <w:tcW w:w="1208" w:type="dxa"/>
            <w:vAlign w:val="center"/>
          </w:tcPr>
          <w:p>
            <w:pPr>
              <w:pStyle w:val="79"/>
              <w:spacing w:line="500" w:lineRule="exact"/>
              <w:jc w:val="center"/>
              <w:rPr>
                <w:rFonts w:ascii="宋体" w:hAnsi="宋体" w:cs="宋体"/>
                <w:color w:val="auto"/>
              </w:rPr>
            </w:pPr>
            <w:r>
              <w:rPr>
                <w:rFonts w:hint="eastAsia" w:ascii="宋体" w:hAnsi="宋体" w:cs="宋体"/>
                <w:color w:val="auto"/>
              </w:rPr>
              <w:t>投标规格</w:t>
            </w:r>
          </w:p>
        </w:tc>
        <w:tc>
          <w:tcPr>
            <w:tcW w:w="1236" w:type="dxa"/>
            <w:vAlign w:val="center"/>
          </w:tcPr>
          <w:p>
            <w:pPr>
              <w:pStyle w:val="79"/>
              <w:spacing w:line="500" w:lineRule="exact"/>
              <w:jc w:val="center"/>
              <w:rPr>
                <w:rFonts w:ascii="宋体" w:hAnsi="宋体" w:cs="宋体"/>
                <w:color w:val="auto"/>
              </w:rPr>
            </w:pPr>
            <w:r>
              <w:rPr>
                <w:rFonts w:hint="eastAsia" w:ascii="宋体" w:hAnsi="宋体" w:cs="宋体"/>
                <w:color w:val="auto"/>
              </w:rPr>
              <w:t>偏离</w:t>
            </w:r>
          </w:p>
        </w:tc>
        <w:tc>
          <w:tcPr>
            <w:tcW w:w="1380" w:type="dxa"/>
            <w:vAlign w:val="center"/>
          </w:tcPr>
          <w:p>
            <w:pPr>
              <w:pStyle w:val="79"/>
              <w:spacing w:line="500" w:lineRule="exact"/>
              <w:jc w:val="center"/>
              <w:rPr>
                <w:rFonts w:ascii="宋体" w:hAnsi="宋体" w:cs="宋体"/>
                <w:color w:val="auto"/>
              </w:rPr>
            </w:pPr>
            <w:r>
              <w:rPr>
                <w:rFonts w:hint="eastAsia" w:ascii="宋体" w:hAnsi="宋体"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rPr>
                <w:rFonts w:ascii="宋体" w:hAnsi="宋体" w:cs="宋体"/>
                <w:color w:val="auto"/>
              </w:rPr>
            </w:pPr>
          </w:p>
        </w:tc>
        <w:tc>
          <w:tcPr>
            <w:tcW w:w="3177" w:type="dxa"/>
          </w:tcPr>
          <w:p>
            <w:pPr>
              <w:pStyle w:val="79"/>
              <w:spacing w:line="500" w:lineRule="exact"/>
              <w:rPr>
                <w:rFonts w:ascii="宋体" w:hAnsi="宋体" w:cs="宋体"/>
                <w:color w:val="auto"/>
              </w:rPr>
            </w:pPr>
          </w:p>
        </w:tc>
        <w:tc>
          <w:tcPr>
            <w:tcW w:w="1330" w:type="dxa"/>
          </w:tcPr>
          <w:p>
            <w:pPr>
              <w:pStyle w:val="79"/>
              <w:spacing w:line="500" w:lineRule="exact"/>
              <w:rPr>
                <w:rFonts w:ascii="宋体" w:hAnsi="宋体" w:cs="宋体"/>
                <w:color w:val="auto"/>
              </w:rPr>
            </w:pPr>
          </w:p>
        </w:tc>
        <w:tc>
          <w:tcPr>
            <w:tcW w:w="1208" w:type="dxa"/>
          </w:tcPr>
          <w:p>
            <w:pPr>
              <w:pStyle w:val="79"/>
              <w:spacing w:line="500" w:lineRule="exact"/>
              <w:rPr>
                <w:rFonts w:ascii="宋体" w:hAnsi="宋体" w:cs="宋体"/>
                <w:color w:val="auto"/>
              </w:rPr>
            </w:pPr>
          </w:p>
        </w:tc>
        <w:tc>
          <w:tcPr>
            <w:tcW w:w="1236" w:type="dxa"/>
          </w:tcPr>
          <w:p>
            <w:pPr>
              <w:pStyle w:val="79"/>
              <w:spacing w:line="500" w:lineRule="exact"/>
              <w:rPr>
                <w:rFonts w:ascii="宋体" w:hAnsi="宋体" w:cs="宋体"/>
                <w:color w:val="auto"/>
              </w:rPr>
            </w:pPr>
          </w:p>
        </w:tc>
        <w:tc>
          <w:tcPr>
            <w:tcW w:w="13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rPr>
                <w:rFonts w:ascii="宋体" w:hAnsi="宋体" w:cs="宋体"/>
                <w:color w:val="auto"/>
              </w:rPr>
            </w:pPr>
          </w:p>
        </w:tc>
        <w:tc>
          <w:tcPr>
            <w:tcW w:w="3177" w:type="dxa"/>
          </w:tcPr>
          <w:p>
            <w:pPr>
              <w:pStyle w:val="79"/>
              <w:spacing w:line="500" w:lineRule="exact"/>
              <w:rPr>
                <w:rFonts w:ascii="宋体" w:hAnsi="宋体" w:cs="宋体"/>
                <w:color w:val="auto"/>
              </w:rPr>
            </w:pPr>
          </w:p>
        </w:tc>
        <w:tc>
          <w:tcPr>
            <w:tcW w:w="1330" w:type="dxa"/>
          </w:tcPr>
          <w:p>
            <w:pPr>
              <w:pStyle w:val="79"/>
              <w:spacing w:line="500" w:lineRule="exact"/>
              <w:rPr>
                <w:rFonts w:ascii="宋体" w:hAnsi="宋体" w:cs="宋体"/>
                <w:color w:val="auto"/>
              </w:rPr>
            </w:pPr>
          </w:p>
        </w:tc>
        <w:tc>
          <w:tcPr>
            <w:tcW w:w="1208" w:type="dxa"/>
          </w:tcPr>
          <w:p>
            <w:pPr>
              <w:pStyle w:val="79"/>
              <w:spacing w:line="500" w:lineRule="exact"/>
              <w:rPr>
                <w:rFonts w:ascii="宋体" w:hAnsi="宋体" w:cs="宋体"/>
                <w:color w:val="auto"/>
              </w:rPr>
            </w:pPr>
          </w:p>
        </w:tc>
        <w:tc>
          <w:tcPr>
            <w:tcW w:w="1236" w:type="dxa"/>
          </w:tcPr>
          <w:p>
            <w:pPr>
              <w:pStyle w:val="79"/>
              <w:spacing w:line="500" w:lineRule="exact"/>
              <w:rPr>
                <w:rFonts w:ascii="宋体" w:hAnsi="宋体" w:cs="宋体"/>
                <w:color w:val="auto"/>
              </w:rPr>
            </w:pPr>
          </w:p>
        </w:tc>
        <w:tc>
          <w:tcPr>
            <w:tcW w:w="13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rPr>
                <w:rFonts w:ascii="宋体" w:hAnsi="宋体" w:cs="宋体"/>
                <w:color w:val="auto"/>
              </w:rPr>
            </w:pPr>
          </w:p>
        </w:tc>
        <w:tc>
          <w:tcPr>
            <w:tcW w:w="3177" w:type="dxa"/>
          </w:tcPr>
          <w:p>
            <w:pPr>
              <w:pStyle w:val="79"/>
              <w:spacing w:line="500" w:lineRule="exact"/>
              <w:rPr>
                <w:rFonts w:ascii="宋体" w:hAnsi="宋体" w:cs="宋体"/>
                <w:color w:val="auto"/>
              </w:rPr>
            </w:pPr>
          </w:p>
        </w:tc>
        <w:tc>
          <w:tcPr>
            <w:tcW w:w="1330" w:type="dxa"/>
          </w:tcPr>
          <w:p>
            <w:pPr>
              <w:pStyle w:val="79"/>
              <w:spacing w:line="500" w:lineRule="exact"/>
              <w:rPr>
                <w:rFonts w:ascii="宋体" w:hAnsi="宋体" w:cs="宋体"/>
                <w:color w:val="auto"/>
              </w:rPr>
            </w:pPr>
          </w:p>
        </w:tc>
        <w:tc>
          <w:tcPr>
            <w:tcW w:w="1208" w:type="dxa"/>
          </w:tcPr>
          <w:p>
            <w:pPr>
              <w:pStyle w:val="79"/>
              <w:spacing w:line="500" w:lineRule="exact"/>
              <w:rPr>
                <w:rFonts w:ascii="宋体" w:hAnsi="宋体" w:cs="宋体"/>
                <w:color w:val="auto"/>
              </w:rPr>
            </w:pPr>
          </w:p>
        </w:tc>
        <w:tc>
          <w:tcPr>
            <w:tcW w:w="1236" w:type="dxa"/>
          </w:tcPr>
          <w:p>
            <w:pPr>
              <w:pStyle w:val="79"/>
              <w:spacing w:line="500" w:lineRule="exact"/>
              <w:rPr>
                <w:rFonts w:ascii="宋体" w:hAnsi="宋体" w:cs="宋体"/>
                <w:color w:val="auto"/>
              </w:rPr>
            </w:pPr>
          </w:p>
        </w:tc>
        <w:tc>
          <w:tcPr>
            <w:tcW w:w="13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rPr>
                <w:rFonts w:ascii="宋体" w:hAnsi="宋体" w:cs="宋体"/>
                <w:color w:val="auto"/>
              </w:rPr>
            </w:pPr>
          </w:p>
        </w:tc>
        <w:tc>
          <w:tcPr>
            <w:tcW w:w="3177" w:type="dxa"/>
          </w:tcPr>
          <w:p>
            <w:pPr>
              <w:pStyle w:val="79"/>
              <w:spacing w:line="500" w:lineRule="exact"/>
              <w:rPr>
                <w:rFonts w:ascii="宋体" w:hAnsi="宋体" w:cs="宋体"/>
                <w:color w:val="auto"/>
              </w:rPr>
            </w:pPr>
          </w:p>
        </w:tc>
        <w:tc>
          <w:tcPr>
            <w:tcW w:w="1330" w:type="dxa"/>
          </w:tcPr>
          <w:p>
            <w:pPr>
              <w:pStyle w:val="79"/>
              <w:spacing w:line="500" w:lineRule="exact"/>
              <w:rPr>
                <w:rFonts w:ascii="宋体" w:hAnsi="宋体" w:cs="宋体"/>
                <w:color w:val="auto"/>
              </w:rPr>
            </w:pPr>
          </w:p>
        </w:tc>
        <w:tc>
          <w:tcPr>
            <w:tcW w:w="1208" w:type="dxa"/>
          </w:tcPr>
          <w:p>
            <w:pPr>
              <w:pStyle w:val="79"/>
              <w:spacing w:line="500" w:lineRule="exact"/>
              <w:rPr>
                <w:rFonts w:ascii="宋体" w:hAnsi="宋体" w:cs="宋体"/>
                <w:color w:val="auto"/>
              </w:rPr>
            </w:pPr>
          </w:p>
        </w:tc>
        <w:tc>
          <w:tcPr>
            <w:tcW w:w="1236" w:type="dxa"/>
          </w:tcPr>
          <w:p>
            <w:pPr>
              <w:pStyle w:val="79"/>
              <w:spacing w:line="500" w:lineRule="exact"/>
              <w:rPr>
                <w:rFonts w:ascii="宋体" w:hAnsi="宋体" w:cs="宋体"/>
                <w:color w:val="auto"/>
              </w:rPr>
            </w:pPr>
          </w:p>
        </w:tc>
        <w:tc>
          <w:tcPr>
            <w:tcW w:w="13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rPr>
                <w:rFonts w:ascii="宋体" w:hAnsi="宋体" w:cs="宋体"/>
                <w:color w:val="auto"/>
              </w:rPr>
            </w:pPr>
          </w:p>
        </w:tc>
        <w:tc>
          <w:tcPr>
            <w:tcW w:w="3177" w:type="dxa"/>
          </w:tcPr>
          <w:p>
            <w:pPr>
              <w:pStyle w:val="79"/>
              <w:spacing w:line="500" w:lineRule="exact"/>
              <w:rPr>
                <w:rFonts w:ascii="宋体" w:hAnsi="宋体" w:cs="宋体"/>
                <w:color w:val="auto"/>
              </w:rPr>
            </w:pPr>
          </w:p>
        </w:tc>
        <w:tc>
          <w:tcPr>
            <w:tcW w:w="1330" w:type="dxa"/>
          </w:tcPr>
          <w:p>
            <w:pPr>
              <w:pStyle w:val="79"/>
              <w:spacing w:line="500" w:lineRule="exact"/>
              <w:rPr>
                <w:rFonts w:ascii="宋体" w:hAnsi="宋体" w:cs="宋体"/>
                <w:color w:val="auto"/>
              </w:rPr>
            </w:pPr>
          </w:p>
        </w:tc>
        <w:tc>
          <w:tcPr>
            <w:tcW w:w="1208" w:type="dxa"/>
          </w:tcPr>
          <w:p>
            <w:pPr>
              <w:pStyle w:val="79"/>
              <w:spacing w:line="500" w:lineRule="exact"/>
              <w:rPr>
                <w:rFonts w:ascii="宋体" w:hAnsi="宋体" w:cs="宋体"/>
                <w:color w:val="auto"/>
              </w:rPr>
            </w:pPr>
          </w:p>
        </w:tc>
        <w:tc>
          <w:tcPr>
            <w:tcW w:w="1236" w:type="dxa"/>
          </w:tcPr>
          <w:p>
            <w:pPr>
              <w:pStyle w:val="79"/>
              <w:spacing w:line="500" w:lineRule="exact"/>
              <w:rPr>
                <w:rFonts w:ascii="宋体" w:hAnsi="宋体" w:cs="宋体"/>
                <w:color w:val="auto"/>
              </w:rPr>
            </w:pPr>
          </w:p>
        </w:tc>
        <w:tc>
          <w:tcPr>
            <w:tcW w:w="13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05" w:type="dxa"/>
          </w:tcPr>
          <w:p>
            <w:pPr>
              <w:pStyle w:val="79"/>
              <w:spacing w:line="500" w:lineRule="exact"/>
              <w:rPr>
                <w:rFonts w:ascii="宋体" w:hAnsi="宋体" w:cs="宋体"/>
                <w:color w:val="auto"/>
              </w:rPr>
            </w:pPr>
          </w:p>
        </w:tc>
        <w:tc>
          <w:tcPr>
            <w:tcW w:w="3177" w:type="dxa"/>
          </w:tcPr>
          <w:p>
            <w:pPr>
              <w:pStyle w:val="79"/>
              <w:spacing w:line="500" w:lineRule="exact"/>
              <w:rPr>
                <w:rFonts w:ascii="宋体" w:hAnsi="宋体" w:cs="宋体"/>
                <w:color w:val="auto"/>
              </w:rPr>
            </w:pPr>
          </w:p>
        </w:tc>
        <w:tc>
          <w:tcPr>
            <w:tcW w:w="1330" w:type="dxa"/>
          </w:tcPr>
          <w:p>
            <w:pPr>
              <w:pStyle w:val="79"/>
              <w:spacing w:line="500" w:lineRule="exact"/>
              <w:rPr>
                <w:rFonts w:ascii="宋体" w:hAnsi="宋体" w:cs="宋体"/>
                <w:color w:val="auto"/>
              </w:rPr>
            </w:pPr>
          </w:p>
        </w:tc>
        <w:tc>
          <w:tcPr>
            <w:tcW w:w="1208" w:type="dxa"/>
          </w:tcPr>
          <w:p>
            <w:pPr>
              <w:pStyle w:val="79"/>
              <w:spacing w:line="500" w:lineRule="exact"/>
              <w:rPr>
                <w:rFonts w:ascii="宋体" w:hAnsi="宋体" w:cs="宋体"/>
                <w:color w:val="auto"/>
              </w:rPr>
            </w:pPr>
          </w:p>
        </w:tc>
        <w:tc>
          <w:tcPr>
            <w:tcW w:w="1236" w:type="dxa"/>
          </w:tcPr>
          <w:p>
            <w:pPr>
              <w:pStyle w:val="79"/>
              <w:spacing w:line="500" w:lineRule="exact"/>
              <w:rPr>
                <w:rFonts w:ascii="宋体" w:hAnsi="宋体" w:cs="宋体"/>
                <w:color w:val="auto"/>
              </w:rPr>
            </w:pPr>
          </w:p>
        </w:tc>
        <w:tc>
          <w:tcPr>
            <w:tcW w:w="1380" w:type="dxa"/>
          </w:tcPr>
          <w:p>
            <w:pPr>
              <w:pStyle w:val="79"/>
              <w:spacing w:line="500" w:lineRule="exact"/>
              <w:rPr>
                <w:rFonts w:ascii="宋体" w:hAnsi="宋体" w:cs="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05" w:type="dxa"/>
          </w:tcPr>
          <w:p>
            <w:pPr>
              <w:pStyle w:val="79"/>
              <w:spacing w:line="500" w:lineRule="exact"/>
              <w:rPr>
                <w:rFonts w:ascii="宋体" w:hAnsi="宋体" w:cs="宋体"/>
                <w:color w:val="auto"/>
              </w:rPr>
            </w:pPr>
          </w:p>
        </w:tc>
        <w:tc>
          <w:tcPr>
            <w:tcW w:w="3177" w:type="dxa"/>
          </w:tcPr>
          <w:p>
            <w:pPr>
              <w:pStyle w:val="79"/>
              <w:spacing w:line="500" w:lineRule="exact"/>
              <w:rPr>
                <w:rFonts w:ascii="宋体" w:hAnsi="宋体" w:cs="宋体"/>
                <w:color w:val="auto"/>
              </w:rPr>
            </w:pPr>
          </w:p>
        </w:tc>
        <w:tc>
          <w:tcPr>
            <w:tcW w:w="1330" w:type="dxa"/>
          </w:tcPr>
          <w:p>
            <w:pPr>
              <w:pStyle w:val="79"/>
              <w:spacing w:line="500" w:lineRule="exact"/>
              <w:rPr>
                <w:rFonts w:ascii="宋体" w:hAnsi="宋体" w:cs="宋体"/>
                <w:color w:val="auto"/>
              </w:rPr>
            </w:pPr>
          </w:p>
        </w:tc>
        <w:tc>
          <w:tcPr>
            <w:tcW w:w="1208" w:type="dxa"/>
          </w:tcPr>
          <w:p>
            <w:pPr>
              <w:pStyle w:val="79"/>
              <w:spacing w:line="500" w:lineRule="exact"/>
              <w:rPr>
                <w:rFonts w:ascii="宋体" w:hAnsi="宋体" w:cs="宋体"/>
                <w:color w:val="auto"/>
              </w:rPr>
            </w:pPr>
          </w:p>
        </w:tc>
        <w:tc>
          <w:tcPr>
            <w:tcW w:w="1236" w:type="dxa"/>
          </w:tcPr>
          <w:p>
            <w:pPr>
              <w:pStyle w:val="79"/>
              <w:spacing w:line="500" w:lineRule="exact"/>
              <w:rPr>
                <w:rFonts w:ascii="宋体" w:hAnsi="宋体" w:cs="宋体"/>
                <w:color w:val="auto"/>
              </w:rPr>
            </w:pPr>
          </w:p>
        </w:tc>
        <w:tc>
          <w:tcPr>
            <w:tcW w:w="1380" w:type="dxa"/>
          </w:tcPr>
          <w:p>
            <w:pPr>
              <w:pStyle w:val="79"/>
              <w:spacing w:line="500" w:lineRule="exact"/>
              <w:rPr>
                <w:rFonts w:ascii="宋体" w:hAnsi="宋体" w:cs="宋体"/>
                <w:color w:val="auto"/>
              </w:rPr>
            </w:pPr>
          </w:p>
        </w:tc>
      </w:tr>
    </w:tbl>
    <w:p>
      <w:pPr>
        <w:pStyle w:val="79"/>
        <w:spacing w:line="500" w:lineRule="exact"/>
        <w:rPr>
          <w:rFonts w:hint="eastAsia" w:ascii="宋体" w:hAnsi="宋体" w:eastAsia="宋体" w:cs="宋体"/>
          <w:b/>
          <w:color w:val="auto"/>
          <w:lang w:eastAsia="zh-CN"/>
        </w:rPr>
      </w:pPr>
      <w:r>
        <w:rPr>
          <w:rFonts w:hint="eastAsia" w:ascii="宋体" w:hAnsi="宋体" w:cs="宋体"/>
          <w:color w:val="auto"/>
        </w:rPr>
        <w:t>注:若有偏离,请将具体偏离条款在”偏离”一栏中详细说明</w:t>
      </w:r>
      <w:r>
        <w:rPr>
          <w:rFonts w:hint="eastAsia" w:ascii="宋体" w:hAnsi="宋体" w:cs="宋体"/>
          <w:color w:val="auto"/>
          <w:lang w:eastAsia="zh-CN"/>
        </w:rPr>
        <w:t>；</w:t>
      </w:r>
      <w:r>
        <w:rPr>
          <w:rFonts w:hint="eastAsia" w:ascii="宋体" w:hAnsi="宋体" w:cs="宋体"/>
          <w:color w:val="auto"/>
        </w:rPr>
        <w:t>若无偏离,请在</w:t>
      </w:r>
      <w:r>
        <w:rPr>
          <w:rFonts w:hint="eastAsia" w:ascii="宋体" w:hAnsi="宋体" w:cs="宋体"/>
          <w:color w:val="auto"/>
          <w:lang w:eastAsia="zh-CN"/>
        </w:rPr>
        <w:t>“</w:t>
      </w:r>
      <w:r>
        <w:rPr>
          <w:rFonts w:hint="eastAsia" w:ascii="宋体" w:hAnsi="宋体" w:cs="宋体"/>
          <w:color w:val="auto"/>
        </w:rPr>
        <w:t>偏离</w:t>
      </w:r>
      <w:r>
        <w:rPr>
          <w:rFonts w:hint="eastAsia" w:ascii="宋体" w:hAnsi="宋体" w:cs="宋体"/>
          <w:color w:val="auto"/>
          <w:lang w:eastAsia="zh-CN"/>
        </w:rPr>
        <w:t>”</w:t>
      </w:r>
      <w:r>
        <w:rPr>
          <w:rFonts w:hint="eastAsia" w:ascii="宋体" w:hAnsi="宋体" w:cs="宋体"/>
          <w:color w:val="auto"/>
        </w:rPr>
        <w:t>一栏中标注”无”字样</w:t>
      </w:r>
      <w:r>
        <w:rPr>
          <w:rFonts w:hint="eastAsia" w:ascii="宋体" w:hAnsi="宋体" w:cs="宋体"/>
          <w:color w:val="auto"/>
          <w:lang w:eastAsia="zh-CN"/>
        </w:rPr>
        <w:t>。</w:t>
      </w:r>
    </w:p>
    <w:p>
      <w:pPr>
        <w:pStyle w:val="79"/>
        <w:spacing w:line="500" w:lineRule="exact"/>
        <w:rPr>
          <w:rFonts w:ascii="宋体" w:hAnsi="宋体" w:cs="宋体"/>
          <w:b/>
          <w:color w:val="auto"/>
        </w:rPr>
      </w:pPr>
    </w:p>
    <w:p>
      <w:pPr>
        <w:pStyle w:val="79"/>
        <w:spacing w:line="500" w:lineRule="exact"/>
        <w:rPr>
          <w:rFonts w:ascii="宋体" w:hAnsi="宋体" w:cs="宋体"/>
          <w:b/>
          <w:color w:val="auto"/>
        </w:rPr>
      </w:pPr>
    </w:p>
    <w:p>
      <w:pPr>
        <w:adjustRightInd w:val="0"/>
        <w:snapToGrid w:val="0"/>
        <w:spacing w:line="360" w:lineRule="auto"/>
        <w:ind w:firstLine="480" w:firstLineChars="200"/>
        <w:rPr>
          <w:rFonts w:ascii="宋体" w:hAnsi="宋体" w:cs="宋体"/>
          <w:sz w:val="24"/>
          <w:szCs w:val="21"/>
        </w:rPr>
      </w:pP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供应商</w:t>
      </w:r>
      <w:r>
        <w:rPr>
          <w:rFonts w:ascii="宋体" w:hAnsi="宋体" w:cs="宋体"/>
          <w:sz w:val="24"/>
          <w:szCs w:val="24"/>
        </w:rPr>
        <w:t>(公章)</w:t>
      </w:r>
      <w:r>
        <w:rPr>
          <w:rFonts w:hint="eastAsia" w:ascii="宋体" w:hAnsi="宋体" w:cs="宋体"/>
          <w:sz w:val="24"/>
          <w:szCs w:val="21"/>
        </w:rPr>
        <w:t>）：</w:t>
      </w:r>
    </w:p>
    <w:p>
      <w:pPr>
        <w:adjustRightInd w:val="0"/>
        <w:snapToGrid w:val="0"/>
        <w:spacing w:line="360" w:lineRule="auto"/>
        <w:ind w:left="479" w:leftChars="228" w:firstLine="9360" w:firstLineChars="3900"/>
        <w:rPr>
          <w:rFonts w:ascii="宋体" w:hAnsi="宋体" w:cs="宋体"/>
          <w:sz w:val="24"/>
          <w:szCs w:val="21"/>
        </w:rPr>
      </w:pPr>
      <w:r>
        <w:rPr>
          <w:rFonts w:hint="eastAsia" w:ascii="宋体" w:hAnsi="宋体" w:cs="宋体"/>
          <w:sz w:val="24"/>
          <w:szCs w:val="21"/>
        </w:rPr>
        <w:t xml:space="preserve"> 法定代表人或其委托代理人签字或盖章：</w:t>
      </w:r>
      <w:r>
        <w:rPr>
          <w:rFonts w:hint="eastAsia" w:ascii="宋体" w:hAnsi="宋体" w:cs="宋体"/>
          <w:sz w:val="24"/>
          <w:szCs w:val="21"/>
          <w:u w:val="single"/>
        </w:rPr>
        <w:t xml:space="preserve">       </w:t>
      </w:r>
    </w:p>
    <w:p>
      <w:pPr>
        <w:adjustRightInd w:val="0"/>
        <w:snapToGrid w:val="0"/>
        <w:spacing w:line="360" w:lineRule="auto"/>
        <w:ind w:left="479" w:leftChars="228" w:right="24" w:firstLine="9360" w:firstLineChars="3900"/>
        <w:rPr>
          <w:rFonts w:ascii="宋体" w:hAnsi="宋体" w:cs="宋体"/>
          <w:bCs/>
          <w:sz w:val="36"/>
          <w:szCs w:val="28"/>
        </w:rPr>
      </w:pPr>
      <w:r>
        <w:rPr>
          <w:rFonts w:hint="eastAsia" w:ascii="宋体" w:hAnsi="宋体" w:cs="宋体"/>
          <w:sz w:val="24"/>
          <w:szCs w:val="21"/>
        </w:rPr>
        <w:t xml:space="preserve">  日期：</w:t>
      </w:r>
      <w:r>
        <w:rPr>
          <w:rFonts w:hint="eastAsia" w:ascii="宋体" w:hAnsi="宋体" w:cs="宋体"/>
          <w:sz w:val="24"/>
          <w:szCs w:val="21"/>
          <w:u w:val="single"/>
        </w:rPr>
        <w:t xml:space="preserve">         </w:t>
      </w:r>
      <w:r>
        <w:rPr>
          <w:rFonts w:hint="eastAsia" w:ascii="宋体" w:hAnsi="宋体" w:cs="宋体"/>
          <w:sz w:val="24"/>
          <w:szCs w:val="21"/>
        </w:rPr>
        <w:t>年</w:t>
      </w:r>
      <w:r>
        <w:rPr>
          <w:rFonts w:hint="eastAsia" w:ascii="宋体" w:hAnsi="宋体" w:cs="宋体"/>
          <w:sz w:val="24"/>
          <w:szCs w:val="21"/>
          <w:u w:val="single"/>
        </w:rPr>
        <w:t xml:space="preserve">    </w:t>
      </w:r>
      <w:r>
        <w:rPr>
          <w:rFonts w:hint="eastAsia" w:ascii="宋体" w:hAnsi="宋体" w:cs="宋体"/>
          <w:sz w:val="24"/>
          <w:szCs w:val="21"/>
        </w:rPr>
        <w:t>月</w:t>
      </w:r>
      <w:r>
        <w:rPr>
          <w:rFonts w:hint="eastAsia" w:ascii="宋体" w:hAnsi="宋体" w:cs="宋体"/>
          <w:sz w:val="24"/>
          <w:szCs w:val="21"/>
          <w:u w:val="single"/>
        </w:rPr>
        <w:t xml:space="preserve">   </w:t>
      </w:r>
      <w:r>
        <w:rPr>
          <w:rFonts w:hint="eastAsia" w:ascii="宋体" w:hAnsi="宋体" w:cs="宋体"/>
          <w:sz w:val="24"/>
          <w:szCs w:val="21"/>
        </w:rPr>
        <w:t>日</w:t>
      </w:r>
    </w:p>
    <w:p>
      <w:pPr>
        <w:spacing w:line="360" w:lineRule="auto"/>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jc w:val="center"/>
        <w:rPr>
          <w:rFonts w:ascii="宋体" w:hAnsi="宋体" w:cs="宋体"/>
          <w:b/>
          <w:bCs/>
          <w:sz w:val="24"/>
          <w:szCs w:val="24"/>
        </w:rPr>
      </w:pPr>
    </w:p>
    <w:p>
      <w:pPr>
        <w:spacing w:line="360" w:lineRule="auto"/>
        <w:jc w:val="center"/>
        <w:rPr>
          <w:rFonts w:ascii="仿宋" w:hAnsi="仿宋" w:eastAsia="仿宋" w:cs="仿宋"/>
          <w:b/>
          <w:bCs/>
          <w:sz w:val="30"/>
          <w:szCs w:val="30"/>
        </w:rPr>
      </w:pPr>
      <w:r>
        <w:rPr>
          <w:rFonts w:hint="eastAsia" w:ascii="宋体" w:hAnsi="宋体" w:cs="宋体"/>
          <w:b/>
          <w:bCs/>
          <w:sz w:val="24"/>
          <w:szCs w:val="24"/>
        </w:rPr>
        <w:t>7、关于资格的声明函</w:t>
      </w:r>
    </w:p>
    <w:p>
      <w:pPr>
        <w:spacing w:line="360" w:lineRule="auto"/>
        <w:rPr>
          <w:rFonts w:ascii="宋体" w:hAnsi="宋体" w:cs="宋体"/>
          <w:sz w:val="24"/>
        </w:rPr>
      </w:pPr>
      <w:r>
        <w:rPr>
          <w:rFonts w:hint="eastAsia" w:ascii="宋体" w:hAnsi="宋体" w:cs="宋体"/>
          <w:sz w:val="24"/>
        </w:rPr>
        <w:t>致：华春建设工程项目管理有限责任公司：</w:t>
      </w:r>
    </w:p>
    <w:p>
      <w:pPr>
        <w:spacing w:line="360" w:lineRule="auto"/>
        <w:ind w:firstLine="570"/>
        <w:rPr>
          <w:rFonts w:ascii="宋体" w:hAnsi="宋体" w:cs="宋体"/>
          <w:sz w:val="24"/>
        </w:rPr>
      </w:pPr>
      <w:r>
        <w:rPr>
          <w:rFonts w:hint="eastAsia" w:ascii="宋体" w:hAnsi="宋体" w:cs="宋体"/>
          <w:sz w:val="24"/>
          <w:u w:val="single"/>
        </w:rPr>
        <w:t>关于贵方    年   月   日第（项目编号）竞争性磋商公告关于   项目名称  的采购</w:t>
      </w:r>
      <w:r>
        <w:rPr>
          <w:rFonts w:hint="eastAsia" w:ascii="宋体" w:hAnsi="宋体" w:cs="宋体"/>
          <w:sz w:val="24"/>
        </w:rPr>
        <w:t>项目，本签字人愿意参加磋商采购活动，并有能力提供</w:t>
      </w:r>
      <w:r>
        <w:rPr>
          <w:rFonts w:hint="eastAsia" w:ascii="宋体" w:hAnsi="宋体" w:cs="宋体"/>
          <w:sz w:val="24"/>
          <w:u w:val="single"/>
        </w:rPr>
        <w:t>（项目名称）</w:t>
      </w:r>
      <w:r>
        <w:rPr>
          <w:rFonts w:hint="eastAsia" w:ascii="宋体" w:hAnsi="宋体" w:cs="宋体"/>
          <w:sz w:val="24"/>
        </w:rPr>
        <w:t>项目中的货物及相关服务，并保证所提交的所有文件和说明是真实和准确的。</w:t>
      </w:r>
    </w:p>
    <w:p>
      <w:pPr>
        <w:spacing w:line="360" w:lineRule="auto"/>
        <w:ind w:firstLine="570"/>
        <w:rPr>
          <w:rFonts w:ascii="宋体" w:hAnsi="宋体" w:cs="宋体"/>
          <w:sz w:val="24"/>
          <w:u w:val="single"/>
        </w:rPr>
      </w:pPr>
      <w:r>
        <w:rPr>
          <w:rFonts w:hint="eastAsia" w:ascii="宋体" w:hAnsi="宋体" w:cs="宋体"/>
          <w:sz w:val="24"/>
        </w:rPr>
        <w:t>供应商</w:t>
      </w:r>
      <w:r>
        <w:rPr>
          <w:rFonts w:hint="eastAsia" w:ascii="宋体" w:hAnsi="宋体" w:cs="宋体"/>
          <w:sz w:val="24"/>
          <w:u w:val="single"/>
        </w:rPr>
        <w:t xml:space="preserve">  供应商名称  </w:t>
      </w:r>
      <w:r>
        <w:rPr>
          <w:rFonts w:hint="eastAsia" w:ascii="宋体" w:hAnsi="宋体" w:cs="宋体"/>
          <w:sz w:val="24"/>
        </w:rPr>
        <w:t xml:space="preserve">   签字人姓名、职务：</w:t>
      </w:r>
      <w:r>
        <w:rPr>
          <w:rFonts w:hint="eastAsia" w:ascii="宋体" w:hAnsi="宋体" w:cs="宋体"/>
          <w:sz w:val="24"/>
          <w:u w:val="single"/>
        </w:rPr>
        <w:t xml:space="preserve">               </w:t>
      </w:r>
    </w:p>
    <w:p>
      <w:pPr>
        <w:spacing w:line="360" w:lineRule="auto"/>
        <w:ind w:firstLine="570"/>
        <w:rPr>
          <w:rFonts w:ascii="宋体" w:hAnsi="宋体" w:cs="宋体"/>
          <w:sz w:val="24"/>
          <w:u w:val="single"/>
        </w:rPr>
      </w:pPr>
      <w:r>
        <w:rPr>
          <w:rFonts w:hint="eastAsia" w:ascii="宋体" w:hAnsi="宋体" w:cs="宋体"/>
          <w:sz w:val="24"/>
        </w:rPr>
        <w:t>地址：                 授权签署本资格文件人：</w:t>
      </w:r>
      <w:r>
        <w:rPr>
          <w:rFonts w:hint="eastAsia" w:ascii="宋体" w:hAnsi="宋体" w:cs="宋体"/>
          <w:sz w:val="24"/>
          <w:u w:val="single"/>
        </w:rPr>
        <w:t xml:space="preserve">授权人姓名 </w:t>
      </w:r>
    </w:p>
    <w:p>
      <w:pPr>
        <w:spacing w:line="360" w:lineRule="auto"/>
        <w:ind w:firstLine="570"/>
        <w:rPr>
          <w:rFonts w:ascii="宋体" w:hAnsi="宋体" w:cs="宋体"/>
          <w:sz w:val="24"/>
        </w:rPr>
      </w:pPr>
      <w:r>
        <w:rPr>
          <w:rFonts w:hint="eastAsia" w:ascii="宋体" w:hAnsi="宋体" w:cs="宋体"/>
          <w:sz w:val="24"/>
        </w:rPr>
        <w:t xml:space="preserve">传真：        </w:t>
      </w:r>
    </w:p>
    <w:p>
      <w:pPr>
        <w:spacing w:line="360" w:lineRule="auto"/>
        <w:ind w:firstLine="570"/>
        <w:rPr>
          <w:rFonts w:ascii="宋体" w:hAnsi="宋体" w:cs="宋体"/>
          <w:sz w:val="24"/>
        </w:rPr>
      </w:pPr>
      <w:r>
        <w:rPr>
          <w:rFonts w:hint="eastAsia" w:ascii="宋体" w:hAnsi="宋体" w:cs="宋体"/>
          <w:sz w:val="24"/>
        </w:rPr>
        <w:t>邮编：                      电话：</w:t>
      </w:r>
    </w:p>
    <w:p>
      <w:pPr>
        <w:spacing w:line="360" w:lineRule="auto"/>
        <w:ind w:firstLine="570"/>
        <w:rPr>
          <w:rFonts w:ascii="宋体" w:hAnsi="宋体" w:cs="宋体"/>
          <w:sz w:val="24"/>
        </w:rPr>
      </w:pPr>
      <w:r>
        <w:rPr>
          <w:rFonts w:hint="eastAsia" w:ascii="宋体" w:hAnsi="宋体" w:cs="宋体"/>
          <w:sz w:val="24"/>
        </w:rPr>
        <w:t xml:space="preserve">供应商法人盖章：       </w:t>
      </w:r>
    </w:p>
    <w:p>
      <w:pPr>
        <w:pStyle w:val="13"/>
        <w:ind w:firstLine="720" w:firstLineChars="300"/>
        <w:rPr>
          <w:rFonts w:ascii="宋体" w:hAnsi="宋体" w:cs="宋体"/>
        </w:rPr>
      </w:pPr>
      <w:r>
        <w:rPr>
          <w:rFonts w:hint="eastAsia" w:ascii="宋体" w:hAnsi="宋体" w:cs="宋体"/>
        </w:rPr>
        <w:t xml:space="preserve">供应商盖章：                                     </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pPr>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Pr>
        <w:rPr>
          <w:rFonts w:ascii="宋体" w:hAnsi="宋体" w:cs="宋体"/>
          <w:sz w:val="24"/>
        </w:rPr>
      </w:pPr>
    </w:p>
    <w:p>
      <w:pPr>
        <w:pStyle w:val="13"/>
        <w:rPr>
          <w:rFonts w:ascii="宋体" w:hAnsi="宋体" w:cs="宋体"/>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p>
    <w:p>
      <w:pPr>
        <w:jc w:val="center"/>
        <w:rPr>
          <w:rFonts w:ascii="宋体" w:hAnsi="宋体" w:cs="宋体"/>
          <w:b/>
          <w:bCs/>
          <w:sz w:val="24"/>
        </w:rPr>
      </w:pPr>
      <w:r>
        <w:rPr>
          <w:rFonts w:hint="eastAsia" w:ascii="宋体" w:hAnsi="宋体" w:cs="宋体"/>
          <w:b/>
          <w:bCs/>
          <w:sz w:val="24"/>
        </w:rPr>
        <w:t>8、《反商业贿赂承诺书》</w:t>
      </w:r>
    </w:p>
    <w:p>
      <w:pPr>
        <w:ind w:firstLine="480" w:firstLineChars="200"/>
        <w:rPr>
          <w:rFonts w:ascii="宋体" w:hAnsi="宋体" w:cs="宋体"/>
          <w:sz w:val="24"/>
        </w:rPr>
      </w:pPr>
      <w:r>
        <w:rPr>
          <w:rFonts w:hint="eastAsia" w:ascii="宋体" w:hAnsi="宋体" w:cs="宋体"/>
          <w:sz w:val="24"/>
        </w:rPr>
        <w:t xml:space="preserve">我公司承诺在（项目名称、项目编号）采购活动中，不给予采购方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pPr>
        <w:ind w:firstLine="480" w:firstLineChars="200"/>
        <w:rPr>
          <w:rFonts w:ascii="宋体" w:hAnsi="宋体" w:cs="宋体"/>
          <w:sz w:val="24"/>
        </w:rPr>
      </w:pPr>
      <w:r>
        <w:rPr>
          <w:rFonts w:hint="eastAsia" w:ascii="宋体" w:hAnsi="宋体" w:cs="宋体"/>
          <w:sz w:val="24"/>
        </w:rPr>
        <w:t xml:space="preserve">公司法定代表人签字：                     </w:t>
      </w:r>
    </w:p>
    <w:p>
      <w:pPr>
        <w:ind w:firstLine="480" w:firstLineChars="200"/>
        <w:rPr>
          <w:rFonts w:ascii="宋体" w:hAnsi="宋体" w:cs="宋体"/>
          <w:sz w:val="24"/>
        </w:rPr>
      </w:pPr>
      <w:r>
        <w:rPr>
          <w:rFonts w:hint="eastAsia" w:ascii="宋体" w:hAnsi="宋体" w:cs="宋体"/>
          <w:sz w:val="24"/>
        </w:rPr>
        <w:t xml:space="preserve">被授权代表签字：                                            </w:t>
      </w:r>
    </w:p>
    <w:p>
      <w:pPr>
        <w:ind w:firstLine="480" w:firstLineChars="200"/>
        <w:rPr>
          <w:rFonts w:ascii="宋体" w:hAnsi="宋体" w:cs="宋体"/>
          <w:sz w:val="24"/>
        </w:rPr>
      </w:pPr>
      <w:r>
        <w:rPr>
          <w:rFonts w:hint="eastAsia" w:ascii="宋体" w:hAnsi="宋体" w:cs="宋体"/>
          <w:sz w:val="24"/>
        </w:rPr>
        <w:t xml:space="preserve">供应商单位公章：                         </w:t>
      </w:r>
    </w:p>
    <w:p>
      <w:pPr>
        <w:ind w:firstLine="480" w:firstLineChars="200"/>
        <w:rPr>
          <w:rFonts w:ascii="宋体" w:hAnsi="宋体" w:cs="宋体"/>
          <w:sz w:val="24"/>
        </w:rPr>
      </w:pPr>
      <w:r>
        <w:rPr>
          <w:rFonts w:hint="eastAsia" w:ascii="宋体" w:hAnsi="宋体" w:cs="宋体"/>
          <w:sz w:val="24"/>
        </w:rPr>
        <w:t xml:space="preserve">日期：                   </w:t>
      </w: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30"/>
          <w:szCs w:val="30"/>
        </w:rPr>
      </w:pPr>
      <w:r>
        <w:rPr>
          <w:rFonts w:hint="eastAsia" w:ascii="宋体" w:hAnsi="宋体" w:cs="宋体"/>
          <w:b/>
          <w:bCs/>
          <w:sz w:val="24"/>
          <w:szCs w:val="24"/>
        </w:rPr>
        <w:t>9、近三年（201</w:t>
      </w:r>
      <w:r>
        <w:rPr>
          <w:rFonts w:hint="eastAsia" w:ascii="宋体" w:hAnsi="宋体" w:cs="宋体"/>
          <w:b/>
          <w:bCs/>
          <w:sz w:val="24"/>
          <w:szCs w:val="24"/>
          <w:lang w:val="en-US" w:eastAsia="zh-CN"/>
        </w:rPr>
        <w:t>8</w:t>
      </w:r>
      <w:r>
        <w:rPr>
          <w:rFonts w:hint="eastAsia" w:ascii="宋体" w:hAnsi="宋体" w:cs="宋体"/>
          <w:b/>
          <w:bCs/>
          <w:sz w:val="24"/>
          <w:szCs w:val="24"/>
        </w:rPr>
        <w:t>年</w:t>
      </w:r>
      <w:r>
        <w:rPr>
          <w:rFonts w:hint="eastAsia" w:ascii="宋体" w:hAnsi="宋体" w:cs="宋体"/>
          <w:b/>
          <w:bCs/>
          <w:sz w:val="24"/>
          <w:szCs w:val="24"/>
          <w:lang w:val="en-US" w:eastAsia="zh-CN"/>
        </w:rPr>
        <w:t>1月1日</w:t>
      </w:r>
      <w:r>
        <w:rPr>
          <w:rFonts w:hint="eastAsia" w:ascii="宋体" w:hAnsi="宋体" w:cs="宋体"/>
          <w:b/>
          <w:bCs/>
          <w:sz w:val="24"/>
          <w:szCs w:val="24"/>
        </w:rPr>
        <w:t>至今）类似业绩表</w:t>
      </w:r>
    </w:p>
    <w:p>
      <w:pPr>
        <w:pStyle w:val="85"/>
        <w:spacing w:line="360" w:lineRule="auto"/>
        <w:rPr>
          <w:rFonts w:ascii="宋体" w:hAnsi="宋体" w:cs="宋体"/>
          <w:color w:val="auto"/>
        </w:rPr>
      </w:pPr>
      <w:r>
        <w:rPr>
          <w:rFonts w:hint="eastAsia" w:ascii="宋体" w:hAnsi="宋体" w:cs="宋体"/>
          <w:color w:val="auto"/>
        </w:rPr>
        <w:t xml:space="preserve">项目名称：                             </w:t>
      </w:r>
    </w:p>
    <w:p>
      <w:pPr>
        <w:pStyle w:val="85"/>
        <w:spacing w:line="360" w:lineRule="auto"/>
        <w:rPr>
          <w:rFonts w:ascii="宋体" w:hAnsi="宋体" w:cs="宋体"/>
          <w:color w:val="auto"/>
        </w:rPr>
      </w:pPr>
      <w:r>
        <w:rPr>
          <w:rFonts w:hint="eastAsia" w:ascii="宋体" w:hAnsi="宋体" w:cs="宋体"/>
          <w:color w:val="auto"/>
        </w:rPr>
        <w:t>项目编号：                                              填表日期：年   月   日</w:t>
      </w:r>
    </w:p>
    <w:tbl>
      <w:tblPr>
        <w:tblStyle w:val="33"/>
        <w:tblW w:w="0" w:type="auto"/>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2"/>
        <w:gridCol w:w="1920"/>
        <w:gridCol w:w="2021"/>
        <w:gridCol w:w="1525"/>
        <w:gridCol w:w="1645"/>
        <w:gridCol w:w="163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82" w:hRule="atLeast"/>
        </w:trPr>
        <w:tc>
          <w:tcPr>
            <w:tcW w:w="852" w:type="dxa"/>
            <w:tcBorders>
              <w:top w:val="double" w:color="auto" w:sz="4" w:space="0"/>
              <w:left w:val="double" w:color="auto" w:sz="4" w:space="0"/>
              <w:bottom w:val="single" w:color="auto" w:sz="6" w:space="0"/>
              <w:right w:val="single" w:color="auto" w:sz="6" w:space="0"/>
            </w:tcBorders>
            <w:vAlign w:val="center"/>
          </w:tcPr>
          <w:p>
            <w:pPr>
              <w:pStyle w:val="79"/>
              <w:spacing w:line="360" w:lineRule="auto"/>
              <w:jc w:val="center"/>
              <w:rPr>
                <w:rFonts w:ascii="宋体" w:hAnsi="宋体" w:cs="宋体"/>
                <w:color w:val="auto"/>
              </w:rPr>
            </w:pPr>
            <w:r>
              <w:rPr>
                <w:rFonts w:hint="eastAsia" w:ascii="宋体" w:hAnsi="宋体" w:cs="宋体"/>
                <w:color w:val="auto"/>
              </w:rPr>
              <w:t>序号</w:t>
            </w:r>
          </w:p>
        </w:tc>
        <w:tc>
          <w:tcPr>
            <w:tcW w:w="1920" w:type="dxa"/>
            <w:tcBorders>
              <w:top w:val="double" w:color="auto" w:sz="4"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r>
              <w:rPr>
                <w:rFonts w:hint="eastAsia" w:ascii="宋体" w:hAnsi="宋体" w:cs="宋体"/>
                <w:color w:val="auto"/>
              </w:rPr>
              <w:t>地区</w:t>
            </w:r>
          </w:p>
        </w:tc>
        <w:tc>
          <w:tcPr>
            <w:tcW w:w="2021" w:type="dxa"/>
            <w:tcBorders>
              <w:top w:val="double" w:color="auto" w:sz="4"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r>
              <w:rPr>
                <w:rFonts w:hint="eastAsia" w:ascii="宋体" w:hAnsi="宋体" w:cs="宋体"/>
                <w:color w:val="auto"/>
              </w:rPr>
              <w:t>项目名称</w:t>
            </w:r>
          </w:p>
        </w:tc>
        <w:tc>
          <w:tcPr>
            <w:tcW w:w="1525" w:type="dxa"/>
            <w:tcBorders>
              <w:top w:val="double" w:color="auto" w:sz="4"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r>
              <w:rPr>
                <w:rFonts w:hint="eastAsia" w:ascii="宋体" w:hAnsi="宋体" w:cs="宋体"/>
                <w:color w:val="auto"/>
              </w:rPr>
              <w:t>金额</w:t>
            </w:r>
          </w:p>
        </w:tc>
        <w:tc>
          <w:tcPr>
            <w:tcW w:w="1645" w:type="dxa"/>
            <w:tcBorders>
              <w:top w:val="double" w:color="auto" w:sz="4"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r>
              <w:rPr>
                <w:rFonts w:hint="eastAsia" w:ascii="宋体" w:hAnsi="宋体" w:cs="宋体"/>
                <w:color w:val="auto"/>
              </w:rPr>
              <w:t>采购单位</w:t>
            </w:r>
          </w:p>
          <w:p>
            <w:pPr>
              <w:pStyle w:val="79"/>
              <w:spacing w:line="360" w:lineRule="auto"/>
              <w:jc w:val="center"/>
              <w:rPr>
                <w:rFonts w:ascii="宋体" w:hAnsi="宋体" w:cs="宋体"/>
                <w:color w:val="auto"/>
              </w:rPr>
            </w:pPr>
            <w:r>
              <w:rPr>
                <w:rFonts w:hint="eastAsia" w:ascii="宋体" w:hAnsi="宋体" w:cs="宋体"/>
                <w:color w:val="auto"/>
              </w:rPr>
              <w:t>名称</w:t>
            </w:r>
          </w:p>
        </w:tc>
        <w:tc>
          <w:tcPr>
            <w:tcW w:w="1637" w:type="dxa"/>
            <w:tcBorders>
              <w:top w:val="double" w:color="auto" w:sz="4"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r>
              <w:rPr>
                <w:rFonts w:hint="eastAsia" w:ascii="宋体" w:hAnsi="宋体" w:cs="宋体"/>
                <w:color w:val="auto"/>
              </w:rPr>
              <w:t>合同签订</w:t>
            </w:r>
          </w:p>
          <w:p>
            <w:pPr>
              <w:pStyle w:val="79"/>
              <w:spacing w:line="360" w:lineRule="auto"/>
              <w:jc w:val="center"/>
              <w:rPr>
                <w:rFonts w:ascii="宋体" w:hAnsi="宋体" w:cs="宋体"/>
                <w:color w:val="auto"/>
              </w:rPr>
            </w:pPr>
            <w:r>
              <w:rPr>
                <w:rFonts w:hint="eastAsia" w:ascii="宋体" w:hAnsi="宋体" w:cs="宋体"/>
                <w:color w:val="auto"/>
              </w:rPr>
              <w:t>时间</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91" w:hRule="atLeast"/>
        </w:trPr>
        <w:tc>
          <w:tcPr>
            <w:tcW w:w="852" w:type="dxa"/>
            <w:tcBorders>
              <w:top w:val="single" w:color="auto" w:sz="6" w:space="0"/>
              <w:left w:val="double" w:color="auto" w:sz="4"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1920" w:type="dxa"/>
            <w:tcBorders>
              <w:top w:val="single" w:color="auto" w:sz="6"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2021" w:type="dxa"/>
            <w:tcBorders>
              <w:top w:val="single" w:color="auto" w:sz="6"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1525"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c>
          <w:tcPr>
            <w:tcW w:w="1645"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c>
          <w:tcPr>
            <w:tcW w:w="1637"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91" w:hRule="atLeast"/>
        </w:trPr>
        <w:tc>
          <w:tcPr>
            <w:tcW w:w="852" w:type="dxa"/>
            <w:tcBorders>
              <w:top w:val="single" w:color="auto" w:sz="6" w:space="0"/>
              <w:left w:val="double" w:color="auto" w:sz="4"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1920" w:type="dxa"/>
            <w:tcBorders>
              <w:top w:val="single" w:color="auto" w:sz="6"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2021" w:type="dxa"/>
            <w:tcBorders>
              <w:top w:val="single" w:color="auto" w:sz="6"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1525"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c>
          <w:tcPr>
            <w:tcW w:w="1645"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c>
          <w:tcPr>
            <w:tcW w:w="1637"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91" w:hRule="atLeast"/>
        </w:trPr>
        <w:tc>
          <w:tcPr>
            <w:tcW w:w="852" w:type="dxa"/>
            <w:tcBorders>
              <w:top w:val="single" w:color="auto" w:sz="6" w:space="0"/>
              <w:left w:val="double" w:color="auto" w:sz="4"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1920" w:type="dxa"/>
            <w:tcBorders>
              <w:top w:val="single" w:color="auto" w:sz="6"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2021" w:type="dxa"/>
            <w:tcBorders>
              <w:top w:val="single" w:color="auto" w:sz="6"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1525"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c>
          <w:tcPr>
            <w:tcW w:w="1645"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c>
          <w:tcPr>
            <w:tcW w:w="1637"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815" w:hRule="atLeast"/>
        </w:trPr>
        <w:tc>
          <w:tcPr>
            <w:tcW w:w="852" w:type="dxa"/>
            <w:tcBorders>
              <w:top w:val="single" w:color="auto" w:sz="6" w:space="0"/>
              <w:left w:val="double" w:color="auto" w:sz="4"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1920" w:type="dxa"/>
            <w:tcBorders>
              <w:top w:val="single" w:color="auto" w:sz="6"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2021" w:type="dxa"/>
            <w:tcBorders>
              <w:top w:val="single" w:color="auto" w:sz="6" w:space="0"/>
              <w:left w:val="single" w:color="auto" w:sz="6" w:space="0"/>
              <w:bottom w:val="single" w:color="auto" w:sz="6" w:space="0"/>
              <w:right w:val="single" w:color="auto" w:sz="6" w:space="0"/>
            </w:tcBorders>
            <w:vAlign w:val="center"/>
          </w:tcPr>
          <w:p>
            <w:pPr>
              <w:pStyle w:val="79"/>
              <w:spacing w:line="360" w:lineRule="auto"/>
              <w:jc w:val="center"/>
              <w:rPr>
                <w:rFonts w:ascii="宋体" w:hAnsi="宋体" w:cs="宋体"/>
                <w:color w:val="auto"/>
              </w:rPr>
            </w:pPr>
          </w:p>
        </w:tc>
        <w:tc>
          <w:tcPr>
            <w:tcW w:w="1525"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c>
          <w:tcPr>
            <w:tcW w:w="1645"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c>
          <w:tcPr>
            <w:tcW w:w="1637" w:type="dxa"/>
            <w:tcBorders>
              <w:top w:val="single" w:color="auto" w:sz="6" w:space="0"/>
              <w:left w:val="single" w:color="auto" w:sz="6" w:space="0"/>
              <w:bottom w:val="single" w:color="auto" w:sz="6" w:space="0"/>
              <w:right w:val="double" w:color="auto" w:sz="4" w:space="0"/>
            </w:tcBorders>
            <w:vAlign w:val="center"/>
          </w:tcPr>
          <w:p>
            <w:pPr>
              <w:pStyle w:val="79"/>
              <w:spacing w:line="360" w:lineRule="auto"/>
              <w:jc w:val="center"/>
              <w:rPr>
                <w:rFonts w:ascii="宋体" w:hAnsi="宋体" w:cs="宋体"/>
                <w:color w:val="auto"/>
              </w:rPr>
            </w:pPr>
          </w:p>
        </w:tc>
      </w:tr>
    </w:tbl>
    <w:p>
      <w:pPr>
        <w:spacing w:line="360" w:lineRule="auto"/>
        <w:rPr>
          <w:rFonts w:ascii="宋体" w:hAnsi="宋体" w:cs="宋体"/>
          <w:sz w:val="24"/>
        </w:rPr>
      </w:pPr>
      <w:r>
        <w:rPr>
          <w:rFonts w:hint="eastAsia" w:ascii="宋体" w:hAnsi="宋体" w:cs="宋体"/>
          <w:sz w:val="24"/>
        </w:rPr>
        <w:t>供应商名称（加盖公章）：</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rPr>
          <w:rFonts w:ascii="宋体" w:hAnsi="宋体" w:cs="宋体"/>
          <w:sz w:val="24"/>
          <w:u w:val="single"/>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360" w:lineRule="auto"/>
        <w:rPr>
          <w:rFonts w:ascii="宋体" w:hAnsi="宋体" w:cs="宋体"/>
          <w:sz w:val="24"/>
        </w:rPr>
      </w:pPr>
      <w:r>
        <w:rPr>
          <w:rFonts w:hint="eastAsia" w:ascii="宋体" w:hAnsi="宋体" w:cs="宋体"/>
          <w:sz w:val="24"/>
        </w:rPr>
        <w:t>附中标通知书或合同复印件。</w:t>
      </w:r>
    </w:p>
    <w:p>
      <w:pPr>
        <w:spacing w:line="360" w:lineRule="auto"/>
        <w:rPr>
          <w:rFonts w:ascii="宋体" w:hAnsi="宋体" w:cs="宋体"/>
          <w:sz w:val="24"/>
        </w:rPr>
      </w:pPr>
      <w:r>
        <w:rPr>
          <w:rFonts w:hint="eastAsia" w:ascii="宋体" w:hAnsi="宋体" w:cs="宋体"/>
          <w:sz w:val="24"/>
        </w:rPr>
        <w:t>1、类似业绩一览表   2、</w:t>
      </w:r>
      <w:r>
        <w:rPr>
          <w:rFonts w:hint="eastAsia" w:ascii="宋体" w:hAnsi="宋体" w:cs="宋体"/>
          <w:sz w:val="24"/>
          <w:lang w:eastAsia="zh-CN"/>
        </w:rPr>
        <w:t>成交</w:t>
      </w:r>
      <w:r>
        <w:rPr>
          <w:rFonts w:hint="eastAsia" w:ascii="宋体" w:hAnsi="宋体" w:cs="宋体"/>
          <w:sz w:val="24"/>
          <w:lang w:val="en-US" w:eastAsia="zh-CN"/>
        </w:rPr>
        <w:t>/</w:t>
      </w:r>
      <w:r>
        <w:rPr>
          <w:rFonts w:hint="eastAsia" w:ascii="宋体" w:hAnsi="宋体" w:cs="宋体"/>
          <w:sz w:val="24"/>
        </w:rPr>
        <w:t>中标通知书或合同复印件  3、供应商认为有必要提供的其他材料</w:t>
      </w:r>
    </w:p>
    <w:p>
      <w:pPr>
        <w:ind w:firstLine="480" w:firstLineChars="200"/>
        <w:rPr>
          <w:rFonts w:ascii="宋体" w:hAnsi="宋体" w:cs="宋体"/>
          <w:b/>
          <w:bCs/>
          <w:sz w:val="24"/>
        </w:rPr>
      </w:pPr>
      <w:r>
        <w:rPr>
          <w:rFonts w:hint="eastAsia" w:ascii="宋体" w:hAnsi="宋体" w:cs="宋体"/>
          <w:sz w:val="24"/>
        </w:rPr>
        <w:t xml:space="preserve">              </w:t>
      </w:r>
      <w:r>
        <w:rPr>
          <w:rFonts w:hint="eastAsia" w:ascii="宋体" w:hAnsi="宋体" w:cs="宋体"/>
          <w:b/>
          <w:bCs/>
          <w:sz w:val="24"/>
        </w:rPr>
        <w:t xml:space="preserve"> </w:t>
      </w:r>
    </w:p>
    <w:p>
      <w:pPr>
        <w:ind w:firstLine="482" w:firstLineChars="200"/>
        <w:rPr>
          <w:rFonts w:ascii="宋体" w:hAnsi="宋体" w:cs="宋体"/>
          <w:b/>
          <w:bCs/>
          <w:sz w:val="24"/>
        </w:rPr>
      </w:pPr>
    </w:p>
    <w:p>
      <w:pPr>
        <w:ind w:firstLine="482" w:firstLineChars="200"/>
        <w:rPr>
          <w:rFonts w:ascii="宋体" w:hAnsi="宋体" w:cs="宋体"/>
          <w:b/>
          <w:bCs/>
          <w:sz w:val="24"/>
        </w:rPr>
      </w:pPr>
    </w:p>
    <w:p>
      <w:pPr>
        <w:ind w:firstLine="482" w:firstLineChars="200"/>
        <w:jc w:val="center"/>
        <w:rPr>
          <w:rFonts w:ascii="宋体" w:hAnsi="宋体" w:cs="宋体"/>
          <w:b/>
          <w:bCs/>
          <w:sz w:val="24"/>
        </w:rPr>
      </w:pPr>
    </w:p>
    <w:p>
      <w:pPr>
        <w:ind w:firstLine="482" w:firstLineChars="200"/>
        <w:jc w:val="center"/>
        <w:rPr>
          <w:rFonts w:ascii="宋体" w:hAnsi="宋体" w:cs="宋体"/>
          <w:b/>
          <w:bCs/>
          <w:sz w:val="24"/>
        </w:rPr>
      </w:pPr>
    </w:p>
    <w:p>
      <w:pPr>
        <w:ind w:firstLine="482" w:firstLineChars="200"/>
        <w:jc w:val="center"/>
        <w:rPr>
          <w:rFonts w:ascii="宋体" w:hAnsi="宋体" w:cs="宋体"/>
          <w:b/>
          <w:bCs/>
          <w:sz w:val="24"/>
        </w:rPr>
      </w:pPr>
    </w:p>
    <w:p>
      <w:pPr>
        <w:ind w:firstLine="482" w:firstLineChars="200"/>
        <w:jc w:val="center"/>
        <w:rPr>
          <w:rFonts w:ascii="宋体" w:hAnsi="宋体" w:cs="宋体"/>
          <w:b/>
          <w:bCs/>
          <w:sz w:val="24"/>
        </w:rPr>
      </w:pPr>
    </w:p>
    <w:p>
      <w:pPr>
        <w:ind w:firstLine="482" w:firstLineChars="200"/>
        <w:jc w:val="center"/>
        <w:rPr>
          <w:rFonts w:ascii="宋体" w:hAnsi="宋体" w:cs="宋体"/>
          <w:b/>
          <w:bCs/>
          <w:sz w:val="24"/>
        </w:rPr>
      </w:pPr>
    </w:p>
    <w:p>
      <w:pPr>
        <w:jc w:val="both"/>
        <w:rPr>
          <w:rFonts w:ascii="宋体" w:hAnsi="宋体" w:cs="宋体"/>
          <w:b/>
          <w:bCs/>
          <w:sz w:val="24"/>
        </w:rPr>
      </w:pPr>
    </w:p>
    <w:p>
      <w:pPr>
        <w:ind w:firstLine="482" w:firstLineChars="200"/>
        <w:jc w:val="center"/>
        <w:rPr>
          <w:rFonts w:ascii="宋体" w:hAnsi="宋体" w:cs="宋体"/>
          <w:b/>
          <w:bCs/>
          <w:sz w:val="24"/>
        </w:rPr>
      </w:pPr>
    </w:p>
    <w:p>
      <w:pPr>
        <w:pStyle w:val="19"/>
        <w:ind w:firstLine="482" w:firstLineChars="200"/>
        <w:jc w:val="center"/>
        <w:rPr>
          <w:rFonts w:hint="eastAsia" w:cs="宋体"/>
          <w:b/>
          <w:sz w:val="24"/>
          <w:szCs w:val="24"/>
        </w:rPr>
      </w:pPr>
    </w:p>
    <w:p>
      <w:pPr>
        <w:pStyle w:val="19"/>
        <w:ind w:firstLine="482" w:firstLineChars="200"/>
        <w:jc w:val="center"/>
        <w:rPr>
          <w:rFonts w:hAnsi="宋体" w:cs="宋体"/>
          <w:b/>
          <w:sz w:val="24"/>
          <w:szCs w:val="24"/>
        </w:rPr>
      </w:pPr>
      <w:r>
        <w:rPr>
          <w:rFonts w:hint="eastAsia" w:cs="宋体"/>
          <w:b/>
          <w:sz w:val="24"/>
          <w:szCs w:val="24"/>
        </w:rPr>
        <w:t>10</w:t>
      </w:r>
      <w:r>
        <w:rPr>
          <w:rFonts w:hint="eastAsia" w:hAnsi="宋体" w:cs="宋体"/>
          <w:b/>
          <w:sz w:val="24"/>
          <w:szCs w:val="24"/>
        </w:rPr>
        <w:t>、供应商具备投标资格的证明文件</w:t>
      </w:r>
    </w:p>
    <w:p>
      <w:pPr>
        <w:pStyle w:val="19"/>
        <w:ind w:firstLine="482" w:firstLineChars="200"/>
        <w:jc w:val="center"/>
        <w:rPr>
          <w:rFonts w:hAnsi="宋体" w:cs="宋体"/>
          <w:b/>
          <w:sz w:val="24"/>
          <w:szCs w:val="24"/>
        </w:rPr>
      </w:pPr>
      <w:r>
        <w:rPr>
          <w:rFonts w:hint="eastAsia" w:hAnsi="宋体" w:cs="宋体"/>
          <w:b/>
          <w:sz w:val="24"/>
          <w:szCs w:val="24"/>
        </w:rPr>
        <w:t>供应商基本情况表</w:t>
      </w:r>
    </w:p>
    <w:p>
      <w:pPr>
        <w:pStyle w:val="19"/>
        <w:spacing w:line="440" w:lineRule="exact"/>
        <w:ind w:firstLine="420" w:firstLineChars="200"/>
        <w:rPr>
          <w:rFonts w:hAnsi="宋体" w:cs="宋体"/>
          <w:sz w:val="24"/>
          <w:szCs w:val="24"/>
        </w:rPr>
      </w:pPr>
      <w:r>
        <w:rPr>
          <w:rFonts w:hint="eastAsia" w:hAnsi="宋体" w:cs="宋体"/>
        </w:rPr>
        <w:t>　供应商</w:t>
      </w:r>
      <w:r>
        <w:rPr>
          <w:rFonts w:hint="eastAsia" w:hAnsi="宋体" w:cs="宋体"/>
          <w:sz w:val="24"/>
          <w:szCs w:val="24"/>
        </w:rPr>
        <w:t>：(公章)</w:t>
      </w:r>
    </w:p>
    <w:tbl>
      <w:tblPr>
        <w:tblStyle w:val="33"/>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991"/>
        <w:gridCol w:w="2154"/>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供应商名称</w:t>
            </w: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r>
              <w:rPr>
                <w:rFonts w:hint="eastAsia" w:hAnsi="宋体" w:cs="宋体"/>
                <w:sz w:val="24"/>
                <w:szCs w:val="24"/>
              </w:rPr>
              <w:t>法定代表人</w:t>
            </w: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统一社会信用代码</w:t>
            </w: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r>
              <w:rPr>
                <w:rFonts w:hint="eastAsia" w:hAnsi="宋体" w:cs="宋体"/>
                <w:sz w:val="24"/>
                <w:szCs w:val="24"/>
              </w:rPr>
              <w:t>邮政编码</w:t>
            </w: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授权代表</w:t>
            </w: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r>
              <w:rPr>
                <w:rFonts w:hint="eastAsia" w:hAnsi="宋体" w:cs="宋体"/>
                <w:sz w:val="24"/>
                <w:szCs w:val="24"/>
              </w:rPr>
              <w:t>联系电话</w:t>
            </w: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电子邮箱</w:t>
            </w: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r>
              <w:rPr>
                <w:rFonts w:hint="eastAsia" w:hAnsi="宋体" w:cs="宋体"/>
                <w:sz w:val="24"/>
                <w:szCs w:val="24"/>
              </w:rPr>
              <w:t>传真</w:t>
            </w: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上年营业收入</w:t>
            </w: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r>
              <w:rPr>
                <w:rFonts w:hint="eastAsia" w:hAnsi="宋体" w:cs="宋体"/>
                <w:sz w:val="24"/>
                <w:szCs w:val="24"/>
              </w:rPr>
              <w:t>员工总人数</w:t>
            </w: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基本账户开户行及账号</w:t>
            </w: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税务登记机关</w:t>
            </w: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资质名称</w:t>
            </w:r>
          </w:p>
        </w:tc>
        <w:tc>
          <w:tcPr>
            <w:tcW w:w="1991" w:type="dxa"/>
            <w:vAlign w:val="center"/>
          </w:tcPr>
          <w:p>
            <w:pPr>
              <w:pStyle w:val="19"/>
              <w:spacing w:line="440" w:lineRule="exact"/>
              <w:jc w:val="center"/>
              <w:rPr>
                <w:rFonts w:hAnsi="宋体" w:cs="宋体"/>
                <w:sz w:val="24"/>
                <w:szCs w:val="24"/>
              </w:rPr>
            </w:pPr>
            <w:r>
              <w:rPr>
                <w:rFonts w:hint="eastAsia" w:hAnsi="宋体" w:cs="宋体"/>
                <w:sz w:val="24"/>
                <w:szCs w:val="24"/>
              </w:rPr>
              <w:t>等级</w:t>
            </w:r>
          </w:p>
        </w:tc>
        <w:tc>
          <w:tcPr>
            <w:tcW w:w="2154" w:type="dxa"/>
            <w:vAlign w:val="center"/>
          </w:tcPr>
          <w:p>
            <w:pPr>
              <w:pStyle w:val="19"/>
              <w:spacing w:line="440" w:lineRule="exact"/>
              <w:jc w:val="center"/>
              <w:rPr>
                <w:rFonts w:hAnsi="宋体" w:cs="宋体"/>
                <w:sz w:val="24"/>
                <w:szCs w:val="24"/>
              </w:rPr>
            </w:pPr>
            <w:r>
              <w:rPr>
                <w:rFonts w:hint="eastAsia" w:hAnsi="宋体" w:cs="宋体"/>
                <w:sz w:val="24"/>
                <w:szCs w:val="24"/>
              </w:rPr>
              <w:t>发证机关</w:t>
            </w:r>
          </w:p>
        </w:tc>
        <w:tc>
          <w:tcPr>
            <w:tcW w:w="1528" w:type="dxa"/>
            <w:vAlign w:val="center"/>
          </w:tcPr>
          <w:p>
            <w:pPr>
              <w:pStyle w:val="19"/>
              <w:spacing w:line="440" w:lineRule="exact"/>
              <w:jc w:val="center"/>
              <w:rPr>
                <w:rFonts w:hAnsi="宋体" w:cs="宋体"/>
                <w:sz w:val="24"/>
                <w:szCs w:val="24"/>
              </w:rPr>
            </w:pPr>
            <w:r>
              <w:rPr>
                <w:rFonts w:hint="eastAsia" w:hAnsi="宋体" w:cs="宋体"/>
                <w:sz w:val="24"/>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2943" w:type="dxa"/>
            <w:vAlign w:val="center"/>
          </w:tcPr>
          <w:p>
            <w:pPr>
              <w:pStyle w:val="19"/>
              <w:spacing w:line="440" w:lineRule="exact"/>
              <w:jc w:val="center"/>
              <w:rPr>
                <w:rFonts w:hAnsi="宋体" w:cs="宋体"/>
                <w:sz w:val="24"/>
                <w:szCs w:val="24"/>
              </w:rPr>
            </w:pP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943" w:type="dxa"/>
            <w:vAlign w:val="center"/>
          </w:tcPr>
          <w:p>
            <w:pPr>
              <w:pStyle w:val="19"/>
              <w:spacing w:line="440" w:lineRule="exact"/>
              <w:jc w:val="center"/>
              <w:rPr>
                <w:rFonts w:hAnsi="宋体" w:cs="宋体"/>
                <w:sz w:val="24"/>
                <w:szCs w:val="24"/>
              </w:rPr>
            </w:pP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p>
        </w:tc>
        <w:tc>
          <w:tcPr>
            <w:tcW w:w="1528" w:type="dxa"/>
            <w:vAlign w:val="center"/>
          </w:tcPr>
          <w:p>
            <w:pPr>
              <w:pStyle w:val="19"/>
              <w:spacing w:line="440" w:lineRule="exact"/>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943" w:type="dxa"/>
            <w:vAlign w:val="center"/>
          </w:tcPr>
          <w:p>
            <w:pPr>
              <w:pStyle w:val="19"/>
              <w:spacing w:line="440" w:lineRule="exact"/>
              <w:jc w:val="center"/>
              <w:rPr>
                <w:rFonts w:hAnsi="宋体" w:cs="宋体"/>
                <w:sz w:val="24"/>
                <w:szCs w:val="24"/>
              </w:rPr>
            </w:pPr>
            <w:r>
              <w:rPr>
                <w:rFonts w:hint="eastAsia" w:hAnsi="宋体" w:cs="宋体"/>
                <w:sz w:val="24"/>
                <w:szCs w:val="24"/>
              </w:rPr>
              <w:t>备注</w:t>
            </w:r>
          </w:p>
        </w:tc>
        <w:tc>
          <w:tcPr>
            <w:tcW w:w="1991" w:type="dxa"/>
            <w:vAlign w:val="center"/>
          </w:tcPr>
          <w:p>
            <w:pPr>
              <w:pStyle w:val="19"/>
              <w:spacing w:line="440" w:lineRule="exact"/>
              <w:jc w:val="center"/>
              <w:rPr>
                <w:rFonts w:hAnsi="宋体" w:cs="宋体"/>
                <w:sz w:val="24"/>
                <w:szCs w:val="24"/>
              </w:rPr>
            </w:pPr>
          </w:p>
        </w:tc>
        <w:tc>
          <w:tcPr>
            <w:tcW w:w="2154" w:type="dxa"/>
            <w:vAlign w:val="center"/>
          </w:tcPr>
          <w:p>
            <w:pPr>
              <w:pStyle w:val="19"/>
              <w:spacing w:line="440" w:lineRule="exact"/>
              <w:jc w:val="center"/>
              <w:rPr>
                <w:rFonts w:hAnsi="宋体" w:cs="宋体"/>
                <w:sz w:val="24"/>
                <w:szCs w:val="24"/>
              </w:rPr>
            </w:pPr>
          </w:p>
        </w:tc>
        <w:tc>
          <w:tcPr>
            <w:tcW w:w="1528" w:type="dxa"/>
            <w:vAlign w:val="center"/>
          </w:tcPr>
          <w:p>
            <w:pPr>
              <w:pStyle w:val="19"/>
              <w:spacing w:line="440" w:lineRule="exact"/>
              <w:jc w:val="center"/>
              <w:rPr>
                <w:rFonts w:hAnsi="宋体" w:cs="宋体"/>
                <w:sz w:val="24"/>
                <w:szCs w:val="24"/>
              </w:rPr>
            </w:pPr>
          </w:p>
        </w:tc>
      </w:tr>
    </w:tbl>
    <w:p>
      <w:pPr>
        <w:pStyle w:val="19"/>
        <w:spacing w:line="440" w:lineRule="exact"/>
        <w:ind w:firstLine="480" w:firstLineChars="200"/>
        <w:rPr>
          <w:rFonts w:hAnsi="宋体" w:cs="宋体"/>
          <w:sz w:val="24"/>
          <w:szCs w:val="24"/>
        </w:rPr>
      </w:pPr>
    </w:p>
    <w:p>
      <w:pPr>
        <w:pStyle w:val="19"/>
        <w:spacing w:line="440" w:lineRule="exact"/>
        <w:ind w:firstLine="480" w:firstLineChars="200"/>
        <w:rPr>
          <w:rFonts w:hAnsi="宋体" w:cs="宋体"/>
          <w:sz w:val="24"/>
          <w:szCs w:val="24"/>
        </w:rPr>
      </w:pPr>
      <w:r>
        <w:rPr>
          <w:rFonts w:hint="eastAsia" w:hAnsi="宋体" w:cs="宋体"/>
          <w:sz w:val="24"/>
          <w:szCs w:val="24"/>
        </w:rPr>
        <w:t>附件2-1　法人或者其他组织的营业执照副本复印件或自然人的身份证明复印件</w:t>
      </w:r>
    </w:p>
    <w:p>
      <w:pPr>
        <w:pStyle w:val="19"/>
        <w:spacing w:line="440" w:lineRule="exact"/>
        <w:ind w:firstLine="480" w:firstLineChars="200"/>
        <w:rPr>
          <w:rFonts w:hAnsi="宋体" w:cs="宋体"/>
          <w:sz w:val="24"/>
          <w:szCs w:val="24"/>
        </w:rPr>
      </w:pPr>
      <w:r>
        <w:rPr>
          <w:rFonts w:hint="eastAsia" w:hAnsi="宋体" w:cs="宋体"/>
          <w:sz w:val="24"/>
          <w:szCs w:val="24"/>
        </w:rPr>
        <w:t>(示例略)</w:t>
      </w:r>
    </w:p>
    <w:p>
      <w:pPr>
        <w:pStyle w:val="19"/>
        <w:spacing w:line="440" w:lineRule="exact"/>
        <w:ind w:firstLine="480" w:firstLineChars="200"/>
        <w:rPr>
          <w:rFonts w:hAnsi="宋体" w:cs="宋体"/>
          <w:sz w:val="24"/>
          <w:szCs w:val="24"/>
        </w:rPr>
      </w:pPr>
    </w:p>
    <w:p>
      <w:pPr>
        <w:pStyle w:val="19"/>
        <w:spacing w:line="440" w:lineRule="exact"/>
        <w:ind w:firstLine="480" w:firstLineChars="200"/>
        <w:rPr>
          <w:rFonts w:hAnsi="宋体" w:cs="宋体"/>
          <w:sz w:val="24"/>
          <w:szCs w:val="24"/>
        </w:rPr>
      </w:pPr>
      <w:r>
        <w:rPr>
          <w:rFonts w:hint="eastAsia" w:hAnsi="宋体" w:cs="宋体"/>
          <w:sz w:val="24"/>
          <w:szCs w:val="24"/>
        </w:rPr>
        <w:t>附件2-2　具备履行合同所必需的货物和专业技术能力的证明材料</w:t>
      </w:r>
    </w:p>
    <w:p>
      <w:pPr>
        <w:pStyle w:val="19"/>
        <w:spacing w:line="440" w:lineRule="exact"/>
        <w:ind w:firstLine="480" w:firstLineChars="200"/>
        <w:rPr>
          <w:rFonts w:hAnsi="宋体" w:cs="宋体"/>
          <w:sz w:val="24"/>
          <w:szCs w:val="24"/>
        </w:rPr>
      </w:pPr>
      <w:r>
        <w:rPr>
          <w:rFonts w:hint="eastAsia" w:hAnsi="宋体" w:cs="宋体"/>
          <w:sz w:val="24"/>
          <w:szCs w:val="24"/>
        </w:rPr>
        <w:t>(示例略)</w:t>
      </w:r>
    </w:p>
    <w:p>
      <w:pPr>
        <w:pStyle w:val="13"/>
      </w:pPr>
    </w:p>
    <w:p>
      <w:pPr>
        <w:ind w:firstLine="482" w:firstLineChars="200"/>
        <w:jc w:val="center"/>
        <w:rPr>
          <w:rFonts w:ascii="宋体" w:hAnsi="宋体" w:cs="宋体"/>
          <w:b/>
          <w:bCs/>
          <w:sz w:val="24"/>
        </w:rPr>
      </w:pPr>
    </w:p>
    <w:p>
      <w:pPr>
        <w:ind w:firstLine="482" w:firstLineChars="200"/>
        <w:jc w:val="center"/>
        <w:rPr>
          <w:rFonts w:ascii="宋体" w:hAnsi="宋体" w:cs="宋体"/>
          <w:b/>
          <w:bCs/>
          <w:sz w:val="24"/>
        </w:rPr>
      </w:pPr>
    </w:p>
    <w:p>
      <w:pPr>
        <w:ind w:firstLine="482" w:firstLineChars="200"/>
        <w:jc w:val="center"/>
        <w:rPr>
          <w:rFonts w:ascii="宋体" w:hAnsi="宋体" w:cs="宋体"/>
          <w:b/>
          <w:bCs/>
          <w:sz w:val="24"/>
        </w:rPr>
      </w:pPr>
    </w:p>
    <w:p>
      <w:pPr>
        <w:ind w:firstLine="482" w:firstLineChars="200"/>
        <w:jc w:val="center"/>
        <w:rPr>
          <w:rFonts w:ascii="宋体" w:hAnsi="宋体" w:cs="宋体"/>
          <w:b/>
          <w:bCs/>
          <w:sz w:val="24"/>
        </w:rPr>
      </w:pPr>
    </w:p>
    <w:p>
      <w:pPr>
        <w:ind w:firstLine="482" w:firstLineChars="200"/>
        <w:jc w:val="center"/>
        <w:rPr>
          <w:rFonts w:ascii="宋体" w:hAnsi="宋体" w:cs="宋体"/>
          <w:sz w:val="24"/>
        </w:rPr>
      </w:pPr>
      <w:r>
        <w:rPr>
          <w:rFonts w:hint="eastAsia" w:ascii="宋体" w:hAnsi="宋体" w:cs="宋体"/>
          <w:b/>
          <w:bCs/>
          <w:sz w:val="24"/>
        </w:rPr>
        <w:t>11、项目负责人简历表及拟投入本项目主要成员表</w:t>
      </w:r>
    </w:p>
    <w:p>
      <w:pPr>
        <w:ind w:firstLine="482" w:firstLineChars="200"/>
        <w:rPr>
          <w:rFonts w:ascii="宋体" w:hAnsi="宋体" w:cs="宋体"/>
          <w:b/>
          <w:bCs/>
          <w:sz w:val="24"/>
        </w:rPr>
      </w:pPr>
      <w:r>
        <w:rPr>
          <w:rFonts w:hint="eastAsia" w:ascii="宋体" w:hAnsi="宋体" w:cs="宋体"/>
          <w:b/>
          <w:bCs/>
          <w:sz w:val="24"/>
        </w:rPr>
        <w:t>1.项目负责人</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1217"/>
        <w:gridCol w:w="1218"/>
        <w:gridCol w:w="1334"/>
        <w:gridCol w:w="1701"/>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5" w:type="dxa"/>
          </w:tcPr>
          <w:p>
            <w:pPr>
              <w:ind w:firstLine="480" w:firstLineChars="200"/>
              <w:rPr>
                <w:rFonts w:ascii="宋体" w:hAnsi="宋体" w:cs="宋体"/>
                <w:sz w:val="24"/>
              </w:rPr>
            </w:pPr>
            <w:r>
              <w:rPr>
                <w:rFonts w:hint="eastAsia" w:ascii="宋体" w:hAnsi="宋体" w:cs="宋体"/>
                <w:sz w:val="24"/>
              </w:rPr>
              <w:t>姓名</w:t>
            </w:r>
          </w:p>
        </w:tc>
        <w:tc>
          <w:tcPr>
            <w:tcW w:w="1217" w:type="dxa"/>
          </w:tcPr>
          <w:p>
            <w:pPr>
              <w:ind w:firstLine="480" w:firstLineChars="200"/>
              <w:rPr>
                <w:rFonts w:ascii="宋体" w:hAnsi="宋体" w:cs="宋体"/>
                <w:sz w:val="24"/>
              </w:rPr>
            </w:pPr>
          </w:p>
        </w:tc>
        <w:tc>
          <w:tcPr>
            <w:tcW w:w="1218" w:type="dxa"/>
          </w:tcPr>
          <w:p>
            <w:pPr>
              <w:ind w:firstLine="480" w:firstLineChars="200"/>
              <w:rPr>
                <w:rFonts w:ascii="宋体" w:hAnsi="宋体" w:cs="宋体"/>
                <w:sz w:val="24"/>
              </w:rPr>
            </w:pPr>
            <w:r>
              <w:rPr>
                <w:rFonts w:hint="eastAsia" w:ascii="宋体" w:hAnsi="宋体" w:cs="宋体"/>
                <w:sz w:val="24"/>
              </w:rPr>
              <w:t>年龄</w:t>
            </w:r>
          </w:p>
        </w:tc>
        <w:tc>
          <w:tcPr>
            <w:tcW w:w="1334" w:type="dxa"/>
          </w:tcPr>
          <w:p>
            <w:pPr>
              <w:ind w:firstLine="480" w:firstLineChars="200"/>
              <w:rPr>
                <w:rFonts w:ascii="宋体" w:hAnsi="宋体" w:cs="宋体"/>
                <w:sz w:val="24"/>
              </w:rPr>
            </w:pPr>
          </w:p>
        </w:tc>
        <w:tc>
          <w:tcPr>
            <w:tcW w:w="1701" w:type="dxa"/>
          </w:tcPr>
          <w:p>
            <w:pPr>
              <w:rPr>
                <w:rFonts w:ascii="宋体" w:hAnsi="宋体" w:cs="宋体"/>
                <w:sz w:val="24"/>
              </w:rPr>
            </w:pPr>
            <w:r>
              <w:rPr>
                <w:rFonts w:hint="eastAsia" w:ascii="宋体" w:hAnsi="宋体" w:cs="宋体"/>
                <w:sz w:val="24"/>
              </w:rPr>
              <w:t>身份证号码</w:t>
            </w:r>
          </w:p>
        </w:tc>
        <w:tc>
          <w:tcPr>
            <w:tcW w:w="1836" w:type="dxa"/>
          </w:tcPr>
          <w:p>
            <w:pPr>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5" w:type="dxa"/>
          </w:tcPr>
          <w:p>
            <w:pPr>
              <w:ind w:firstLine="480" w:firstLineChars="200"/>
              <w:rPr>
                <w:rFonts w:ascii="宋体" w:hAnsi="宋体" w:cs="宋体"/>
                <w:sz w:val="24"/>
              </w:rPr>
            </w:pPr>
            <w:r>
              <w:rPr>
                <w:rFonts w:hint="eastAsia" w:ascii="宋体" w:hAnsi="宋体" w:cs="宋体"/>
                <w:sz w:val="24"/>
              </w:rPr>
              <w:t>毕业院校</w:t>
            </w:r>
          </w:p>
        </w:tc>
        <w:tc>
          <w:tcPr>
            <w:tcW w:w="2435" w:type="dxa"/>
            <w:gridSpan w:val="2"/>
          </w:tcPr>
          <w:p>
            <w:pPr>
              <w:ind w:firstLine="480" w:firstLineChars="200"/>
              <w:rPr>
                <w:rFonts w:ascii="宋体" w:hAnsi="宋体" w:cs="宋体"/>
                <w:sz w:val="24"/>
              </w:rPr>
            </w:pPr>
          </w:p>
        </w:tc>
        <w:tc>
          <w:tcPr>
            <w:tcW w:w="1334" w:type="dxa"/>
          </w:tcPr>
          <w:p>
            <w:pPr>
              <w:ind w:firstLine="480" w:firstLineChars="200"/>
              <w:rPr>
                <w:rFonts w:ascii="宋体" w:hAnsi="宋体" w:cs="宋体"/>
                <w:sz w:val="24"/>
              </w:rPr>
            </w:pPr>
          </w:p>
        </w:tc>
        <w:tc>
          <w:tcPr>
            <w:tcW w:w="1701" w:type="dxa"/>
          </w:tcPr>
          <w:p>
            <w:pPr>
              <w:ind w:firstLine="480" w:firstLineChars="200"/>
              <w:rPr>
                <w:rFonts w:ascii="宋体" w:hAnsi="宋体" w:cs="宋体"/>
                <w:sz w:val="24"/>
              </w:rPr>
            </w:pPr>
            <w:r>
              <w:rPr>
                <w:rFonts w:hint="eastAsia" w:ascii="宋体" w:hAnsi="宋体" w:cs="宋体"/>
                <w:sz w:val="24"/>
              </w:rPr>
              <w:t>专业</w:t>
            </w:r>
          </w:p>
        </w:tc>
        <w:tc>
          <w:tcPr>
            <w:tcW w:w="1836" w:type="dxa"/>
          </w:tcPr>
          <w:p>
            <w:pPr>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5" w:type="dxa"/>
          </w:tcPr>
          <w:p>
            <w:pPr>
              <w:ind w:firstLine="480" w:firstLineChars="200"/>
              <w:rPr>
                <w:rFonts w:ascii="宋体" w:hAnsi="宋体" w:cs="宋体"/>
                <w:sz w:val="24"/>
              </w:rPr>
            </w:pPr>
            <w:r>
              <w:rPr>
                <w:rFonts w:hint="eastAsia" w:ascii="宋体" w:hAnsi="宋体" w:cs="宋体"/>
                <w:sz w:val="24"/>
              </w:rPr>
              <w:t>学位</w:t>
            </w:r>
          </w:p>
        </w:tc>
        <w:tc>
          <w:tcPr>
            <w:tcW w:w="2435" w:type="dxa"/>
            <w:gridSpan w:val="2"/>
          </w:tcPr>
          <w:p>
            <w:pPr>
              <w:ind w:firstLine="480" w:firstLineChars="200"/>
              <w:rPr>
                <w:rFonts w:ascii="宋体" w:hAnsi="宋体" w:cs="宋体"/>
                <w:sz w:val="24"/>
              </w:rPr>
            </w:pPr>
          </w:p>
        </w:tc>
        <w:tc>
          <w:tcPr>
            <w:tcW w:w="1334" w:type="dxa"/>
          </w:tcPr>
          <w:p>
            <w:pPr>
              <w:ind w:firstLine="480" w:firstLineChars="200"/>
              <w:rPr>
                <w:rFonts w:ascii="宋体" w:hAnsi="宋体" w:cs="宋体"/>
                <w:sz w:val="24"/>
              </w:rPr>
            </w:pPr>
          </w:p>
        </w:tc>
        <w:tc>
          <w:tcPr>
            <w:tcW w:w="1701" w:type="dxa"/>
          </w:tcPr>
          <w:p>
            <w:pPr>
              <w:ind w:firstLine="480" w:firstLineChars="200"/>
              <w:rPr>
                <w:rFonts w:ascii="宋体" w:hAnsi="宋体" w:cs="宋体"/>
                <w:sz w:val="24"/>
              </w:rPr>
            </w:pPr>
            <w:r>
              <w:rPr>
                <w:rFonts w:hint="eastAsia" w:ascii="宋体" w:hAnsi="宋体" w:cs="宋体"/>
                <w:sz w:val="24"/>
              </w:rPr>
              <w:t>职务</w:t>
            </w:r>
          </w:p>
        </w:tc>
        <w:tc>
          <w:tcPr>
            <w:tcW w:w="1836" w:type="dxa"/>
          </w:tcPr>
          <w:p>
            <w:pPr>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5" w:type="dxa"/>
          </w:tcPr>
          <w:p>
            <w:pPr>
              <w:rPr>
                <w:rFonts w:ascii="宋体" w:hAnsi="宋体" w:cs="宋体"/>
                <w:sz w:val="24"/>
              </w:rPr>
            </w:pPr>
            <w:r>
              <w:rPr>
                <w:rFonts w:hint="eastAsia" w:ascii="宋体" w:hAnsi="宋体" w:cs="宋体"/>
                <w:sz w:val="24"/>
              </w:rPr>
              <w:t>现所在机构或部门</w:t>
            </w:r>
          </w:p>
        </w:tc>
        <w:tc>
          <w:tcPr>
            <w:tcW w:w="2435" w:type="dxa"/>
            <w:gridSpan w:val="2"/>
          </w:tcPr>
          <w:p>
            <w:pPr>
              <w:ind w:firstLine="480" w:firstLineChars="200"/>
              <w:rPr>
                <w:rFonts w:ascii="宋体" w:hAnsi="宋体" w:cs="宋体"/>
                <w:sz w:val="24"/>
              </w:rPr>
            </w:pPr>
          </w:p>
        </w:tc>
        <w:tc>
          <w:tcPr>
            <w:tcW w:w="1334" w:type="dxa"/>
          </w:tcPr>
          <w:p>
            <w:pPr>
              <w:ind w:firstLine="480" w:firstLineChars="200"/>
              <w:rPr>
                <w:rFonts w:ascii="宋体" w:hAnsi="宋体" w:cs="宋体"/>
                <w:sz w:val="24"/>
              </w:rPr>
            </w:pPr>
          </w:p>
        </w:tc>
        <w:tc>
          <w:tcPr>
            <w:tcW w:w="1701" w:type="dxa"/>
          </w:tcPr>
          <w:p>
            <w:pPr>
              <w:ind w:firstLine="480" w:firstLineChars="200"/>
              <w:rPr>
                <w:rFonts w:ascii="宋体" w:hAnsi="宋体" w:cs="宋体"/>
                <w:sz w:val="24"/>
              </w:rPr>
            </w:pPr>
            <w:r>
              <w:rPr>
                <w:rFonts w:hint="eastAsia" w:ascii="宋体" w:hAnsi="宋体" w:cs="宋体"/>
                <w:sz w:val="24"/>
              </w:rPr>
              <w:t>服务时间</w:t>
            </w:r>
          </w:p>
        </w:tc>
        <w:tc>
          <w:tcPr>
            <w:tcW w:w="1836" w:type="dxa"/>
          </w:tcPr>
          <w:p>
            <w:pPr>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5" w:type="dxa"/>
          </w:tcPr>
          <w:p>
            <w:pPr>
              <w:ind w:firstLine="480" w:firstLineChars="200"/>
              <w:rPr>
                <w:rFonts w:ascii="宋体" w:hAnsi="宋体" w:cs="宋体"/>
                <w:sz w:val="24"/>
              </w:rPr>
            </w:pPr>
            <w:r>
              <w:rPr>
                <w:rFonts w:hint="eastAsia" w:ascii="宋体" w:hAnsi="宋体" w:cs="宋体"/>
                <w:sz w:val="24"/>
              </w:rPr>
              <w:t>主要经历</w:t>
            </w:r>
          </w:p>
        </w:tc>
        <w:tc>
          <w:tcPr>
            <w:tcW w:w="7306" w:type="dxa"/>
            <w:gridSpan w:val="5"/>
          </w:tcPr>
          <w:p>
            <w:pPr>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5" w:type="dxa"/>
          </w:tcPr>
          <w:p>
            <w:pPr>
              <w:ind w:firstLine="480" w:firstLineChars="200"/>
              <w:rPr>
                <w:rFonts w:ascii="宋体" w:hAnsi="宋体" w:cs="宋体"/>
                <w:sz w:val="24"/>
              </w:rPr>
            </w:pPr>
            <w:r>
              <w:rPr>
                <w:rFonts w:hint="eastAsia" w:ascii="宋体" w:hAnsi="宋体" w:cs="宋体"/>
                <w:sz w:val="24"/>
              </w:rPr>
              <w:t>日期</w:t>
            </w:r>
          </w:p>
        </w:tc>
        <w:tc>
          <w:tcPr>
            <w:tcW w:w="2435" w:type="dxa"/>
            <w:gridSpan w:val="2"/>
          </w:tcPr>
          <w:p>
            <w:pPr>
              <w:ind w:firstLine="480" w:firstLineChars="200"/>
              <w:rPr>
                <w:rFonts w:ascii="宋体" w:hAnsi="宋体" w:cs="宋体"/>
                <w:sz w:val="24"/>
              </w:rPr>
            </w:pPr>
            <w:r>
              <w:rPr>
                <w:rFonts w:hint="eastAsia" w:ascii="宋体" w:hAnsi="宋体" w:cs="宋体"/>
                <w:sz w:val="24"/>
              </w:rPr>
              <w:t>参加过的项目名称</w:t>
            </w:r>
          </w:p>
        </w:tc>
        <w:tc>
          <w:tcPr>
            <w:tcW w:w="3035" w:type="dxa"/>
            <w:gridSpan w:val="2"/>
          </w:tcPr>
          <w:p>
            <w:pPr>
              <w:ind w:firstLine="480" w:firstLineChars="200"/>
              <w:rPr>
                <w:rFonts w:ascii="宋体" w:hAnsi="宋体" w:cs="宋体"/>
                <w:sz w:val="24"/>
              </w:rPr>
            </w:pPr>
            <w:r>
              <w:rPr>
                <w:rFonts w:hint="eastAsia" w:ascii="宋体" w:hAnsi="宋体" w:cs="宋体"/>
                <w:sz w:val="24"/>
              </w:rPr>
              <w:t>担任何职务</w:t>
            </w:r>
          </w:p>
        </w:tc>
        <w:tc>
          <w:tcPr>
            <w:tcW w:w="1836" w:type="dxa"/>
          </w:tcPr>
          <w:p>
            <w:pPr>
              <w:ind w:firstLine="480" w:firstLineChars="200"/>
              <w:rPr>
                <w:rFonts w:ascii="宋体" w:hAnsi="宋体" w:cs="宋体"/>
                <w:sz w:val="24"/>
              </w:rPr>
            </w:pPr>
            <w:r>
              <w:rPr>
                <w:rFonts w:hint="eastAsia" w:ascii="宋体" w:hAnsi="宋体" w:cs="宋体"/>
                <w:sz w:val="24"/>
              </w:rPr>
              <w:t>备注</w:t>
            </w:r>
          </w:p>
        </w:tc>
      </w:tr>
    </w:tbl>
    <w:p>
      <w:pPr>
        <w:ind w:firstLine="482" w:firstLineChars="200"/>
        <w:rPr>
          <w:rFonts w:ascii="宋体" w:hAnsi="宋体" w:cs="宋体"/>
          <w:b/>
          <w:bCs/>
          <w:sz w:val="24"/>
        </w:rPr>
      </w:pPr>
      <w:r>
        <w:rPr>
          <w:rFonts w:hint="eastAsia" w:ascii="宋体" w:hAnsi="宋体" w:cs="宋体"/>
          <w:b/>
          <w:bCs/>
          <w:sz w:val="24"/>
        </w:rPr>
        <w:t>2、拟投入本项目的主要成员表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851"/>
        <w:gridCol w:w="2126"/>
        <w:gridCol w:w="2126"/>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宋体" w:hAnsi="宋体" w:cs="宋体"/>
                <w:sz w:val="24"/>
              </w:rPr>
            </w:pPr>
            <w:r>
              <w:rPr>
                <w:rFonts w:hint="eastAsia" w:ascii="宋体" w:hAnsi="宋体" w:cs="宋体"/>
                <w:sz w:val="24"/>
              </w:rPr>
              <w:t>序号</w:t>
            </w:r>
          </w:p>
        </w:tc>
        <w:tc>
          <w:tcPr>
            <w:tcW w:w="1417" w:type="dxa"/>
          </w:tcPr>
          <w:p>
            <w:pPr>
              <w:rPr>
                <w:rFonts w:ascii="宋体" w:hAnsi="宋体" w:cs="宋体"/>
                <w:sz w:val="24"/>
              </w:rPr>
            </w:pPr>
            <w:r>
              <w:rPr>
                <w:rFonts w:hint="eastAsia" w:ascii="宋体" w:hAnsi="宋体" w:cs="宋体"/>
                <w:sz w:val="24"/>
              </w:rPr>
              <w:t>姓名</w:t>
            </w:r>
          </w:p>
        </w:tc>
        <w:tc>
          <w:tcPr>
            <w:tcW w:w="851" w:type="dxa"/>
          </w:tcPr>
          <w:p>
            <w:pPr>
              <w:rPr>
                <w:rFonts w:ascii="宋体" w:hAnsi="宋体" w:cs="宋体"/>
                <w:sz w:val="24"/>
              </w:rPr>
            </w:pPr>
            <w:r>
              <w:rPr>
                <w:rFonts w:hint="eastAsia" w:ascii="宋体" w:hAnsi="宋体" w:cs="宋体"/>
                <w:sz w:val="24"/>
              </w:rPr>
              <w:t>性别</w:t>
            </w:r>
          </w:p>
        </w:tc>
        <w:tc>
          <w:tcPr>
            <w:tcW w:w="2126" w:type="dxa"/>
          </w:tcPr>
          <w:p>
            <w:pPr>
              <w:ind w:firstLine="480" w:firstLineChars="200"/>
              <w:rPr>
                <w:rFonts w:ascii="宋体" w:hAnsi="宋体" w:cs="宋体"/>
                <w:sz w:val="24"/>
              </w:rPr>
            </w:pPr>
            <w:r>
              <w:rPr>
                <w:rFonts w:hint="eastAsia" w:ascii="宋体" w:hAnsi="宋体" w:cs="宋体"/>
                <w:sz w:val="24"/>
              </w:rPr>
              <w:t>职称</w:t>
            </w:r>
          </w:p>
        </w:tc>
        <w:tc>
          <w:tcPr>
            <w:tcW w:w="2126" w:type="dxa"/>
          </w:tcPr>
          <w:p>
            <w:pPr>
              <w:ind w:firstLine="480" w:firstLineChars="200"/>
              <w:rPr>
                <w:rFonts w:ascii="宋体" w:hAnsi="宋体" w:cs="宋体"/>
                <w:sz w:val="24"/>
              </w:rPr>
            </w:pPr>
            <w:r>
              <w:rPr>
                <w:rFonts w:hint="eastAsia" w:ascii="宋体" w:hAnsi="宋体" w:cs="宋体"/>
                <w:sz w:val="24"/>
              </w:rPr>
              <w:t>岗位</w:t>
            </w:r>
          </w:p>
        </w:tc>
        <w:tc>
          <w:tcPr>
            <w:tcW w:w="2262" w:type="dxa"/>
          </w:tcPr>
          <w:p>
            <w:pPr>
              <w:rPr>
                <w:rFonts w:ascii="宋体" w:hAnsi="宋体" w:cs="宋体"/>
                <w:sz w:val="24"/>
              </w:rPr>
            </w:pPr>
            <w:r>
              <w:rPr>
                <w:rFonts w:hint="eastAsia" w:ascii="宋体" w:hAnsi="宋体" w:cs="宋体"/>
                <w:sz w:val="24"/>
              </w:rPr>
              <w:t>从事该岗位时间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ind w:firstLine="480" w:firstLineChars="200"/>
              <w:rPr>
                <w:rFonts w:ascii="宋体" w:hAnsi="宋体" w:cs="宋体"/>
                <w:sz w:val="24"/>
              </w:rPr>
            </w:pPr>
            <w:r>
              <w:rPr>
                <w:rFonts w:hint="eastAsia" w:ascii="宋体" w:hAnsi="宋体" w:cs="宋体"/>
                <w:sz w:val="24"/>
              </w:rPr>
              <w:t>1</w:t>
            </w:r>
          </w:p>
        </w:tc>
        <w:tc>
          <w:tcPr>
            <w:tcW w:w="1417" w:type="dxa"/>
          </w:tcPr>
          <w:p>
            <w:pPr>
              <w:ind w:firstLine="480" w:firstLineChars="200"/>
              <w:rPr>
                <w:rFonts w:ascii="宋体" w:hAnsi="宋体" w:cs="宋体"/>
                <w:sz w:val="24"/>
              </w:rPr>
            </w:pPr>
          </w:p>
        </w:tc>
        <w:tc>
          <w:tcPr>
            <w:tcW w:w="851" w:type="dxa"/>
          </w:tcPr>
          <w:p>
            <w:pPr>
              <w:ind w:firstLine="480" w:firstLineChars="200"/>
              <w:rPr>
                <w:rFonts w:ascii="宋体" w:hAnsi="宋体" w:cs="宋体"/>
                <w:sz w:val="24"/>
              </w:rPr>
            </w:pPr>
          </w:p>
        </w:tc>
        <w:tc>
          <w:tcPr>
            <w:tcW w:w="2126" w:type="dxa"/>
          </w:tcPr>
          <w:p>
            <w:pPr>
              <w:ind w:firstLine="480" w:firstLineChars="200"/>
              <w:rPr>
                <w:rFonts w:ascii="宋体" w:hAnsi="宋体" w:cs="宋体"/>
                <w:sz w:val="24"/>
              </w:rPr>
            </w:pPr>
          </w:p>
        </w:tc>
        <w:tc>
          <w:tcPr>
            <w:tcW w:w="2126" w:type="dxa"/>
          </w:tcPr>
          <w:p>
            <w:pPr>
              <w:ind w:firstLine="480" w:firstLineChars="200"/>
              <w:rPr>
                <w:rFonts w:ascii="宋体" w:hAnsi="宋体" w:cs="宋体"/>
                <w:sz w:val="24"/>
              </w:rPr>
            </w:pPr>
          </w:p>
        </w:tc>
        <w:tc>
          <w:tcPr>
            <w:tcW w:w="2262" w:type="dxa"/>
          </w:tcPr>
          <w:p>
            <w:pPr>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ind w:firstLine="480" w:firstLineChars="200"/>
              <w:rPr>
                <w:rFonts w:ascii="宋体" w:hAnsi="宋体" w:cs="宋体"/>
                <w:sz w:val="24"/>
              </w:rPr>
            </w:pPr>
            <w:r>
              <w:rPr>
                <w:rFonts w:hint="eastAsia" w:ascii="宋体" w:hAnsi="宋体" w:cs="宋体"/>
                <w:sz w:val="24"/>
              </w:rPr>
              <w:t>2</w:t>
            </w:r>
          </w:p>
        </w:tc>
        <w:tc>
          <w:tcPr>
            <w:tcW w:w="1417" w:type="dxa"/>
          </w:tcPr>
          <w:p>
            <w:pPr>
              <w:ind w:firstLine="480" w:firstLineChars="200"/>
              <w:rPr>
                <w:rFonts w:ascii="宋体" w:hAnsi="宋体" w:cs="宋体"/>
                <w:sz w:val="24"/>
              </w:rPr>
            </w:pPr>
          </w:p>
        </w:tc>
        <w:tc>
          <w:tcPr>
            <w:tcW w:w="851" w:type="dxa"/>
          </w:tcPr>
          <w:p>
            <w:pPr>
              <w:ind w:firstLine="480" w:firstLineChars="200"/>
              <w:rPr>
                <w:rFonts w:ascii="宋体" w:hAnsi="宋体" w:cs="宋体"/>
                <w:sz w:val="24"/>
              </w:rPr>
            </w:pPr>
          </w:p>
        </w:tc>
        <w:tc>
          <w:tcPr>
            <w:tcW w:w="2126" w:type="dxa"/>
          </w:tcPr>
          <w:p>
            <w:pPr>
              <w:ind w:firstLine="480" w:firstLineChars="200"/>
              <w:rPr>
                <w:rFonts w:ascii="宋体" w:hAnsi="宋体" w:cs="宋体"/>
                <w:sz w:val="24"/>
              </w:rPr>
            </w:pPr>
          </w:p>
        </w:tc>
        <w:tc>
          <w:tcPr>
            <w:tcW w:w="2126" w:type="dxa"/>
          </w:tcPr>
          <w:p>
            <w:pPr>
              <w:ind w:firstLine="480" w:firstLineChars="200"/>
              <w:rPr>
                <w:rFonts w:ascii="宋体" w:hAnsi="宋体" w:cs="宋体"/>
                <w:sz w:val="24"/>
              </w:rPr>
            </w:pPr>
          </w:p>
        </w:tc>
        <w:tc>
          <w:tcPr>
            <w:tcW w:w="2262" w:type="dxa"/>
          </w:tcPr>
          <w:p>
            <w:pPr>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ind w:firstLine="480" w:firstLineChars="200"/>
              <w:rPr>
                <w:rFonts w:ascii="宋体" w:hAnsi="宋体" w:cs="宋体"/>
                <w:sz w:val="24"/>
              </w:rPr>
            </w:pPr>
            <w:r>
              <w:rPr>
                <w:rFonts w:hint="eastAsia" w:ascii="宋体" w:hAnsi="宋体" w:cs="宋体"/>
                <w:sz w:val="24"/>
              </w:rPr>
              <w:t>3</w:t>
            </w:r>
          </w:p>
        </w:tc>
        <w:tc>
          <w:tcPr>
            <w:tcW w:w="1417" w:type="dxa"/>
          </w:tcPr>
          <w:p>
            <w:pPr>
              <w:ind w:firstLine="480" w:firstLineChars="200"/>
              <w:rPr>
                <w:rFonts w:ascii="宋体" w:hAnsi="宋体" w:cs="宋体"/>
                <w:sz w:val="24"/>
              </w:rPr>
            </w:pPr>
          </w:p>
        </w:tc>
        <w:tc>
          <w:tcPr>
            <w:tcW w:w="851" w:type="dxa"/>
          </w:tcPr>
          <w:p>
            <w:pPr>
              <w:ind w:firstLine="480" w:firstLineChars="200"/>
              <w:rPr>
                <w:rFonts w:ascii="宋体" w:hAnsi="宋体" w:cs="宋体"/>
                <w:sz w:val="24"/>
              </w:rPr>
            </w:pPr>
          </w:p>
        </w:tc>
        <w:tc>
          <w:tcPr>
            <w:tcW w:w="2126" w:type="dxa"/>
          </w:tcPr>
          <w:p>
            <w:pPr>
              <w:ind w:firstLine="480" w:firstLineChars="200"/>
              <w:rPr>
                <w:rFonts w:ascii="宋体" w:hAnsi="宋体" w:cs="宋体"/>
                <w:sz w:val="24"/>
              </w:rPr>
            </w:pPr>
          </w:p>
        </w:tc>
        <w:tc>
          <w:tcPr>
            <w:tcW w:w="2126" w:type="dxa"/>
          </w:tcPr>
          <w:p>
            <w:pPr>
              <w:ind w:firstLine="480" w:firstLineChars="200"/>
              <w:rPr>
                <w:rFonts w:ascii="宋体" w:hAnsi="宋体" w:cs="宋体"/>
                <w:sz w:val="24"/>
              </w:rPr>
            </w:pPr>
          </w:p>
        </w:tc>
        <w:tc>
          <w:tcPr>
            <w:tcW w:w="2262" w:type="dxa"/>
          </w:tcPr>
          <w:p>
            <w:pPr>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rPr>
                <w:rFonts w:ascii="宋体" w:hAnsi="宋体" w:cs="宋体"/>
                <w:sz w:val="24"/>
              </w:rPr>
            </w:pPr>
            <w:r>
              <w:rPr>
                <w:rFonts w:hint="eastAsia" w:ascii="宋体" w:hAnsi="宋体" w:cs="宋体"/>
                <w:sz w:val="24"/>
              </w:rPr>
              <w:t>……</w:t>
            </w:r>
          </w:p>
        </w:tc>
        <w:tc>
          <w:tcPr>
            <w:tcW w:w="1417" w:type="dxa"/>
          </w:tcPr>
          <w:p>
            <w:pPr>
              <w:ind w:firstLine="480" w:firstLineChars="200"/>
              <w:rPr>
                <w:rFonts w:ascii="宋体" w:hAnsi="宋体" w:cs="宋体"/>
                <w:sz w:val="24"/>
              </w:rPr>
            </w:pPr>
          </w:p>
        </w:tc>
        <w:tc>
          <w:tcPr>
            <w:tcW w:w="851" w:type="dxa"/>
          </w:tcPr>
          <w:p>
            <w:pPr>
              <w:ind w:firstLine="480" w:firstLineChars="200"/>
              <w:rPr>
                <w:rFonts w:ascii="宋体" w:hAnsi="宋体" w:cs="宋体"/>
                <w:sz w:val="24"/>
              </w:rPr>
            </w:pPr>
          </w:p>
        </w:tc>
        <w:tc>
          <w:tcPr>
            <w:tcW w:w="2126" w:type="dxa"/>
          </w:tcPr>
          <w:p>
            <w:pPr>
              <w:ind w:firstLine="480" w:firstLineChars="200"/>
              <w:rPr>
                <w:rFonts w:ascii="宋体" w:hAnsi="宋体" w:cs="宋体"/>
                <w:sz w:val="24"/>
              </w:rPr>
            </w:pPr>
          </w:p>
        </w:tc>
        <w:tc>
          <w:tcPr>
            <w:tcW w:w="2126" w:type="dxa"/>
          </w:tcPr>
          <w:p>
            <w:pPr>
              <w:ind w:firstLine="480" w:firstLineChars="200"/>
              <w:rPr>
                <w:rFonts w:ascii="宋体" w:hAnsi="宋体" w:cs="宋体"/>
                <w:sz w:val="24"/>
              </w:rPr>
            </w:pPr>
          </w:p>
        </w:tc>
        <w:tc>
          <w:tcPr>
            <w:tcW w:w="2262" w:type="dxa"/>
          </w:tcPr>
          <w:p>
            <w:pPr>
              <w:ind w:firstLine="480" w:firstLineChars="200"/>
              <w:rPr>
                <w:rFonts w:ascii="宋体" w:hAnsi="宋体" w:cs="宋体"/>
                <w:sz w:val="24"/>
              </w:rPr>
            </w:pPr>
          </w:p>
        </w:tc>
      </w:tr>
    </w:tbl>
    <w:p>
      <w:pPr>
        <w:ind w:firstLine="480" w:firstLineChars="200"/>
        <w:rPr>
          <w:rFonts w:ascii="宋体" w:hAnsi="宋体" w:cs="宋体"/>
          <w:sz w:val="24"/>
        </w:rPr>
      </w:pPr>
      <w:r>
        <w:rPr>
          <w:rFonts w:hint="eastAsia" w:ascii="宋体" w:hAnsi="宋体" w:cs="宋体"/>
          <w:sz w:val="24"/>
        </w:rPr>
        <w:t>单位公章：</w:t>
      </w:r>
    </w:p>
    <w:p>
      <w:pPr>
        <w:ind w:firstLine="480" w:firstLineChars="200"/>
        <w:rPr>
          <w:rFonts w:ascii="宋体" w:hAnsi="宋体" w:cs="宋体"/>
          <w:sz w:val="24"/>
        </w:rPr>
      </w:pPr>
      <w:r>
        <w:rPr>
          <w:rFonts w:hint="eastAsia" w:ascii="宋体" w:hAnsi="宋体" w:cs="宋体"/>
          <w:sz w:val="24"/>
        </w:rPr>
        <w:t>法定代表人签字或盖章：</w:t>
      </w:r>
    </w:p>
    <w:p>
      <w:pPr>
        <w:ind w:firstLine="480" w:firstLineChars="200"/>
        <w:rPr>
          <w:rFonts w:ascii="宋体" w:hAnsi="宋体" w:cs="宋体"/>
          <w:sz w:val="24"/>
        </w:rPr>
      </w:pPr>
      <w:r>
        <w:rPr>
          <w:rFonts w:hint="eastAsia" w:ascii="宋体" w:hAnsi="宋体" w:cs="宋体"/>
          <w:sz w:val="24"/>
        </w:rPr>
        <w:t>授权代表签字或盖章：</w:t>
      </w:r>
    </w:p>
    <w:p>
      <w:pPr>
        <w:ind w:firstLine="480" w:firstLineChars="200"/>
        <w:rPr>
          <w:rFonts w:ascii="宋体" w:hAnsi="宋体" w:cs="宋体"/>
          <w:sz w:val="24"/>
        </w:rPr>
      </w:pPr>
      <w:r>
        <w:rPr>
          <w:rFonts w:hint="eastAsia" w:ascii="宋体" w:hAnsi="宋体" w:cs="宋体"/>
          <w:sz w:val="24"/>
        </w:rPr>
        <w:t>日期：20  年  月  日</w:t>
      </w: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ind w:firstLine="482" w:firstLineChars="200"/>
        <w:jc w:val="center"/>
        <w:rPr>
          <w:rFonts w:ascii="宋体" w:hAnsi="宋体" w:cs="宋体"/>
          <w:b/>
          <w:bCs/>
          <w:sz w:val="24"/>
          <w:szCs w:val="24"/>
        </w:rPr>
      </w:pPr>
    </w:p>
    <w:p>
      <w:pPr>
        <w:jc w:val="center"/>
        <w:rPr>
          <w:rFonts w:ascii="宋体" w:hAnsi="宋体" w:cs="宋体"/>
          <w:b/>
          <w:bCs/>
          <w:sz w:val="24"/>
          <w:szCs w:val="24"/>
        </w:rPr>
      </w:pPr>
      <w:r>
        <w:rPr>
          <w:rFonts w:hint="eastAsia" w:ascii="宋体" w:hAnsi="宋体" w:cs="宋体"/>
          <w:b/>
          <w:bCs/>
          <w:sz w:val="24"/>
          <w:szCs w:val="24"/>
        </w:rPr>
        <w:t>12、投标人认为的其他资料及附件格式自拟</w:t>
      </w:r>
    </w:p>
    <w:sectPr>
      <w:type w:val="continuous"/>
      <w:pgSz w:w="11906" w:h="16838"/>
      <w:pgMar w:top="720" w:right="1086" w:bottom="720" w:left="1160" w:header="851" w:footer="992" w:gutter="0"/>
      <w:pgNumType w:fmt="decimal"/>
      <w:cols w:space="720" w:num="1"/>
      <w:docGrid w:type="lines" w:linePitch="40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ashDotStroked" w:color="auto" w:sz="24" w:space="1"/>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right" w:y="1"/>
      <w:rPr>
        <w:rStyle w:val="37"/>
      </w:rPr>
    </w:pPr>
    <w:r>
      <w:fldChar w:fldCharType="begin"/>
    </w:r>
    <w:r>
      <w:rPr>
        <w:rStyle w:val="37"/>
      </w:rPr>
      <w:instrText xml:space="preserve">PAGE  </w:instrText>
    </w:r>
    <w:r>
      <w:fldChar w:fldCharType="end"/>
    </w:r>
  </w:p>
  <w:p>
    <w:pPr>
      <w:pStyle w:val="2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ashDotStroked" w:color="auto" w:sz="24" w:space="1"/>
      </w:pBd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ashDotStroked" w:color="auto" w:sz="24" w:space="1"/>
      </w:pBdr>
      <w:tabs>
        <w:tab w:val="clear" w:pos="4153"/>
        <w:tab w:val="clear" w:pos="8306"/>
      </w:tabs>
      <w:ind w:firstLine="177" w:firstLineChars="98"/>
      <w:rPr>
        <w:rFonts w:hint="eastAsia" w:ascii="宋体" w:hAnsi="宋体" w:eastAsia="宋体"/>
        <w:b/>
        <w:bCs/>
        <w:i/>
        <w:iCs/>
        <w:color w:val="000000"/>
        <w:lang w:eastAsia="zh-CN"/>
      </w:rPr>
    </w:pPr>
    <w:r>
      <w:rPr>
        <w:rFonts w:hint="eastAsia"/>
        <w:b/>
        <w:bCs/>
        <w:i/>
        <w:iCs/>
        <w:color w:val="000000"/>
        <w:lang w:val="en-US" w:eastAsia="zh-CN"/>
      </w:rPr>
      <w:t>乌鲁木齐市水磨沟区第十二幼儿园幼儿园玩、教具设备采购项目</w:t>
    </w:r>
    <w:r>
      <w:rPr>
        <w:rFonts w:hint="eastAsia"/>
        <w:b/>
        <w:bCs/>
        <w:i/>
        <w:iCs/>
        <w:color w:val="000000"/>
      </w:rPr>
      <w:t xml:space="preserve">                   </w:t>
    </w:r>
    <w:r>
      <w:rPr>
        <w:rFonts w:hint="eastAsia"/>
        <w:b/>
        <w:bCs/>
        <w:i/>
        <w:iCs/>
        <w:color w:val="000000"/>
        <w:lang w:val="en-US" w:eastAsia="zh-CN"/>
      </w:rPr>
      <w:t xml:space="preserve">               </w:t>
    </w:r>
    <w:r>
      <w:rPr>
        <w:rFonts w:hint="eastAsia"/>
        <w:b/>
        <w:bCs/>
        <w:i/>
        <w:iCs/>
        <w:color w:val="000000"/>
      </w:rPr>
      <w:t xml:space="preserve">   </w:t>
    </w:r>
    <w:r>
      <w:rPr>
        <w:rFonts w:hint="eastAsia"/>
        <w:b/>
        <w:bCs/>
        <w:i/>
        <w:iCs/>
        <w:color w:val="000000"/>
        <w:lang w:eastAsia="zh-CN"/>
      </w:rPr>
      <w:t>hcxjczt-2021-342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top w:val="dashDotStroked" w:color="auto" w:sz="24" w:space="1"/>
      </w:pBdr>
      <w:tabs>
        <w:tab w:val="clear" w:pos="4153"/>
        <w:tab w:val="clear" w:pos="8306"/>
      </w:tabs>
      <w:ind w:firstLine="177" w:firstLineChars="98"/>
      <w:rPr>
        <w:rFonts w:hint="default" w:eastAsia="宋体"/>
        <w:i/>
        <w:iCs/>
        <w:lang w:val="en-US" w:eastAsia="zh-CN"/>
      </w:rPr>
    </w:pPr>
    <w:r>
      <w:rPr>
        <w:rFonts w:hint="eastAsia"/>
        <w:b/>
        <w:bCs/>
        <w:i/>
        <w:iCs/>
        <w:color w:val="000000"/>
        <w:lang w:val="en-US" w:eastAsia="zh-CN"/>
      </w:rPr>
      <w:t>乌鲁木齐市水磨沟区第十二幼儿园幼儿园玩、教具设备采购项目</w:t>
    </w:r>
    <w:r>
      <w:rPr>
        <w:rFonts w:hint="eastAsia"/>
        <w:b/>
        <w:bCs/>
        <w:i/>
        <w:iCs/>
        <w:color w:val="000000"/>
      </w:rPr>
      <w:t xml:space="preserve">                 </w:t>
    </w:r>
    <w:r>
      <w:rPr>
        <w:rFonts w:hint="eastAsia"/>
        <w:b/>
        <w:bCs/>
        <w:i/>
        <w:iCs/>
        <w:color w:val="000000"/>
        <w:lang w:val="en-US" w:eastAsia="zh-CN"/>
      </w:rPr>
      <w:t xml:space="preserve">         </w:t>
    </w:r>
    <w:r>
      <w:rPr>
        <w:rFonts w:hint="eastAsia"/>
        <w:b/>
        <w:bCs/>
        <w:i/>
        <w:iCs/>
        <w:color w:val="000000"/>
      </w:rPr>
      <w:t xml:space="preserve">      </w:t>
    </w:r>
    <w:r>
      <w:rPr>
        <w:rFonts w:hint="eastAsia"/>
        <w:b/>
        <w:bCs/>
        <w:i/>
        <w:iCs/>
        <w:color w:val="000000"/>
        <w:lang w:eastAsia="zh-CN"/>
      </w:rPr>
      <w:t>hcxjczt-2021-342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68CA27"/>
    <w:multiLevelType w:val="singleLevel"/>
    <w:tmpl w:val="BA68CA27"/>
    <w:lvl w:ilvl="0" w:tentative="0">
      <w:start w:val="3"/>
      <w:numFmt w:val="chineseCounting"/>
      <w:suff w:val="nothing"/>
      <w:lvlText w:val="%1、"/>
      <w:lvlJc w:val="left"/>
      <w:rPr>
        <w:rFonts w:hint="eastAsia"/>
      </w:rPr>
    </w:lvl>
  </w:abstractNum>
  <w:abstractNum w:abstractNumId="1">
    <w:nsid w:val="C09407EC"/>
    <w:multiLevelType w:val="singleLevel"/>
    <w:tmpl w:val="C09407EC"/>
    <w:lvl w:ilvl="0" w:tentative="0">
      <w:start w:val="20"/>
      <w:numFmt w:val="decimal"/>
      <w:lvlText w:val="%1."/>
      <w:lvlJc w:val="left"/>
      <w:pPr>
        <w:tabs>
          <w:tab w:val="left" w:pos="312"/>
        </w:tabs>
      </w:pPr>
    </w:lvl>
  </w:abstractNum>
  <w:abstractNum w:abstractNumId="2">
    <w:nsid w:val="13A95EE0"/>
    <w:multiLevelType w:val="singleLevel"/>
    <w:tmpl w:val="13A95EE0"/>
    <w:lvl w:ilvl="0" w:tentative="0">
      <w:start w:val="1"/>
      <w:numFmt w:val="decimal"/>
      <w:lvlText w:val="（%1）"/>
      <w:lvlJc w:val="left"/>
      <w:pPr>
        <w:tabs>
          <w:tab w:val="left" w:pos="1440"/>
        </w:tabs>
        <w:ind w:left="1440" w:hanging="900"/>
      </w:pPr>
      <w:rPr>
        <w:rFonts w:hint="eastAsia"/>
      </w:rPr>
    </w:lvl>
  </w:abstractNum>
  <w:abstractNum w:abstractNumId="3">
    <w:nsid w:val="38E72660"/>
    <w:multiLevelType w:val="multilevel"/>
    <w:tmpl w:val="38E72660"/>
    <w:lvl w:ilvl="0" w:tentative="0">
      <w:start w:val="1"/>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4">
    <w:nsid w:val="49B734B3"/>
    <w:multiLevelType w:val="singleLevel"/>
    <w:tmpl w:val="49B734B3"/>
    <w:lvl w:ilvl="0" w:tentative="0">
      <w:start w:val="4"/>
      <w:numFmt w:val="chineseCounting"/>
      <w:suff w:val="space"/>
      <w:lvlText w:val="第%1部分"/>
      <w:lvlJc w:val="left"/>
      <w:rPr>
        <w:rFonts w:hint="eastAsia"/>
      </w:rPr>
    </w:lvl>
  </w:abstractNum>
  <w:abstractNum w:abstractNumId="5">
    <w:nsid w:val="57DC6833"/>
    <w:multiLevelType w:val="multilevel"/>
    <w:tmpl w:val="57DC6833"/>
    <w:lvl w:ilvl="0" w:tentative="0">
      <w:start w:val="1"/>
      <w:numFmt w:val="japaneseCounting"/>
      <w:lvlText w:val="%1、"/>
      <w:lvlJc w:val="left"/>
      <w:pPr>
        <w:ind w:left="990" w:hanging="51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6C4112A0"/>
    <w:multiLevelType w:val="singleLevel"/>
    <w:tmpl w:val="6C4112A0"/>
    <w:lvl w:ilvl="0" w:tentative="0">
      <w:start w:val="1"/>
      <w:numFmt w:val="decimal"/>
      <w:lvlText w:val="%1."/>
      <w:lvlJc w:val="left"/>
      <w:pPr>
        <w:tabs>
          <w:tab w:val="left" w:pos="312"/>
        </w:tabs>
      </w:pPr>
    </w:lvl>
  </w:abstractNum>
  <w:num w:numId="1">
    <w:abstractNumId w:val="0"/>
  </w:num>
  <w:num w:numId="2">
    <w:abstractNumId w:val="3"/>
  </w:num>
  <w:num w:numId="3">
    <w:abstractNumId w:val="2"/>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40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4650"/>
    <w:rsid w:val="00036A89"/>
    <w:rsid w:val="000425A0"/>
    <w:rsid w:val="0005425A"/>
    <w:rsid w:val="00064EFA"/>
    <w:rsid w:val="0006542F"/>
    <w:rsid w:val="00073F02"/>
    <w:rsid w:val="00082A2C"/>
    <w:rsid w:val="000840DE"/>
    <w:rsid w:val="0009612E"/>
    <w:rsid w:val="000A6DF1"/>
    <w:rsid w:val="000B13AC"/>
    <w:rsid w:val="000C1A30"/>
    <w:rsid w:val="000C3AEE"/>
    <w:rsid w:val="000D0FB3"/>
    <w:rsid w:val="000D5F95"/>
    <w:rsid w:val="000E4B4D"/>
    <w:rsid w:val="00100E18"/>
    <w:rsid w:val="00122D47"/>
    <w:rsid w:val="001243B6"/>
    <w:rsid w:val="001468F3"/>
    <w:rsid w:val="00146B6B"/>
    <w:rsid w:val="00147FF3"/>
    <w:rsid w:val="001506BC"/>
    <w:rsid w:val="00150F04"/>
    <w:rsid w:val="0016211E"/>
    <w:rsid w:val="00170231"/>
    <w:rsid w:val="00172A27"/>
    <w:rsid w:val="00176CD0"/>
    <w:rsid w:val="0017789E"/>
    <w:rsid w:val="00181A1F"/>
    <w:rsid w:val="00182453"/>
    <w:rsid w:val="00186D4E"/>
    <w:rsid w:val="0019439C"/>
    <w:rsid w:val="001C35A7"/>
    <w:rsid w:val="001D066D"/>
    <w:rsid w:val="002141AE"/>
    <w:rsid w:val="0022583C"/>
    <w:rsid w:val="00241D9A"/>
    <w:rsid w:val="002511A3"/>
    <w:rsid w:val="002535CF"/>
    <w:rsid w:val="00262605"/>
    <w:rsid w:val="0026486A"/>
    <w:rsid w:val="00281B38"/>
    <w:rsid w:val="00284F22"/>
    <w:rsid w:val="002A5A60"/>
    <w:rsid w:val="002C7F2E"/>
    <w:rsid w:val="002D5AC0"/>
    <w:rsid w:val="002E11BC"/>
    <w:rsid w:val="002F05DC"/>
    <w:rsid w:val="002F4340"/>
    <w:rsid w:val="002F43D5"/>
    <w:rsid w:val="003013D3"/>
    <w:rsid w:val="003041F9"/>
    <w:rsid w:val="003165AF"/>
    <w:rsid w:val="00320D76"/>
    <w:rsid w:val="00331DC5"/>
    <w:rsid w:val="00344D55"/>
    <w:rsid w:val="00346205"/>
    <w:rsid w:val="00362AFB"/>
    <w:rsid w:val="00370DF1"/>
    <w:rsid w:val="0037168C"/>
    <w:rsid w:val="003A645F"/>
    <w:rsid w:val="003B0C90"/>
    <w:rsid w:val="003B494C"/>
    <w:rsid w:val="003C23AC"/>
    <w:rsid w:val="003D1996"/>
    <w:rsid w:val="003F00C7"/>
    <w:rsid w:val="003F0240"/>
    <w:rsid w:val="003F2130"/>
    <w:rsid w:val="00403F3E"/>
    <w:rsid w:val="0040568E"/>
    <w:rsid w:val="00422D04"/>
    <w:rsid w:val="00435E6B"/>
    <w:rsid w:val="00436FDD"/>
    <w:rsid w:val="004536E3"/>
    <w:rsid w:val="004575AF"/>
    <w:rsid w:val="004616CB"/>
    <w:rsid w:val="00475972"/>
    <w:rsid w:val="00482333"/>
    <w:rsid w:val="0048398C"/>
    <w:rsid w:val="00490CEA"/>
    <w:rsid w:val="004B5550"/>
    <w:rsid w:val="004C0FEC"/>
    <w:rsid w:val="004D4802"/>
    <w:rsid w:val="004D7252"/>
    <w:rsid w:val="004E029E"/>
    <w:rsid w:val="0053150A"/>
    <w:rsid w:val="005331D3"/>
    <w:rsid w:val="00545412"/>
    <w:rsid w:val="00546B79"/>
    <w:rsid w:val="0056504C"/>
    <w:rsid w:val="0057757F"/>
    <w:rsid w:val="005837D9"/>
    <w:rsid w:val="00587F42"/>
    <w:rsid w:val="005A210C"/>
    <w:rsid w:val="005A3CB5"/>
    <w:rsid w:val="005A49EA"/>
    <w:rsid w:val="005B01D9"/>
    <w:rsid w:val="005B1758"/>
    <w:rsid w:val="005B5BD1"/>
    <w:rsid w:val="005C6EA8"/>
    <w:rsid w:val="005D0851"/>
    <w:rsid w:val="005D0941"/>
    <w:rsid w:val="005D1C4E"/>
    <w:rsid w:val="005D2898"/>
    <w:rsid w:val="00605D68"/>
    <w:rsid w:val="00606D35"/>
    <w:rsid w:val="00611ACC"/>
    <w:rsid w:val="00611B65"/>
    <w:rsid w:val="00624552"/>
    <w:rsid w:val="006333E4"/>
    <w:rsid w:val="00643AE8"/>
    <w:rsid w:val="00657D30"/>
    <w:rsid w:val="00657D6D"/>
    <w:rsid w:val="00677008"/>
    <w:rsid w:val="00686954"/>
    <w:rsid w:val="006929D6"/>
    <w:rsid w:val="006A6A06"/>
    <w:rsid w:val="006D548D"/>
    <w:rsid w:val="006E05DB"/>
    <w:rsid w:val="007006F4"/>
    <w:rsid w:val="007176E6"/>
    <w:rsid w:val="00724CFE"/>
    <w:rsid w:val="007252B9"/>
    <w:rsid w:val="00736F86"/>
    <w:rsid w:val="0074200E"/>
    <w:rsid w:val="0074765C"/>
    <w:rsid w:val="0074781A"/>
    <w:rsid w:val="00756E2C"/>
    <w:rsid w:val="00766F56"/>
    <w:rsid w:val="007906DF"/>
    <w:rsid w:val="0079749F"/>
    <w:rsid w:val="007A6883"/>
    <w:rsid w:val="007B4151"/>
    <w:rsid w:val="007C0157"/>
    <w:rsid w:val="007C391F"/>
    <w:rsid w:val="007C67CA"/>
    <w:rsid w:val="007D14B5"/>
    <w:rsid w:val="007E3771"/>
    <w:rsid w:val="007E5C76"/>
    <w:rsid w:val="0081325F"/>
    <w:rsid w:val="00820889"/>
    <w:rsid w:val="00825A39"/>
    <w:rsid w:val="00840937"/>
    <w:rsid w:val="0084281E"/>
    <w:rsid w:val="008462BD"/>
    <w:rsid w:val="00852B21"/>
    <w:rsid w:val="008A421C"/>
    <w:rsid w:val="008A5826"/>
    <w:rsid w:val="008B05FF"/>
    <w:rsid w:val="008D201D"/>
    <w:rsid w:val="008E6BA1"/>
    <w:rsid w:val="008F7A58"/>
    <w:rsid w:val="00905E06"/>
    <w:rsid w:val="00934683"/>
    <w:rsid w:val="0094066B"/>
    <w:rsid w:val="00945987"/>
    <w:rsid w:val="009538C3"/>
    <w:rsid w:val="00976C40"/>
    <w:rsid w:val="009838B2"/>
    <w:rsid w:val="00983D86"/>
    <w:rsid w:val="0098603A"/>
    <w:rsid w:val="00987DE1"/>
    <w:rsid w:val="00992C1C"/>
    <w:rsid w:val="009A321E"/>
    <w:rsid w:val="009A3F0D"/>
    <w:rsid w:val="009A5A6C"/>
    <w:rsid w:val="009C1B8D"/>
    <w:rsid w:val="009E5E78"/>
    <w:rsid w:val="00A0052D"/>
    <w:rsid w:val="00A12332"/>
    <w:rsid w:val="00A13D66"/>
    <w:rsid w:val="00A15AE2"/>
    <w:rsid w:val="00A15F73"/>
    <w:rsid w:val="00A16FAD"/>
    <w:rsid w:val="00A1792D"/>
    <w:rsid w:val="00A377F3"/>
    <w:rsid w:val="00A37B89"/>
    <w:rsid w:val="00A4238B"/>
    <w:rsid w:val="00A53906"/>
    <w:rsid w:val="00A629A0"/>
    <w:rsid w:val="00A65F40"/>
    <w:rsid w:val="00A66C6C"/>
    <w:rsid w:val="00A71F72"/>
    <w:rsid w:val="00A73D57"/>
    <w:rsid w:val="00A74CE4"/>
    <w:rsid w:val="00A858B7"/>
    <w:rsid w:val="00A916EB"/>
    <w:rsid w:val="00AA189C"/>
    <w:rsid w:val="00AB003D"/>
    <w:rsid w:val="00AC5F83"/>
    <w:rsid w:val="00AD6880"/>
    <w:rsid w:val="00AF11C2"/>
    <w:rsid w:val="00AF4544"/>
    <w:rsid w:val="00B004A5"/>
    <w:rsid w:val="00B065CF"/>
    <w:rsid w:val="00B22E17"/>
    <w:rsid w:val="00B501DC"/>
    <w:rsid w:val="00B61965"/>
    <w:rsid w:val="00B703B7"/>
    <w:rsid w:val="00B83BAD"/>
    <w:rsid w:val="00B8684C"/>
    <w:rsid w:val="00BA13F8"/>
    <w:rsid w:val="00BA49CC"/>
    <w:rsid w:val="00BC253A"/>
    <w:rsid w:val="00BD3A00"/>
    <w:rsid w:val="00BD7399"/>
    <w:rsid w:val="00BE4AAB"/>
    <w:rsid w:val="00BF5110"/>
    <w:rsid w:val="00C042CF"/>
    <w:rsid w:val="00C131B5"/>
    <w:rsid w:val="00C14E72"/>
    <w:rsid w:val="00C20AA2"/>
    <w:rsid w:val="00C27FCE"/>
    <w:rsid w:val="00C4142E"/>
    <w:rsid w:val="00C4338B"/>
    <w:rsid w:val="00C5576C"/>
    <w:rsid w:val="00C603AE"/>
    <w:rsid w:val="00C71F95"/>
    <w:rsid w:val="00C84ECB"/>
    <w:rsid w:val="00C90B45"/>
    <w:rsid w:val="00C919C1"/>
    <w:rsid w:val="00C94A2E"/>
    <w:rsid w:val="00CA693D"/>
    <w:rsid w:val="00CD46BD"/>
    <w:rsid w:val="00CD64B9"/>
    <w:rsid w:val="00CE6EE4"/>
    <w:rsid w:val="00D033CF"/>
    <w:rsid w:val="00D123A0"/>
    <w:rsid w:val="00D13A0F"/>
    <w:rsid w:val="00D31F76"/>
    <w:rsid w:val="00D346F6"/>
    <w:rsid w:val="00D42C04"/>
    <w:rsid w:val="00D449DE"/>
    <w:rsid w:val="00D504F4"/>
    <w:rsid w:val="00D554A1"/>
    <w:rsid w:val="00D55B0D"/>
    <w:rsid w:val="00D600C1"/>
    <w:rsid w:val="00D71472"/>
    <w:rsid w:val="00D72269"/>
    <w:rsid w:val="00D734F5"/>
    <w:rsid w:val="00D8368C"/>
    <w:rsid w:val="00D84D53"/>
    <w:rsid w:val="00D923FA"/>
    <w:rsid w:val="00D93B85"/>
    <w:rsid w:val="00DA5DAC"/>
    <w:rsid w:val="00DB0D83"/>
    <w:rsid w:val="00DB4169"/>
    <w:rsid w:val="00DD2471"/>
    <w:rsid w:val="00DD3886"/>
    <w:rsid w:val="00DD66F0"/>
    <w:rsid w:val="00DE5065"/>
    <w:rsid w:val="00DF3C4A"/>
    <w:rsid w:val="00DF6329"/>
    <w:rsid w:val="00E06217"/>
    <w:rsid w:val="00E15328"/>
    <w:rsid w:val="00E25566"/>
    <w:rsid w:val="00E25617"/>
    <w:rsid w:val="00E30650"/>
    <w:rsid w:val="00E34463"/>
    <w:rsid w:val="00E55B16"/>
    <w:rsid w:val="00E72F0D"/>
    <w:rsid w:val="00E84DCC"/>
    <w:rsid w:val="00E906A9"/>
    <w:rsid w:val="00E90D49"/>
    <w:rsid w:val="00E97279"/>
    <w:rsid w:val="00EC004E"/>
    <w:rsid w:val="00EE05B0"/>
    <w:rsid w:val="00EF3DF6"/>
    <w:rsid w:val="00EF7F78"/>
    <w:rsid w:val="00EF7FE5"/>
    <w:rsid w:val="00F04C3D"/>
    <w:rsid w:val="00F20292"/>
    <w:rsid w:val="00F65FBF"/>
    <w:rsid w:val="00F7290F"/>
    <w:rsid w:val="00F72E74"/>
    <w:rsid w:val="00F758D0"/>
    <w:rsid w:val="00FA7F55"/>
    <w:rsid w:val="00FB688F"/>
    <w:rsid w:val="00FC7F07"/>
    <w:rsid w:val="00FF202B"/>
    <w:rsid w:val="01002370"/>
    <w:rsid w:val="01205CFA"/>
    <w:rsid w:val="01D83A1A"/>
    <w:rsid w:val="02050BC8"/>
    <w:rsid w:val="021B0179"/>
    <w:rsid w:val="02336F7A"/>
    <w:rsid w:val="02656D7A"/>
    <w:rsid w:val="02791DD6"/>
    <w:rsid w:val="028F2510"/>
    <w:rsid w:val="031F034F"/>
    <w:rsid w:val="03750701"/>
    <w:rsid w:val="03B66170"/>
    <w:rsid w:val="03CB4763"/>
    <w:rsid w:val="03D2252A"/>
    <w:rsid w:val="04095A9A"/>
    <w:rsid w:val="042416F3"/>
    <w:rsid w:val="042B70DE"/>
    <w:rsid w:val="046269F5"/>
    <w:rsid w:val="046E162C"/>
    <w:rsid w:val="04C30D51"/>
    <w:rsid w:val="04EF622F"/>
    <w:rsid w:val="04F77100"/>
    <w:rsid w:val="050234C4"/>
    <w:rsid w:val="05452FB8"/>
    <w:rsid w:val="055A0EB4"/>
    <w:rsid w:val="055C34D4"/>
    <w:rsid w:val="056D2AA7"/>
    <w:rsid w:val="05712F1A"/>
    <w:rsid w:val="05D96B92"/>
    <w:rsid w:val="05DB5D0B"/>
    <w:rsid w:val="06013315"/>
    <w:rsid w:val="0637685F"/>
    <w:rsid w:val="065C388F"/>
    <w:rsid w:val="068257F5"/>
    <w:rsid w:val="06B51842"/>
    <w:rsid w:val="06D63A79"/>
    <w:rsid w:val="07587677"/>
    <w:rsid w:val="07E62A60"/>
    <w:rsid w:val="0803725F"/>
    <w:rsid w:val="0844046D"/>
    <w:rsid w:val="0883571F"/>
    <w:rsid w:val="08E9504B"/>
    <w:rsid w:val="08EB37F1"/>
    <w:rsid w:val="091D11E0"/>
    <w:rsid w:val="09283FF7"/>
    <w:rsid w:val="097F6879"/>
    <w:rsid w:val="09C941C0"/>
    <w:rsid w:val="09FD3047"/>
    <w:rsid w:val="0A66650F"/>
    <w:rsid w:val="0ABF4E2F"/>
    <w:rsid w:val="0B0D5F82"/>
    <w:rsid w:val="0B161ACC"/>
    <w:rsid w:val="0B18542D"/>
    <w:rsid w:val="0B28411A"/>
    <w:rsid w:val="0B3C3973"/>
    <w:rsid w:val="0B3D24B7"/>
    <w:rsid w:val="0B5A3FC0"/>
    <w:rsid w:val="0B6077CA"/>
    <w:rsid w:val="0BD97819"/>
    <w:rsid w:val="0BEB7BE0"/>
    <w:rsid w:val="0BFD4420"/>
    <w:rsid w:val="0C4F2C3A"/>
    <w:rsid w:val="0C6B5151"/>
    <w:rsid w:val="0CEF6C73"/>
    <w:rsid w:val="0CFA1BB5"/>
    <w:rsid w:val="0D215ED9"/>
    <w:rsid w:val="0D2D363A"/>
    <w:rsid w:val="0D531053"/>
    <w:rsid w:val="0D704C12"/>
    <w:rsid w:val="0DB64309"/>
    <w:rsid w:val="0DC60162"/>
    <w:rsid w:val="0DD37667"/>
    <w:rsid w:val="0DFA754A"/>
    <w:rsid w:val="0E171581"/>
    <w:rsid w:val="0E1B3D11"/>
    <w:rsid w:val="0E51284A"/>
    <w:rsid w:val="0E8912C6"/>
    <w:rsid w:val="0EB62561"/>
    <w:rsid w:val="0EF62022"/>
    <w:rsid w:val="0F2B405E"/>
    <w:rsid w:val="0F7A1EC2"/>
    <w:rsid w:val="0FC105A9"/>
    <w:rsid w:val="0FD73301"/>
    <w:rsid w:val="101D30A6"/>
    <w:rsid w:val="10395DAE"/>
    <w:rsid w:val="105C6B23"/>
    <w:rsid w:val="10A205C1"/>
    <w:rsid w:val="10A80C54"/>
    <w:rsid w:val="10BF4BB0"/>
    <w:rsid w:val="10FA6A2B"/>
    <w:rsid w:val="10FE3D73"/>
    <w:rsid w:val="114B329D"/>
    <w:rsid w:val="114D63F5"/>
    <w:rsid w:val="115964DB"/>
    <w:rsid w:val="11D77DC7"/>
    <w:rsid w:val="12341F68"/>
    <w:rsid w:val="12550A64"/>
    <w:rsid w:val="12EB3B25"/>
    <w:rsid w:val="13317CFC"/>
    <w:rsid w:val="13BE18FA"/>
    <w:rsid w:val="13D53995"/>
    <w:rsid w:val="14085C31"/>
    <w:rsid w:val="144D7F0F"/>
    <w:rsid w:val="1464566E"/>
    <w:rsid w:val="147502A3"/>
    <w:rsid w:val="14885DC2"/>
    <w:rsid w:val="15164BED"/>
    <w:rsid w:val="15A23DB1"/>
    <w:rsid w:val="15AB5FE5"/>
    <w:rsid w:val="166B0ED1"/>
    <w:rsid w:val="16913F9D"/>
    <w:rsid w:val="17514158"/>
    <w:rsid w:val="17C07952"/>
    <w:rsid w:val="17D0300D"/>
    <w:rsid w:val="18095D91"/>
    <w:rsid w:val="18651B68"/>
    <w:rsid w:val="189A7A51"/>
    <w:rsid w:val="18AC79B2"/>
    <w:rsid w:val="197C735E"/>
    <w:rsid w:val="19AE02FD"/>
    <w:rsid w:val="19CA0C15"/>
    <w:rsid w:val="19CB2ADF"/>
    <w:rsid w:val="19FC33A9"/>
    <w:rsid w:val="1A2A3B02"/>
    <w:rsid w:val="1A375C00"/>
    <w:rsid w:val="1A6342E8"/>
    <w:rsid w:val="1A9A71C9"/>
    <w:rsid w:val="1AC11EAB"/>
    <w:rsid w:val="1AC51818"/>
    <w:rsid w:val="1ADF4337"/>
    <w:rsid w:val="1AE37392"/>
    <w:rsid w:val="1AFF1E8B"/>
    <w:rsid w:val="1B0654F4"/>
    <w:rsid w:val="1B8F0037"/>
    <w:rsid w:val="1BA442D4"/>
    <w:rsid w:val="1C4210C5"/>
    <w:rsid w:val="1C531FE9"/>
    <w:rsid w:val="1C586237"/>
    <w:rsid w:val="1CC23A74"/>
    <w:rsid w:val="1CEC0E75"/>
    <w:rsid w:val="1D0E118D"/>
    <w:rsid w:val="1D1B294F"/>
    <w:rsid w:val="1D7A67A3"/>
    <w:rsid w:val="1D9678FA"/>
    <w:rsid w:val="1DA44C61"/>
    <w:rsid w:val="1E3347CD"/>
    <w:rsid w:val="1E455734"/>
    <w:rsid w:val="1EAD53A8"/>
    <w:rsid w:val="1EC72CA2"/>
    <w:rsid w:val="1EEF04C7"/>
    <w:rsid w:val="1F2D262D"/>
    <w:rsid w:val="1F412F54"/>
    <w:rsid w:val="1F7E6E19"/>
    <w:rsid w:val="1FA05434"/>
    <w:rsid w:val="1FAC14F6"/>
    <w:rsid w:val="1FB911FE"/>
    <w:rsid w:val="1FC51CD2"/>
    <w:rsid w:val="20961D88"/>
    <w:rsid w:val="21442374"/>
    <w:rsid w:val="21490DDE"/>
    <w:rsid w:val="214C4458"/>
    <w:rsid w:val="21A84038"/>
    <w:rsid w:val="224E57F5"/>
    <w:rsid w:val="22583818"/>
    <w:rsid w:val="230A1DA9"/>
    <w:rsid w:val="238C2C56"/>
    <w:rsid w:val="23E5087C"/>
    <w:rsid w:val="24002F4B"/>
    <w:rsid w:val="24090E83"/>
    <w:rsid w:val="240D1B40"/>
    <w:rsid w:val="24163028"/>
    <w:rsid w:val="243F45B2"/>
    <w:rsid w:val="245D12D7"/>
    <w:rsid w:val="24883696"/>
    <w:rsid w:val="257A2624"/>
    <w:rsid w:val="25A51FB4"/>
    <w:rsid w:val="25BF70C1"/>
    <w:rsid w:val="25C3015C"/>
    <w:rsid w:val="25C83E9F"/>
    <w:rsid w:val="25E90FA8"/>
    <w:rsid w:val="26125B93"/>
    <w:rsid w:val="26271550"/>
    <w:rsid w:val="26350355"/>
    <w:rsid w:val="264B68E9"/>
    <w:rsid w:val="27A8284B"/>
    <w:rsid w:val="281D7963"/>
    <w:rsid w:val="289C5A9D"/>
    <w:rsid w:val="28B069D1"/>
    <w:rsid w:val="28FE2ED0"/>
    <w:rsid w:val="290B772D"/>
    <w:rsid w:val="29DD2E45"/>
    <w:rsid w:val="2B2B7A7D"/>
    <w:rsid w:val="2B8960B8"/>
    <w:rsid w:val="2BAE480A"/>
    <w:rsid w:val="2C0F0A70"/>
    <w:rsid w:val="2C677DB4"/>
    <w:rsid w:val="2CCB4745"/>
    <w:rsid w:val="2DB3564E"/>
    <w:rsid w:val="2DC72317"/>
    <w:rsid w:val="2E531DC1"/>
    <w:rsid w:val="2E556071"/>
    <w:rsid w:val="2E7B0769"/>
    <w:rsid w:val="2E9B4948"/>
    <w:rsid w:val="2F0E425F"/>
    <w:rsid w:val="2F5C72AE"/>
    <w:rsid w:val="2F704DF9"/>
    <w:rsid w:val="2FE63701"/>
    <w:rsid w:val="305D234F"/>
    <w:rsid w:val="307626AC"/>
    <w:rsid w:val="30796BB7"/>
    <w:rsid w:val="30F1554C"/>
    <w:rsid w:val="30F91818"/>
    <w:rsid w:val="31486773"/>
    <w:rsid w:val="328C0939"/>
    <w:rsid w:val="32BB680B"/>
    <w:rsid w:val="331E799D"/>
    <w:rsid w:val="335F2F57"/>
    <w:rsid w:val="337D7262"/>
    <w:rsid w:val="34231E74"/>
    <w:rsid w:val="34544DDF"/>
    <w:rsid w:val="34591833"/>
    <w:rsid w:val="34594A11"/>
    <w:rsid w:val="34656996"/>
    <w:rsid w:val="34BF5904"/>
    <w:rsid w:val="356C541F"/>
    <w:rsid w:val="35856422"/>
    <w:rsid w:val="358F510C"/>
    <w:rsid w:val="35AC3DF1"/>
    <w:rsid w:val="35B04537"/>
    <w:rsid w:val="361A191D"/>
    <w:rsid w:val="36304A1F"/>
    <w:rsid w:val="365F17D3"/>
    <w:rsid w:val="36C11506"/>
    <w:rsid w:val="36D262B1"/>
    <w:rsid w:val="37342380"/>
    <w:rsid w:val="37F35F0C"/>
    <w:rsid w:val="381A1421"/>
    <w:rsid w:val="38384DFC"/>
    <w:rsid w:val="3867705C"/>
    <w:rsid w:val="38751980"/>
    <w:rsid w:val="38886D3C"/>
    <w:rsid w:val="38BB311B"/>
    <w:rsid w:val="38FC12B4"/>
    <w:rsid w:val="390B72C0"/>
    <w:rsid w:val="391B3F5A"/>
    <w:rsid w:val="394111E9"/>
    <w:rsid w:val="39434A0B"/>
    <w:rsid w:val="39567CCF"/>
    <w:rsid w:val="39B71604"/>
    <w:rsid w:val="39BC0C91"/>
    <w:rsid w:val="3A4B6523"/>
    <w:rsid w:val="3A9F125E"/>
    <w:rsid w:val="3AA90407"/>
    <w:rsid w:val="3AFD2689"/>
    <w:rsid w:val="3B2E5AD8"/>
    <w:rsid w:val="3B8030EC"/>
    <w:rsid w:val="3BAE7F7C"/>
    <w:rsid w:val="3BF40037"/>
    <w:rsid w:val="3C280127"/>
    <w:rsid w:val="3C6215B0"/>
    <w:rsid w:val="3C7E6744"/>
    <w:rsid w:val="3C8A58F6"/>
    <w:rsid w:val="3CC06C39"/>
    <w:rsid w:val="3CEA690E"/>
    <w:rsid w:val="3CEB2A4D"/>
    <w:rsid w:val="3CFC02A2"/>
    <w:rsid w:val="3D165E09"/>
    <w:rsid w:val="3D413FDB"/>
    <w:rsid w:val="3D9C08F9"/>
    <w:rsid w:val="3DAC43AC"/>
    <w:rsid w:val="3E85718B"/>
    <w:rsid w:val="3E8718EC"/>
    <w:rsid w:val="3F2B7EAE"/>
    <w:rsid w:val="3F607D70"/>
    <w:rsid w:val="3F6C3363"/>
    <w:rsid w:val="3F781DC3"/>
    <w:rsid w:val="3FA92CEA"/>
    <w:rsid w:val="3FCE1D09"/>
    <w:rsid w:val="40EB2F3E"/>
    <w:rsid w:val="40FF672B"/>
    <w:rsid w:val="415046BF"/>
    <w:rsid w:val="416A76FD"/>
    <w:rsid w:val="418C7AEA"/>
    <w:rsid w:val="430F36FE"/>
    <w:rsid w:val="431A1ACB"/>
    <w:rsid w:val="43295C8A"/>
    <w:rsid w:val="435D619E"/>
    <w:rsid w:val="435E4557"/>
    <w:rsid w:val="43961510"/>
    <w:rsid w:val="439D64C4"/>
    <w:rsid w:val="44066844"/>
    <w:rsid w:val="440D748C"/>
    <w:rsid w:val="441135F6"/>
    <w:rsid w:val="44156A77"/>
    <w:rsid w:val="460245FE"/>
    <w:rsid w:val="467F57F0"/>
    <w:rsid w:val="46A03943"/>
    <w:rsid w:val="47221054"/>
    <w:rsid w:val="474F10BE"/>
    <w:rsid w:val="47A216E5"/>
    <w:rsid w:val="485E0996"/>
    <w:rsid w:val="48710FD5"/>
    <w:rsid w:val="48A855FC"/>
    <w:rsid w:val="48E5484F"/>
    <w:rsid w:val="48FF2F9D"/>
    <w:rsid w:val="49080E77"/>
    <w:rsid w:val="494B7659"/>
    <w:rsid w:val="494F1D9E"/>
    <w:rsid w:val="497B19C2"/>
    <w:rsid w:val="499F7601"/>
    <w:rsid w:val="49D77C15"/>
    <w:rsid w:val="4A01037B"/>
    <w:rsid w:val="4A0D4E97"/>
    <w:rsid w:val="4A1B6859"/>
    <w:rsid w:val="4A207652"/>
    <w:rsid w:val="4A363D29"/>
    <w:rsid w:val="4A3A753A"/>
    <w:rsid w:val="4A413F37"/>
    <w:rsid w:val="4A4310BF"/>
    <w:rsid w:val="4A434517"/>
    <w:rsid w:val="4A4975FC"/>
    <w:rsid w:val="4A6673A7"/>
    <w:rsid w:val="4A7F4694"/>
    <w:rsid w:val="4AB752F8"/>
    <w:rsid w:val="4B001B28"/>
    <w:rsid w:val="4B0D3314"/>
    <w:rsid w:val="4B2D0D1C"/>
    <w:rsid w:val="4B4B04BA"/>
    <w:rsid w:val="4B6B76B5"/>
    <w:rsid w:val="4B6D73B3"/>
    <w:rsid w:val="4B8C1F71"/>
    <w:rsid w:val="4C4968C3"/>
    <w:rsid w:val="4C5A5799"/>
    <w:rsid w:val="4C5D7191"/>
    <w:rsid w:val="4C6F344B"/>
    <w:rsid w:val="4C81097C"/>
    <w:rsid w:val="4CAD2538"/>
    <w:rsid w:val="4D5B363A"/>
    <w:rsid w:val="4D795A52"/>
    <w:rsid w:val="4D8A5837"/>
    <w:rsid w:val="4DF97AB9"/>
    <w:rsid w:val="4E1D4FD3"/>
    <w:rsid w:val="4E382DB1"/>
    <w:rsid w:val="4E7C0AE0"/>
    <w:rsid w:val="4E9B47CB"/>
    <w:rsid w:val="4F284ECD"/>
    <w:rsid w:val="4F6F753A"/>
    <w:rsid w:val="507B1D6F"/>
    <w:rsid w:val="50F335B3"/>
    <w:rsid w:val="50FA6819"/>
    <w:rsid w:val="51063598"/>
    <w:rsid w:val="512B61AA"/>
    <w:rsid w:val="51797035"/>
    <w:rsid w:val="51C74FFD"/>
    <w:rsid w:val="52220A16"/>
    <w:rsid w:val="5240131E"/>
    <w:rsid w:val="52AA2D1A"/>
    <w:rsid w:val="52E5787A"/>
    <w:rsid w:val="532B48FE"/>
    <w:rsid w:val="533D63F9"/>
    <w:rsid w:val="53404529"/>
    <w:rsid w:val="534D33CC"/>
    <w:rsid w:val="535F1C62"/>
    <w:rsid w:val="539E1DCD"/>
    <w:rsid w:val="539F625F"/>
    <w:rsid w:val="53D86A6C"/>
    <w:rsid w:val="53F33347"/>
    <w:rsid w:val="54A228FC"/>
    <w:rsid w:val="54C97D32"/>
    <w:rsid w:val="55CA1A49"/>
    <w:rsid w:val="55FD4587"/>
    <w:rsid w:val="56265B86"/>
    <w:rsid w:val="56316C60"/>
    <w:rsid w:val="566031A9"/>
    <w:rsid w:val="56680C38"/>
    <w:rsid w:val="56DC0BA5"/>
    <w:rsid w:val="56E44E04"/>
    <w:rsid w:val="56EF1B0D"/>
    <w:rsid w:val="579A12C7"/>
    <w:rsid w:val="57BA36CB"/>
    <w:rsid w:val="57E01199"/>
    <w:rsid w:val="57EA63E4"/>
    <w:rsid w:val="57F1251A"/>
    <w:rsid w:val="580E2B88"/>
    <w:rsid w:val="586011DB"/>
    <w:rsid w:val="588504EA"/>
    <w:rsid w:val="590309C9"/>
    <w:rsid w:val="5A0D689D"/>
    <w:rsid w:val="5A0F5EC1"/>
    <w:rsid w:val="5A434A04"/>
    <w:rsid w:val="5A6F2534"/>
    <w:rsid w:val="5A9E67F4"/>
    <w:rsid w:val="5AAC27F7"/>
    <w:rsid w:val="5B203839"/>
    <w:rsid w:val="5B99119F"/>
    <w:rsid w:val="5BE117E4"/>
    <w:rsid w:val="5C0B2154"/>
    <w:rsid w:val="5CAE687F"/>
    <w:rsid w:val="5CE44607"/>
    <w:rsid w:val="5D0158FE"/>
    <w:rsid w:val="5D165190"/>
    <w:rsid w:val="5D3C1375"/>
    <w:rsid w:val="5E1361A0"/>
    <w:rsid w:val="5E3B5A72"/>
    <w:rsid w:val="5E5852B1"/>
    <w:rsid w:val="5E8A4F9B"/>
    <w:rsid w:val="5F3A07B2"/>
    <w:rsid w:val="5F441C63"/>
    <w:rsid w:val="5F444042"/>
    <w:rsid w:val="5F516AF3"/>
    <w:rsid w:val="5F67250C"/>
    <w:rsid w:val="5F8E4DE4"/>
    <w:rsid w:val="5FB26383"/>
    <w:rsid w:val="5FBE5C3E"/>
    <w:rsid w:val="600C1C49"/>
    <w:rsid w:val="60310ED0"/>
    <w:rsid w:val="609D0B4F"/>
    <w:rsid w:val="60C17AC0"/>
    <w:rsid w:val="60E16904"/>
    <w:rsid w:val="60E254BE"/>
    <w:rsid w:val="60ED1769"/>
    <w:rsid w:val="60F2015A"/>
    <w:rsid w:val="61562615"/>
    <w:rsid w:val="6199203F"/>
    <w:rsid w:val="61E7247E"/>
    <w:rsid w:val="620C4547"/>
    <w:rsid w:val="623D68DD"/>
    <w:rsid w:val="624306EB"/>
    <w:rsid w:val="62EB30ED"/>
    <w:rsid w:val="631E292F"/>
    <w:rsid w:val="634B2D95"/>
    <w:rsid w:val="638A16F3"/>
    <w:rsid w:val="63DE71CF"/>
    <w:rsid w:val="643C50FD"/>
    <w:rsid w:val="648A5873"/>
    <w:rsid w:val="64A81D45"/>
    <w:rsid w:val="64B20C22"/>
    <w:rsid w:val="64CE5E01"/>
    <w:rsid w:val="651B63D4"/>
    <w:rsid w:val="652C71F6"/>
    <w:rsid w:val="652E68C9"/>
    <w:rsid w:val="65330DE2"/>
    <w:rsid w:val="65594BC9"/>
    <w:rsid w:val="66053776"/>
    <w:rsid w:val="66A7122E"/>
    <w:rsid w:val="66ED6F11"/>
    <w:rsid w:val="66F80A91"/>
    <w:rsid w:val="671655BC"/>
    <w:rsid w:val="679A66B8"/>
    <w:rsid w:val="679E08D6"/>
    <w:rsid w:val="67FB0F13"/>
    <w:rsid w:val="68040D99"/>
    <w:rsid w:val="6807647F"/>
    <w:rsid w:val="682F1B2B"/>
    <w:rsid w:val="68391F65"/>
    <w:rsid w:val="687F69FA"/>
    <w:rsid w:val="68F03B1F"/>
    <w:rsid w:val="69613FB2"/>
    <w:rsid w:val="69BE31E6"/>
    <w:rsid w:val="69FC2A63"/>
    <w:rsid w:val="6A096527"/>
    <w:rsid w:val="6A446C59"/>
    <w:rsid w:val="6A9D66AB"/>
    <w:rsid w:val="6AA663BA"/>
    <w:rsid w:val="6AA96204"/>
    <w:rsid w:val="6AF25806"/>
    <w:rsid w:val="6B392632"/>
    <w:rsid w:val="6B95717A"/>
    <w:rsid w:val="6BDE75BB"/>
    <w:rsid w:val="6BE52749"/>
    <w:rsid w:val="6C0A1E4B"/>
    <w:rsid w:val="6C153B11"/>
    <w:rsid w:val="6C777737"/>
    <w:rsid w:val="6CC40F17"/>
    <w:rsid w:val="6CFB3DB7"/>
    <w:rsid w:val="6D464574"/>
    <w:rsid w:val="6D961DB5"/>
    <w:rsid w:val="6E225F0B"/>
    <w:rsid w:val="6E9B7C76"/>
    <w:rsid w:val="6EAD0318"/>
    <w:rsid w:val="6EBD5F83"/>
    <w:rsid w:val="6F304BC8"/>
    <w:rsid w:val="6F376CB6"/>
    <w:rsid w:val="6F381DF9"/>
    <w:rsid w:val="6F6A1D96"/>
    <w:rsid w:val="6FB041B8"/>
    <w:rsid w:val="70605B43"/>
    <w:rsid w:val="70714088"/>
    <w:rsid w:val="70830939"/>
    <w:rsid w:val="70D82E30"/>
    <w:rsid w:val="71125BF5"/>
    <w:rsid w:val="714229D7"/>
    <w:rsid w:val="71441D5D"/>
    <w:rsid w:val="71A95464"/>
    <w:rsid w:val="71F22546"/>
    <w:rsid w:val="724151B8"/>
    <w:rsid w:val="727E6888"/>
    <w:rsid w:val="730258AE"/>
    <w:rsid w:val="73076EF0"/>
    <w:rsid w:val="732B7D6D"/>
    <w:rsid w:val="73306581"/>
    <w:rsid w:val="733E1621"/>
    <w:rsid w:val="73572006"/>
    <w:rsid w:val="7364463C"/>
    <w:rsid w:val="7394121D"/>
    <w:rsid w:val="73BA45AE"/>
    <w:rsid w:val="743F40FB"/>
    <w:rsid w:val="744D6B64"/>
    <w:rsid w:val="74793E1D"/>
    <w:rsid w:val="748E17DE"/>
    <w:rsid w:val="74D31DBA"/>
    <w:rsid w:val="75083211"/>
    <w:rsid w:val="752E7843"/>
    <w:rsid w:val="753401ED"/>
    <w:rsid w:val="75392A46"/>
    <w:rsid w:val="75543796"/>
    <w:rsid w:val="75724532"/>
    <w:rsid w:val="758522D6"/>
    <w:rsid w:val="758E4DDA"/>
    <w:rsid w:val="75A578D6"/>
    <w:rsid w:val="75AB077A"/>
    <w:rsid w:val="75C00AB8"/>
    <w:rsid w:val="75C77680"/>
    <w:rsid w:val="75E05ABD"/>
    <w:rsid w:val="761F1C77"/>
    <w:rsid w:val="762C7F4B"/>
    <w:rsid w:val="764118F0"/>
    <w:rsid w:val="76924B4B"/>
    <w:rsid w:val="76B20C94"/>
    <w:rsid w:val="77012BB4"/>
    <w:rsid w:val="775856D6"/>
    <w:rsid w:val="77ED7563"/>
    <w:rsid w:val="780B786C"/>
    <w:rsid w:val="782577AA"/>
    <w:rsid w:val="78306740"/>
    <w:rsid w:val="78336589"/>
    <w:rsid w:val="78B81B73"/>
    <w:rsid w:val="79402870"/>
    <w:rsid w:val="79A37E89"/>
    <w:rsid w:val="7A0E6D80"/>
    <w:rsid w:val="7A170893"/>
    <w:rsid w:val="7A1D1D70"/>
    <w:rsid w:val="7A3706A6"/>
    <w:rsid w:val="7A9717A1"/>
    <w:rsid w:val="7B44715D"/>
    <w:rsid w:val="7B571CBC"/>
    <w:rsid w:val="7B7C2CCB"/>
    <w:rsid w:val="7BCB1754"/>
    <w:rsid w:val="7C414196"/>
    <w:rsid w:val="7C73522B"/>
    <w:rsid w:val="7CC913E8"/>
    <w:rsid w:val="7D0E338E"/>
    <w:rsid w:val="7D321901"/>
    <w:rsid w:val="7D7C1375"/>
    <w:rsid w:val="7D890992"/>
    <w:rsid w:val="7D930A34"/>
    <w:rsid w:val="7DC444FD"/>
    <w:rsid w:val="7DF67CB6"/>
    <w:rsid w:val="7DFC78A5"/>
    <w:rsid w:val="7E0C4675"/>
    <w:rsid w:val="7E145945"/>
    <w:rsid w:val="7E432612"/>
    <w:rsid w:val="7E6C24CF"/>
    <w:rsid w:val="7E7D7A1D"/>
    <w:rsid w:val="7F2F56BF"/>
    <w:rsid w:val="7F856A5D"/>
    <w:rsid w:val="7F9003F5"/>
    <w:rsid w:val="7FB33FC2"/>
    <w:rsid w:val="7FFF1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0"/>
    <w:qFormat/>
    <w:uiPriority w:val="0"/>
    <w:pPr>
      <w:keepNext/>
      <w:tabs>
        <w:tab w:val="left" w:pos="360"/>
      </w:tabs>
      <w:ind w:left="360" w:hanging="360"/>
      <w:outlineLvl w:val="0"/>
    </w:pPr>
    <w:rPr>
      <w:b/>
    </w:rPr>
  </w:style>
  <w:style w:type="paragraph" w:styleId="4">
    <w:name w:val="heading 2"/>
    <w:basedOn w:val="1"/>
    <w:next w:val="1"/>
    <w:link w:val="55"/>
    <w:qFormat/>
    <w:uiPriority w:val="0"/>
    <w:pPr>
      <w:keepNext/>
      <w:keepLines/>
      <w:spacing w:before="260" w:after="260" w:line="416" w:lineRule="auto"/>
      <w:outlineLvl w:val="1"/>
    </w:pPr>
    <w:rPr>
      <w:rFonts w:ascii="Arial" w:hAnsi="Arial" w:eastAsia="黑体"/>
      <w:b/>
      <w:sz w:val="32"/>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68"/>
    <w:qFormat/>
    <w:uiPriority w:val="0"/>
    <w:pPr>
      <w:keepNext/>
      <w:keepLines/>
      <w:tabs>
        <w:tab w:val="left" w:pos="1440"/>
      </w:tabs>
      <w:spacing w:before="280" w:after="290" w:line="372" w:lineRule="auto"/>
      <w:ind w:left="1440" w:hanging="900"/>
      <w:outlineLvl w:val="4"/>
    </w:pPr>
    <w:rPr>
      <w:b/>
      <w:sz w:val="28"/>
    </w:rPr>
  </w:style>
  <w:style w:type="paragraph" w:styleId="7">
    <w:name w:val="heading 6"/>
    <w:basedOn w:val="1"/>
    <w:next w:val="1"/>
    <w:link w:val="52"/>
    <w:qFormat/>
    <w:uiPriority w:val="0"/>
    <w:pPr>
      <w:keepNext/>
      <w:keepLines/>
      <w:tabs>
        <w:tab w:val="left" w:pos="1440"/>
      </w:tabs>
      <w:spacing w:before="240" w:after="64" w:line="317" w:lineRule="auto"/>
      <w:ind w:left="1440" w:hanging="900"/>
      <w:outlineLvl w:val="5"/>
    </w:pPr>
    <w:rPr>
      <w:rFonts w:ascii="Arial" w:hAnsi="Arial" w:eastAsia="黑体"/>
      <w:b/>
      <w:sz w:val="24"/>
    </w:rPr>
  </w:style>
  <w:style w:type="paragraph" w:styleId="8">
    <w:name w:val="heading 7"/>
    <w:basedOn w:val="1"/>
    <w:next w:val="1"/>
    <w:link w:val="73"/>
    <w:qFormat/>
    <w:uiPriority w:val="0"/>
    <w:pPr>
      <w:keepNext/>
      <w:keepLines/>
      <w:tabs>
        <w:tab w:val="left" w:pos="1440"/>
      </w:tabs>
      <w:spacing w:before="240" w:after="64" w:line="317" w:lineRule="auto"/>
      <w:ind w:left="1440" w:hanging="900"/>
      <w:outlineLvl w:val="6"/>
    </w:pPr>
    <w:rPr>
      <w:b/>
      <w:sz w:val="24"/>
    </w:rPr>
  </w:style>
  <w:style w:type="paragraph" w:styleId="9">
    <w:name w:val="heading 8"/>
    <w:basedOn w:val="1"/>
    <w:next w:val="1"/>
    <w:link w:val="58"/>
    <w:qFormat/>
    <w:uiPriority w:val="0"/>
    <w:pPr>
      <w:keepNext/>
      <w:keepLines/>
      <w:tabs>
        <w:tab w:val="left" w:pos="1440"/>
      </w:tabs>
      <w:spacing w:before="240" w:after="64" w:line="317" w:lineRule="auto"/>
      <w:ind w:left="1440" w:hanging="900"/>
      <w:outlineLvl w:val="7"/>
    </w:pPr>
    <w:rPr>
      <w:rFonts w:ascii="Arial" w:hAnsi="Arial" w:eastAsia="黑体"/>
      <w:sz w:val="24"/>
    </w:rPr>
  </w:style>
  <w:style w:type="paragraph" w:styleId="10">
    <w:name w:val="heading 9"/>
    <w:basedOn w:val="1"/>
    <w:next w:val="1"/>
    <w:link w:val="50"/>
    <w:qFormat/>
    <w:uiPriority w:val="0"/>
    <w:pPr>
      <w:keepNext/>
      <w:keepLines/>
      <w:tabs>
        <w:tab w:val="left" w:pos="1440"/>
      </w:tabs>
      <w:spacing w:before="240" w:after="64" w:line="317" w:lineRule="auto"/>
      <w:ind w:left="1440" w:hanging="900"/>
      <w:outlineLvl w:val="8"/>
    </w:pPr>
    <w:rPr>
      <w:rFonts w:ascii="Arial" w:hAnsi="Arial" w:eastAsia="黑体"/>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ind w:firstLine="420" w:firstLineChars="200"/>
    </w:pPr>
    <w:rPr>
      <w:szCs w:val="24"/>
    </w:rPr>
  </w:style>
  <w:style w:type="paragraph" w:styleId="12">
    <w:name w:val="Document Map"/>
    <w:basedOn w:val="1"/>
    <w:link w:val="47"/>
    <w:qFormat/>
    <w:uiPriority w:val="0"/>
    <w:pPr>
      <w:shd w:val="clear" w:color="auto" w:fill="000080"/>
    </w:pPr>
  </w:style>
  <w:style w:type="paragraph" w:styleId="13">
    <w:name w:val="toa heading"/>
    <w:basedOn w:val="1"/>
    <w:next w:val="1"/>
    <w:qFormat/>
    <w:uiPriority w:val="0"/>
    <w:pPr>
      <w:spacing w:before="120"/>
    </w:pPr>
    <w:rPr>
      <w:rFonts w:ascii="Cambria" w:hAnsi="Cambria"/>
      <w:sz w:val="24"/>
    </w:rPr>
  </w:style>
  <w:style w:type="paragraph" w:styleId="14">
    <w:name w:val="annotation text"/>
    <w:basedOn w:val="1"/>
    <w:link w:val="95"/>
    <w:qFormat/>
    <w:uiPriority w:val="0"/>
    <w:pPr>
      <w:jc w:val="left"/>
    </w:pPr>
  </w:style>
  <w:style w:type="paragraph" w:styleId="15">
    <w:name w:val="Salutation"/>
    <w:basedOn w:val="1"/>
    <w:next w:val="1"/>
    <w:qFormat/>
    <w:uiPriority w:val="0"/>
    <w:rPr>
      <w:rFonts w:ascii="宋体"/>
      <w:b/>
      <w:sz w:val="28"/>
    </w:rPr>
  </w:style>
  <w:style w:type="paragraph" w:styleId="16">
    <w:name w:val="Body Text"/>
    <w:basedOn w:val="1"/>
    <w:link w:val="44"/>
    <w:qFormat/>
    <w:uiPriority w:val="0"/>
    <w:rPr>
      <w:rFonts w:ascii="Arial" w:hAnsi="Arial"/>
      <w:sz w:val="24"/>
    </w:rPr>
  </w:style>
  <w:style w:type="paragraph" w:styleId="17">
    <w:name w:val="Body Text Indent"/>
    <w:basedOn w:val="1"/>
    <w:qFormat/>
    <w:uiPriority w:val="0"/>
    <w:pPr>
      <w:ind w:firstLine="480"/>
    </w:pPr>
    <w:rPr>
      <w:rFonts w:ascii="宋体" w:hAnsi="宋体"/>
      <w:sz w:val="24"/>
    </w:rPr>
  </w:style>
  <w:style w:type="paragraph" w:styleId="18">
    <w:name w:val="toc 3"/>
    <w:basedOn w:val="1"/>
    <w:next w:val="1"/>
    <w:qFormat/>
    <w:uiPriority w:val="39"/>
    <w:pPr>
      <w:ind w:left="840" w:leftChars="400"/>
    </w:pPr>
  </w:style>
  <w:style w:type="paragraph" w:styleId="19">
    <w:name w:val="Plain Text"/>
    <w:basedOn w:val="1"/>
    <w:link w:val="45"/>
    <w:qFormat/>
    <w:uiPriority w:val="0"/>
    <w:rPr>
      <w:rFonts w:ascii="宋体" w:hAnsi="Courier New"/>
    </w:rPr>
  </w:style>
  <w:style w:type="paragraph" w:styleId="20">
    <w:name w:val="Date"/>
    <w:basedOn w:val="1"/>
    <w:next w:val="1"/>
    <w:qFormat/>
    <w:uiPriority w:val="0"/>
    <w:pPr>
      <w:ind w:left="100"/>
    </w:pPr>
    <w:rPr>
      <w:sz w:val="24"/>
    </w:rPr>
  </w:style>
  <w:style w:type="paragraph" w:styleId="21">
    <w:name w:val="Body Text Indent 2"/>
    <w:basedOn w:val="1"/>
    <w:link w:val="66"/>
    <w:qFormat/>
    <w:uiPriority w:val="0"/>
    <w:pPr>
      <w:ind w:firstLine="435"/>
    </w:pPr>
    <w:rPr>
      <w:rFonts w:ascii="宋体" w:hAnsi="宋体"/>
      <w:sz w:val="24"/>
    </w:rPr>
  </w:style>
  <w:style w:type="paragraph" w:styleId="22">
    <w:name w:val="Balloon Text"/>
    <w:basedOn w:val="1"/>
    <w:semiHidden/>
    <w:qFormat/>
    <w:uiPriority w:val="0"/>
    <w:rPr>
      <w:sz w:val="18"/>
      <w:szCs w:val="18"/>
    </w:rPr>
  </w:style>
  <w:style w:type="paragraph" w:styleId="23">
    <w:name w:val="footer"/>
    <w:basedOn w:val="1"/>
    <w:link w:val="65"/>
    <w:qFormat/>
    <w:uiPriority w:val="0"/>
    <w:pPr>
      <w:tabs>
        <w:tab w:val="center" w:pos="4153"/>
        <w:tab w:val="right" w:pos="8306"/>
      </w:tabs>
      <w:snapToGrid w:val="0"/>
      <w:jc w:val="left"/>
    </w:pPr>
    <w:rPr>
      <w:sz w:val="18"/>
    </w:rPr>
  </w:style>
  <w:style w:type="paragraph" w:styleId="24">
    <w:name w:val="header"/>
    <w:basedOn w:val="1"/>
    <w:link w:val="5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style>
  <w:style w:type="paragraph" w:styleId="26">
    <w:name w:val="Body Text Indent 3"/>
    <w:basedOn w:val="1"/>
    <w:qFormat/>
    <w:uiPriority w:val="0"/>
    <w:pPr>
      <w:ind w:left="471" w:hanging="471" w:hangingChars="200"/>
    </w:pPr>
    <w:rPr>
      <w:rFonts w:ascii="Arial" w:hAnsi="Arial" w:cs="Arial"/>
      <w:b/>
      <w:bCs/>
      <w:sz w:val="24"/>
    </w:rPr>
  </w:style>
  <w:style w:type="paragraph" w:styleId="27">
    <w:name w:val="toc 2"/>
    <w:basedOn w:val="1"/>
    <w:next w:val="1"/>
    <w:qFormat/>
    <w:uiPriority w:val="39"/>
    <w:pPr>
      <w:ind w:left="420" w:leftChars="200"/>
    </w:pPr>
  </w:style>
  <w:style w:type="paragraph" w:styleId="28">
    <w:name w:val="Body Text 2"/>
    <w:basedOn w:val="1"/>
    <w:qFormat/>
    <w:uiPriority w:val="0"/>
    <w:pPr>
      <w:spacing w:line="360" w:lineRule="auto"/>
    </w:pPr>
    <w:rPr>
      <w:b/>
      <w:sz w:val="28"/>
      <w:szCs w:val="21"/>
    </w:rPr>
  </w:style>
  <w:style w:type="paragraph" w:styleId="2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0">
    <w:name w:val="Title"/>
    <w:basedOn w:val="1"/>
    <w:next w:val="1"/>
    <w:link w:val="88"/>
    <w:qFormat/>
    <w:uiPriority w:val="10"/>
    <w:pPr>
      <w:spacing w:before="240" w:after="60"/>
      <w:jc w:val="center"/>
      <w:outlineLvl w:val="0"/>
    </w:pPr>
    <w:rPr>
      <w:rFonts w:asciiTheme="majorHAnsi" w:hAnsiTheme="majorHAnsi" w:cstheme="majorBidi"/>
      <w:b/>
      <w:bCs/>
      <w:sz w:val="32"/>
      <w:szCs w:val="32"/>
    </w:rPr>
  </w:style>
  <w:style w:type="paragraph" w:styleId="31">
    <w:name w:val="annotation subject"/>
    <w:basedOn w:val="14"/>
    <w:next w:val="14"/>
    <w:link w:val="96"/>
    <w:qFormat/>
    <w:uiPriority w:val="0"/>
    <w:rPr>
      <w:b/>
      <w:bCs/>
    </w:rPr>
  </w:style>
  <w:style w:type="paragraph" w:styleId="32">
    <w:name w:val="Body Text First Indent"/>
    <w:basedOn w:val="1"/>
    <w:next w:val="1"/>
    <w:link w:val="43"/>
    <w:qFormat/>
    <w:uiPriority w:val="0"/>
    <w:pPr>
      <w:spacing w:after="120"/>
      <w:ind w:firstLine="420" w:firstLineChars="100"/>
    </w:pPr>
  </w:style>
  <w:style w:type="table" w:styleId="34">
    <w:name w:val="Table Grid"/>
    <w:basedOn w:val="33"/>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bCs/>
    </w:rPr>
  </w:style>
  <w:style w:type="character" w:styleId="37">
    <w:name w:val="page number"/>
    <w:basedOn w:val="35"/>
    <w:qFormat/>
    <w:uiPriority w:val="0"/>
  </w:style>
  <w:style w:type="character" w:styleId="38">
    <w:name w:val="FollowedHyperlink"/>
    <w:qFormat/>
    <w:uiPriority w:val="0"/>
    <w:rPr>
      <w:color w:val="800080"/>
      <w:u w:val="single"/>
    </w:rPr>
  </w:style>
  <w:style w:type="character" w:styleId="39">
    <w:name w:val="Emphasis"/>
    <w:qFormat/>
    <w:uiPriority w:val="0"/>
    <w:rPr>
      <w:color w:val="CC0033"/>
    </w:rPr>
  </w:style>
  <w:style w:type="character" w:styleId="40">
    <w:name w:val="Hyperlink"/>
    <w:qFormat/>
    <w:uiPriority w:val="99"/>
    <w:rPr>
      <w:color w:val="0000FF"/>
      <w:u w:val="single"/>
    </w:rPr>
  </w:style>
  <w:style w:type="character" w:styleId="41">
    <w:name w:val="annotation reference"/>
    <w:basedOn w:val="35"/>
    <w:qFormat/>
    <w:uiPriority w:val="0"/>
    <w:rPr>
      <w:sz w:val="21"/>
      <w:szCs w:val="21"/>
    </w:rPr>
  </w:style>
  <w:style w:type="paragraph" w:customStyle="1" w:styleId="42">
    <w:name w:val="样式 首行缩进:  2 字符"/>
    <w:basedOn w:val="1"/>
    <w:qFormat/>
    <w:uiPriority w:val="99"/>
    <w:pPr>
      <w:ind w:firstLine="560"/>
    </w:pPr>
    <w:rPr>
      <w:szCs w:val="21"/>
    </w:rPr>
  </w:style>
  <w:style w:type="character" w:customStyle="1" w:styleId="43">
    <w:name w:val="正文文本首行缩进 字符"/>
    <w:basedOn w:val="44"/>
    <w:link w:val="32"/>
    <w:qFormat/>
    <w:uiPriority w:val="0"/>
    <w:rPr>
      <w:rFonts w:ascii="Arial" w:hAnsi="Arial" w:cs="Arial"/>
      <w:kern w:val="2"/>
      <w:sz w:val="24"/>
    </w:rPr>
  </w:style>
  <w:style w:type="character" w:customStyle="1" w:styleId="44">
    <w:name w:val="正文文本 字符"/>
    <w:link w:val="16"/>
    <w:qFormat/>
    <w:uiPriority w:val="0"/>
    <w:rPr>
      <w:rFonts w:ascii="Arial" w:hAnsi="Arial" w:cs="Arial"/>
      <w:kern w:val="2"/>
      <w:sz w:val="24"/>
    </w:rPr>
  </w:style>
  <w:style w:type="character" w:customStyle="1" w:styleId="45">
    <w:name w:val="纯文本 字符"/>
    <w:link w:val="19"/>
    <w:qFormat/>
    <w:uiPriority w:val="0"/>
    <w:rPr>
      <w:rFonts w:ascii="宋体" w:hAnsi="Courier New" w:eastAsia="宋体"/>
      <w:kern w:val="2"/>
      <w:sz w:val="21"/>
      <w:lang w:val="en-US" w:eastAsia="zh-CN" w:bidi="ar-SA"/>
    </w:rPr>
  </w:style>
  <w:style w:type="character" w:customStyle="1" w:styleId="46">
    <w:name w:val="unnamed1"/>
    <w:basedOn w:val="35"/>
    <w:qFormat/>
    <w:uiPriority w:val="0"/>
  </w:style>
  <w:style w:type="character" w:customStyle="1" w:styleId="47">
    <w:name w:val="文档结构图 字符"/>
    <w:link w:val="12"/>
    <w:qFormat/>
    <w:uiPriority w:val="0"/>
    <w:rPr>
      <w:kern w:val="2"/>
      <w:sz w:val="21"/>
      <w:shd w:val="clear" w:color="auto" w:fill="000080"/>
    </w:rPr>
  </w:style>
  <w:style w:type="character" w:customStyle="1" w:styleId="48">
    <w:name w:val="所标正文 Char Char"/>
    <w:link w:val="49"/>
    <w:qFormat/>
    <w:uiPriority w:val="0"/>
    <w:rPr>
      <w:rFonts w:ascii="仿宋_GB2312" w:hAnsi="Calibri" w:eastAsia="仿宋_GB2312"/>
      <w:kern w:val="2"/>
      <w:sz w:val="30"/>
      <w:szCs w:val="28"/>
    </w:rPr>
  </w:style>
  <w:style w:type="paragraph" w:customStyle="1" w:styleId="49">
    <w:name w:val="所标正文"/>
    <w:basedOn w:val="1"/>
    <w:link w:val="48"/>
    <w:qFormat/>
    <w:uiPriority w:val="0"/>
    <w:pPr>
      <w:spacing w:line="360" w:lineRule="auto"/>
      <w:ind w:firstLine="200" w:firstLineChars="200"/>
    </w:pPr>
    <w:rPr>
      <w:rFonts w:ascii="仿宋_GB2312" w:hAnsi="Calibri" w:eastAsia="仿宋_GB2312"/>
      <w:sz w:val="30"/>
      <w:szCs w:val="28"/>
    </w:rPr>
  </w:style>
  <w:style w:type="character" w:customStyle="1" w:styleId="50">
    <w:name w:val="标题 9 字符"/>
    <w:link w:val="10"/>
    <w:qFormat/>
    <w:uiPriority w:val="0"/>
    <w:rPr>
      <w:rFonts w:ascii="Arial" w:hAnsi="Arial" w:eastAsia="黑体"/>
      <w:kern w:val="2"/>
      <w:sz w:val="21"/>
    </w:rPr>
  </w:style>
  <w:style w:type="character" w:customStyle="1" w:styleId="51">
    <w:name w:val="页眉 字符"/>
    <w:link w:val="24"/>
    <w:qFormat/>
    <w:uiPriority w:val="0"/>
    <w:rPr>
      <w:kern w:val="2"/>
      <w:sz w:val="18"/>
    </w:rPr>
  </w:style>
  <w:style w:type="character" w:customStyle="1" w:styleId="52">
    <w:name w:val="标题 6 字符"/>
    <w:link w:val="7"/>
    <w:qFormat/>
    <w:uiPriority w:val="0"/>
    <w:rPr>
      <w:rFonts w:ascii="Arial" w:hAnsi="Arial" w:eastAsia="黑体"/>
      <w:b/>
      <w:kern w:val="2"/>
      <w:sz w:val="24"/>
    </w:rPr>
  </w:style>
  <w:style w:type="character" w:customStyle="1" w:styleId="53">
    <w:name w:val="样式 正文缩进 + 首行缩进:  2 字符 Char"/>
    <w:link w:val="54"/>
    <w:qFormat/>
    <w:uiPriority w:val="0"/>
    <w:rPr>
      <w:sz w:val="24"/>
    </w:rPr>
  </w:style>
  <w:style w:type="paragraph" w:customStyle="1" w:styleId="54">
    <w:name w:val="样式 正文缩进 + 首行缩进:  2 字符"/>
    <w:basedOn w:val="11"/>
    <w:link w:val="53"/>
    <w:qFormat/>
    <w:uiPriority w:val="0"/>
    <w:pPr>
      <w:spacing w:line="360" w:lineRule="auto"/>
      <w:ind w:firstLine="200"/>
    </w:pPr>
    <w:rPr>
      <w:kern w:val="0"/>
      <w:sz w:val="24"/>
      <w:szCs w:val="20"/>
    </w:rPr>
  </w:style>
  <w:style w:type="character" w:customStyle="1" w:styleId="55">
    <w:name w:val="标题 2 字符"/>
    <w:link w:val="4"/>
    <w:qFormat/>
    <w:uiPriority w:val="0"/>
    <w:rPr>
      <w:rFonts w:ascii="Arial" w:hAnsi="Arial" w:eastAsia="黑体"/>
      <w:b/>
      <w:kern w:val="2"/>
      <w:sz w:val="32"/>
    </w:rPr>
  </w:style>
  <w:style w:type="character" w:customStyle="1" w:styleId="56">
    <w:name w:val="正文文字 Char1"/>
    <w:link w:val="57"/>
    <w:qFormat/>
    <w:uiPriority w:val="0"/>
    <w:rPr>
      <w:rFonts w:ascii="宋体" w:eastAsia="宋体"/>
      <w:color w:val="000000"/>
      <w:sz w:val="28"/>
      <w:u w:color="000000"/>
      <w:lang w:val="en-US" w:eastAsia="zh-CN" w:bidi="ar-SA"/>
    </w:rPr>
  </w:style>
  <w:style w:type="paragraph" w:customStyle="1" w:styleId="57">
    <w:name w:val="正文文字"/>
    <w:basedOn w:val="1"/>
    <w:link w:val="56"/>
    <w:qFormat/>
    <w:uiPriority w:val="0"/>
    <w:pPr>
      <w:widowControl/>
      <w:spacing w:line="2375" w:lineRule="atLeast"/>
      <w:ind w:firstLine="419"/>
      <w:textAlignment w:val="baseline"/>
    </w:pPr>
    <w:rPr>
      <w:rFonts w:ascii="宋体"/>
      <w:color w:val="000000"/>
      <w:kern w:val="0"/>
      <w:sz w:val="28"/>
      <w:u w:color="000000"/>
    </w:rPr>
  </w:style>
  <w:style w:type="character" w:customStyle="1" w:styleId="58">
    <w:name w:val="标题 8 字符"/>
    <w:link w:val="9"/>
    <w:qFormat/>
    <w:uiPriority w:val="0"/>
    <w:rPr>
      <w:rFonts w:ascii="Arial" w:hAnsi="Arial" w:eastAsia="黑体"/>
      <w:kern w:val="2"/>
      <w:sz w:val="24"/>
    </w:rPr>
  </w:style>
  <w:style w:type="character" w:customStyle="1" w:styleId="59">
    <w:name w:val="纯文本 Char Char Char Char Char Char"/>
    <w:qFormat/>
    <w:locked/>
    <w:uiPriority w:val="0"/>
    <w:rPr>
      <w:rFonts w:ascii="宋体" w:hAnsi="Courier New" w:eastAsia="宋体"/>
      <w:kern w:val="2"/>
      <w:sz w:val="21"/>
      <w:lang w:val="en-US" w:eastAsia="zh-CN" w:bidi="ar-SA"/>
    </w:rPr>
  </w:style>
  <w:style w:type="character" w:customStyle="1" w:styleId="60">
    <w:name w:val="sam正文 Char"/>
    <w:link w:val="61"/>
    <w:qFormat/>
    <w:uiPriority w:val="0"/>
    <w:rPr>
      <w:rFonts w:ascii="宋体" w:hAnsi="宋体"/>
      <w:sz w:val="24"/>
      <w:szCs w:val="24"/>
    </w:rPr>
  </w:style>
  <w:style w:type="paragraph" w:customStyle="1" w:styleId="61">
    <w:name w:val="sam正文"/>
    <w:basedOn w:val="1"/>
    <w:link w:val="60"/>
    <w:qFormat/>
    <w:uiPriority w:val="0"/>
    <w:pPr>
      <w:spacing w:line="360" w:lineRule="auto"/>
      <w:ind w:firstLine="478" w:firstLineChars="200"/>
    </w:pPr>
    <w:rPr>
      <w:rFonts w:ascii="宋体" w:hAnsi="宋体"/>
      <w:kern w:val="0"/>
      <w:sz w:val="24"/>
      <w:szCs w:val="24"/>
    </w:rPr>
  </w:style>
  <w:style w:type="character" w:customStyle="1" w:styleId="62">
    <w:name w:val="书籍标题1"/>
    <w:qFormat/>
    <w:uiPriority w:val="0"/>
    <w:rPr>
      <w:b/>
      <w:bCs/>
      <w:smallCaps/>
      <w:spacing w:val="5"/>
    </w:rPr>
  </w:style>
  <w:style w:type="character" w:customStyle="1" w:styleId="63">
    <w:name w:val="明显参考1"/>
    <w:qFormat/>
    <w:uiPriority w:val="0"/>
    <w:rPr>
      <w:b/>
      <w:bCs/>
      <w:smallCaps/>
      <w:color w:val="C0504D"/>
      <w:spacing w:val="5"/>
      <w:u w:val="single"/>
    </w:rPr>
  </w:style>
  <w:style w:type="character" w:customStyle="1" w:styleId="64">
    <w:name w:val="p21"/>
    <w:qFormat/>
    <w:uiPriority w:val="0"/>
    <w:rPr>
      <w:rFonts w:hint="default" w:ascii="Arial" w:hAnsi="Arial" w:cs="Arial"/>
      <w:color w:val="333333"/>
      <w:sz w:val="18"/>
      <w:szCs w:val="18"/>
      <w:u w:val="none"/>
    </w:rPr>
  </w:style>
  <w:style w:type="character" w:customStyle="1" w:styleId="65">
    <w:name w:val="页脚 字符"/>
    <w:link w:val="23"/>
    <w:qFormat/>
    <w:uiPriority w:val="0"/>
    <w:rPr>
      <w:kern w:val="2"/>
      <w:sz w:val="18"/>
    </w:rPr>
  </w:style>
  <w:style w:type="character" w:customStyle="1" w:styleId="66">
    <w:name w:val="正文文本缩进 2 字符"/>
    <w:link w:val="21"/>
    <w:qFormat/>
    <w:uiPriority w:val="0"/>
    <w:rPr>
      <w:rFonts w:ascii="宋体" w:hAnsi="宋体"/>
      <w:kern w:val="2"/>
      <w:sz w:val="24"/>
    </w:rPr>
  </w:style>
  <w:style w:type="character" w:customStyle="1" w:styleId="67">
    <w:name w:val="grame"/>
    <w:basedOn w:val="35"/>
    <w:qFormat/>
    <w:uiPriority w:val="0"/>
  </w:style>
  <w:style w:type="character" w:customStyle="1" w:styleId="68">
    <w:name w:val="标题 5 字符"/>
    <w:link w:val="6"/>
    <w:qFormat/>
    <w:uiPriority w:val="0"/>
    <w:rPr>
      <w:b/>
      <w:kern w:val="2"/>
      <w:sz w:val="28"/>
    </w:rPr>
  </w:style>
  <w:style w:type="character" w:customStyle="1" w:styleId="69">
    <w:name w:val="css21"/>
    <w:qFormat/>
    <w:uiPriority w:val="0"/>
    <w:rPr>
      <w:sz w:val="18"/>
      <w:szCs w:val="18"/>
    </w:rPr>
  </w:style>
  <w:style w:type="character" w:customStyle="1" w:styleId="70">
    <w:name w:val="标题 1 字符"/>
    <w:link w:val="3"/>
    <w:qFormat/>
    <w:uiPriority w:val="0"/>
    <w:rPr>
      <w:b/>
      <w:kern w:val="2"/>
      <w:sz w:val="21"/>
    </w:rPr>
  </w:style>
  <w:style w:type="character" w:customStyle="1" w:styleId="71">
    <w:name w:val="正文文字 Char"/>
    <w:qFormat/>
    <w:uiPriority w:val="0"/>
    <w:rPr>
      <w:rFonts w:ascii="Arial" w:hAnsi="Arial" w:eastAsia="宋体" w:cs="Arial"/>
      <w:kern w:val="2"/>
      <w:sz w:val="24"/>
      <w:lang w:val="en-US" w:eastAsia="zh-CN" w:bidi="ar-SA"/>
    </w:rPr>
  </w:style>
  <w:style w:type="character" w:customStyle="1" w:styleId="72">
    <w:name w:val="marklong"/>
    <w:basedOn w:val="35"/>
    <w:qFormat/>
    <w:uiPriority w:val="0"/>
  </w:style>
  <w:style w:type="character" w:customStyle="1" w:styleId="73">
    <w:name w:val="标题 7 字符"/>
    <w:link w:val="8"/>
    <w:qFormat/>
    <w:uiPriority w:val="0"/>
    <w:rPr>
      <w:b/>
      <w:kern w:val="2"/>
      <w:sz w:val="24"/>
    </w:rPr>
  </w:style>
  <w:style w:type="paragraph" w:customStyle="1" w:styleId="74">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75">
    <w:name w:val="p0"/>
    <w:basedOn w:val="1"/>
    <w:qFormat/>
    <w:uiPriority w:val="0"/>
    <w:pPr>
      <w:widowControl/>
    </w:pPr>
    <w:rPr>
      <w:kern w:val="0"/>
      <w:szCs w:val="21"/>
    </w:rPr>
  </w:style>
  <w:style w:type="paragraph" w:customStyle="1" w:styleId="76">
    <w:name w:val="正文缩进1"/>
    <w:basedOn w:val="1"/>
    <w:qFormat/>
    <w:uiPriority w:val="0"/>
    <w:pPr>
      <w:ind w:firstLine="420" w:firstLineChars="200"/>
    </w:pPr>
    <w:rPr>
      <w:rFonts w:ascii="Calibri" w:hAnsi="Calibri"/>
    </w:rPr>
  </w:style>
  <w:style w:type="paragraph" w:customStyle="1" w:styleId="77">
    <w:name w:val="条目2"/>
    <w:basedOn w:val="19"/>
    <w:qFormat/>
    <w:uiPriority w:val="0"/>
    <w:pPr>
      <w:tabs>
        <w:tab w:val="left" w:pos="420"/>
      </w:tabs>
      <w:spacing w:line="360" w:lineRule="auto"/>
      <w:ind w:left="420" w:hanging="420"/>
    </w:pPr>
    <w:rPr>
      <w:color w:val="000000"/>
      <w:sz w:val="30"/>
    </w:rPr>
  </w:style>
  <w:style w:type="paragraph" w:customStyle="1" w:styleId="78">
    <w:name w:val="Char"/>
    <w:basedOn w:val="1"/>
    <w:semiHidden/>
    <w:qFormat/>
    <w:uiPriority w:val="0"/>
    <w:rPr>
      <w:rFonts w:ascii="Tahoma" w:hAnsi="Tahoma" w:cs="仿宋_GB2312"/>
      <w:sz w:val="24"/>
      <w:szCs w:val="28"/>
    </w:rPr>
  </w:style>
  <w:style w:type="paragraph" w:customStyle="1" w:styleId="79">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0">
    <w:name w:val="首页大标题"/>
    <w:basedOn w:val="49"/>
    <w:qFormat/>
    <w:uiPriority w:val="0"/>
    <w:pPr>
      <w:ind w:firstLine="0" w:firstLineChars="0"/>
      <w:jc w:val="center"/>
    </w:pPr>
    <w:rPr>
      <w:rFonts w:ascii="黑体" w:eastAsia="黑体"/>
      <w:b/>
      <w:sz w:val="52"/>
    </w:rPr>
  </w:style>
  <w:style w:type="paragraph" w:customStyle="1" w:styleId="81">
    <w:name w:val="条目3"/>
    <w:basedOn w:val="19"/>
    <w:qFormat/>
    <w:uiPriority w:val="0"/>
    <w:pPr>
      <w:tabs>
        <w:tab w:val="left" w:pos="960"/>
        <w:tab w:val="left" w:pos="2940"/>
      </w:tabs>
      <w:spacing w:line="360" w:lineRule="auto"/>
      <w:ind w:left="2940" w:hanging="420"/>
    </w:pPr>
    <w:rPr>
      <w:color w:val="000000"/>
      <w:sz w:val="30"/>
    </w:rPr>
  </w:style>
  <w:style w:type="paragraph" w:customStyle="1" w:styleId="82">
    <w:name w:val="Char1"/>
    <w:basedOn w:val="1"/>
    <w:qFormat/>
    <w:uiPriority w:val="0"/>
    <w:pPr>
      <w:widowControl/>
      <w:spacing w:after="160" w:line="240" w:lineRule="exact"/>
      <w:jc w:val="left"/>
    </w:pPr>
    <w:rPr>
      <w:rFonts w:ascii="Verdana" w:hAnsi="Verdana"/>
      <w:kern w:val="0"/>
      <w:sz w:val="20"/>
      <w:lang w:eastAsia="en-US"/>
    </w:rPr>
  </w:style>
  <w:style w:type="paragraph" w:customStyle="1" w:styleId="83">
    <w:name w:val="1 Char Char Char Char"/>
    <w:basedOn w:val="1"/>
    <w:qFormat/>
    <w:uiPriority w:val="0"/>
    <w:rPr>
      <w:rFonts w:ascii="Tahoma" w:hAnsi="Tahoma"/>
      <w:sz w:val="24"/>
    </w:rPr>
  </w:style>
  <w:style w:type="paragraph" w:styleId="84">
    <w:name w:val="List Paragraph"/>
    <w:basedOn w:val="1"/>
    <w:qFormat/>
    <w:uiPriority w:val="0"/>
    <w:pPr>
      <w:ind w:firstLine="420" w:firstLineChars="200"/>
    </w:pPr>
    <w:rPr>
      <w:rFonts w:ascii="Calibri" w:hAnsi="Calibri"/>
      <w:szCs w:val="22"/>
    </w:rPr>
  </w:style>
  <w:style w:type="paragraph" w:customStyle="1" w:styleId="85">
    <w:name w:val="缺省文本"/>
    <w:link w:val="89"/>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6">
    <w:name w:val="列出段落1"/>
    <w:basedOn w:val="1"/>
    <w:qFormat/>
    <w:uiPriority w:val="0"/>
    <w:pPr>
      <w:ind w:firstLine="420" w:firstLineChars="200"/>
    </w:pPr>
  </w:style>
  <w:style w:type="paragraph" w:customStyle="1" w:styleId="87">
    <w:name w:val="样式 样式 小四 行距: 1.5 倍行距 首行缩进:  2 字符 + +中文正文"/>
    <w:basedOn w:val="1"/>
    <w:qFormat/>
    <w:uiPriority w:val="0"/>
    <w:pPr>
      <w:spacing w:line="360" w:lineRule="auto"/>
      <w:ind w:firstLine="480" w:firstLineChars="200"/>
    </w:pPr>
    <w:rPr>
      <w:rFonts w:ascii="宋体" w:hAnsi="宋体" w:cs="宋体"/>
      <w:sz w:val="24"/>
    </w:rPr>
  </w:style>
  <w:style w:type="character" w:customStyle="1" w:styleId="88">
    <w:name w:val="标题 字符"/>
    <w:basedOn w:val="35"/>
    <w:link w:val="30"/>
    <w:qFormat/>
    <w:uiPriority w:val="10"/>
    <w:rPr>
      <w:rFonts w:asciiTheme="majorHAnsi" w:hAnsiTheme="majorHAnsi" w:cstheme="majorBidi"/>
      <w:b/>
      <w:bCs/>
      <w:kern w:val="2"/>
      <w:sz w:val="32"/>
      <w:szCs w:val="32"/>
    </w:rPr>
  </w:style>
  <w:style w:type="character" w:customStyle="1" w:styleId="89">
    <w:name w:val="缺省文本 Char"/>
    <w:basedOn w:val="35"/>
    <w:link w:val="85"/>
    <w:qFormat/>
    <w:uiPriority w:val="0"/>
    <w:rPr>
      <w:color w:val="000000"/>
      <w:sz w:val="24"/>
      <w:szCs w:val="24"/>
    </w:rPr>
  </w:style>
  <w:style w:type="character" w:customStyle="1" w:styleId="90">
    <w:name w:val="apple-converted-space"/>
    <w:basedOn w:val="35"/>
    <w:qFormat/>
    <w:uiPriority w:val="0"/>
  </w:style>
  <w:style w:type="character" w:customStyle="1" w:styleId="91">
    <w:name w:val="18"/>
    <w:basedOn w:val="35"/>
    <w:qFormat/>
    <w:uiPriority w:val="0"/>
    <w:rPr>
      <w:rFonts w:hint="default" w:ascii="Times New Roman" w:hAnsi="Times New Roman" w:cs="Times New Roman"/>
      <w:b/>
      <w:bCs/>
      <w:color w:val="000000"/>
      <w:sz w:val="20"/>
      <w:szCs w:val="20"/>
    </w:rPr>
  </w:style>
  <w:style w:type="character" w:customStyle="1" w:styleId="92">
    <w:name w:val="17"/>
    <w:basedOn w:val="35"/>
    <w:qFormat/>
    <w:uiPriority w:val="0"/>
    <w:rPr>
      <w:rFonts w:hint="eastAsia" w:ascii="宋体" w:hAnsi="宋体" w:eastAsia="宋体"/>
      <w:b/>
      <w:bCs/>
      <w:color w:val="000000"/>
      <w:sz w:val="20"/>
      <w:szCs w:val="20"/>
    </w:rPr>
  </w:style>
  <w:style w:type="paragraph" w:customStyle="1" w:styleId="93">
    <w:name w:val="BodyText1I2"/>
    <w:basedOn w:val="94"/>
    <w:qFormat/>
    <w:uiPriority w:val="0"/>
    <w:pPr>
      <w:ind w:firstLine="420" w:firstLineChars="200"/>
    </w:pPr>
  </w:style>
  <w:style w:type="paragraph" w:customStyle="1" w:styleId="94">
    <w:name w:val="BodyTextIndent"/>
    <w:basedOn w:val="1"/>
    <w:qFormat/>
    <w:uiPriority w:val="0"/>
    <w:pPr>
      <w:ind w:firstLine="480"/>
      <w:textAlignment w:val="baseline"/>
    </w:pPr>
    <w:rPr>
      <w:rFonts w:ascii="宋体" w:hAnsi="宋体"/>
      <w:sz w:val="24"/>
    </w:rPr>
  </w:style>
  <w:style w:type="character" w:customStyle="1" w:styleId="95">
    <w:name w:val="批注文字 字符"/>
    <w:basedOn w:val="35"/>
    <w:link w:val="14"/>
    <w:qFormat/>
    <w:uiPriority w:val="0"/>
    <w:rPr>
      <w:rFonts w:ascii="Times New Roman" w:hAnsi="Times New Roman" w:eastAsia="宋体" w:cs="Times New Roman"/>
      <w:kern w:val="2"/>
      <w:sz w:val="21"/>
    </w:rPr>
  </w:style>
  <w:style w:type="character" w:customStyle="1" w:styleId="96">
    <w:name w:val="批注主题 字符"/>
    <w:basedOn w:val="95"/>
    <w:link w:val="31"/>
    <w:qFormat/>
    <w:uiPriority w:val="0"/>
    <w:rPr>
      <w:rFonts w:ascii="Times New Roman" w:hAnsi="Times New Roman" w:eastAsia="宋体" w:cs="Times New Roman"/>
      <w:b/>
      <w:bCs/>
      <w:kern w:val="2"/>
      <w:sz w:val="21"/>
    </w:rPr>
  </w:style>
  <w:style w:type="paragraph" w:customStyle="1" w:styleId="97">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character" w:customStyle="1" w:styleId="98">
    <w:name w:val="font41"/>
    <w:basedOn w:val="35"/>
    <w:qFormat/>
    <w:uiPriority w:val="0"/>
    <w:rPr>
      <w:rFonts w:hint="eastAsia" w:ascii="宋体" w:hAnsi="宋体" w:eastAsia="宋体" w:cs="宋体"/>
      <w:color w:val="000000"/>
      <w:sz w:val="18"/>
      <w:szCs w:val="18"/>
      <w:u w:val="none"/>
    </w:rPr>
  </w:style>
  <w:style w:type="character" w:customStyle="1" w:styleId="99">
    <w:name w:val="font51"/>
    <w:basedOn w:val="35"/>
    <w:qFormat/>
    <w:uiPriority w:val="0"/>
    <w:rPr>
      <w:rFonts w:ascii="Calibri" w:hAnsi="Calibri" w:cs="Calibri"/>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1.jpeg"/><Relationship Id="rId61" Type="http://schemas.openxmlformats.org/officeDocument/2006/relationships/image" Target="media/image50.png"/><Relationship Id="rId60" Type="http://schemas.openxmlformats.org/officeDocument/2006/relationships/image" Target="media/image49.jpeg"/><Relationship Id="rId6" Type="http://schemas.openxmlformats.org/officeDocument/2006/relationships/footer" Target="footer2.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file:///C:\Users\Administrator\AppData\Local\Temp\ksohtml\clip_image6.png" TargetMode="External"/><Relationship Id="rId52" Type="http://schemas.openxmlformats.org/officeDocument/2006/relationships/image" Target="media/image42.png"/><Relationship Id="rId51" Type="http://schemas.openxmlformats.org/officeDocument/2006/relationships/image" Target="file:///C:\Users\Administrator\AppData\Local\Temp\ksohtml\clip_image5.png" TargetMode="External"/><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jpe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CD2F7-B25C-4339-803C-CA89E233C266}">
  <ds:schemaRefs/>
</ds:datastoreItem>
</file>

<file path=docProps/app.xml><?xml version="1.0" encoding="utf-8"?>
<Properties xmlns="http://schemas.openxmlformats.org/officeDocument/2006/extended-properties" xmlns:vt="http://schemas.openxmlformats.org/officeDocument/2006/docPropsVTypes">
  <Template>Normal.dotm</Template>
  <Company>xjtc</Company>
  <Pages>44</Pages>
  <Words>3834</Words>
  <Characters>21858</Characters>
  <Lines>182</Lines>
  <Paragraphs>51</Paragraphs>
  <TotalTime>35</TotalTime>
  <ScaleCrop>false</ScaleCrop>
  <LinksUpToDate>false</LinksUpToDate>
  <CharactersWithSpaces>25641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2020-09-16T10:41:00Z</dcterms:created>
  <dc:creator>xt</dc:creator>
  <cp:lastModifiedBy>小憨憨不敢！</cp:lastModifiedBy>
  <cp:lastPrinted>2017-02-17T07:31:00Z</cp:lastPrinted>
  <dcterms:modified xsi:type="dcterms:W3CDTF">2021-11-03T09:55:52Z</dcterms:modified>
  <dc:title>第一部份 投标邀请</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E6B5CFE876E74B84A10121B7EA29071F</vt:lpwstr>
  </property>
</Properties>
</file>