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 w:bidi="ar"/>
        </w:rPr>
        <w:t>玛纳斯县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2021年应急救援物资采购</w:t>
      </w:r>
    </w:p>
    <w:p>
      <w:pPr>
        <w:widowControl/>
        <w:snapToGrid w:val="0"/>
        <w:spacing w:line="56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bidi="ar"/>
        </w:rPr>
        <w:t>竞争性磋商公告</w:t>
      </w:r>
    </w:p>
    <w:p>
      <w:pPr>
        <w:widowControl/>
        <w:snapToGrid w:val="0"/>
        <w:spacing w:line="56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22860</wp:posOffset>
                </wp:positionV>
                <wp:extent cx="5878830" cy="1893570"/>
                <wp:effectExtent l="12700" t="12700" r="2159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8695" y="1976120"/>
                          <a:ext cx="579247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85pt;margin-top:1.8pt;height:149.1pt;width:462.9pt;z-index:-251657216;v-text-anchor:middle;mso-width-relative:page;mso-height-relative:page;" fillcolor="#FFFFFF" filled="t" stroked="t" coordsize="21600,21600" o:gfxdata="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IZyCvXAAAACQEAAA8AAAAAAAAAAQAgAAAAIgAA&#10;AGRycy9kb3ducmV2LnhtbFBLAQIUABQAAAAIAIdO4kAIl6cuewIAAAIFAAAOAAAAAAAAAAEAIAAA&#10;ACYBAABkcnMvZTJvRG9jLnhtbFBLBQYAAAAABgAGAFkBAAAT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项目概况</w:t>
      </w:r>
    </w:p>
    <w:p>
      <w:pPr>
        <w:widowControl/>
        <w:snapToGrid w:val="0"/>
        <w:spacing w:line="560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玛纳斯县2021年应急救援物资采购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潜在供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应商应在昌吉回族自治州玛纳斯县中华碧玉园C3-1-121号获取采购文件，并于2021年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日 上午11时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（北京时间）前提交响应文件。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ZKGCZX-CJ-2021-059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玛纳斯县2021年应急救援物资采购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采购方式：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竞争性磋商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预算金额（元）：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980000.00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最高限价（元）：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980000.00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采购需求：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简要规格描述或项目基本概况介绍、用途：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应急物资采购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备注：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合同履约期限：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合同签订后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天（日历日）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本项目（否）接受联合体投标。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60" w:afterAutospacing="0" w:line="240" w:lineRule="atLeast"/>
        <w:ind w:left="0" w:right="0"/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  <w:t>申请人的资格要求：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满足《中华人民共和国政府采购法》第二十二条规定；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 w:line="240" w:lineRule="atLeast"/>
        <w:ind w:right="0" w:rightChars="0"/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落实政府采购政策需满足的资格要求：无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投标人必须是中华人民共和国境内注册的，具有独立法人资格的企业；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有效的工商营业执照副本原件、税务登记证副本原件、组织机构代码证副本原件或“三证合一”的营业执照副本原件或当地公证处出具的此资质的公证书原件；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5.在“信用中国”网站（www.creditchina.gov.cn)或中国政府采购网（www.ccgp.gov.cn)中被列入失信被执行人、重大税收违法案件当事人名单、政府采购严重违法失信行为记录名单的投标人，不得参加本次投标活动；</w:t>
      </w:r>
    </w:p>
    <w:p>
      <w:pPr>
        <w:pStyle w:val="3"/>
        <w:keepNext w:val="0"/>
        <w:keepLines w:val="0"/>
        <w:widowControl/>
        <w:suppressLineNumbers w:val="0"/>
        <w:tabs>
          <w:tab w:val="center" w:pos="4153"/>
        </w:tabs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本次招标不接受联合体投标。</w:t>
      </w:r>
    </w:p>
    <w:p>
      <w:pPr>
        <w:pStyle w:val="3"/>
        <w:keepNext w:val="0"/>
        <w:keepLines w:val="0"/>
        <w:widowControl/>
        <w:suppressLineNumbers w:val="0"/>
        <w:tabs>
          <w:tab w:val="center" w:pos="4153"/>
        </w:tabs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ab/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  <w:t>三、获取招标文件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日，每天上午10:00至14:00，下午1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0至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（北京时间，法定节假日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不休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地点：昌吉回族自治州玛纳斯县中华碧玉园C3-1-121号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凡有意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参加竞标者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，请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法定代表人或授权委托人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携带以下证件原件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加盖公章复印件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1份；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①企业法人营业执照副本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及复印件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②法定代表人身份证（法定代表人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）或法人授权委托书和被委托人身份证及法人身份证复印件（被授权委托人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原件、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提供“信用中国”、“中国政府采购网”官网网站的查询页面打印件，以上报名资料复印件一套需加盖公章递交至招标代理公司。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售价（元）：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  <w:t>四、提交投标文件截止时间、开标时间和地点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提交投标文件截止时间：2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上午11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投标地点：玛纳斯县文体中心二楼政府采购中心开标室（中华碧玉园）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420"/>
        <w:rPr>
          <w:rFonts w:hint="default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开标时间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上午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开标地点：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玛纳斯县文体中心二楼政府采购中心开标室（中华碧玉园）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Fonts w:ascii="黑体" w:hAnsi="宋体" w:eastAsia="黑体" w:cs="黑体"/>
          <w:i w:val="0"/>
          <w:caps w:val="0"/>
          <w:color w:val="000000"/>
          <w:spacing w:val="0"/>
          <w:sz w:val="25"/>
          <w:szCs w:val="25"/>
          <w:highlight w:val="none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  <w:t>五、公告期限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自本公告发布之日起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个工作日。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204" w:beforeAutospacing="0" w:after="204" w:afterAutospacing="0" w:line="240" w:lineRule="atLeast"/>
        <w:ind w:left="0" w:right="0" w:firstLine="0"/>
        <w:jc w:val="both"/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</w:rPr>
        <w:t>其他补充事宜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204" w:beforeAutospacing="0" w:after="204" w:afterAutospacing="0" w:line="240" w:lineRule="atLeast"/>
        <w:ind w:leftChars="0" w:right="0" w:rightChars="0"/>
        <w:jc w:val="both"/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Style w:val="6"/>
          <w:rFonts w:hint="eastAsia" w:ascii="黑体" w:eastAsia="黑体" w:cs="黑体"/>
          <w:i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 xml:space="preserve"> 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名 称：玛纳斯县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应急管理局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地 址：新疆昌吉州玛纳斯县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王静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18809940885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名 称：中琨工程咨询（北京）有限公司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地 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昌吉回族自治州玛纳斯县中华碧玉园C3-1-121号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联系方式：0994-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6666191   19109941477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项目联系人：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姜欢欢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监督管理部门名称：玛纳斯县财政局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联系人：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魏录宏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监督投诉电话： 0994-6650069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338B9"/>
    <w:multiLevelType w:val="singleLevel"/>
    <w:tmpl w:val="C61338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7D4696"/>
    <w:multiLevelType w:val="singleLevel"/>
    <w:tmpl w:val="487D469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86A96"/>
    <w:rsid w:val="0A685425"/>
    <w:rsid w:val="0F040FF7"/>
    <w:rsid w:val="10086A96"/>
    <w:rsid w:val="27C42297"/>
    <w:rsid w:val="30996536"/>
    <w:rsid w:val="49E07399"/>
    <w:rsid w:val="53AB362E"/>
    <w:rsid w:val="5C0B1BCF"/>
    <w:rsid w:val="6A9D7616"/>
    <w:rsid w:val="6D626CED"/>
    <w:rsid w:val="745210E9"/>
    <w:rsid w:val="74C62234"/>
    <w:rsid w:val="76AB08C6"/>
    <w:rsid w:val="7A0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bCs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  <w:style w:type="paragraph" w:customStyle="1" w:styleId="8">
    <w:name w:val="No Spacing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9">
    <w:name w:val="正文啊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2021-07-12T03:08:00Z</dcterms:created>
  <dc:creator>1</dc:creator>
  <cp:lastModifiedBy>你</cp:lastModifiedBy>
  <dcterms:modified xsi:type="dcterms:W3CDTF">2021-11-07T12:23:21Z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55DB9864155C40EDA114795F2410E250</vt:lpwstr>
  </property>
</Properties>
</file>