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jc w:val="center"/>
        <w:rPr>
          <w:sz w:val="36"/>
          <w:szCs w:val="36"/>
        </w:rPr>
      </w:pPr>
      <w:r>
        <w:rPr>
          <w:sz w:val="36"/>
          <w:szCs w:val="36"/>
        </w:rPr>
        <w:t>新疆星耀天都项目管理有限责任公司关于新疆维吾尔自治区维吾尔医医院等离子电切镜等医疗设备采购项目的公开招标公告</w:t>
      </w:r>
    </w:p>
    <w:p>
      <w:pPr>
        <w:pStyle w:val="3"/>
        <w:keepNext w:val="0"/>
        <w:keepLines w:val="0"/>
        <w:widowControl/>
        <w:suppressLineNumbers w:val="0"/>
        <w:spacing w:before="75" w:beforeAutospacing="0" w:after="75" w:afterAutospacing="0"/>
        <w:ind w:left="0" w:right="0"/>
      </w:pPr>
      <w:bookmarkStart w:id="0" w:name="_GoBack"/>
      <w:bookmarkEnd w:id="0"/>
      <w:r>
        <w:rPr>
          <w:rFonts w:ascii="仿宋" w:hAnsi="仿宋" w:eastAsia="仿宋" w:cs="仿宋"/>
          <w:sz w:val="27"/>
          <w:szCs w:val="27"/>
        </w:rPr>
        <w:t>项目概况</w:t>
      </w:r>
    </w:p>
    <w:p>
      <w:pPr>
        <w:pStyle w:val="3"/>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新疆维吾尔自治区维吾尔医医院等离子电切镜等医疗设备采购项目的潜在投标人应在乌鲁木齐市天山区光明路59号时代广场A座24F获取招标文件，并于2021年11月17日 11:00（北京时间）前递交投标文件。</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sz w:val="27"/>
          <w:szCs w:val="27"/>
        </w:rPr>
        <w:t>一、项目基本情况</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项目编号：XYTDZC2021-191</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项目名称：新疆维吾尔自治区维吾尔医医院等离子电切镜等医疗设备采购项目</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采购方式：公开招标</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预算金额（元）：1020000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最高限价（元）：第一包：300000,第二包：180000,第三包：540000</w:t>
      </w:r>
    </w:p>
    <w:p>
      <w:pPr>
        <w:pStyle w:val="3"/>
        <w:keepNext w:val="0"/>
        <w:keepLines w:val="0"/>
        <w:widowControl/>
        <w:suppressLineNumbers w:val="0"/>
        <w:spacing w:before="75" w:beforeAutospacing="0" w:after="75" w:afterAutospacing="0" w:line="300" w:lineRule="atLeast"/>
        <w:ind w:left="0" w:right="0" w:firstLine="420"/>
      </w:pP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采购需求：</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标项名称:第一包：动态心电血压二合一记录盒设备采购</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预算金额（元）:300000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简要规格描述或项目基本概况介绍、用途：动态心电血压二合一记录盒设备采购(包括供货、安装调试、培训、验收及售后服务等，为交钥匙项目）具体采购需求详见招标文件。</w:t>
      </w:r>
    </w:p>
    <w:p>
      <w:pPr>
        <w:pStyle w:val="3"/>
        <w:keepNext w:val="0"/>
        <w:keepLines w:val="0"/>
        <w:widowControl/>
        <w:suppressLineNumbers w:val="0"/>
        <w:spacing w:before="75" w:beforeAutospacing="0" w:after="75" w:afterAutospacing="0" w:line="300" w:lineRule="atLeast"/>
        <w:ind w:left="0" w:right="0" w:firstLine="420"/>
      </w:pPr>
    </w:p>
    <w:p>
      <w:pPr>
        <w:pStyle w:val="3"/>
        <w:keepNext w:val="0"/>
        <w:keepLines w:val="0"/>
        <w:widowControl/>
        <w:suppressLineNumbers w:val="0"/>
        <w:spacing w:before="75" w:beforeAutospacing="0" w:after="75" w:afterAutospacing="0" w:line="300" w:lineRule="atLeast"/>
        <w:ind w:left="0" w:right="0" w:firstLine="420"/>
      </w:pP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标项名称:第二包：耳鼻喉综合治疗台设备采购</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预算金额（元）:180000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简要规格描述或项目基本概况介绍、用途：耳鼻喉综合治疗台设备采购(包括供货、安装调试、培训、验收及售后服务等，为交钥匙项目）具体采购需求详见招标文件。</w:t>
      </w:r>
    </w:p>
    <w:p>
      <w:pPr>
        <w:pStyle w:val="3"/>
        <w:keepNext w:val="0"/>
        <w:keepLines w:val="0"/>
        <w:widowControl/>
        <w:suppressLineNumbers w:val="0"/>
        <w:spacing w:before="75" w:beforeAutospacing="0" w:after="75" w:afterAutospacing="0" w:line="300" w:lineRule="atLeast"/>
        <w:ind w:left="0" w:right="0" w:firstLine="420"/>
      </w:pP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标项名称:第三包：等离子电切镜、手术显微镜设备采购</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预算金额（元）:540000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简要规格描述或项目基本概况介绍、用途：等离子电切镜、手术显微镜设备采购(包括供货、安装调试、培训、验收及售后服务等，为交钥匙项目）具体采购需求详见招标文件。</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备注：</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合同履约期限：详阅招标文件</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本项目（否）接受联合体投标。</w:t>
      </w:r>
    </w:p>
    <w:p>
      <w:pPr>
        <w:pStyle w:val="3"/>
        <w:keepNext w:val="0"/>
        <w:keepLines w:val="0"/>
        <w:widowControl/>
        <w:suppressLineNumbers w:val="0"/>
        <w:spacing w:before="75" w:beforeAutospacing="0" w:after="75" w:afterAutospacing="0" w:line="300" w:lineRule="atLeast"/>
        <w:ind w:left="0" w:right="0"/>
      </w:pPr>
    </w:p>
    <w:p>
      <w:pPr>
        <w:pStyle w:val="3"/>
        <w:keepNext w:val="0"/>
        <w:keepLines w:val="0"/>
        <w:widowControl/>
        <w:suppressLineNumbers w:val="0"/>
        <w:spacing w:before="75" w:beforeAutospacing="0" w:after="75" w:afterAutospacing="0" w:line="300" w:lineRule="atLeast"/>
        <w:ind w:left="0" w:right="0"/>
      </w:pPr>
      <w:r>
        <w:rPr>
          <w:rStyle w:val="6"/>
          <w:rFonts w:ascii="黑体" w:hAnsi="宋体" w:eastAsia="黑体" w:cs="黑体"/>
          <w:sz w:val="27"/>
          <w:szCs w:val="27"/>
        </w:rPr>
        <w:t>二、申请人的资格要求：</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rPr>
      </w:pPr>
      <w:r>
        <w:rPr>
          <w:rFonts w:hint="eastAsia" w:ascii="仿宋" w:hAnsi="仿宋" w:eastAsia="仿宋" w:cs="仿宋"/>
          <w:sz w:val="27"/>
          <w:szCs w:val="27"/>
        </w:rPr>
        <w:t>1.满足《中华人民共和国政府采购法》第二十二条规定；</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rPr>
      </w:pPr>
      <w:r>
        <w:rPr>
          <w:rFonts w:hint="eastAsia" w:ascii="仿宋" w:hAnsi="仿宋" w:eastAsia="仿宋" w:cs="仿宋"/>
          <w:sz w:val="27"/>
          <w:szCs w:val="27"/>
        </w:rPr>
        <w:t>2.落实政府采购政策需满足的资格要求：无</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rPr>
      </w:pPr>
      <w:r>
        <w:rPr>
          <w:rFonts w:hint="eastAsia" w:ascii="仿宋" w:hAnsi="仿宋" w:eastAsia="仿宋" w:cs="仿宋"/>
          <w:sz w:val="27"/>
          <w:szCs w:val="27"/>
        </w:rPr>
        <w:t>3.本项目的特定资格要求：</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rPr>
      </w:pPr>
      <w:r>
        <w:rPr>
          <w:rFonts w:hint="eastAsia" w:ascii="仿宋" w:hAnsi="仿宋" w:eastAsia="仿宋" w:cs="仿宋"/>
          <w:sz w:val="27"/>
          <w:szCs w:val="27"/>
        </w:rPr>
        <w:t>（1）投标人应具有合法的医疗器械经营资格（代理商提供）或具有合法的医疗器械生产资格（制造商提供）或医疗器械经营备案凭证。</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rPr>
      </w:pPr>
      <w:r>
        <w:rPr>
          <w:rFonts w:hint="eastAsia" w:ascii="仿宋" w:hAnsi="仿宋" w:eastAsia="仿宋" w:cs="仿宋"/>
          <w:sz w:val="27"/>
          <w:szCs w:val="27"/>
        </w:rPr>
        <w:t>（2）投标产品具有合格医疗器械产品注册证书。</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rPr>
      </w:pPr>
      <w:r>
        <w:rPr>
          <w:rFonts w:hint="eastAsia" w:ascii="仿宋" w:hAnsi="仿宋" w:eastAsia="仿宋" w:cs="仿宋"/>
          <w:sz w:val="27"/>
          <w:szCs w:val="27"/>
        </w:rPr>
        <w:t>（3）在中华人民共和国境内注册，有能力提供本项目全部服务能力的投标人,未在“信用中国”网站（</w:t>
      </w:r>
      <w:r>
        <w:rPr>
          <w:rFonts w:hint="eastAsia" w:ascii="仿宋" w:hAnsi="仿宋" w:eastAsia="仿宋" w:cs="仿宋"/>
          <w:sz w:val="27"/>
          <w:szCs w:val="27"/>
        </w:rPr>
        <w:fldChar w:fldCharType="begin"/>
      </w:r>
      <w:r>
        <w:rPr>
          <w:rFonts w:hint="eastAsia" w:ascii="仿宋" w:hAnsi="仿宋" w:eastAsia="仿宋" w:cs="仿宋"/>
          <w:sz w:val="27"/>
          <w:szCs w:val="27"/>
        </w:rPr>
        <w:instrText xml:space="preserve"> HYPERLINK "http://www.creditchina.gov.cn%EF%BC%89%E3%80%81%E4%B8%AD%E5%9B%BD%E6%94%BF%E5%BA%9C%E9%87%87%E8%B4%AD%E7%BD%91%EF%BC%88www.ccgp.gov.cn%EF%BC%89%E7%AD%89%E6%B8%A0%E9%81%93%E5%88%97%E5%85%A5%E5%A4%B1%E4%BF%A1%E8%A2%AB%E6%89%A7%E8%A1%8C%E4%BA%BA%E3%80%81%E9%87%8D%E5%A4%A7%E7%A8%8E%E6%94%B6%E8%BF%9D%E6%B3%95%E6%A1%88%E4%BB%B6%E5%BD%93%E4%BA%8B%E4%BA%BA%E5%90%8D%E5%8D%95%E3%80%81%E6%94%BF%E5%BA%9C%E9%87%87%E8%B4%AD%E4%B8%A5%E9%87%8D%E8%BF%9D%E6%B3%95%E5%A4%B1%E4%BF%A1%E8%A1%8C%E4%B8%BA%E8%AE%B0%E5%BD%95%E5%90%8D%E5%8D%95%E3%80%82/" </w:instrText>
      </w:r>
      <w:r>
        <w:rPr>
          <w:rFonts w:hint="eastAsia" w:ascii="仿宋" w:hAnsi="仿宋" w:eastAsia="仿宋" w:cs="仿宋"/>
          <w:sz w:val="27"/>
          <w:szCs w:val="27"/>
        </w:rPr>
        <w:fldChar w:fldCharType="separate"/>
      </w:r>
      <w:r>
        <w:rPr>
          <w:rStyle w:val="7"/>
          <w:rFonts w:hint="eastAsia" w:ascii="仿宋" w:hAnsi="仿宋" w:eastAsia="仿宋" w:cs="仿宋"/>
          <w:sz w:val="27"/>
          <w:szCs w:val="27"/>
        </w:rPr>
        <w:t>www.creditchina.gov.cn）、中国政府采购网（www.ccgp.gov.cn）等渠道列入失信被执行人、重大税收违法案件当事人名单、政府采购严重违法失信行为记录名单。</w:t>
      </w:r>
      <w:r>
        <w:rPr>
          <w:rFonts w:hint="eastAsia" w:ascii="仿宋" w:hAnsi="仿宋" w:eastAsia="仿宋" w:cs="仿宋"/>
          <w:sz w:val="27"/>
          <w:szCs w:val="27"/>
        </w:rPr>
        <w:fldChar w:fldCharType="end"/>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rPr>
      </w:pPr>
      <w:r>
        <w:rPr>
          <w:rFonts w:hint="eastAsia" w:ascii="仿宋" w:hAnsi="仿宋" w:eastAsia="仿宋" w:cs="仿宋"/>
          <w:sz w:val="27"/>
          <w:szCs w:val="27"/>
        </w:rPr>
        <w:t>（4）采购项目需要落实的政府采购政策：《政府采购促进中小企业发展管理办法》；《关于政府采购支持监狱企业发展有关问题的通知》；《中国残疾人联合会关于促进残疾人就业政府采购政策的通知》；节能环保等。</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rPr>
      </w:pPr>
      <w:r>
        <w:rPr>
          <w:rFonts w:hint="eastAsia" w:ascii="仿宋" w:hAnsi="仿宋" w:eastAsia="仿宋" w:cs="仿宋"/>
          <w:sz w:val="27"/>
          <w:szCs w:val="27"/>
        </w:rPr>
        <w:t>（5）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rPr>
      </w:pP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sz w:val="27"/>
          <w:szCs w:val="27"/>
        </w:rPr>
        <w:t>三、获取招标文件</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时间：2021年10月28日至2021年11月03日，每天上午10:30至13:30，下午15:30至18:00（北京时间，法定节假日除外）</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地点：乌鲁木齐市天山区光明路59号时代广场A座24F</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方式：现场获取</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获取招标文件时需携带：营业执照复印件、本人身份证原件及复印件、投标人法定代表人授权委托书原件（以上资料须提供加盖单位公章复印件1份）。</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售价（元）：300</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sz w:val="27"/>
          <w:szCs w:val="27"/>
        </w:rPr>
        <w:t>四、提交投标文件截止时间、开标时间和地点</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提交投标文件截止时间：2021年11月17日 11:00（北京时间）</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投标地点：乌鲁木齐市天山区光明路59号时代广场A座24F</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开标时间：2021年11月17日 11:00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开标地点：乌鲁木齐市天山区光明路59号时代广场A座24F</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6"/>
          <w:rFonts w:ascii="黑体" w:hAnsi="宋体" w:eastAsia="黑体" w:cs="黑体"/>
          <w:sz w:val="27"/>
          <w:szCs w:val="27"/>
        </w:rPr>
        <w:t>五、公告期限</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自本公告发布之日起5个工作日。</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sz w:val="27"/>
          <w:szCs w:val="27"/>
        </w:rPr>
        <w:t>六、其他补充事宜</w:t>
      </w:r>
    </w:p>
    <w:p>
      <w:pPr>
        <w:pStyle w:val="3"/>
        <w:keepNext w:val="0"/>
        <w:keepLines w:val="0"/>
        <w:widowControl/>
        <w:suppressLineNumbers w:val="0"/>
        <w:spacing w:before="75" w:beforeAutospacing="0" w:after="75" w:afterAutospacing="0" w:line="315" w:lineRule="atLeast"/>
        <w:ind w:left="0" w:right="0" w:firstLine="420"/>
      </w:pPr>
      <w:r>
        <w:rPr>
          <w:rFonts w:hint="eastAsia" w:ascii="仿宋" w:hAnsi="仿宋" w:eastAsia="仿宋" w:cs="仿宋"/>
          <w:sz w:val="27"/>
          <w:szCs w:val="27"/>
        </w:rPr>
        <w:t>无</w:t>
      </w:r>
    </w:p>
    <w:p>
      <w:pPr>
        <w:pStyle w:val="3"/>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6"/>
          <w:rFonts w:ascii="黑体" w:hAnsi="宋体" w:eastAsia="黑体" w:cs="黑体"/>
          <w:sz w:val="27"/>
          <w:szCs w:val="27"/>
        </w:rPr>
        <w:t>七、对本次采购提出询问，请按以下方式联系</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1.采购人信息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w:t>
      </w:r>
      <w:r>
        <w:rPr>
          <w:rStyle w:val="8"/>
          <w:rFonts w:hint="eastAsia" w:ascii="仿宋" w:hAnsi="仿宋" w:eastAsia="仿宋" w:cs="仿宋"/>
          <w:sz w:val="27"/>
          <w:szCs w:val="27"/>
        </w:rPr>
        <w:t>新疆维吾尔自治区维吾尔医医院</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址：天山区延安路776号</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联系方式：0991-6296610</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2.采购代理机构信息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称：新疆星耀天都项目管理有限责任公司</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址：乌鲁木齐市天山区光明路59号时代广场A座24F</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联系方式：15999133266</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3.项目联系方式</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项目联系人：</w:t>
      </w:r>
      <w:r>
        <w:rPr>
          <w:rStyle w:val="8"/>
          <w:rFonts w:hint="eastAsia" w:ascii="仿宋" w:hAnsi="仿宋" w:eastAsia="仿宋" w:cs="仿宋"/>
          <w:sz w:val="27"/>
          <w:szCs w:val="27"/>
        </w:rPr>
        <w:t>史新西</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电 话：</w:t>
      </w:r>
      <w:r>
        <w:rPr>
          <w:rStyle w:val="8"/>
          <w:rFonts w:hint="eastAsia" w:ascii="仿宋" w:hAnsi="仿宋" w:eastAsia="仿宋" w:cs="仿宋"/>
          <w:sz w:val="27"/>
          <w:szCs w:val="27"/>
        </w:rPr>
        <w:t>15999133266</w:t>
      </w:r>
    </w:p>
    <w:p>
      <w:pPr>
        <w:pStyle w:val="3"/>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C3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character" w:styleId="8">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2021-11-17T09:14:52Z</dcterms:created>
  <dc:creator>Administrator</dc:creator>
  <cp:lastModifiedBy>Administrator</cp:lastModifiedBy>
  <dcterms:modified xsi:type="dcterms:W3CDTF">2021-11-17T09:15:03Z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C14DAEE4419B466D80BB2693EE599ED9</vt:lpwstr>
  </property>
</Properties>
</file>