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6"/>
          <w:szCs w:val="36"/>
          <w:lang w:val="en-US" w:eastAsia="zh-CN"/>
        </w:rPr>
        <w:t>裕民县2021年天山和阿尔泰山森林草原保护项目</w:t>
      </w:r>
    </w:p>
    <w:p>
      <w:pPr>
        <w:pStyle w:val="5"/>
        <w:keepNext w:val="0"/>
        <w:keepLines w:val="0"/>
        <w:widowControl/>
        <w:suppressLineNumbers w:val="0"/>
        <w:spacing w:line="450" w:lineRule="atLeast"/>
        <w:ind w:left="0" w:firstLine="0"/>
        <w:jc w:val="center"/>
      </w:pPr>
      <w:r>
        <w:rPr>
          <w:rFonts w:hint="eastAsia" w:ascii="sans-serif" w:hAnsi="sans-serif" w:cs="sans-serif"/>
          <w:i w:val="0"/>
          <w:caps w:val="0"/>
          <w:color w:val="000000"/>
          <w:spacing w:val="0"/>
          <w:sz w:val="36"/>
          <w:szCs w:val="36"/>
          <w:lang w:val="en-US" w:eastAsia="zh-CN"/>
        </w:rPr>
        <w:t>公开招标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6"/>
          <w:szCs w:val="36"/>
        </w:rPr>
        <w:t>公告</w:t>
      </w:r>
    </w:p>
    <w:tbl>
      <w:tblPr>
        <w:tblStyle w:val="9"/>
        <w:tblpPr w:leftFromText="180" w:rightFromText="180" w:vertAnchor="text" w:horzAnchor="page" w:tblpX="1770" w:tblpY="3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项目概况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right="0" w:firstLine="540" w:firstLineChars="200"/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裕民县2021年天山和阿尔泰山森林草原保护项目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的潜在投标人应在新疆海丰诚信项目管理有限公司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一楼招标部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（新疆塔城地区塔城市祥云小区5-1门头）获取招标文件，并于202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日 1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: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</w:rPr>
              <w:t>0（北京时间）前递交投标文件。</w:t>
            </w:r>
          </w:p>
        </w:tc>
      </w:tr>
    </w:tbl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项目编号：TDZFCG（HFCX）20211018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项目名称：裕民县2021年天山和阿尔泰山森林草原保护项目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资采购方式：公开招标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预算金额（元）：2910000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最高限价（元）：2910000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yellow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采购需求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  <w:t>：退化林修复0.5万亩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标段名称：裕民县2021年天山和阿尔泰山森林草原保护项目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数量：不限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预算金额（元）：2910000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简要规格描述或项目基本概况介绍、用途：退化林修复0.5万亩（本项目总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  <w:t>需用苗量为468813株，其中：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highlight w:val="none"/>
          <w:lang w:val="en-US" w:eastAsia="zh-CN" w:bidi="ar-SA"/>
        </w:rPr>
        <w:t>青皮杨309453株，白榆129658株，沙枣15529株，高酸海棠4543株，香妃海棠3658株，红叶海棠1493株，紫叶稠李1493株，大叶白蜡1493株，金叶榆1493株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  <w:t>；死树清理、除草、剩余物处理、整地、修畦埂、栽植、埋设标志牌等劳务总计需用工量5002个工日，其中：退化林修复需要用工量5000个，埋设标志牌需用工量2个工日）（具体采购内容详见招标文件）。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highlight w:val="none"/>
          <w:lang w:val="en-US" w:eastAsia="zh-CN" w:bidi="ar-SA"/>
        </w:rPr>
        <w:t>备注：合同履约期限：2021年10月至2022年7月，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合同签订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10个月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内完成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货物采购、整地、修畦埂、补植造林、更新造林等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工作。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本项目（否）接受联合体投标。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二、申请人的资格要求：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1、须符合《中华人民共和国政府采购法》第22条规定；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（1）具有独立承担民事责任的能力的供应商；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（2）具有良好的商业信誉和健全的财务会计制度；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（3）具有履行合同所必需的设备和专业技术能力；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（4）有依法缴纳税收和社会保障资金的良好记录；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（5）参加本次采购活动前三年内，在经营活动中没有重大违法记录；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（6）法律、行政法规规定的其他条件。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2、招标项目需要落实的政府采购政策：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（1）《政府采购促进中小企业发展管理办法》（财库[2020]46号）；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（2）《财政部、司法部关于政府采购支持监狱企业发展有关问题的通知》（财库〔2014〕68号）；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（3）《国务院办公厅关于建立政府强制采购节能产品制度的通知》（国办发〔2007〕51号）；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（4）《财政部 民政部 中国残疾人联合会关于促进残疾人就业政府采购政策的通知》财库〔2017〕141号 ；节能环保等。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3、本项目的特定资格要求：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（1）投标供应商营业执照经营范围中应包含树木种植经营、园林绿化工程施工和机械相关内容；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（2）投标供应商须具备《苗木生产许可证》或《苗木经营许可证》；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</w:t>
      </w:r>
      <w:r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信誉要求：参加政府采购活动前三年内未被列入“信用中国”网站(www.creditchina.gov.cn)失信被执行人、重大税收违法案件当事人和“中国政府采购”网站（www.ccgp.gov.cn）政府采购严重违法失信行为记录名单。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三、获取招标文件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时间：2021年10月18日至2021年10月22日（每天上午10：00—14：00，下午16：00—19：30时；北京时间，节假日除外）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地点：新疆海丰诚信项目管理有限公司招标部办公室（新疆塔城地区塔城市祥云小区5-1门头） 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售价（元）：300元（招标文件一经售出概不退还）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方式：现场领取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投标供应商购买招标文件时应提交的资料：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（1）有效期内的营业执照原件（营业执照经营范围中应包含树木种植经营、园林绿化工程施工和机械相关内容）；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（2）《苗木生产许可证》或《苗木经营许可证》； 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（3）法定代表人资格证明书或法定代表人授权委托书；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（4）法定代表人身份证或法定代表人授权代表身份证； 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（5）“信用中国”网站、“中国政府采购”截图复印件加盖公章（查询渠道：“信用中国”网站www.creditchina.gov.cn、中国政府采购”网站（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fldChar w:fldCharType="begin"/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instrText xml:space="preserve"> HYPERLINK "http://www.ccgp.gov.cn" </w:instrTex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www.ccgp.gov.cn</w:t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）；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注：上述资料均要求为原件，购买招标文件时需要提供复印件一套（加盖公章），以上所有资料胶装成册。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</w:t>
      </w: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四、提交投标文件截止时间、开标时间和地点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提交投标文件截止时间：2021年11月10日 10:30（北京时间）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投标地点：</w:t>
      </w:r>
      <w:bookmarkStart w:id="0" w:name="_GoBack"/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新疆海丰诚信项目管理有限公司二楼会议室（新疆塔城地区塔城市祥云小区5-1门头）</w:t>
      </w:r>
      <w:bookmarkEnd w:id="0"/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（如有变动另行通知）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开标时间：2021年11月10日 10:30（北京时间）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开标地点：新疆海丰诚信项目管理有限公司二楼会议室（新疆塔城地区塔城市祥云小区5-1门头）（如有变动另行通知）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五、公告期限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自本公告发布之日起5个工作日。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其他补充事宜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   无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七、对本次采购提出询问，请按以下方式联系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1.采购人信息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名 称：裕民县自然资源局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地 址：裕民县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联系人：郭秀丽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联系方式：18399813835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2.采购代理机构信息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名 称：新疆海丰诚信项目管理有限公司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地 址：新疆塔城地区塔城市祥云小区5-1门头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 xml:space="preserve">联系方式：0901-6221940    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项目联系方式：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项目联系人：闫雪宁、马玲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hint="default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  <w:t>电话：0901-62251940   13679997467</w:t>
      </w:r>
    </w:p>
    <w:p>
      <w:pPr>
        <w:widowControl/>
        <w:snapToGrid/>
        <w:spacing w:before="0" w:beforeAutospacing="1" w:after="0" w:afterAutospacing="1" w:line="240" w:lineRule="auto"/>
        <w:ind w:left="0" w:right="0" w:firstLine="420"/>
        <w:jc w:val="left"/>
        <w:textAlignment w:val="baseline"/>
        <w:rPr>
          <w:rFonts w:ascii="仿宋" w:hAnsi="仿宋" w:eastAsia="仿宋" w:cs="Times New Roman"/>
          <w:b w:val="0"/>
          <w:i w:val="0"/>
          <w:caps w:val="0"/>
          <w:color w:val="000000"/>
          <w:spacing w:val="0"/>
          <w:w w:val="100"/>
          <w:kern w:val="0"/>
          <w:sz w:val="27"/>
          <w:szCs w:val="27"/>
          <w:lang w:val="en-US" w:eastAsia="zh-CN" w:bidi="ar-SA"/>
        </w:rPr>
      </w:pPr>
    </w:p>
    <w:p>
      <w:pPr>
        <w:rPr>
          <w:rStyle w:val="11"/>
          <w:rFonts w:hint="eastAsia" w:ascii="黑体" w:hAnsi="宋体" w:eastAsia="黑体" w:cs="黑体"/>
          <w:i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7FF6"/>
    <w:rsid w:val="006C4486"/>
    <w:rsid w:val="00AC2AF5"/>
    <w:rsid w:val="01F13B41"/>
    <w:rsid w:val="03FC675A"/>
    <w:rsid w:val="046A57ED"/>
    <w:rsid w:val="06857CF2"/>
    <w:rsid w:val="06D075E8"/>
    <w:rsid w:val="07606368"/>
    <w:rsid w:val="079A0F71"/>
    <w:rsid w:val="087C29C5"/>
    <w:rsid w:val="08ED2235"/>
    <w:rsid w:val="0AE91542"/>
    <w:rsid w:val="0AEC738E"/>
    <w:rsid w:val="0B097C9F"/>
    <w:rsid w:val="0B0B279F"/>
    <w:rsid w:val="0B2D2DCB"/>
    <w:rsid w:val="0B976A72"/>
    <w:rsid w:val="0C48778E"/>
    <w:rsid w:val="0CE13E9A"/>
    <w:rsid w:val="0F3F5559"/>
    <w:rsid w:val="0F45795C"/>
    <w:rsid w:val="10982255"/>
    <w:rsid w:val="11C91263"/>
    <w:rsid w:val="12456DCD"/>
    <w:rsid w:val="16B26BC2"/>
    <w:rsid w:val="18F66167"/>
    <w:rsid w:val="1ABA682F"/>
    <w:rsid w:val="1B2E52A8"/>
    <w:rsid w:val="1BB96420"/>
    <w:rsid w:val="1C4E439F"/>
    <w:rsid w:val="1CC52BA9"/>
    <w:rsid w:val="1DB91D3C"/>
    <w:rsid w:val="1E4167EB"/>
    <w:rsid w:val="1F7967B9"/>
    <w:rsid w:val="1FB3580C"/>
    <w:rsid w:val="20680CF7"/>
    <w:rsid w:val="21905747"/>
    <w:rsid w:val="226F62B1"/>
    <w:rsid w:val="22CE44C0"/>
    <w:rsid w:val="23126FD0"/>
    <w:rsid w:val="2401119B"/>
    <w:rsid w:val="246E70AF"/>
    <w:rsid w:val="24A13477"/>
    <w:rsid w:val="2522280C"/>
    <w:rsid w:val="26246C87"/>
    <w:rsid w:val="26E37559"/>
    <w:rsid w:val="29114DCD"/>
    <w:rsid w:val="292B46E4"/>
    <w:rsid w:val="294F6732"/>
    <w:rsid w:val="296E1B16"/>
    <w:rsid w:val="298F55B4"/>
    <w:rsid w:val="2A997138"/>
    <w:rsid w:val="2AB55C99"/>
    <w:rsid w:val="2BB60954"/>
    <w:rsid w:val="2CE232F1"/>
    <w:rsid w:val="2D1F4F4B"/>
    <w:rsid w:val="2D4B276D"/>
    <w:rsid w:val="2DD60B25"/>
    <w:rsid w:val="2DD847D4"/>
    <w:rsid w:val="2DFD1336"/>
    <w:rsid w:val="2F0E6833"/>
    <w:rsid w:val="2F516432"/>
    <w:rsid w:val="2F7E1B4C"/>
    <w:rsid w:val="2FBB15A4"/>
    <w:rsid w:val="31210D6B"/>
    <w:rsid w:val="31AD1DE5"/>
    <w:rsid w:val="322E777F"/>
    <w:rsid w:val="33AA2D94"/>
    <w:rsid w:val="341E3A12"/>
    <w:rsid w:val="363B7639"/>
    <w:rsid w:val="37132422"/>
    <w:rsid w:val="373B22AF"/>
    <w:rsid w:val="378B7DD8"/>
    <w:rsid w:val="3972520C"/>
    <w:rsid w:val="39772AD8"/>
    <w:rsid w:val="39BA7EF3"/>
    <w:rsid w:val="39E53319"/>
    <w:rsid w:val="3A02486D"/>
    <w:rsid w:val="3B853A79"/>
    <w:rsid w:val="3C6C65F3"/>
    <w:rsid w:val="3D2801FA"/>
    <w:rsid w:val="3F222C59"/>
    <w:rsid w:val="428609BF"/>
    <w:rsid w:val="46084857"/>
    <w:rsid w:val="46683069"/>
    <w:rsid w:val="466C186D"/>
    <w:rsid w:val="4769107D"/>
    <w:rsid w:val="486D4A1C"/>
    <w:rsid w:val="499A7C03"/>
    <w:rsid w:val="4A037174"/>
    <w:rsid w:val="4A533570"/>
    <w:rsid w:val="4B462783"/>
    <w:rsid w:val="4B662F32"/>
    <w:rsid w:val="4BB02F4C"/>
    <w:rsid w:val="4BC54BDF"/>
    <w:rsid w:val="4C265CE8"/>
    <w:rsid w:val="4D7F0721"/>
    <w:rsid w:val="4D8412EB"/>
    <w:rsid w:val="4E6F47B0"/>
    <w:rsid w:val="4FE3284B"/>
    <w:rsid w:val="50092662"/>
    <w:rsid w:val="51387604"/>
    <w:rsid w:val="53286990"/>
    <w:rsid w:val="5411092D"/>
    <w:rsid w:val="54B46F20"/>
    <w:rsid w:val="558D2D6A"/>
    <w:rsid w:val="56F618BB"/>
    <w:rsid w:val="57CB3200"/>
    <w:rsid w:val="580605C1"/>
    <w:rsid w:val="5B173915"/>
    <w:rsid w:val="5DC753F9"/>
    <w:rsid w:val="5F05394C"/>
    <w:rsid w:val="5FCE0749"/>
    <w:rsid w:val="604A35AA"/>
    <w:rsid w:val="61153C7D"/>
    <w:rsid w:val="61952605"/>
    <w:rsid w:val="61A13094"/>
    <w:rsid w:val="624831DD"/>
    <w:rsid w:val="62FF74C8"/>
    <w:rsid w:val="642105F7"/>
    <w:rsid w:val="64FD1D11"/>
    <w:rsid w:val="653F3A8A"/>
    <w:rsid w:val="655102C5"/>
    <w:rsid w:val="65CC19CA"/>
    <w:rsid w:val="65E94F63"/>
    <w:rsid w:val="65F427F5"/>
    <w:rsid w:val="661A65F4"/>
    <w:rsid w:val="662C33E5"/>
    <w:rsid w:val="66743ED7"/>
    <w:rsid w:val="670E0B56"/>
    <w:rsid w:val="67A977BC"/>
    <w:rsid w:val="6A254A0A"/>
    <w:rsid w:val="6AB019BE"/>
    <w:rsid w:val="6B8472BF"/>
    <w:rsid w:val="6CC03610"/>
    <w:rsid w:val="6E42166A"/>
    <w:rsid w:val="6ED626F2"/>
    <w:rsid w:val="6F4611F8"/>
    <w:rsid w:val="6F666CC4"/>
    <w:rsid w:val="6FDC5792"/>
    <w:rsid w:val="70F57167"/>
    <w:rsid w:val="732041F9"/>
    <w:rsid w:val="73602523"/>
    <w:rsid w:val="74545DE7"/>
    <w:rsid w:val="7571088F"/>
    <w:rsid w:val="75F23DC4"/>
    <w:rsid w:val="76024F35"/>
    <w:rsid w:val="761710E1"/>
    <w:rsid w:val="761974E3"/>
    <w:rsid w:val="769C0E95"/>
    <w:rsid w:val="784A649B"/>
    <w:rsid w:val="78E0064D"/>
    <w:rsid w:val="79F82A4D"/>
    <w:rsid w:val="7A86796D"/>
    <w:rsid w:val="7AF6335B"/>
    <w:rsid w:val="7B690232"/>
    <w:rsid w:val="7C4B4C27"/>
    <w:rsid w:val="7DC74176"/>
    <w:rsid w:val="7E6247CB"/>
    <w:rsid w:val="7ED1640C"/>
    <w:rsid w:val="7EE91B6B"/>
    <w:rsid w:val="7F103854"/>
    <w:rsid w:val="7F1A6622"/>
    <w:rsid w:val="7F8B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10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99"/>
    <w:pPr>
      <w:widowControl w:val="0"/>
      <w:spacing w:after="0"/>
      <w:ind w:left="0" w:leftChars="0"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HTML Sample"/>
    <w:basedOn w:val="10"/>
    <w:qFormat/>
    <w:uiPriority w:val="0"/>
    <w:rPr>
      <w:rFonts w:ascii="Courier New" w:hAnsi="Courier New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1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2020-09-14T11:13:00Z</dcterms:created>
  <dc:creator>Administrator</dc:creator>
  <cp:lastModifiedBy>别来无恙</cp:lastModifiedBy>
  <cp:lastPrinted>2021-09-29T05:00:00Z</cp:lastPrinted>
  <dcterms:modified xsi:type="dcterms:W3CDTF">2021-10-18T05:01:10Z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FF83F9ACB8194374BC3704872618408D</vt:lpwstr>
  </property>
</Properties>
</file>