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55990498"/>
      <w:bookmarkStart w:id="1" w:name="_Toc55990499"/>
      <w:bookmarkStart w:id="2" w:name="_Toc56170377"/>
      <w:bookmarkStart w:id="3" w:name="_Toc82497891"/>
      <w:r>
        <w:rPr>
          <w:rFonts w:hint="eastAsia" w:ascii="仿宋" w:hAnsi="仿宋" w:eastAsia="仿宋"/>
          <w:color w:val="000000"/>
          <w:sz w:val="120"/>
          <w:szCs w:val="120"/>
        </w:rPr>
        <w:t>磋 商 文 件</w:t>
      </w:r>
    </w:p>
    <w:p>
      <w:pPr>
        <w:pStyle w:val="21"/>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ZKGSF(ZB)-20212982</w:t>
      </w:r>
    </w:p>
    <w:p>
      <w:pPr>
        <w:pStyle w:val="21"/>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新疆医科大学附属肿瘤医院全自动糖化分析仪采购项目（二次）</w:t>
      </w: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向征、丁宁宁</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1"/>
        <w:spacing w:line="360" w:lineRule="auto"/>
        <w:ind w:firstLine="720"/>
        <w:rPr>
          <w:rFonts w:ascii="仿宋" w:hAnsi="仿宋" w:eastAsia="仿宋" w:cs="仿宋"/>
          <w:sz w:val="36"/>
          <w:szCs w:val="36"/>
        </w:rPr>
      </w:pP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1"/>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9181"/>
        <w15:color w:val="DBDBDB"/>
        <w:docPartObj>
          <w:docPartGallery w:val="Table of Contents"/>
          <w:docPartUnique/>
        </w:docPartObj>
      </w:sdtPr>
      <w:sdtEndPr>
        <w:rPr>
          <w:rFonts w:hint="eastAsia" w:ascii="仿宋" w:hAnsi="仿宋" w:eastAsia="仿宋" w:cs="Times New Roman"/>
          <w:color w:val="000000"/>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40"/>
              <w:szCs w:val="40"/>
            </w:rPr>
            <w:t>目</w:t>
          </w:r>
          <w:r>
            <w:rPr>
              <w:rFonts w:hint="eastAsia" w:ascii="宋体" w:hAnsi="宋体" w:eastAsia="宋体"/>
              <w:sz w:val="40"/>
              <w:szCs w:val="40"/>
              <w:lang w:val="en-US" w:eastAsia="zh-CN"/>
            </w:rPr>
            <w:t xml:space="preserve">   </w:t>
          </w:r>
          <w:r>
            <w:rPr>
              <w:rFonts w:ascii="宋体" w:hAnsi="宋体" w:eastAsia="宋体"/>
              <w:sz w:val="40"/>
              <w:szCs w:val="40"/>
            </w:rPr>
            <w:t>录</w:t>
          </w:r>
        </w:p>
        <w:p>
          <w:pPr>
            <w:pStyle w:val="13"/>
            <w:tabs>
              <w:tab w:val="right" w:leader="dot" w:pos="8296"/>
            </w:tabs>
            <w:spacing w:line="360" w:lineRule="auto"/>
            <w:ind w:left="0" w:leftChars="0"/>
            <w:rPr>
              <w:rStyle w:val="18"/>
              <w:rFonts w:ascii="仿宋" w:hAnsi="仿宋" w:eastAsia="仿宋" w:cstheme="minorBidi"/>
              <w:sz w:val="24"/>
              <w:szCs w:val="24"/>
            </w:rPr>
          </w:pPr>
          <w:r>
            <w:rPr>
              <w:rFonts w:hint="eastAsia" w:ascii="仿宋" w:hAnsi="仿宋" w:eastAsia="仿宋"/>
              <w:color w:val="000000"/>
              <w:sz w:val="44"/>
              <w:szCs w:val="44"/>
            </w:rPr>
            <w:fldChar w:fldCharType="begin"/>
          </w:r>
          <w:r>
            <w:rPr>
              <w:rFonts w:hint="eastAsia" w:ascii="仿宋" w:hAnsi="仿宋" w:eastAsia="仿宋"/>
              <w:color w:val="000000"/>
              <w:sz w:val="44"/>
              <w:szCs w:val="44"/>
            </w:rPr>
            <w:instrText xml:space="preserve">TOC \o "1-3" \h \u </w:instrText>
          </w:r>
          <w:r>
            <w:rPr>
              <w:rFonts w:hint="eastAsia" w:ascii="仿宋" w:hAnsi="仿宋" w:eastAsia="仿宋"/>
              <w:color w:val="000000"/>
              <w:sz w:val="44"/>
              <w:szCs w:val="44"/>
            </w:rPr>
            <w:fldChar w:fldCharType="separate"/>
          </w: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_Toc10781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第一章、磋商公告</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_Toc10781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_Toc6611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第二章、磋商须知</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_Toc6611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_Toc1088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磋商须知前附表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_Toc1088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_Toc21944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一、总 则</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_Toc21944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9</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_Toc14023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二、磋商文件</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_Toc14023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11</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_Toc15402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三、响应文件的编制</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_Toc15402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11</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_Toc30594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四、响应文件的递交</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_Toc30594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16</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_Toc21348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五、磋商</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_Toc21348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18</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_Toc1196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六、资格审查</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_Toc1196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19</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_Toc5631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七、磋商和定标</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_Toc5631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19</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_Toc22194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七、授予合同</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_Toc22194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27</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_Toc18943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八、买方授标时更改采购货物数量的权利</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_Toc18943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28</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_Toc21911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九、其他事项</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_Toc21911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28</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_Toc12610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第三章、磋商内容及技术要求</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_Toc12610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30</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_Toc22040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第四章、合同</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_Toc22040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33</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_Toc26242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第五章、响应文件格式</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_Toc26242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45</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_Toc1331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附件一、投标书</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_Toc1331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46</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_Toc4933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附件二、</w:t>
          </w:r>
          <w:r>
            <w:rPr>
              <w:rStyle w:val="18"/>
              <w:rFonts w:ascii="仿宋" w:hAnsi="仿宋" w:eastAsia="仿宋" w:cstheme="minorBidi"/>
              <w:sz w:val="24"/>
              <w:szCs w:val="24"/>
            </w:rPr>
            <w:t>法定代表人资格证明书</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_Toc4933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48</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_Toc23757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附件三、法定代表人</w:t>
          </w:r>
          <w:r>
            <w:rPr>
              <w:rStyle w:val="18"/>
              <w:rFonts w:ascii="仿宋" w:hAnsi="仿宋" w:eastAsia="仿宋" w:cstheme="minorBidi"/>
              <w:sz w:val="24"/>
              <w:szCs w:val="24"/>
            </w:rPr>
            <w:t>授权委托书</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_Toc23757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49</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_Toc20081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附件四、关于磋商文件的声明函</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_Toc20081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50</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_Toc21116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附件五、诚信磋商承诺书</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_Toc21116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51</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_Toc12386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附件六、供应商反商业贿赂承诺书</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_Toc12386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52</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_Toc14797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附件七、</w:t>
          </w:r>
          <w:r>
            <w:rPr>
              <w:rStyle w:val="18"/>
              <w:rFonts w:ascii="仿宋" w:hAnsi="仿宋" w:eastAsia="仿宋" w:cstheme="minorBidi"/>
              <w:sz w:val="24"/>
              <w:szCs w:val="24"/>
            </w:rPr>
            <w:t>中小企业声明函（货物）</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_Toc14797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53</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_Toc20648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附件七、磋商一览表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_Toc20648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54</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_Toc23924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附件八、磋商产品名称、数量、规格分项报价表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_Toc23924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55</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_Toc17124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附件九、技术规格偏离表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_Toc17124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56</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_Toc12108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附件十、商务条款偏离表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_Toc12108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57</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_Toc4952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附件十一、磋商产品近三年相同产品销售业绩表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_Toc4952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58</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r>
            <w:rPr>
              <w:rFonts w:hint="eastAsia" w:ascii="仿宋" w:hAnsi="仿宋" w:eastAsia="仿宋"/>
              <w:color w:val="000000"/>
              <w:szCs w:val="44"/>
            </w:rPr>
            <w:fldChar w:fldCharType="end"/>
          </w:r>
        </w:p>
      </w:sdtContent>
    </w:sdt>
    <w:p>
      <w:pPr>
        <w:pStyle w:val="3"/>
        <w:rPr>
          <w:rFonts w:hint="eastAsia"/>
        </w:rPr>
      </w:pPr>
      <w:bookmarkStart w:id="4" w:name="_Toc10781"/>
      <w:bookmarkStart w:id="5" w:name="_Toc61184620"/>
      <w:r>
        <w:rPr>
          <w:rFonts w:hint="eastAsia"/>
        </w:rPr>
        <w:t>第一章、磋商公告</w:t>
      </w:r>
      <w:bookmarkEnd w:id="4"/>
      <w:bookmarkEnd w:id="5"/>
    </w:p>
    <w:p>
      <w:pPr>
        <w:pStyle w:val="20"/>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ZKGSF(ZB)-20212982</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：全自动糖化分析仪1台国产，预算金额17万元。</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0"/>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、法定代表人投标需携带法定代表人证明书（原件）及法定代表人身份证（原件），委托代理人投标需携带法定代表人授权委托书（原件）及委托代理人身份证（原件）；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6</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0"/>
        <w:snapToGrid w:val="0"/>
        <w:spacing w:line="360" w:lineRule="auto"/>
        <w:ind w:firstLine="560" w:firstLineChars="200"/>
        <w:jc w:val="both"/>
        <w:rPr>
          <w:rFonts w:ascii="仿宋" w:hAnsi="仿宋" w:eastAsia="仿宋"/>
          <w:sz w:val="28"/>
        </w:rPr>
        <w:sectPr>
          <w:headerReference r:id="rId6" w:type="first"/>
          <w:footerReference r:id="rId7" w:type="first"/>
          <w:headerReference r:id="rId5" w:type="default"/>
          <w:pgSz w:w="11906" w:h="16838"/>
          <w:pgMar w:top="1247" w:right="1134" w:bottom="1247" w:left="1134" w:header="851" w:footer="851" w:gutter="0"/>
          <w:pgNumType w:start="1"/>
          <w:cols w:space="720" w:num="1"/>
          <w:titlePg/>
          <w:docGrid w:type="linesAndChars" w:linePitch="312" w:charSpace="0"/>
        </w:sectPr>
      </w:pP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rPr>
        <w:t>202</w:t>
      </w:r>
      <w:r>
        <w:rPr>
          <w:rFonts w:ascii="仿宋" w:hAnsi="仿宋" w:eastAsia="仿宋"/>
          <w:sz w:val="28"/>
          <w:u w:val="single"/>
        </w:rPr>
        <w:t>1</w:t>
      </w:r>
      <w:r>
        <w:rPr>
          <w:rFonts w:hint="eastAsia" w:ascii="仿宋" w:hAnsi="仿宋" w:eastAsia="仿宋"/>
          <w:sz w:val="28"/>
        </w:rPr>
        <w:t>年</w:t>
      </w:r>
      <w:r>
        <w:rPr>
          <w:rFonts w:hint="eastAsia" w:ascii="仿宋" w:hAnsi="仿宋" w:eastAsia="仿宋"/>
          <w:sz w:val="28"/>
          <w:u w:val="single"/>
          <w:lang w:val="en-US" w:eastAsia="zh-CN"/>
        </w:rPr>
        <w:t>10</w:t>
      </w:r>
      <w:r>
        <w:rPr>
          <w:rFonts w:hint="eastAsia" w:ascii="仿宋" w:hAnsi="仿宋" w:eastAsia="仿宋"/>
          <w:sz w:val="28"/>
        </w:rPr>
        <w:t>月</w:t>
      </w:r>
      <w:r>
        <w:rPr>
          <w:rFonts w:hint="eastAsia" w:ascii="仿宋" w:hAnsi="仿宋" w:eastAsia="仿宋"/>
          <w:sz w:val="28"/>
          <w:u w:val="single"/>
          <w:lang w:val="en-US" w:eastAsia="zh-CN"/>
        </w:rPr>
        <w:t>29</w:t>
      </w:r>
      <w:r>
        <w:rPr>
          <w:rFonts w:hint="eastAsia" w:ascii="仿宋" w:hAnsi="仿宋" w:eastAsia="仿宋"/>
          <w:sz w:val="28"/>
        </w:rPr>
        <w:t>日-202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04</w:t>
      </w:r>
      <w:r>
        <w:rPr>
          <w:rFonts w:hint="eastAsia" w:ascii="仿宋" w:hAnsi="仿宋" w:eastAsia="仿宋"/>
          <w:sz w:val="28"/>
        </w:rPr>
        <w:t>日</w:t>
      </w:r>
      <w:bookmarkEnd w:id="6"/>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0"/>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w:t>
      </w:r>
      <w:r>
        <w:rPr>
          <w:rFonts w:hint="eastAsia" w:ascii="仿宋" w:hAnsi="仿宋" w:eastAsia="仿宋"/>
          <w:kern w:val="2"/>
          <w:sz w:val="28"/>
          <w:szCs w:val="28"/>
        </w:rPr>
        <w:t>医疗器械经营备案凭证（或医疗器械生产许可证或医疗器械经营许可证或其他医疗器械生产经营许可证明文件）</w:t>
      </w:r>
      <w:r>
        <w:rPr>
          <w:rFonts w:hint="eastAsia" w:ascii="仿宋" w:hAnsi="仿宋" w:eastAsia="仿宋"/>
          <w:sz w:val="28"/>
        </w:rPr>
        <w:t>。</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rPr>
        <w:t>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15</w:t>
      </w:r>
      <w:r>
        <w:rPr>
          <w:rFonts w:hint="eastAsia" w:ascii="仿宋" w:hAnsi="仿宋" w:eastAsia="仿宋"/>
          <w:sz w:val="28"/>
        </w:rPr>
        <w:t>日</w:t>
      </w:r>
      <w:r>
        <w:rPr>
          <w:rFonts w:hint="eastAsia" w:ascii="仿宋" w:hAnsi="仿宋" w:eastAsia="仿宋"/>
          <w:sz w:val="28"/>
          <w:u w:val="single"/>
          <w:lang w:val="en-US" w:eastAsia="zh-CN"/>
        </w:rPr>
        <w:t>11</w:t>
      </w:r>
      <w:r>
        <w:rPr>
          <w:rFonts w:hint="eastAsia" w:ascii="仿宋" w:hAnsi="仿宋" w:eastAsia="仿宋"/>
          <w:sz w:val="28"/>
        </w:rPr>
        <w:t>时</w:t>
      </w:r>
      <w:r>
        <w:rPr>
          <w:rFonts w:ascii="仿宋" w:hAnsi="仿宋" w:eastAsia="仿宋"/>
          <w:sz w:val="28"/>
          <w:u w:val="single"/>
        </w:rPr>
        <w:t>00</w:t>
      </w:r>
      <w:r>
        <w:rPr>
          <w:rFonts w:hint="eastAsia" w:ascii="仿宋" w:hAnsi="仿宋" w:eastAsia="仿宋"/>
          <w:sz w:val="28"/>
        </w:rPr>
        <w:t>分（北京时间）</w:t>
      </w:r>
      <w:bookmarkEnd w:id="8"/>
    </w:p>
    <w:p>
      <w:pPr>
        <w:pStyle w:val="20"/>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新疆医科大学附属肿瘤医院门诊综合楼5楼体检科会议室</w:t>
      </w:r>
      <w:r>
        <w:rPr>
          <w:rFonts w:hint="eastAsia" w:ascii="仿宋" w:hAnsi="仿宋" w:eastAsia="仿宋"/>
          <w:b/>
          <w:bCs/>
          <w:sz w:val="28"/>
          <w:lang w:eastAsia="zh-CN"/>
        </w:rPr>
        <w:t>（</w:t>
      </w:r>
      <w:r>
        <w:rPr>
          <w:rFonts w:hint="eastAsia" w:ascii="仿宋" w:hAnsi="仿宋" w:eastAsia="仿宋"/>
          <w:b/>
          <w:bCs/>
          <w:sz w:val="28"/>
          <w:lang w:val="en-US" w:eastAsia="zh-CN"/>
        </w:rPr>
        <w:t>投标人代表须</w:t>
      </w:r>
      <w:r>
        <w:rPr>
          <w:rFonts w:hint="eastAsia" w:ascii="仿宋" w:hAnsi="仿宋" w:eastAsia="仿宋"/>
          <w:b/>
          <w:bCs/>
          <w:sz w:val="28"/>
          <w:lang w:eastAsia="zh-CN"/>
        </w:rPr>
        <w:t>持行程码和7天有效核酸检测报告即可进入门诊综合楼）</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rPr>
        <w:t>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15</w:t>
      </w:r>
      <w:r>
        <w:rPr>
          <w:rFonts w:hint="eastAsia" w:ascii="仿宋" w:hAnsi="仿宋" w:eastAsia="仿宋"/>
          <w:sz w:val="28"/>
        </w:rPr>
        <w:t>日</w:t>
      </w:r>
      <w:r>
        <w:rPr>
          <w:rFonts w:hint="eastAsia" w:ascii="仿宋" w:hAnsi="仿宋" w:eastAsia="仿宋"/>
          <w:sz w:val="28"/>
          <w:u w:val="single"/>
          <w:lang w:val="en-US" w:eastAsia="zh-CN"/>
        </w:rPr>
        <w:t>11</w:t>
      </w:r>
      <w:r>
        <w:rPr>
          <w:rFonts w:hint="eastAsia" w:ascii="仿宋" w:hAnsi="仿宋" w:eastAsia="仿宋"/>
          <w:sz w:val="28"/>
        </w:rPr>
        <w:t>时</w:t>
      </w:r>
      <w:r>
        <w:rPr>
          <w:rFonts w:ascii="仿宋" w:hAnsi="仿宋" w:eastAsia="仿宋"/>
          <w:sz w:val="28"/>
          <w:u w:val="single"/>
        </w:rPr>
        <w:t>00</w:t>
      </w:r>
      <w:r>
        <w:rPr>
          <w:rFonts w:hint="eastAsia" w:ascii="仿宋" w:hAnsi="仿宋" w:eastAsia="仿宋"/>
          <w:sz w:val="28"/>
        </w:rPr>
        <w:t>分（北京时间）</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新疆医科大学附属肿瘤医院门诊综合楼5楼体检科会议室</w:t>
      </w:r>
      <w:r>
        <w:rPr>
          <w:rFonts w:hint="eastAsia" w:ascii="仿宋" w:hAnsi="仿宋" w:eastAsia="仿宋"/>
          <w:b/>
          <w:bCs/>
          <w:sz w:val="28"/>
          <w:lang w:eastAsia="zh-CN"/>
        </w:rPr>
        <w:t>（</w:t>
      </w:r>
      <w:r>
        <w:rPr>
          <w:rFonts w:hint="eastAsia" w:ascii="仿宋" w:hAnsi="仿宋" w:eastAsia="仿宋"/>
          <w:b/>
          <w:bCs/>
          <w:sz w:val="28"/>
          <w:lang w:val="en-US" w:eastAsia="zh-CN"/>
        </w:rPr>
        <w:t>投标人代表须</w:t>
      </w:r>
      <w:r>
        <w:rPr>
          <w:rFonts w:hint="eastAsia" w:ascii="仿宋" w:hAnsi="仿宋" w:eastAsia="仿宋"/>
          <w:b/>
          <w:bCs/>
          <w:sz w:val="28"/>
          <w:lang w:eastAsia="zh-CN"/>
        </w:rPr>
        <w:t>持行程码和7天有效核酸检测报告即可进入门诊综合楼）</w:t>
      </w:r>
    </w:p>
    <w:p>
      <w:pPr>
        <w:pStyle w:val="20"/>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0"/>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0"/>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0"/>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0"/>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0"/>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0"/>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3"/>
      </w:pPr>
      <w:r>
        <w:rPr>
          <w:rFonts w:hint="eastAsia"/>
        </w:rPr>
        <w:br w:type="page"/>
      </w:r>
      <w:bookmarkStart w:id="9" w:name="_Toc56170378"/>
      <w:bookmarkStart w:id="10" w:name="_Toc55990500"/>
      <w:bookmarkStart w:id="11" w:name="_Toc61184621"/>
      <w:bookmarkStart w:id="12" w:name="_Toc6611"/>
      <w:bookmarkStart w:id="13" w:name="_Toc5896489"/>
      <w:bookmarkStart w:id="14" w:name="_Toc399523005"/>
      <w:r>
        <w:rPr>
          <w:rFonts w:hint="eastAsia"/>
        </w:rPr>
        <w:t>第二章、磋商须知</w:t>
      </w:r>
      <w:bookmarkEnd w:id="9"/>
      <w:bookmarkEnd w:id="10"/>
      <w:bookmarkEnd w:id="11"/>
      <w:bookmarkEnd w:id="12"/>
      <w:bookmarkEnd w:id="13"/>
    </w:p>
    <w:p>
      <w:pPr>
        <w:pStyle w:val="5"/>
        <w:rPr>
          <w:rFonts w:hint="eastAsia"/>
        </w:rPr>
      </w:pPr>
      <w:bookmarkStart w:id="15" w:name="_Toc1088"/>
      <w:bookmarkStart w:id="16" w:name="_Toc56170379"/>
      <w:bookmarkStart w:id="17" w:name="_Toc61184622"/>
      <w:r>
        <w:rPr>
          <w:rFonts w:hint="eastAsia"/>
        </w:rPr>
        <w:t>磋商须知前附表</w:t>
      </w:r>
      <w:bookmarkEnd w:id="15"/>
      <w:bookmarkEnd w:id="16"/>
      <w:bookmarkEnd w:id="17"/>
    </w:p>
    <w:tbl>
      <w:tblPr>
        <w:tblStyle w:val="15"/>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1"/>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1"/>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1"/>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新疆医科大学附属肿瘤医院全自动糖化分析仪采购项目（二次）</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ZKGSF(ZB)-20212982</w:t>
            </w:r>
          </w:p>
          <w:p>
            <w:pPr>
              <w:pStyle w:val="21"/>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磋商内容：全自动糖化分析仪1台国产。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1"/>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17</w:t>
            </w:r>
            <w:r>
              <w:rPr>
                <w:rFonts w:hint="eastAsia" w:ascii="仿宋" w:hAnsi="仿宋" w:eastAsia="仿宋"/>
                <w:color w:val="000000"/>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向征、丁宁宁</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1"/>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1"/>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3</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4</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叁仟肆佰元整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0"/>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0"/>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0"/>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 xml:space="preserve">、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 </w:t>
            </w:r>
          </w:p>
          <w:p>
            <w:pPr>
              <w:pStyle w:val="20"/>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、法定代表人投标需携带法定代表人证明书（原件）及法定代表人身份证（原件），委托代理人投标需携带法定代表人授权委托书（原件）及委托代理人身份证（原件）；</w:t>
            </w:r>
          </w:p>
          <w:p>
            <w:pPr>
              <w:pStyle w:val="20"/>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0"/>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、本项目不接受联合体投标。</w:t>
            </w:r>
          </w:p>
          <w:p>
            <w:pPr>
              <w:pStyle w:val="20"/>
              <w:snapToGrid w:val="0"/>
              <w:spacing w:line="360" w:lineRule="auto"/>
              <w:ind w:firstLine="560"/>
              <w:rPr>
                <w:rFonts w:ascii="仿宋" w:hAnsi="仿宋" w:eastAsia="仿宋"/>
                <w:szCs w:val="24"/>
              </w:rPr>
            </w:pPr>
            <w:r>
              <w:rPr>
                <w:rFonts w:ascii="仿宋" w:hAnsi="仿宋" w:eastAsia="仿宋"/>
                <w:szCs w:val="24"/>
              </w:rPr>
              <w:t>6</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0"/>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0"/>
              <w:snapToGrid w:val="0"/>
              <w:spacing w:line="360" w:lineRule="auto"/>
              <w:ind w:firstLine="560"/>
              <w:rPr>
                <w:rFonts w:hint="eastAsia" w:ascii="仿宋" w:hAnsi="仿宋" w:eastAsia="仿宋"/>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2021年</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15</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rPr>
              <w:t>叁</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新疆医科大学附属肿瘤医院门诊综合楼5楼体检科会议室</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投标人代表须</w:t>
            </w:r>
            <w:r>
              <w:rPr>
                <w:rFonts w:hint="eastAsia" w:ascii="仿宋" w:hAnsi="仿宋" w:eastAsia="仿宋"/>
                <w:b/>
                <w:bCs/>
                <w:color w:val="000000"/>
                <w:sz w:val="24"/>
                <w:szCs w:val="24"/>
                <w:lang w:eastAsia="zh-CN"/>
              </w:rPr>
              <w:t>持行程码和7天有效核酸检测报告即可进入门诊综合楼）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2021年</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15</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时00分（北京时间）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新疆医科大学附属肿瘤医院门诊综合楼5楼体检科会议室</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投标人代表须</w:t>
            </w:r>
            <w:r>
              <w:rPr>
                <w:rFonts w:hint="eastAsia" w:ascii="仿宋" w:hAnsi="仿宋" w:eastAsia="仿宋"/>
                <w:b/>
                <w:bCs/>
                <w:color w:val="000000"/>
                <w:sz w:val="24"/>
                <w:szCs w:val="24"/>
                <w:lang w:eastAsia="zh-CN"/>
              </w:rPr>
              <w:t>持行程码和7天有效核酸检测报告即可进入门诊综合楼）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b/>
                <w:bCs/>
                <w:sz w:val="24"/>
                <w:szCs w:val="24"/>
                <w:highlight w:val="none"/>
              </w:rPr>
              <w:t>付款方式：合同签订后付合同总额的80%，付款至全额的80％时供货方应提供设备真实、合法、有效的全额发票，货到安装完毕、验收合格运行壹个月后付合同总额的10％，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质保期：1年</w:t>
            </w:r>
            <w:r>
              <w:rPr>
                <w:rFonts w:hint="eastAsia" w:ascii="仿宋" w:hAnsi="仿宋" w:eastAsia="仿宋"/>
                <w:b/>
                <w:bCs/>
                <w:sz w:val="24"/>
                <w:szCs w:val="24"/>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rPr>
          <w:rFonts w:hint="eastAsia"/>
        </w:rPr>
      </w:pPr>
      <w:bookmarkStart w:id="18" w:name="_Toc56170380"/>
      <w:bookmarkStart w:id="19" w:name="_Toc61184623"/>
      <w:r>
        <w:rPr>
          <w:rFonts w:hint="eastAsia"/>
        </w:rPr>
        <w:br w:type="page"/>
      </w:r>
    </w:p>
    <w:p>
      <w:pPr>
        <w:pStyle w:val="5"/>
        <w:rPr>
          <w:rFonts w:hint="eastAsia"/>
        </w:rPr>
      </w:pPr>
      <w:bookmarkStart w:id="20" w:name="_Toc21944"/>
      <w:r>
        <w:rPr>
          <w:rFonts w:hint="eastAsia"/>
        </w:rPr>
        <w:t>一、总 则</w:t>
      </w:r>
      <w:bookmarkEnd w:id="18"/>
      <w:bookmarkEnd w:id="19"/>
      <w:bookmarkEnd w:id="20"/>
    </w:p>
    <w:p>
      <w:pPr>
        <w:pStyle w:val="20"/>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0"/>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0"/>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0"/>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0"/>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0"/>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0"/>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0"/>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0"/>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0"/>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0"/>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0"/>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0"/>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0"/>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0"/>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0"/>
        <w:spacing w:line="360" w:lineRule="auto"/>
        <w:ind w:firstLine="561"/>
        <w:rPr>
          <w:rFonts w:hint="eastAsia" w:ascii="仿宋" w:hAnsi="仿宋" w:eastAsia="仿宋"/>
          <w:sz w:val="28"/>
        </w:rPr>
      </w:pPr>
      <w:r>
        <w:rPr>
          <w:rFonts w:hint="eastAsia" w:ascii="仿宋" w:hAnsi="仿宋" w:eastAsia="仿宋"/>
          <w:sz w:val="28"/>
        </w:rPr>
        <w:t>3. 其他要求</w:t>
      </w:r>
    </w:p>
    <w:p>
      <w:pPr>
        <w:pStyle w:val="20"/>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0"/>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0"/>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0"/>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0"/>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rPr>
          <w:rFonts w:hint="eastAsia"/>
        </w:rPr>
      </w:pPr>
      <w:bookmarkStart w:id="21" w:name="_Toc56170381"/>
      <w:bookmarkStart w:id="22" w:name="_Toc14023"/>
      <w:bookmarkStart w:id="23" w:name="_Toc61184624"/>
      <w:r>
        <w:rPr>
          <w:rFonts w:hint="eastAsia"/>
        </w:rPr>
        <w:t>二、磋商文件</w:t>
      </w:r>
      <w:bookmarkEnd w:id="21"/>
      <w:bookmarkEnd w:id="22"/>
      <w:bookmarkEnd w:id="23"/>
    </w:p>
    <w:p>
      <w:pPr>
        <w:pStyle w:val="20"/>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0"/>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0"/>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0"/>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0"/>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0"/>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rPr>
          <w:rFonts w:hint="eastAsia"/>
        </w:rPr>
      </w:pPr>
      <w:bookmarkStart w:id="24" w:name="_Toc15402"/>
      <w:bookmarkStart w:id="25" w:name="_Toc61184625"/>
      <w:bookmarkStart w:id="26" w:name="_Toc56170382"/>
      <w:r>
        <w:rPr>
          <w:rFonts w:hint="eastAsia"/>
        </w:rPr>
        <w:t>三、响应文件的编制</w:t>
      </w:r>
      <w:bookmarkEnd w:id="24"/>
      <w:bookmarkEnd w:id="25"/>
      <w:bookmarkEnd w:id="26"/>
    </w:p>
    <w:p>
      <w:pPr>
        <w:pStyle w:val="20"/>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0"/>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0"/>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0"/>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0"/>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0"/>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0"/>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0"/>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0"/>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0"/>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0"/>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0"/>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1"/>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1"/>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0"/>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0"/>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0"/>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0"/>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0"/>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0"/>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0"/>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0"/>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0"/>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0"/>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0"/>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0"/>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0"/>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0"/>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0"/>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0"/>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0"/>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0"/>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0"/>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0"/>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0"/>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0"/>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0"/>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0"/>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0"/>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0"/>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0"/>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0"/>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1"/>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1"/>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1"/>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rPr>
          <w:rFonts w:hint="eastAsia"/>
        </w:rPr>
      </w:pPr>
      <w:bookmarkStart w:id="27" w:name="_Toc61184626"/>
      <w:bookmarkStart w:id="28" w:name="_Toc56170383"/>
      <w:bookmarkStart w:id="29" w:name="_Toc30594"/>
      <w:r>
        <w:rPr>
          <w:rFonts w:hint="eastAsia"/>
        </w:rPr>
        <w:t>四、响应文件的递交</w:t>
      </w:r>
      <w:bookmarkEnd w:id="27"/>
      <w:bookmarkEnd w:id="28"/>
      <w:bookmarkEnd w:id="29"/>
    </w:p>
    <w:p>
      <w:pPr>
        <w:pStyle w:val="20"/>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0"/>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0"/>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0"/>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0"/>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0"/>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2"/>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2"/>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2"/>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2"/>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2"/>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2"/>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2"/>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2"/>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2"/>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2"/>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2"/>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rPr>
          <w:rFonts w:hint="eastAsia"/>
        </w:rPr>
      </w:pPr>
      <w:bookmarkStart w:id="30" w:name="_Toc61184627"/>
      <w:bookmarkStart w:id="31" w:name="_Toc56170384"/>
      <w:bookmarkStart w:id="32" w:name="_Toc21348"/>
      <w:r>
        <w:rPr>
          <w:rFonts w:hint="eastAsia"/>
        </w:rPr>
        <w:t>五、磋商</w:t>
      </w:r>
      <w:bookmarkEnd w:id="30"/>
      <w:bookmarkEnd w:id="31"/>
      <w:bookmarkEnd w:id="32"/>
    </w:p>
    <w:p>
      <w:pPr>
        <w:pStyle w:val="22"/>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0"/>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0"/>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0"/>
        <w:spacing w:line="360" w:lineRule="auto"/>
        <w:ind w:firstLine="560"/>
        <w:jc w:val="both"/>
        <w:rPr>
          <w:rFonts w:hint="eastAsia" w:ascii="仿宋" w:hAnsi="仿宋" w:eastAsia="仿宋"/>
          <w:sz w:val="28"/>
        </w:rPr>
      </w:pPr>
      <w:r>
        <w:rPr>
          <w:rFonts w:hint="eastAsia" w:ascii="仿宋" w:hAnsi="仿宋" w:eastAsia="仿宋"/>
          <w:sz w:val="28"/>
        </w:rPr>
        <w:t>21.3 磋商时唱《磋商一览表》的内容，供应商名称、数量和磋商价格等在唱标时一并唱出。</w:t>
      </w:r>
    </w:p>
    <w:p>
      <w:pPr>
        <w:pStyle w:val="20"/>
        <w:spacing w:line="360" w:lineRule="auto"/>
        <w:ind w:firstLine="560"/>
        <w:jc w:val="both"/>
        <w:rPr>
          <w:rFonts w:hint="eastAsia" w:ascii="仿宋" w:hAnsi="仿宋" w:eastAsia="仿宋"/>
          <w:sz w:val="28"/>
        </w:rPr>
      </w:pPr>
      <w:r>
        <w:rPr>
          <w:rFonts w:hint="eastAsia" w:ascii="仿宋" w:hAnsi="仿宋" w:eastAsia="仿宋"/>
          <w:sz w:val="28"/>
        </w:rPr>
        <w:t>21.4 唱标完毕后，如果供应商对所唱《磋商一览表》内容有异议，应当场立即提出。经现场监标人员确认，认为有必要重新唱标的，由唱标员重新唱标。</w:t>
      </w:r>
    </w:p>
    <w:p>
      <w:pPr>
        <w:pStyle w:val="20"/>
        <w:spacing w:line="360" w:lineRule="auto"/>
        <w:ind w:firstLine="560"/>
        <w:jc w:val="both"/>
        <w:rPr>
          <w:rFonts w:hint="eastAsia" w:ascii="仿宋" w:hAnsi="仿宋" w:eastAsia="仿宋"/>
          <w:sz w:val="28"/>
        </w:rPr>
      </w:pPr>
      <w:r>
        <w:rPr>
          <w:rFonts w:hint="eastAsia" w:ascii="仿宋" w:hAnsi="仿宋" w:eastAsia="仿宋"/>
          <w:sz w:val="28"/>
        </w:rPr>
        <w:t>21.5 所有唱标均记录在案，并经各供应商代表和监标人员签字，作为各供应商响应文件的组成部分。</w:t>
      </w:r>
    </w:p>
    <w:p>
      <w:pPr>
        <w:pStyle w:val="5"/>
        <w:spacing w:line="360" w:lineRule="auto"/>
        <w:rPr>
          <w:rFonts w:hint="eastAsia"/>
        </w:rPr>
      </w:pPr>
      <w:bookmarkStart w:id="33" w:name="_Toc56170385"/>
      <w:bookmarkStart w:id="34" w:name="_Toc61184628"/>
      <w:bookmarkStart w:id="35" w:name="_Toc1196"/>
      <w:r>
        <w:rPr>
          <w:rFonts w:hint="eastAsia"/>
        </w:rPr>
        <w:t>六、资格审查</w:t>
      </w:r>
      <w:bookmarkEnd w:id="33"/>
      <w:bookmarkEnd w:id="34"/>
      <w:bookmarkEnd w:id="35"/>
    </w:p>
    <w:p>
      <w:pPr>
        <w:pStyle w:val="20"/>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0"/>
        <w:spacing w:line="360" w:lineRule="auto"/>
        <w:ind w:firstLine="561"/>
        <w:rPr>
          <w:rFonts w:hint="eastAsia" w:ascii="仿宋" w:hAnsi="仿宋" w:eastAsia="仿宋"/>
          <w:b/>
          <w:bCs/>
          <w:sz w:val="28"/>
        </w:rPr>
      </w:pPr>
      <w:r>
        <w:rPr>
          <w:rFonts w:hint="eastAsia" w:ascii="仿宋" w:hAnsi="仿宋" w:eastAsia="仿宋"/>
          <w:b/>
          <w:bCs/>
          <w:sz w:val="28"/>
        </w:rPr>
        <w:t>22.1 结束后，采购人按照本章第8.1.1条中规定的内容对各供应商的响应文件进行资格审查。资格审查不合格的，其磋商无效。</w:t>
      </w:r>
    </w:p>
    <w:p>
      <w:pPr>
        <w:pStyle w:val="20"/>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5"/>
        <w:spacing w:line="360" w:lineRule="auto"/>
        <w:rPr>
          <w:rFonts w:hint="eastAsia"/>
        </w:rPr>
      </w:pPr>
      <w:bookmarkStart w:id="36" w:name="_Toc5631"/>
      <w:bookmarkStart w:id="37" w:name="_Toc56170386"/>
      <w:bookmarkStart w:id="38" w:name="_Toc61184629"/>
      <w:r>
        <w:rPr>
          <w:rFonts w:hint="eastAsia"/>
        </w:rPr>
        <w:t>七、磋商和定标</w:t>
      </w:r>
      <w:bookmarkEnd w:id="36"/>
      <w:bookmarkEnd w:id="37"/>
      <w:bookmarkEnd w:id="38"/>
    </w:p>
    <w:p>
      <w:pPr>
        <w:pStyle w:val="20"/>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0"/>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0"/>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0"/>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0"/>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0"/>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0"/>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0"/>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0"/>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0"/>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0"/>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0"/>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0"/>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0"/>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0"/>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0"/>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0"/>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明显不符合磋商文件关于对磋商项目技术规格和标准的要求；</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1"/>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3"/>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3"/>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3"/>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3"/>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3"/>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5"/>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8"/>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3"/>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5"/>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rPr>
          <w:rFonts w:hint="eastAsia"/>
        </w:rPr>
      </w:pPr>
      <w:bookmarkStart w:id="39" w:name="_Toc61184630"/>
      <w:bookmarkStart w:id="40" w:name="_Toc56170387"/>
      <w:bookmarkStart w:id="41" w:name="_Toc22194"/>
      <w:r>
        <w:rPr>
          <w:rFonts w:hint="eastAsia"/>
        </w:rPr>
        <w:t>七、授予合同</w:t>
      </w:r>
      <w:bookmarkEnd w:id="39"/>
      <w:bookmarkEnd w:id="40"/>
      <w:bookmarkEnd w:id="41"/>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5"/>
        <w:spacing w:line="360" w:lineRule="auto"/>
        <w:rPr>
          <w:rFonts w:hint="eastAsia"/>
        </w:rPr>
      </w:pPr>
      <w:bookmarkStart w:id="42" w:name="_Toc18943"/>
      <w:bookmarkStart w:id="43" w:name="_Toc56170388"/>
      <w:bookmarkStart w:id="44" w:name="_Toc61184631"/>
      <w:r>
        <w:rPr>
          <w:rFonts w:hint="eastAsia"/>
        </w:rPr>
        <w:t>八、买方授标时更改采购货物数量的权利</w:t>
      </w:r>
      <w:bookmarkEnd w:id="42"/>
      <w:bookmarkEnd w:id="43"/>
      <w:bookmarkEnd w:id="44"/>
    </w:p>
    <w:p>
      <w:pPr>
        <w:pStyle w:val="21"/>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rPr>
      </w:pPr>
      <w:bookmarkStart w:id="45" w:name="_Toc21911"/>
      <w:bookmarkStart w:id="46" w:name="_Toc61184632"/>
      <w:bookmarkStart w:id="47" w:name="_Toc56170389"/>
      <w:r>
        <w:rPr>
          <w:rFonts w:hint="eastAsia"/>
        </w:rPr>
        <w:t>九、其他事项</w:t>
      </w:r>
      <w:bookmarkEnd w:id="45"/>
      <w:bookmarkEnd w:id="46"/>
      <w:bookmarkEnd w:id="47"/>
    </w:p>
    <w:p>
      <w:pPr>
        <w:pStyle w:val="20"/>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0"/>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3"/>
      </w:pPr>
      <w:r>
        <w:rPr>
          <w:rFonts w:cs="Times New Roman"/>
          <w:szCs w:val="20"/>
        </w:rPr>
        <w:br w:type="page"/>
      </w:r>
      <w:bookmarkStart w:id="48" w:name="_Toc55990501"/>
      <w:bookmarkStart w:id="49" w:name="_Toc61184633"/>
      <w:bookmarkStart w:id="50" w:name="_Toc56170390"/>
      <w:bookmarkStart w:id="51" w:name="_Toc12610"/>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tbl>
      <w:tblPr>
        <w:tblStyle w:val="15"/>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8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b/>
                <w:bCs/>
                <w:kern w:val="0"/>
                <w:sz w:val="24"/>
                <w:szCs w:val="24"/>
              </w:rPr>
            </w:pPr>
            <w:r>
              <w:rPr>
                <w:rFonts w:hint="eastAsia" w:ascii="仿宋" w:hAnsi="仿宋" w:eastAsia="仿宋" w:cs="宋体"/>
                <w:b/>
                <w:bCs/>
                <w:kern w:val="0"/>
                <w:sz w:val="24"/>
                <w:szCs w:val="24"/>
              </w:rPr>
              <w:t>1</w:t>
            </w:r>
          </w:p>
        </w:tc>
        <w:tc>
          <w:tcPr>
            <w:tcW w:w="8333" w:type="dxa"/>
            <w:shd w:val="clear" w:color="auto" w:fill="auto"/>
            <w:noWrap/>
            <w:vAlign w:val="top"/>
          </w:tcPr>
          <w:p>
            <w:pPr>
              <w:widowControl/>
              <w:spacing w:line="360" w:lineRule="auto"/>
              <w:jc w:val="left"/>
              <w:rPr>
                <w:rFonts w:ascii="仿宋" w:hAnsi="仿宋" w:eastAsia="仿宋" w:cs="宋体"/>
                <w:b/>
                <w:bCs/>
                <w:color w:val="000000"/>
                <w:kern w:val="0"/>
                <w:sz w:val="24"/>
                <w:szCs w:val="24"/>
              </w:rPr>
            </w:pPr>
            <w:r>
              <w:rPr>
                <w:rFonts w:hint="eastAsia" w:ascii="仿宋" w:hAnsi="仿宋" w:eastAsia="仿宋" w:cs="宋体"/>
                <w:b/>
                <w:bCs/>
                <w:kern w:val="0"/>
                <w:sz w:val="24"/>
                <w:szCs w:val="24"/>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1.1</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检测原理：反相阳离子交换层析法（HPLC）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1.2</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全自动分析仪：自动原始管进样，仪器自动识别样本并进行轨道推进进样，进样后自动进行样本处理、分离检测和结果报告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1.3</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样本处理能力：循环方式最大100样本，或连续上样；增设样本架最大可达300样本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1.4</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检测速度：45秒/样本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1.5</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重复性：CV&lt;2%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b/>
                <w:bCs/>
                <w:kern w:val="0"/>
                <w:sz w:val="24"/>
                <w:szCs w:val="24"/>
              </w:rPr>
              <w:t>*</w:t>
            </w:r>
            <w:r>
              <w:rPr>
                <w:rFonts w:hint="eastAsia" w:ascii="仿宋" w:hAnsi="仿宋" w:eastAsia="仿宋" w:cs="宋体"/>
                <w:kern w:val="0"/>
                <w:sz w:val="24"/>
                <w:szCs w:val="24"/>
              </w:rPr>
              <w:t>1.6</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检测范围：HbA1c：3～18%（NGSP值）；HbF:  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1.7</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结果报告：可同时报告IFCC和NGSP两个结果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1.8</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标本类型：全血或溶血标本，原始管可直接上机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1.9</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检测项目：HbA1c（稳定型HbA1c）、HbF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2.0</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扩展功能：可连接血糖流水线，一管血同时检测血糖和糖化血红蛋白，提高对糖尿病的辅助诊断。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b/>
                <w:bCs/>
                <w:kern w:val="0"/>
                <w:sz w:val="24"/>
                <w:szCs w:val="24"/>
              </w:rPr>
            </w:pPr>
            <w:r>
              <w:rPr>
                <w:rFonts w:hint="eastAsia" w:ascii="仿宋" w:hAnsi="仿宋" w:eastAsia="仿宋" w:cs="宋体"/>
                <w:b/>
                <w:bCs/>
                <w:kern w:val="0"/>
                <w:sz w:val="24"/>
                <w:szCs w:val="24"/>
              </w:rPr>
              <w:t>2</w:t>
            </w:r>
          </w:p>
        </w:tc>
        <w:tc>
          <w:tcPr>
            <w:tcW w:w="8333" w:type="dxa"/>
            <w:shd w:val="clear" w:color="auto" w:fill="auto"/>
            <w:noWrap/>
            <w:vAlign w:val="top"/>
          </w:tcPr>
          <w:p>
            <w:pPr>
              <w:widowControl/>
              <w:spacing w:line="360" w:lineRule="auto"/>
              <w:jc w:val="left"/>
              <w:rPr>
                <w:rFonts w:ascii="仿宋" w:hAnsi="仿宋" w:eastAsia="仿宋" w:cs="宋体"/>
                <w:b/>
                <w:bCs/>
                <w:color w:val="000000"/>
                <w:kern w:val="0"/>
                <w:sz w:val="24"/>
                <w:szCs w:val="24"/>
              </w:rPr>
            </w:pPr>
            <w:r>
              <w:rPr>
                <w:rFonts w:hint="eastAsia" w:ascii="仿宋" w:hAnsi="仿宋" w:eastAsia="仿宋" w:cs="宋体"/>
                <w:b/>
                <w:bCs/>
                <w:kern w:val="0"/>
                <w:sz w:val="24"/>
                <w:szCs w:val="24"/>
              </w:rPr>
              <w:t>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2.1</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泵：3台活塞泵，1台蠕动泵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2.2</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压力感应器模块：可控制泵压力，准确度小于等于5%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2.3</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分析柱加热模块，可控制分析柱温度稳定在40度，保证结果可靠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2.4</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条形码阅读器：具有自动识别样品管条形码的功能，自动识别校准架和质控架样本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2.5</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试剂模块：密封铝箔包装A液和B液，棕色避光瓶包装H液，避免光线对试剂的影响，避免溶解氧对试剂的影响。具有试剂感应功能，试剂余量直接在操作面板显示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2.6</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检测器：检测波长：420nm/500nm（双波长比色法）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2.7</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层析柱：内置过滤器，预过滤器和层析柱一体化，无需更换过滤器，避免频繁更换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2.8</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结果打印：机内自带58mm宽热敏打印机，热敏纸打印结果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2.9</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数据传输：可双向Lis，接口RS-232C(标准)，Ethernet（备选）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b/>
                <w:bCs/>
                <w:kern w:val="0"/>
                <w:sz w:val="24"/>
                <w:szCs w:val="24"/>
              </w:rPr>
            </w:pPr>
            <w:r>
              <w:rPr>
                <w:rFonts w:hint="eastAsia" w:ascii="仿宋" w:hAnsi="仿宋" w:eastAsia="仿宋" w:cs="宋体"/>
                <w:b/>
                <w:bCs/>
                <w:kern w:val="0"/>
                <w:sz w:val="24"/>
                <w:szCs w:val="24"/>
              </w:rPr>
              <w:t>3</w:t>
            </w:r>
          </w:p>
        </w:tc>
        <w:tc>
          <w:tcPr>
            <w:tcW w:w="8333" w:type="dxa"/>
            <w:shd w:val="clear" w:color="auto" w:fill="auto"/>
            <w:noWrap/>
            <w:vAlign w:val="top"/>
          </w:tcPr>
          <w:p>
            <w:pPr>
              <w:widowControl/>
              <w:spacing w:line="360" w:lineRule="auto"/>
              <w:jc w:val="left"/>
              <w:rPr>
                <w:rFonts w:ascii="仿宋" w:hAnsi="仿宋" w:eastAsia="仿宋" w:cs="宋体"/>
                <w:b/>
                <w:bCs/>
                <w:color w:val="000000"/>
                <w:kern w:val="0"/>
                <w:sz w:val="24"/>
                <w:szCs w:val="24"/>
              </w:rPr>
            </w:pPr>
            <w:r>
              <w:rPr>
                <w:rFonts w:hint="eastAsia" w:ascii="仿宋" w:hAnsi="仿宋" w:eastAsia="仿宋" w:cs="宋体"/>
                <w:b/>
                <w:bCs/>
                <w:kern w:val="0"/>
                <w:sz w:val="24"/>
                <w:szCs w:val="24"/>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3.1</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数据结构存储：可直接机内存储1000样本结果（含校准）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3.2</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样本数据查询：可直接机内系统查询对应样本号的检测结果、检测图谱等详细信息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3.3</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实时泵压力显示：机上操作面板直接动态实时显示泵的压力变化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3.4</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结果色谱图搜索查询：可根据样本编号、日期、样本类型的结果查询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3.5</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仪器可预约开机：可预约检测或流路清洗后仪器自动进入到睡眠状态。若选择下一次开机的星期数，则到指定星期数的指定时间，仪器可自动开机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3.6</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报告内容详尽：包括样品色谱图，各种检测成分（峰成分、保留时间、峰面积、相对百分比含量）、分析的数据结果和时间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b/>
                <w:bCs/>
                <w:kern w:val="0"/>
                <w:sz w:val="24"/>
                <w:szCs w:val="24"/>
              </w:rPr>
            </w:pPr>
            <w:r>
              <w:rPr>
                <w:rFonts w:hint="eastAsia" w:ascii="仿宋" w:hAnsi="仿宋" w:eastAsia="仿宋" w:cs="宋体"/>
                <w:b/>
                <w:bCs/>
                <w:kern w:val="0"/>
                <w:sz w:val="24"/>
                <w:szCs w:val="24"/>
              </w:rPr>
              <w:t>4</w:t>
            </w:r>
          </w:p>
        </w:tc>
        <w:tc>
          <w:tcPr>
            <w:tcW w:w="8333" w:type="dxa"/>
            <w:shd w:val="clear" w:color="auto" w:fill="auto"/>
            <w:noWrap/>
            <w:vAlign w:val="top"/>
          </w:tcPr>
          <w:p>
            <w:pPr>
              <w:widowControl/>
              <w:spacing w:line="360" w:lineRule="auto"/>
              <w:jc w:val="left"/>
              <w:rPr>
                <w:rFonts w:ascii="仿宋" w:hAnsi="仿宋" w:eastAsia="仿宋" w:cs="宋体"/>
                <w:b/>
                <w:bCs/>
                <w:color w:val="000000"/>
                <w:kern w:val="0"/>
                <w:sz w:val="24"/>
                <w:szCs w:val="24"/>
              </w:rPr>
            </w:pPr>
            <w:r>
              <w:rPr>
                <w:rFonts w:hint="eastAsia" w:ascii="仿宋" w:hAnsi="仿宋" w:eastAsia="仿宋" w:cs="宋体"/>
                <w:b/>
                <w:bCs/>
                <w:kern w:val="0"/>
                <w:sz w:val="24"/>
                <w:szCs w:val="24"/>
              </w:rPr>
              <w:t>系统参数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4.1</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无需另外配置外置PC电脑，仪器自带操作系统，节省实验室空间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4.2</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电源：220/230V交流电，50/60赫兹；功率300VA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4.3</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操作环境：温度：10到30℃；湿度：20%到80%（非凝露）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b/>
                <w:bCs/>
                <w:kern w:val="0"/>
                <w:sz w:val="24"/>
                <w:szCs w:val="24"/>
              </w:rPr>
            </w:pPr>
            <w:r>
              <w:rPr>
                <w:rFonts w:hint="eastAsia" w:ascii="仿宋" w:hAnsi="仿宋" w:eastAsia="仿宋" w:cs="宋体"/>
                <w:b/>
                <w:bCs/>
                <w:kern w:val="0"/>
                <w:sz w:val="24"/>
                <w:szCs w:val="24"/>
              </w:rPr>
              <w:t>5</w:t>
            </w:r>
          </w:p>
        </w:tc>
        <w:tc>
          <w:tcPr>
            <w:tcW w:w="8333" w:type="dxa"/>
            <w:shd w:val="clear" w:color="auto" w:fill="auto"/>
            <w:noWrap/>
            <w:vAlign w:val="top"/>
          </w:tcPr>
          <w:p>
            <w:pPr>
              <w:widowControl/>
              <w:spacing w:line="360" w:lineRule="auto"/>
              <w:jc w:val="left"/>
              <w:rPr>
                <w:rFonts w:ascii="仿宋" w:hAnsi="仿宋" w:eastAsia="仿宋" w:cs="宋体"/>
                <w:b/>
                <w:bCs/>
                <w:color w:val="000000"/>
                <w:kern w:val="0"/>
                <w:sz w:val="24"/>
                <w:szCs w:val="24"/>
              </w:rPr>
            </w:pPr>
            <w:r>
              <w:rPr>
                <w:rFonts w:hint="eastAsia" w:ascii="仿宋" w:hAnsi="仿宋" w:eastAsia="仿宋" w:cs="宋体"/>
                <w:b/>
                <w:bCs/>
                <w:kern w:val="0"/>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5.1</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要求厂家在中国上海设有分公司，在中国多地设有办事处和联络点，可对中国客户提供专业的售后服务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5.2</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仪器维护简单：不需要额外工具，手工即可更换层析柱，层析柱使用寿命长，即使样本量大也无需频繁更换层析柱和过滤网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7" w:type="dxa"/>
            <w:shd w:val="clear" w:color="auto" w:fill="auto"/>
            <w:noWrap/>
            <w:vAlign w:val="top"/>
          </w:tcPr>
          <w:p>
            <w:pPr>
              <w:widowControl/>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5.3</w:t>
            </w:r>
          </w:p>
        </w:tc>
        <w:tc>
          <w:tcPr>
            <w:tcW w:w="8333" w:type="dxa"/>
            <w:shd w:val="clear" w:color="auto" w:fill="auto"/>
            <w:noWrap/>
            <w:vAlign w:val="top"/>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要求厂家提供三级售后服务体系：总部、中国区公司、各省代理商三级售后为客户提供全方位的售后服务体系</w:t>
            </w:r>
          </w:p>
        </w:tc>
      </w:tr>
    </w:tbl>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*各投标人须单独报价伴随试剂单价（不作为</w:t>
      </w:r>
      <w:bookmarkStart w:id="94" w:name="_GoBack"/>
      <w:bookmarkEnd w:id="94"/>
      <w:r>
        <w:rPr>
          <w:rFonts w:hint="eastAsia" w:ascii="仿宋" w:hAnsi="仿宋" w:eastAsia="仿宋" w:cs="仿宋"/>
          <w:b/>
          <w:bCs/>
          <w:sz w:val="28"/>
          <w:szCs w:val="28"/>
          <w:lang w:val="en-US" w:eastAsia="zh-CN"/>
        </w:rPr>
        <w:t>价格评审因素）</w:t>
      </w:r>
      <w:r>
        <w:rPr>
          <w:rFonts w:hint="eastAsia" w:ascii="仿宋" w:hAnsi="仿宋" w:eastAsia="仿宋" w:cs="仿宋"/>
          <w:sz w:val="28"/>
          <w:szCs w:val="28"/>
          <w:lang w:val="en-US" w:eastAsia="zh-CN"/>
        </w:rPr>
        <w:br w:type="page"/>
      </w:r>
    </w:p>
    <w:tbl>
      <w:tblPr>
        <w:tblStyle w:val="15"/>
        <w:tblpPr w:leftFromText="180" w:rightFromText="180" w:horzAnchor="margin" w:tblpXSpec="center" w:tblpY="330"/>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777"/>
        <w:gridCol w:w="1176"/>
        <w:gridCol w:w="170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序号</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名称</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规格</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数量</w:t>
            </w:r>
          </w:p>
        </w:tc>
        <w:tc>
          <w:tcPr>
            <w:tcW w:w="850"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HA-8180主机本体（不含层析柱）</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台</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2</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样本加载器</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台</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3</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A、B、H液传感器</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个</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各1个</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内置热敏打印机</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个</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热敏打印纸</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盒</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工具箱</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个</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电源线</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套</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附件箱</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个</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操作说明书</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本</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启动样本架</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个</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常规样本架</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个</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850" w:type="dxa"/>
            <w:noWrap w:val="0"/>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5"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3777"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质控样本架</w:t>
            </w:r>
          </w:p>
        </w:tc>
        <w:tc>
          <w:tcPr>
            <w:tcW w:w="1176"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个</w:t>
            </w:r>
          </w:p>
        </w:tc>
        <w:tc>
          <w:tcPr>
            <w:tcW w:w="1701" w:type="dxa"/>
            <w:noWrap w:val="0"/>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850" w:type="dxa"/>
            <w:noWrap w:val="0"/>
            <w:vAlign w:val="center"/>
          </w:tcPr>
          <w:p>
            <w:pPr>
              <w:spacing w:line="360" w:lineRule="auto"/>
              <w:jc w:val="center"/>
              <w:rPr>
                <w:rFonts w:ascii="仿宋" w:hAnsi="仿宋" w:eastAsia="仿宋" w:cs="宋体"/>
                <w:sz w:val="24"/>
                <w:szCs w:val="24"/>
              </w:rPr>
            </w:pPr>
          </w:p>
        </w:tc>
      </w:tr>
    </w:tbl>
    <w:p>
      <w:pPr>
        <w:pStyle w:val="31"/>
        <w:numPr>
          <w:ilvl w:val="0"/>
          <w:numId w:val="0"/>
        </w:numPr>
        <w:spacing w:line="240" w:lineRule="auto"/>
        <w:ind w:leftChars="0"/>
        <w:rPr>
          <w:rFonts w:hint="eastAsia" w:ascii="仿宋" w:hAnsi="仿宋" w:eastAsia="仿宋" w:cs="仿宋"/>
          <w:sz w:val="28"/>
          <w:szCs w:val="28"/>
          <w:lang w:val="en-US" w:eastAsia="zh-CN"/>
        </w:rPr>
      </w:pPr>
    </w:p>
    <w:p>
      <w:pPr>
        <w:pStyle w:val="3"/>
        <w:ind w:left="0" w:firstLine="0"/>
        <w:rPr>
          <w:rFonts w:hint="eastAsia"/>
          <w:sz w:val="28"/>
        </w:rPr>
      </w:pPr>
      <w:r>
        <w:br w:type="page"/>
      </w:r>
      <w:bookmarkStart w:id="52" w:name="_Toc61184634"/>
      <w:bookmarkStart w:id="53" w:name="_Toc56170391"/>
      <w:bookmarkStart w:id="54" w:name="_Toc22040"/>
      <w:bookmarkStart w:id="55" w:name="_Toc55990502"/>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color w:val="000000"/>
          <w:sz w:val="24"/>
        </w:rPr>
        <w:t xml:space="preserve"> </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5"/>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0</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color w:val="000000"/>
          <w:sz w:val="24"/>
        </w:rPr>
        <w:t xml:space="preserve"> </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hint="eastAsia" w:ascii="仿宋" w:hAnsi="仿宋" w:eastAsia="仿宋"/>
          <w:color w:val="000000"/>
          <w:sz w:val="24"/>
          <w:szCs w:val="24"/>
        </w:rPr>
      </w:pPr>
      <w:r>
        <w:rPr>
          <w:rFonts w:hint="eastAsia" w:ascii="仿宋" w:hAnsi="仿宋" w:eastAsia="仿宋"/>
          <w:color w:val="000000"/>
          <w:sz w:val="24"/>
        </w:rPr>
        <w:t>1、</w:t>
      </w:r>
      <w:r>
        <w:rPr>
          <w:rFonts w:hint="eastAsia" w:ascii="仿宋" w:hAnsi="仿宋" w:eastAsia="仿宋"/>
          <w:color w:val="000000"/>
          <w:sz w:val="24"/>
          <w:szCs w:val="24"/>
        </w:rPr>
        <w:t>合同签订后付合同总额的80%，付款至全额的80％时供货方应提供设备真实、合法、有效的全额发票</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szCs w:val="24"/>
        </w:rPr>
        <w:t>2、</w:t>
      </w:r>
      <w:r>
        <w:rPr>
          <w:rFonts w:hint="eastAsia" w:ascii="仿宋" w:hAnsi="仿宋" w:eastAsia="仿宋"/>
          <w:color w:val="000000"/>
          <w:sz w:val="24"/>
        </w:rPr>
        <w:t>货到经甲方书面验收合格后运行壹个月，付总货款的10%，为（大写：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元整，小写：￥元），验收合格之日起质保期满后无息支付；</w:t>
      </w:r>
    </w:p>
    <w:p>
      <w:pPr>
        <w:spacing w:line="520" w:lineRule="exact"/>
        <w:ind w:firstLine="400"/>
        <w:jc w:val="left"/>
        <w:rPr>
          <w:rFonts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3"/>
        <w:rPr>
          <w:rFonts w:hint="eastAsia"/>
        </w:rPr>
      </w:pPr>
      <w:r>
        <w:rPr>
          <w:rFonts w:hint="eastAsia"/>
        </w:rPr>
        <w:br w:type="page"/>
      </w:r>
      <w:bookmarkStart w:id="56" w:name="_Toc56170392"/>
      <w:bookmarkStart w:id="57" w:name="_Toc61184635"/>
      <w:bookmarkStart w:id="58" w:name="_Toc26242"/>
      <w:r>
        <w:rPr>
          <w:rFonts w:hint="eastAsia"/>
        </w:rPr>
        <w:t>第五章、响应文件格式</w:t>
      </w:r>
      <w:bookmarkEnd w:id="56"/>
      <w:bookmarkEnd w:id="57"/>
      <w:bookmarkEnd w:id="58"/>
    </w:p>
    <w:p>
      <w:pPr>
        <w:pStyle w:val="22"/>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5"/>
        <w:rPr>
          <w:rFonts w:hint="eastAsia"/>
        </w:rPr>
      </w:pPr>
      <w:r>
        <w:rPr>
          <w:rFonts w:hint="eastAsia"/>
          <w:sz w:val="36"/>
        </w:rPr>
        <w:br w:type="page"/>
      </w:r>
      <w:bookmarkStart w:id="59" w:name="_Toc61184636"/>
      <w:bookmarkStart w:id="60" w:name="_Toc56170393"/>
      <w:bookmarkStart w:id="61" w:name="_Toc1331"/>
      <w:r>
        <w:rPr>
          <w:rFonts w:hint="eastAsia"/>
        </w:rPr>
        <w:t>附件一、投标书</w:t>
      </w:r>
      <w:bookmarkEnd w:id="59"/>
      <w:bookmarkEnd w:id="60"/>
      <w:bookmarkEnd w:id="61"/>
    </w:p>
    <w:p>
      <w:pPr>
        <w:pStyle w:val="23"/>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5"/>
        <w:rPr>
          <w:rFonts w:hint="eastAsia"/>
        </w:rPr>
      </w:pPr>
      <w:r>
        <w:rPr>
          <w:rFonts w:hint="eastAsia"/>
        </w:rPr>
        <w:br w:type="page"/>
      </w:r>
      <w:bookmarkStart w:id="62" w:name="_Toc4933"/>
      <w:bookmarkStart w:id="63" w:name="_Toc61184637"/>
      <w:bookmarkStart w:id="64" w:name="_Toc56170394"/>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1"/>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1"/>
        <w:spacing w:line="360" w:lineRule="auto"/>
        <w:ind w:firstLine="560"/>
        <w:rPr>
          <w:rFonts w:ascii="仿宋" w:hAnsi="仿宋" w:eastAsia="仿宋"/>
          <w:color w:val="000000"/>
        </w:rPr>
      </w:pPr>
    </w:p>
    <w:p>
      <w:pPr>
        <w:pStyle w:val="21"/>
        <w:spacing w:line="360" w:lineRule="auto"/>
        <w:ind w:firstLine="560"/>
        <w:rPr>
          <w:rFonts w:ascii="仿宋" w:hAnsi="仿宋" w:eastAsia="仿宋"/>
          <w:color w:val="000000"/>
        </w:rPr>
      </w:pPr>
      <w:r>
        <w:rPr>
          <w:rFonts w:ascii="仿宋" w:hAnsi="仿宋" w:eastAsia="仿宋"/>
          <w:color w:val="000000"/>
        </w:rPr>
        <w:t>特此证明</w:t>
      </w: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rFonts w:hint="eastAsia"/>
        </w:rPr>
      </w:pPr>
      <w:r>
        <w:br w:type="page"/>
      </w:r>
      <w:bookmarkStart w:id="65" w:name="_Toc23757"/>
      <w:bookmarkStart w:id="66" w:name="_Toc61184638"/>
      <w:bookmarkStart w:id="67" w:name="_Toc56170395"/>
      <w:r>
        <w:rPr>
          <w:rFonts w:hint="eastAsia"/>
        </w:rPr>
        <w:t>附件三、法定代表人</w:t>
      </w:r>
      <w:r>
        <w:t>授权委托书</w:t>
      </w:r>
      <w:bookmarkEnd w:id="65"/>
      <w:bookmarkEnd w:id="66"/>
      <w:bookmarkEnd w:id="67"/>
    </w:p>
    <w:p>
      <w:pPr>
        <w:spacing w:line="360" w:lineRule="auto"/>
        <w:rPr>
          <w:rFonts w:hint="eastAsia" w:ascii="仿宋" w:hAnsi="仿宋" w:eastAsia="仿宋"/>
          <w:color w:val="000000"/>
          <w:szCs w:val="21"/>
        </w:rPr>
      </w:pPr>
    </w:p>
    <w:p>
      <w:pPr>
        <w:pStyle w:val="21"/>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1"/>
        <w:spacing w:line="360" w:lineRule="auto"/>
        <w:ind w:firstLine="560"/>
        <w:rPr>
          <w:rFonts w:ascii="仿宋" w:hAnsi="仿宋" w:eastAsia="仿宋"/>
          <w:color w:val="000000"/>
        </w:rPr>
      </w:pPr>
      <w:r>
        <w:rPr>
          <w:rFonts w:ascii="仿宋" w:hAnsi="仿宋" w:eastAsia="仿宋"/>
          <w:color w:val="000000"/>
        </w:rPr>
        <w:t xml:space="preserve"> </w:t>
      </w:r>
    </w:p>
    <w:p>
      <w:pPr>
        <w:pStyle w:val="21"/>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1"/>
        <w:spacing w:line="360" w:lineRule="auto"/>
        <w:ind w:firstLine="560"/>
        <w:rPr>
          <w:rFonts w:ascii="仿宋" w:hAnsi="仿宋" w:eastAsia="仿宋"/>
          <w:color w:val="000000"/>
        </w:rPr>
      </w:pPr>
      <w:r>
        <w:rPr>
          <w:rFonts w:ascii="仿宋" w:hAnsi="仿宋" w:eastAsia="仿宋"/>
          <w:color w:val="000000"/>
        </w:rPr>
        <w:t xml:space="preserve"> </w:t>
      </w: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1"/>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1"/>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rPr>
          <w:rFonts w:hint="eastAsia"/>
        </w:rPr>
      </w:pPr>
      <w:r>
        <w:br w:type="page"/>
      </w:r>
      <w:bookmarkStart w:id="68" w:name="_Toc56170396"/>
      <w:bookmarkStart w:id="69" w:name="_Toc20081"/>
      <w:bookmarkStart w:id="70" w:name="_Toc61184639"/>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1"/>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1"/>
        <w:spacing w:line="360" w:lineRule="auto"/>
        <w:ind w:firstLine="560"/>
        <w:rPr>
          <w:rFonts w:hint="eastAsia" w:ascii="仿宋" w:hAnsi="仿宋" w:eastAsia="仿宋"/>
          <w:color w:val="000000"/>
        </w:rPr>
      </w:pPr>
      <w:r>
        <w:rPr>
          <w:rFonts w:hint="eastAsia" w:ascii="仿宋" w:hAnsi="仿宋" w:eastAsia="仿宋"/>
          <w:color w:val="000000"/>
        </w:rPr>
        <w:t>为响应你方    年    月   日的           磋商邀请，下述签字人自愿参与磋商，提供磋商文件技术需求书中规定的         项目，提交下述文件并声明全部说明是真实的和正确的。下述签字人将就下述文件中存在的虚假或不真实内容对磋商代理机构和供应商承担法律责任。</w:t>
      </w:r>
    </w:p>
    <w:p>
      <w:pPr>
        <w:pStyle w:val="21"/>
        <w:spacing w:line="360" w:lineRule="auto"/>
        <w:ind w:firstLine="560"/>
        <w:rPr>
          <w:rFonts w:hint="eastAsia" w:ascii="仿宋" w:hAnsi="仿宋" w:eastAsia="仿宋"/>
          <w:color w:val="000000"/>
        </w:rPr>
      </w:pPr>
      <w:r>
        <w:rPr>
          <w:rFonts w:hint="eastAsia" w:ascii="仿宋" w:hAnsi="仿宋" w:eastAsia="仿宋"/>
          <w:color w:val="000000"/>
        </w:rPr>
        <w:t>1）我方的资格声明，各有  份正本，  份副本。</w:t>
      </w:r>
    </w:p>
    <w:p>
      <w:pPr>
        <w:pStyle w:val="21"/>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1"/>
        <w:spacing w:line="360" w:lineRule="auto"/>
        <w:ind w:firstLine="560"/>
        <w:rPr>
          <w:rFonts w:hint="eastAsia" w:ascii="仿宋" w:hAnsi="仿宋" w:eastAsia="仿宋"/>
          <w:color w:val="000000"/>
        </w:rPr>
      </w:pPr>
      <w:r>
        <w:rPr>
          <w:rFonts w:hint="eastAsia" w:ascii="仿宋" w:hAnsi="仿宋" w:eastAsia="仿宋"/>
          <w:color w:val="000000"/>
        </w:rPr>
        <w:t>下述签字人知道，供应商可能要求其提供进一步的资格材料并同意按供应商的要求提交。</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rPr>
          <w:rFonts w:hint="eastAsia"/>
        </w:rPr>
      </w:pPr>
      <w:r>
        <w:rPr>
          <w:rFonts w:hint="eastAsia"/>
        </w:rPr>
        <w:br w:type="page"/>
      </w:r>
      <w:bookmarkStart w:id="71" w:name="_Toc61184640"/>
      <w:bookmarkStart w:id="72" w:name="_Toc21116"/>
      <w:bookmarkStart w:id="73" w:name="_Toc56170397"/>
      <w:r>
        <w:rPr>
          <w:rFonts w:hint="eastAsia"/>
        </w:rPr>
        <w:t>附件五、诚信磋商承诺书</w:t>
      </w:r>
      <w:bookmarkEnd w:id="71"/>
      <w:bookmarkEnd w:id="72"/>
      <w:bookmarkEnd w:id="73"/>
    </w:p>
    <w:p>
      <w:pPr>
        <w:pStyle w:val="21"/>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1"/>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1"/>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1"/>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1"/>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1"/>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1"/>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1"/>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1"/>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1"/>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1"/>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5"/>
        <w:rPr>
          <w:rFonts w:hint="eastAsia"/>
        </w:rPr>
      </w:pPr>
      <w:r>
        <w:rPr>
          <w:rFonts w:hint="eastAsia"/>
          <w:szCs w:val="28"/>
        </w:rPr>
        <w:br w:type="page"/>
      </w:r>
      <w:bookmarkStart w:id="74" w:name="_Toc435087575"/>
      <w:bookmarkStart w:id="75" w:name="_Toc12386"/>
      <w:bookmarkStart w:id="76" w:name="_Toc56170398"/>
      <w:bookmarkStart w:id="77" w:name="_Toc61184641"/>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1"/>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hint="eastAsia" w:cs="sans-serif"/>
          <w:sz w:val="19"/>
          <w:szCs w:val="19"/>
        </w:rPr>
      </w:pPr>
      <w:r>
        <w:br w:type="page"/>
      </w:r>
      <w:bookmarkStart w:id="78" w:name="_Toc14797"/>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
        <w:rPr>
          <w:rFonts w:ascii="仿宋" w:hAnsi="仿宋" w:eastAsia="仿宋"/>
        </w:rPr>
      </w:pPr>
    </w:p>
    <w:p>
      <w:pPr>
        <w:pStyle w:val="21"/>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footerReference r:id="rId9" w:type="first"/>
          <w:footerReference r:id="rId8" w:type="default"/>
          <w:pgSz w:w="11906" w:h="16838"/>
          <w:pgMar w:top="1247" w:right="1134" w:bottom="1247" w:left="1134" w:header="851" w:footer="851" w:gutter="0"/>
          <w:pgNumType w:fmt="decimal"/>
          <w:cols w:space="720" w:num="1"/>
          <w:titlePg/>
          <w:docGrid w:type="linesAndChars" w:linePitch="312" w:charSpace="0"/>
        </w:sectPr>
      </w:pPr>
    </w:p>
    <w:p>
      <w:pPr>
        <w:pStyle w:val="5"/>
        <w:spacing w:line="360" w:lineRule="auto"/>
        <w:rPr>
          <w:rFonts w:hint="eastAsia"/>
        </w:rPr>
      </w:pPr>
      <w:bookmarkStart w:id="79" w:name="_Toc61184642"/>
      <w:bookmarkStart w:id="80" w:name="_Toc20648"/>
      <w:bookmarkStart w:id="81" w:name="_Toc56170399"/>
      <w:r>
        <w:rPr>
          <w:rFonts w:hint="eastAsia"/>
        </w:rPr>
        <w:t>附件七、磋商一览表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5"/>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3、详细清单参照附件七自制。</w:t>
      </w:r>
    </w:p>
    <w:p>
      <w:pPr>
        <w:spacing w:line="360" w:lineRule="auto"/>
        <w:ind w:firstLine="13067" w:firstLineChars="4667"/>
        <w:rPr>
          <w:rFonts w:ascii="仿宋" w:hAnsi="仿宋" w:eastAsia="仿宋"/>
          <w:color w:val="000000"/>
          <w:sz w:val="28"/>
        </w:rPr>
      </w:pPr>
    </w:p>
    <w:p>
      <w:pPr>
        <w:pStyle w:val="5"/>
        <w:rPr>
          <w:rFonts w:hint="eastAsia"/>
        </w:rPr>
      </w:pPr>
      <w:r>
        <w:rPr>
          <w:rFonts w:hint="eastAsia"/>
        </w:rPr>
        <w:br w:type="page"/>
      </w:r>
      <w:bookmarkStart w:id="82" w:name="_Toc23924"/>
      <w:bookmarkStart w:id="83" w:name="_Toc56170400"/>
      <w:bookmarkStart w:id="84" w:name="_Toc61184643"/>
      <w:r>
        <w:rPr>
          <w:rFonts w:hint="eastAsia"/>
        </w:rPr>
        <w:t>附件八、磋商产品名称、数量、规格分项报价表</w:t>
      </w:r>
      <w:bookmarkEnd w:id="82"/>
      <w:bookmarkEnd w:id="83"/>
      <w:bookmarkEnd w:id="84"/>
    </w:p>
    <w:p>
      <w:pPr>
        <w:pStyle w:val="21"/>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5"/>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9"/>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br w:type="page"/>
      </w:r>
      <w:bookmarkStart w:id="85" w:name="_Toc17124"/>
      <w:bookmarkStart w:id="86" w:name="_Toc56170401"/>
      <w:bookmarkStart w:id="87" w:name="_Toc61184644"/>
      <w:r>
        <w:rPr>
          <w:rFonts w:hint="eastAsia"/>
        </w:rPr>
        <w:t>附件九、技术规格偏离表</w:t>
      </w:r>
      <w:bookmarkEnd w:id="85"/>
      <w:bookmarkEnd w:id="86"/>
      <w:bookmarkEnd w:id="87"/>
    </w:p>
    <w:tbl>
      <w:tblPr>
        <w:tblStyle w:val="15"/>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sz w:val="42"/>
        </w:rPr>
        <w:br w:type="page"/>
      </w:r>
      <w:bookmarkStart w:id="88" w:name="_Toc56170402"/>
      <w:bookmarkStart w:id="89" w:name="_Toc61184645"/>
      <w:bookmarkStart w:id="90" w:name="_Toc12108"/>
      <w:r>
        <w:rPr>
          <w:rFonts w:hint="eastAsia"/>
        </w:rPr>
        <w:t>附件十、商务条款偏离表</w:t>
      </w:r>
      <w:bookmarkEnd w:id="88"/>
      <w:bookmarkEnd w:id="89"/>
      <w:bookmarkEnd w:id="90"/>
    </w:p>
    <w:tbl>
      <w:tblPr>
        <w:tblStyle w:val="15"/>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rPr>
        <w:br w:type="page"/>
      </w:r>
      <w:bookmarkStart w:id="91" w:name="_Toc4952"/>
      <w:bookmarkStart w:id="92" w:name="_Toc56170403"/>
      <w:bookmarkStart w:id="93" w:name="_Toc61184646"/>
      <w:r>
        <w:rPr>
          <w:rFonts w:hint="eastAsia"/>
        </w:rPr>
        <w:t>附件十一、磋商产品近三年相同产品销售业绩表</w:t>
      </w:r>
      <w:bookmarkEnd w:id="91"/>
      <w:bookmarkEnd w:id="92"/>
      <w:bookmarkEnd w:id="93"/>
    </w:p>
    <w:tbl>
      <w:tblPr>
        <w:tblStyle w:val="15"/>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1" w:type="first"/>
      <w:footerReference r:id="rId13" w:type="first"/>
      <w:headerReference r:id="rId10" w:type="default"/>
      <w:footerReference r:id="rId12"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0"/>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27"/>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8F08CE"/>
    <w:rsid w:val="00E40206"/>
    <w:rsid w:val="00FD16FA"/>
    <w:rsid w:val="026262C0"/>
    <w:rsid w:val="035E6419"/>
    <w:rsid w:val="04BA216D"/>
    <w:rsid w:val="055752FB"/>
    <w:rsid w:val="076C4A0F"/>
    <w:rsid w:val="079851F1"/>
    <w:rsid w:val="07FE7A63"/>
    <w:rsid w:val="081A742F"/>
    <w:rsid w:val="09661D2F"/>
    <w:rsid w:val="09AC5E32"/>
    <w:rsid w:val="0A4C26EB"/>
    <w:rsid w:val="0BB55228"/>
    <w:rsid w:val="0BF5180D"/>
    <w:rsid w:val="0DC11B23"/>
    <w:rsid w:val="0E08085D"/>
    <w:rsid w:val="0F161444"/>
    <w:rsid w:val="1019116F"/>
    <w:rsid w:val="10AC5ADF"/>
    <w:rsid w:val="13B05556"/>
    <w:rsid w:val="13BA5F08"/>
    <w:rsid w:val="13E67B05"/>
    <w:rsid w:val="14961306"/>
    <w:rsid w:val="15000AF5"/>
    <w:rsid w:val="15506288"/>
    <w:rsid w:val="15603CAA"/>
    <w:rsid w:val="164B44BB"/>
    <w:rsid w:val="1736249E"/>
    <w:rsid w:val="177171E7"/>
    <w:rsid w:val="185B1B37"/>
    <w:rsid w:val="18761063"/>
    <w:rsid w:val="18963552"/>
    <w:rsid w:val="18BA78F3"/>
    <w:rsid w:val="1A1B1B9C"/>
    <w:rsid w:val="1A92241C"/>
    <w:rsid w:val="1B1572B6"/>
    <w:rsid w:val="1BBC2159"/>
    <w:rsid w:val="1CBD485A"/>
    <w:rsid w:val="1E296254"/>
    <w:rsid w:val="1E496813"/>
    <w:rsid w:val="1FD359B9"/>
    <w:rsid w:val="20945F1C"/>
    <w:rsid w:val="20A43AB4"/>
    <w:rsid w:val="20C35BA6"/>
    <w:rsid w:val="21063CC7"/>
    <w:rsid w:val="22332029"/>
    <w:rsid w:val="233B75FE"/>
    <w:rsid w:val="238D506A"/>
    <w:rsid w:val="23B243CA"/>
    <w:rsid w:val="240063DE"/>
    <w:rsid w:val="242A39A5"/>
    <w:rsid w:val="24464391"/>
    <w:rsid w:val="24470618"/>
    <w:rsid w:val="247E0DB7"/>
    <w:rsid w:val="24E94CB4"/>
    <w:rsid w:val="25895BF3"/>
    <w:rsid w:val="25DD2143"/>
    <w:rsid w:val="28052165"/>
    <w:rsid w:val="2A024B59"/>
    <w:rsid w:val="2A4C2202"/>
    <w:rsid w:val="2AD613E0"/>
    <w:rsid w:val="2B766148"/>
    <w:rsid w:val="2C086E09"/>
    <w:rsid w:val="2C3312DC"/>
    <w:rsid w:val="2CB6302F"/>
    <w:rsid w:val="2D831DB3"/>
    <w:rsid w:val="303350A5"/>
    <w:rsid w:val="315106F8"/>
    <w:rsid w:val="3316539F"/>
    <w:rsid w:val="34C5399E"/>
    <w:rsid w:val="353A2B32"/>
    <w:rsid w:val="366B28AD"/>
    <w:rsid w:val="36AB19CF"/>
    <w:rsid w:val="378F7F37"/>
    <w:rsid w:val="37FA6DF6"/>
    <w:rsid w:val="380B2468"/>
    <w:rsid w:val="38F55962"/>
    <w:rsid w:val="3A122237"/>
    <w:rsid w:val="3A2C539B"/>
    <w:rsid w:val="3B0C7FB1"/>
    <w:rsid w:val="3B36643D"/>
    <w:rsid w:val="3BBE2933"/>
    <w:rsid w:val="3CC53369"/>
    <w:rsid w:val="3E644066"/>
    <w:rsid w:val="3EE36CFB"/>
    <w:rsid w:val="3F9A7199"/>
    <w:rsid w:val="4016514E"/>
    <w:rsid w:val="40A551BD"/>
    <w:rsid w:val="4222702A"/>
    <w:rsid w:val="42B02335"/>
    <w:rsid w:val="43350757"/>
    <w:rsid w:val="44752B04"/>
    <w:rsid w:val="44B607EB"/>
    <w:rsid w:val="450A2833"/>
    <w:rsid w:val="456B4783"/>
    <w:rsid w:val="46A130D7"/>
    <w:rsid w:val="480D2BCC"/>
    <w:rsid w:val="481652EC"/>
    <w:rsid w:val="493023AB"/>
    <w:rsid w:val="49FC5FB9"/>
    <w:rsid w:val="4AB92B2D"/>
    <w:rsid w:val="4AD90754"/>
    <w:rsid w:val="4B887DA7"/>
    <w:rsid w:val="4BDF6255"/>
    <w:rsid w:val="4CF52547"/>
    <w:rsid w:val="4D9A2275"/>
    <w:rsid w:val="4F5211AD"/>
    <w:rsid w:val="50AD1252"/>
    <w:rsid w:val="50FA27B7"/>
    <w:rsid w:val="51612D17"/>
    <w:rsid w:val="52225098"/>
    <w:rsid w:val="524052BE"/>
    <w:rsid w:val="540256B8"/>
    <w:rsid w:val="54851111"/>
    <w:rsid w:val="54E002D6"/>
    <w:rsid w:val="55050F25"/>
    <w:rsid w:val="556C161A"/>
    <w:rsid w:val="55A43901"/>
    <w:rsid w:val="561645C0"/>
    <w:rsid w:val="581C0165"/>
    <w:rsid w:val="59390EB0"/>
    <w:rsid w:val="596F535C"/>
    <w:rsid w:val="59C32FE7"/>
    <w:rsid w:val="5A590CCA"/>
    <w:rsid w:val="5B9524A0"/>
    <w:rsid w:val="5BA23B75"/>
    <w:rsid w:val="5BA35E47"/>
    <w:rsid w:val="5C46556A"/>
    <w:rsid w:val="5C7F2045"/>
    <w:rsid w:val="5CF04846"/>
    <w:rsid w:val="5D1642F8"/>
    <w:rsid w:val="5E102984"/>
    <w:rsid w:val="5E1B7F6C"/>
    <w:rsid w:val="5F9864B1"/>
    <w:rsid w:val="6034358B"/>
    <w:rsid w:val="604E31CC"/>
    <w:rsid w:val="60F511E1"/>
    <w:rsid w:val="61040118"/>
    <w:rsid w:val="612E5943"/>
    <w:rsid w:val="615A2B49"/>
    <w:rsid w:val="61B40C7C"/>
    <w:rsid w:val="62447A52"/>
    <w:rsid w:val="625E3351"/>
    <w:rsid w:val="629569CE"/>
    <w:rsid w:val="63747EBF"/>
    <w:rsid w:val="63FD17A1"/>
    <w:rsid w:val="641D4612"/>
    <w:rsid w:val="647A3D59"/>
    <w:rsid w:val="64A56F02"/>
    <w:rsid w:val="64E154E8"/>
    <w:rsid w:val="66E15D4B"/>
    <w:rsid w:val="66F34A87"/>
    <w:rsid w:val="681F5B80"/>
    <w:rsid w:val="68347765"/>
    <w:rsid w:val="692F726B"/>
    <w:rsid w:val="6B000621"/>
    <w:rsid w:val="6B310C5C"/>
    <w:rsid w:val="6CA74FAC"/>
    <w:rsid w:val="6D5C063D"/>
    <w:rsid w:val="6E6445B1"/>
    <w:rsid w:val="70136948"/>
    <w:rsid w:val="705E4690"/>
    <w:rsid w:val="713C1616"/>
    <w:rsid w:val="720E38B7"/>
    <w:rsid w:val="72F47B8C"/>
    <w:rsid w:val="74772A21"/>
    <w:rsid w:val="74AF5B6B"/>
    <w:rsid w:val="74EF6108"/>
    <w:rsid w:val="74FF7EF2"/>
    <w:rsid w:val="758B2449"/>
    <w:rsid w:val="759D45A2"/>
    <w:rsid w:val="766E65AC"/>
    <w:rsid w:val="76BB26B6"/>
    <w:rsid w:val="76DB3C4B"/>
    <w:rsid w:val="77EC1587"/>
    <w:rsid w:val="78BE00B5"/>
    <w:rsid w:val="79746AF1"/>
    <w:rsid w:val="7B281593"/>
    <w:rsid w:val="7B875186"/>
    <w:rsid w:val="7BB4541E"/>
    <w:rsid w:val="7BE4235C"/>
    <w:rsid w:val="7C1D5AC8"/>
    <w:rsid w:val="7C5A7F0B"/>
    <w:rsid w:val="7D000293"/>
    <w:rsid w:val="7E7230C0"/>
    <w:rsid w:val="7EF5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toa heading"/>
    <w:basedOn w:val="1"/>
    <w:next w:val="1"/>
    <w:qFormat/>
    <w:uiPriority w:val="0"/>
    <w:pPr>
      <w:spacing w:before="120"/>
    </w:pPr>
    <w:rPr>
      <w:rFonts w:ascii="Arial" w:hAnsi="Arial" w:cs="Arial"/>
      <w:sz w:val="24"/>
    </w:rPr>
  </w:style>
  <w:style w:type="paragraph" w:styleId="9">
    <w:name w:val="Plain Text"/>
    <w:basedOn w:val="1"/>
    <w:qFormat/>
    <w:uiPriority w:val="0"/>
    <w:rPr>
      <w:rFonts w:ascii="宋体" w:hAnsi="Courier New"/>
      <w:sz w:val="11"/>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spacing w:before="120" w:after="120" w:line="360" w:lineRule="auto"/>
      <w:ind w:firstLine="200" w:firstLineChars="200"/>
      <w:jc w:val="left"/>
    </w:pPr>
    <w:rPr>
      <w:b/>
      <w:bCs/>
      <w:caps/>
      <w:sz w:val="20"/>
    </w:rPr>
  </w:style>
  <w:style w:type="paragraph" w:styleId="13">
    <w:name w:val="toc 2"/>
    <w:basedOn w:val="1"/>
    <w:next w:val="1"/>
    <w:qFormat/>
    <w:uiPriority w:val="39"/>
    <w:pPr>
      <w:ind w:left="100" w:leftChars="100"/>
      <w:jc w:val="left"/>
    </w:pPr>
    <w:rPr>
      <w:rFonts w:ascii="Arial" w:hAnsi="Arial"/>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character" w:styleId="17">
    <w:name w:val="Emphasis"/>
    <w:qFormat/>
    <w:uiPriority w:val="0"/>
    <w:rPr>
      <w:i/>
      <w:iCs/>
    </w:rPr>
  </w:style>
  <w:style w:type="character" w:styleId="18">
    <w:name w:val="Hyperlink"/>
    <w:qFormat/>
    <w:uiPriority w:val="99"/>
    <w:rPr>
      <w:color w:val="333333"/>
      <w:u w:val="none"/>
    </w:rPr>
  </w:style>
  <w:style w:type="paragraph" w:customStyle="1" w:styleId="19">
    <w:name w:val="_Style 2"/>
    <w:basedOn w:val="1"/>
    <w:next w:val="1"/>
    <w:qFormat/>
    <w:uiPriority w:val="99"/>
    <w:pPr>
      <w:ind w:firstLine="420" w:firstLineChars="200"/>
    </w:pPr>
    <w:rPr>
      <w:szCs w:val="24"/>
    </w:rPr>
  </w:style>
  <w:style w:type="paragraph" w:customStyle="1" w:styleId="20">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2">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4">
    <w:name w:val="列出段落1"/>
    <w:basedOn w:val="1"/>
    <w:qFormat/>
    <w:uiPriority w:val="34"/>
    <w:pPr>
      <w:ind w:firstLine="420" w:firstLineChars="200"/>
    </w:pPr>
    <w:rPr>
      <w:szCs w:val="21"/>
    </w:rPr>
  </w:style>
  <w:style w:type="paragraph" w:customStyle="1" w:styleId="25">
    <w:name w:val="正文缩进1"/>
    <w:basedOn w:val="1"/>
    <w:qFormat/>
    <w:uiPriority w:val="0"/>
    <w:pPr>
      <w:ind w:firstLine="420"/>
    </w:pPr>
    <w:rPr>
      <w:rFonts w:ascii="Times New Roman" w:hAnsi="Times New Roman"/>
    </w:rPr>
  </w:style>
  <w:style w:type="paragraph" w:customStyle="1" w:styleId="2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7">
    <w:name w:val="7）页眉页脚"/>
    <w:qFormat/>
    <w:uiPriority w:val="0"/>
    <w:rPr>
      <w:rFonts w:ascii="仿宋_GB2312" w:eastAsia="仿宋_GB2312"/>
      <w:b/>
      <w:i/>
      <w:sz w:val="18"/>
      <w:vertAlign w:val="baseline"/>
    </w:rPr>
  </w:style>
  <w:style w:type="paragraph" w:customStyle="1" w:styleId="28">
    <w:name w:val="答复表头"/>
    <w:basedOn w:val="29"/>
    <w:next w:val="1"/>
    <w:qFormat/>
    <w:uiPriority w:val="0"/>
    <w:pPr>
      <w:tabs>
        <w:tab w:val="left" w:pos="480"/>
      </w:tabs>
    </w:pPr>
    <w:rPr>
      <w:b/>
    </w:rPr>
  </w:style>
  <w:style w:type="paragraph" w:customStyle="1" w:styleId="2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0">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1">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22</TotalTime>
  <ScaleCrop>false</ScaleCrop>
  <LinksUpToDate>false</LinksUpToDate>
  <CharactersWithSpaces>36434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2021-10-28T10:35:34Z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7C2F16EED52E4191B732E9AB9CBA4BE9</vt:lpwstr>
  </property>
</Properties>
</file>