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86" w:leftChars="41"/>
        <w:jc w:val="center"/>
        <w:rPr>
          <w:rFonts w:ascii="黑体" w:hAnsi="黑体" w:eastAsia="黑体"/>
          <w:b/>
          <w:sz w:val="44"/>
          <w:szCs w:val="44"/>
        </w:rPr>
      </w:pPr>
      <w:r>
        <w:rPr>
          <w:rFonts w:hint="eastAsia" w:ascii="黑体" w:hAnsi="黑体" w:eastAsia="黑体"/>
          <w:b/>
          <w:sz w:val="44"/>
          <w:szCs w:val="44"/>
        </w:rPr>
        <w:t>昌 吉 市 政 府 采 购 中 心</w:t>
      </w: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jc w:val="center"/>
        <w:rPr>
          <w:rFonts w:ascii="仿宋" w:hAnsi="仿宋" w:eastAsia="仿宋"/>
          <w:b/>
          <w:bCs/>
          <w:sz w:val="52"/>
          <w:szCs w:val="52"/>
        </w:rPr>
      </w:pPr>
      <w:r>
        <w:rPr>
          <w:rFonts w:hint="eastAsia" w:ascii="仿宋" w:hAnsi="仿宋" w:eastAsia="仿宋"/>
          <w:b/>
          <w:bCs/>
          <w:sz w:val="52"/>
          <w:szCs w:val="52"/>
        </w:rPr>
        <w:t>公  开  招  标  文  件</w:t>
      </w:r>
    </w:p>
    <w:p>
      <w:pPr>
        <w:spacing w:line="560" w:lineRule="exact"/>
        <w:rPr>
          <w:rFonts w:ascii="仿宋_GB2312" w:hAnsi="宋体" w:eastAsia="仿宋_GB2312"/>
          <w:sz w:val="52"/>
        </w:rPr>
      </w:pPr>
    </w:p>
    <w:p>
      <w:pPr>
        <w:spacing w:line="560" w:lineRule="exact"/>
        <w:rPr>
          <w:rFonts w:ascii="仿宋_GB2312" w:hAnsi="宋体" w:eastAsia="仿宋_GB2312"/>
          <w:sz w:val="36"/>
        </w:rPr>
      </w:pPr>
    </w:p>
    <w:p>
      <w:pPr>
        <w:pStyle w:val="2"/>
        <w:spacing w:line="560" w:lineRule="exact"/>
        <w:rPr>
          <w:rFonts w:ascii="仿宋_GB2312"/>
          <w:b/>
          <w:color w:val="auto"/>
        </w:rPr>
      </w:pPr>
    </w:p>
    <w:p>
      <w:pPr>
        <w:pStyle w:val="2"/>
        <w:spacing w:line="560" w:lineRule="exact"/>
        <w:ind w:firstLine="480" w:firstLineChars="200"/>
        <w:rPr>
          <w:rFonts w:ascii="仿宋_GB2312"/>
          <w:b/>
          <w:color w:val="auto"/>
        </w:rPr>
      </w:pPr>
    </w:p>
    <w:p>
      <w:pPr>
        <w:pStyle w:val="2"/>
        <w:spacing w:line="560" w:lineRule="exact"/>
        <w:ind w:firstLine="480" w:firstLineChars="200"/>
        <w:rPr>
          <w:rFonts w:ascii="仿宋_GB2312"/>
          <w:b/>
          <w:color w:val="auto"/>
        </w:rPr>
      </w:pPr>
    </w:p>
    <w:p>
      <w:pPr>
        <w:pStyle w:val="2"/>
        <w:spacing w:line="560" w:lineRule="exact"/>
        <w:rPr>
          <w:rFonts w:ascii="仿宋_GB2312"/>
          <w:b/>
          <w:color w:val="auto"/>
        </w:rPr>
      </w:pPr>
    </w:p>
    <w:p>
      <w:pPr>
        <w:pStyle w:val="2"/>
        <w:spacing w:line="560" w:lineRule="exact"/>
        <w:rPr>
          <w:rFonts w:ascii="仿宋_GB2312"/>
          <w:b/>
          <w:color w:val="auto"/>
        </w:rPr>
      </w:pPr>
    </w:p>
    <w:p>
      <w:pPr>
        <w:spacing w:line="560" w:lineRule="exact"/>
        <w:rPr>
          <w:rFonts w:ascii="仿宋_GB2312" w:hAnsi="宋体" w:eastAsia="仿宋_GB2312"/>
          <w:b/>
          <w:sz w:val="24"/>
        </w:rPr>
      </w:pPr>
    </w:p>
    <w:p>
      <w:pPr>
        <w:pStyle w:val="2"/>
        <w:spacing w:line="560" w:lineRule="exact"/>
        <w:ind w:firstLine="964" w:firstLineChars="300"/>
        <w:rPr>
          <w:rFonts w:hint="eastAsia" w:ascii="仿宋" w:hAnsi="仿宋" w:eastAsia="仿宋"/>
          <w:b/>
          <w:color w:val="auto"/>
          <w:sz w:val="32"/>
          <w:szCs w:val="32"/>
        </w:rPr>
      </w:pPr>
    </w:p>
    <w:p>
      <w:pPr>
        <w:pStyle w:val="2"/>
        <w:spacing w:line="560" w:lineRule="exact"/>
        <w:ind w:firstLine="964" w:firstLineChars="300"/>
        <w:rPr>
          <w:rFonts w:hint="eastAsia" w:ascii="仿宋" w:hAnsi="仿宋" w:eastAsia="仿宋"/>
          <w:b/>
          <w:color w:val="auto"/>
          <w:sz w:val="32"/>
          <w:szCs w:val="32"/>
        </w:rPr>
      </w:pPr>
      <w:r>
        <w:rPr>
          <w:rFonts w:hint="eastAsia" w:ascii="仿宋" w:hAnsi="仿宋" w:eastAsia="仿宋"/>
          <w:b/>
          <w:color w:val="auto"/>
          <w:sz w:val="32"/>
          <w:szCs w:val="32"/>
        </w:rPr>
        <w:t>项目名称：昌吉市</w:t>
      </w:r>
      <w:r>
        <w:rPr>
          <w:rFonts w:hint="eastAsia" w:ascii="仿宋" w:hAnsi="仿宋" w:eastAsia="仿宋"/>
          <w:b/>
          <w:color w:val="auto"/>
          <w:sz w:val="32"/>
          <w:szCs w:val="32"/>
          <w:lang w:val="en-US" w:eastAsia="zh-CN"/>
        </w:rPr>
        <w:t>文旅局</w:t>
      </w:r>
      <w:r>
        <w:rPr>
          <w:rFonts w:hint="eastAsia" w:ascii="仿宋" w:hAnsi="仿宋" w:eastAsia="仿宋"/>
          <w:b/>
          <w:color w:val="auto"/>
          <w:sz w:val="32"/>
          <w:szCs w:val="32"/>
        </w:rPr>
        <w:t>泉州援疆·百姓书屋项目</w:t>
      </w:r>
    </w:p>
    <w:p>
      <w:pPr>
        <w:pStyle w:val="2"/>
        <w:spacing w:line="560" w:lineRule="exact"/>
        <w:ind w:firstLine="964" w:firstLineChars="300"/>
        <w:rPr>
          <w:rFonts w:hint="default" w:ascii="仿宋" w:hAnsi="仿宋" w:eastAsia="仿宋"/>
          <w:b/>
          <w:color w:val="auto"/>
          <w:sz w:val="32"/>
          <w:szCs w:val="32"/>
          <w:lang w:val="en-US" w:eastAsia="zh-CN"/>
        </w:rPr>
      </w:pPr>
      <w:r>
        <w:rPr>
          <w:rFonts w:hint="eastAsia" w:ascii="仿宋" w:hAnsi="仿宋" w:eastAsia="仿宋"/>
          <w:b/>
          <w:color w:val="auto"/>
          <w:sz w:val="32"/>
          <w:szCs w:val="32"/>
        </w:rPr>
        <w:t>项目编号：CJSCG-HW2021-0</w:t>
      </w:r>
      <w:r>
        <w:rPr>
          <w:rFonts w:hint="eastAsia" w:ascii="仿宋" w:hAnsi="仿宋" w:eastAsia="仿宋"/>
          <w:b/>
          <w:color w:val="auto"/>
          <w:sz w:val="32"/>
          <w:szCs w:val="32"/>
          <w:lang w:val="en-US" w:eastAsia="zh-CN"/>
        </w:rPr>
        <w:t>62</w:t>
      </w:r>
    </w:p>
    <w:p>
      <w:pPr>
        <w:pStyle w:val="2"/>
        <w:spacing w:line="560" w:lineRule="exact"/>
        <w:ind w:firstLine="964" w:firstLineChars="300"/>
        <w:rPr>
          <w:rFonts w:hint="eastAsia" w:ascii="仿宋" w:hAnsi="仿宋" w:eastAsia="仿宋"/>
          <w:b/>
          <w:color w:val="auto"/>
          <w:sz w:val="32"/>
          <w:szCs w:val="32"/>
        </w:rPr>
      </w:pPr>
      <w:r>
        <w:rPr>
          <w:rFonts w:hint="eastAsia" w:ascii="仿宋" w:hAnsi="仿宋" w:eastAsia="仿宋"/>
          <w:b/>
          <w:color w:val="auto"/>
          <w:sz w:val="32"/>
          <w:szCs w:val="32"/>
        </w:rPr>
        <w:t>采购机构：昌吉市政府采购中心</w:t>
      </w:r>
    </w:p>
    <w:p>
      <w:pPr>
        <w:pStyle w:val="2"/>
        <w:spacing w:line="560" w:lineRule="exact"/>
        <w:ind w:firstLine="964" w:firstLineChars="300"/>
        <w:rPr>
          <w:rFonts w:hint="eastAsia" w:ascii="仿宋" w:hAnsi="仿宋" w:eastAsia="仿宋"/>
          <w:b/>
          <w:color w:val="auto"/>
          <w:sz w:val="32"/>
          <w:szCs w:val="32"/>
          <w:lang w:val="en-US" w:eastAsia="zh-CN"/>
        </w:rPr>
      </w:pPr>
      <w:r>
        <w:rPr>
          <w:rFonts w:hint="eastAsia" w:ascii="仿宋" w:hAnsi="仿宋" w:eastAsia="仿宋"/>
          <w:b/>
          <w:color w:val="auto"/>
          <w:sz w:val="32"/>
          <w:szCs w:val="32"/>
        </w:rPr>
        <w:t xml:space="preserve">联 系 人： 胡察  </w:t>
      </w:r>
      <w:r>
        <w:rPr>
          <w:rFonts w:hint="eastAsia" w:ascii="仿宋" w:hAnsi="仿宋" w:eastAsia="仿宋"/>
          <w:b/>
          <w:color w:val="auto"/>
          <w:sz w:val="32"/>
          <w:szCs w:val="32"/>
          <w:lang w:eastAsia="zh-CN"/>
        </w:rPr>
        <w:t>吴海榕</w:t>
      </w:r>
    </w:p>
    <w:p>
      <w:pPr>
        <w:pStyle w:val="2"/>
        <w:spacing w:line="560" w:lineRule="exact"/>
        <w:ind w:firstLine="964" w:firstLineChars="300"/>
        <w:rPr>
          <w:rFonts w:hint="eastAsia" w:ascii="仿宋" w:hAnsi="仿宋" w:eastAsia="仿宋"/>
          <w:b/>
          <w:color w:val="auto"/>
          <w:sz w:val="32"/>
          <w:szCs w:val="32"/>
        </w:rPr>
      </w:pPr>
      <w:r>
        <w:rPr>
          <w:rFonts w:hint="eastAsia" w:ascii="仿宋" w:hAnsi="仿宋" w:eastAsia="仿宋"/>
          <w:b/>
          <w:color w:val="auto"/>
          <w:sz w:val="32"/>
          <w:szCs w:val="32"/>
        </w:rPr>
        <w:t>电话：0994-2528512</w:t>
      </w:r>
    </w:p>
    <w:p>
      <w:pPr>
        <w:pStyle w:val="2"/>
        <w:spacing w:line="560" w:lineRule="exact"/>
        <w:ind w:firstLine="964" w:firstLineChars="300"/>
        <w:rPr>
          <w:rFonts w:hint="eastAsia" w:ascii="仿宋" w:hAnsi="仿宋" w:eastAsia="仿宋"/>
          <w:b/>
          <w:color w:val="auto"/>
          <w:sz w:val="32"/>
          <w:szCs w:val="32"/>
        </w:rPr>
      </w:pPr>
      <w:r>
        <w:rPr>
          <w:rFonts w:hint="eastAsia" w:ascii="仿宋" w:hAnsi="仿宋" w:eastAsia="仿宋"/>
          <w:b/>
          <w:color w:val="auto"/>
          <w:sz w:val="32"/>
          <w:szCs w:val="32"/>
        </w:rPr>
        <w:t>电话：0994-2528713</w:t>
      </w:r>
    </w:p>
    <w:p>
      <w:pPr>
        <w:spacing w:line="560" w:lineRule="exact"/>
        <w:rPr>
          <w:rFonts w:ascii="仿宋" w:hAnsi="仿宋" w:eastAsia="仿宋"/>
          <w:b/>
          <w:sz w:val="44"/>
          <w:szCs w:val="44"/>
        </w:rPr>
      </w:pPr>
    </w:p>
    <w:p>
      <w:pPr>
        <w:spacing w:line="560" w:lineRule="exact"/>
        <w:jc w:val="center"/>
        <w:rPr>
          <w:rFonts w:ascii="黑体" w:hAnsi="黑体" w:eastAsia="黑体"/>
          <w:b/>
          <w:sz w:val="44"/>
          <w:szCs w:val="44"/>
        </w:rPr>
      </w:pPr>
    </w:p>
    <w:p>
      <w:pPr>
        <w:spacing w:line="560" w:lineRule="exact"/>
        <w:jc w:val="center"/>
        <w:rPr>
          <w:rFonts w:ascii="黑体" w:hAnsi="黑体" w:eastAsia="黑体"/>
          <w:b/>
          <w:sz w:val="44"/>
          <w:szCs w:val="44"/>
        </w:rPr>
      </w:pPr>
    </w:p>
    <w:p>
      <w:pPr>
        <w:spacing w:line="560" w:lineRule="exact"/>
        <w:jc w:val="center"/>
        <w:rPr>
          <w:rFonts w:ascii="黑体" w:hAnsi="黑体" w:eastAsia="黑体"/>
          <w:b/>
          <w:sz w:val="44"/>
          <w:szCs w:val="44"/>
        </w:rPr>
      </w:pPr>
      <w:r>
        <w:rPr>
          <w:rFonts w:hint="eastAsia" w:ascii="黑体" w:hAnsi="黑体" w:eastAsia="黑体"/>
          <w:b/>
          <w:sz w:val="44"/>
          <w:szCs w:val="44"/>
        </w:rPr>
        <w:t>温馨提示</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尊敬的投标人：</w:t>
      </w:r>
    </w:p>
    <w:p>
      <w:pPr>
        <w:spacing w:line="560" w:lineRule="exact"/>
        <w:rPr>
          <w:rFonts w:ascii="仿宋" w:hAnsi="仿宋" w:eastAsia="仿宋"/>
          <w:b/>
          <w:sz w:val="32"/>
          <w:szCs w:val="32"/>
        </w:rPr>
      </w:pPr>
      <w:r>
        <w:rPr>
          <w:rFonts w:hint="eastAsia" w:ascii="仿宋" w:hAnsi="仿宋" w:eastAsia="仿宋"/>
          <w:b/>
          <w:sz w:val="32"/>
          <w:szCs w:val="32"/>
        </w:rPr>
        <w:t xml:space="preserve">   您好！非常感谢您前来参加昌吉市政府采购中心组织的公开招标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sz w:val="32"/>
          <w:szCs w:val="32"/>
        </w:rPr>
      </w:pPr>
      <w:r>
        <w:rPr>
          <w:rFonts w:hint="eastAsia" w:ascii="仿宋" w:hAnsi="仿宋" w:eastAsia="仿宋"/>
          <w:b/>
          <w:sz w:val="32"/>
          <w:szCs w:val="32"/>
        </w:rPr>
        <w:t xml:space="preserve">   一：请您务必仔细阅读、认真理解公开招标采购文件，尤其要对实质性条款及否决投标的条件引起高度重视。</w:t>
      </w:r>
    </w:p>
    <w:p>
      <w:pPr>
        <w:spacing w:line="560" w:lineRule="exact"/>
        <w:rPr>
          <w:rFonts w:ascii="仿宋" w:hAnsi="仿宋" w:eastAsia="仿宋"/>
          <w:b/>
          <w:sz w:val="32"/>
          <w:szCs w:val="32"/>
        </w:rPr>
      </w:pPr>
      <w:r>
        <w:rPr>
          <w:rFonts w:hint="eastAsia" w:ascii="仿宋" w:hAnsi="仿宋" w:eastAsia="仿宋"/>
          <w:b/>
          <w:sz w:val="32"/>
          <w:szCs w:val="32"/>
        </w:rPr>
        <w:t xml:space="preserve">   二：请您务必在公开招标文件递交前检查贵单位投标文件的密封及签章情况，若投标文件未按照公开招标采购文件要求密封签章的，我们将予以拒收。</w:t>
      </w:r>
    </w:p>
    <w:p>
      <w:pPr>
        <w:spacing w:line="560" w:lineRule="exact"/>
        <w:rPr>
          <w:rFonts w:ascii="仿宋" w:hAnsi="仿宋" w:eastAsia="仿宋"/>
          <w:b/>
          <w:sz w:val="32"/>
          <w:szCs w:val="32"/>
        </w:rPr>
      </w:pPr>
      <w:r>
        <w:rPr>
          <w:rFonts w:hint="eastAsia" w:ascii="仿宋" w:hAnsi="仿宋" w:eastAsia="仿宋"/>
          <w:b/>
          <w:sz w:val="32"/>
          <w:szCs w:val="32"/>
        </w:rPr>
        <w:t xml:space="preserve">   三：评定内容均在公开招标采购文件中体现，请务必认真阅读，充分响应公开招标文件。</w:t>
      </w:r>
    </w:p>
    <w:p>
      <w:pPr>
        <w:spacing w:line="560" w:lineRule="exact"/>
        <w:rPr>
          <w:rFonts w:ascii="仿宋" w:hAnsi="仿宋" w:eastAsia="仿宋"/>
          <w:b/>
          <w:sz w:val="32"/>
          <w:szCs w:val="32"/>
        </w:rPr>
      </w:pPr>
      <w:r>
        <w:rPr>
          <w:rFonts w:hint="eastAsia" w:ascii="仿宋" w:hAnsi="仿宋" w:eastAsia="仿宋"/>
          <w:b/>
          <w:sz w:val="32"/>
          <w:szCs w:val="32"/>
        </w:rPr>
        <w:t xml:space="preserve">   四：文中“公开招标文件”为我中心印发的采购文件，“公开招标投标文件”为投标人针对此项目印制的响应文件。</w:t>
      </w:r>
    </w:p>
    <w:p>
      <w:pPr>
        <w:spacing w:line="560" w:lineRule="exact"/>
        <w:rPr>
          <w:rFonts w:ascii="仿宋" w:hAnsi="仿宋" w:eastAsia="仿宋"/>
          <w:b/>
          <w:sz w:val="32"/>
          <w:szCs w:val="32"/>
        </w:rPr>
      </w:pPr>
      <w:r>
        <w:rPr>
          <w:rFonts w:hint="eastAsia" w:ascii="仿宋" w:hAnsi="仿宋" w:eastAsia="仿宋"/>
          <w:b/>
          <w:sz w:val="32"/>
          <w:szCs w:val="32"/>
        </w:rPr>
        <w:t xml:space="preserve">    以上仅是友情提示，不作为公开招标文件的一部分，请您严格按照公开招标文件的要求做好投标文件的编制及相关招投标工作。</w:t>
      </w:r>
    </w:p>
    <w:p>
      <w:pPr>
        <w:spacing w:line="560" w:lineRule="exact"/>
        <w:jc w:val="center"/>
        <w:rPr>
          <w:rFonts w:ascii="仿宋_GB2312"/>
          <w:b/>
          <w:sz w:val="36"/>
          <w:szCs w:val="36"/>
        </w:rPr>
      </w:pPr>
    </w:p>
    <w:p>
      <w:pPr>
        <w:spacing w:line="560" w:lineRule="exact"/>
        <w:jc w:val="center"/>
        <w:rPr>
          <w:rFonts w:ascii="仿宋_GB2312"/>
          <w:b/>
          <w:sz w:val="36"/>
          <w:szCs w:val="36"/>
        </w:rPr>
      </w:pPr>
    </w:p>
    <w:p>
      <w:pPr>
        <w:pStyle w:val="2"/>
        <w:rPr>
          <w:rFonts w:ascii="仿宋_GB2312"/>
          <w:b/>
          <w:color w:val="auto"/>
          <w:sz w:val="36"/>
          <w:szCs w:val="36"/>
        </w:rPr>
      </w:pPr>
    </w:p>
    <w:p>
      <w:pPr>
        <w:pStyle w:val="2"/>
        <w:rPr>
          <w:rFonts w:ascii="仿宋_GB2312"/>
          <w:b/>
          <w:color w:val="auto"/>
          <w:sz w:val="36"/>
          <w:szCs w:val="36"/>
        </w:rPr>
      </w:pPr>
    </w:p>
    <w:p>
      <w:pPr>
        <w:spacing w:line="560" w:lineRule="exact"/>
        <w:jc w:val="center"/>
        <w:rPr>
          <w:rFonts w:ascii="仿宋" w:hAnsi="仿宋" w:eastAsia="仿宋"/>
          <w:b/>
          <w:sz w:val="44"/>
          <w:szCs w:val="44"/>
        </w:rPr>
      </w:pPr>
      <w:r>
        <w:rPr>
          <w:rFonts w:hint="eastAsia" w:ascii="仿宋" w:hAnsi="仿宋" w:eastAsia="仿宋"/>
          <w:b/>
          <w:sz w:val="44"/>
          <w:szCs w:val="44"/>
        </w:rPr>
        <w:t>招标文件目录</w:t>
      </w:r>
    </w:p>
    <w:p>
      <w:pPr>
        <w:spacing w:line="560" w:lineRule="exact"/>
        <w:rPr>
          <w:rFonts w:ascii="仿宋_GB2312"/>
          <w:b/>
          <w:sz w:val="36"/>
          <w:szCs w:val="36"/>
        </w:rPr>
      </w:pPr>
    </w:p>
    <w:p>
      <w:pPr>
        <w:spacing w:line="560" w:lineRule="exact"/>
        <w:rPr>
          <w:rFonts w:ascii="仿宋_GB2312"/>
          <w:b/>
          <w:sz w:val="36"/>
          <w:szCs w:val="36"/>
        </w:rPr>
      </w:pPr>
    </w:p>
    <w:p>
      <w:pPr>
        <w:spacing w:line="560" w:lineRule="exact"/>
        <w:rPr>
          <w:rFonts w:ascii="仿宋" w:hAnsi="仿宋" w:eastAsia="仿宋"/>
          <w:b/>
          <w:sz w:val="32"/>
          <w:szCs w:val="32"/>
        </w:rPr>
      </w:pPr>
      <w:r>
        <w:rPr>
          <w:rFonts w:hint="eastAsia" w:ascii="仿宋" w:hAnsi="仿宋" w:eastAsia="仿宋"/>
          <w:b/>
          <w:sz w:val="32"/>
          <w:szCs w:val="32"/>
        </w:rPr>
        <w:t xml:space="preserve">第一部分  招标公告（略）或项目概要    </w:t>
      </w:r>
    </w:p>
    <w:p>
      <w:pPr>
        <w:spacing w:line="560" w:lineRule="exact"/>
        <w:rPr>
          <w:rFonts w:ascii="仿宋" w:hAnsi="仿宋" w:eastAsia="仿宋"/>
          <w:b/>
          <w:sz w:val="32"/>
          <w:szCs w:val="32"/>
        </w:rPr>
      </w:pPr>
      <w:r>
        <w:rPr>
          <w:rFonts w:hint="eastAsia" w:ascii="仿宋" w:hAnsi="仿宋" w:eastAsia="仿宋"/>
          <w:b/>
          <w:sz w:val="32"/>
          <w:szCs w:val="32"/>
        </w:rPr>
        <w:t>第二部分  投标须知</w:t>
      </w:r>
    </w:p>
    <w:p>
      <w:pPr>
        <w:spacing w:line="560" w:lineRule="exact"/>
        <w:rPr>
          <w:rFonts w:ascii="仿宋" w:hAnsi="仿宋" w:eastAsia="仿宋"/>
          <w:b/>
          <w:sz w:val="32"/>
          <w:szCs w:val="32"/>
        </w:rPr>
      </w:pPr>
      <w:r>
        <w:rPr>
          <w:rFonts w:hint="eastAsia" w:ascii="仿宋" w:hAnsi="仿宋" w:eastAsia="仿宋"/>
          <w:b/>
          <w:sz w:val="32"/>
          <w:szCs w:val="32"/>
        </w:rPr>
        <w:t>第三部分  项目要求</w:t>
      </w:r>
    </w:p>
    <w:p>
      <w:pPr>
        <w:spacing w:line="560" w:lineRule="exact"/>
        <w:rPr>
          <w:rFonts w:ascii="仿宋" w:hAnsi="仿宋" w:eastAsia="仿宋"/>
          <w:b/>
          <w:sz w:val="32"/>
          <w:szCs w:val="32"/>
        </w:rPr>
      </w:pPr>
      <w:r>
        <w:rPr>
          <w:rFonts w:hint="eastAsia" w:ascii="仿宋" w:hAnsi="仿宋" w:eastAsia="仿宋"/>
          <w:b/>
          <w:sz w:val="32"/>
          <w:szCs w:val="32"/>
        </w:rPr>
        <w:t>第四部分  合同主要条款(样本)</w:t>
      </w:r>
    </w:p>
    <w:p>
      <w:pPr>
        <w:spacing w:line="560" w:lineRule="exact"/>
        <w:rPr>
          <w:rFonts w:ascii="仿宋" w:hAnsi="仿宋" w:eastAsia="仿宋"/>
          <w:b/>
          <w:sz w:val="32"/>
          <w:szCs w:val="32"/>
        </w:rPr>
      </w:pPr>
      <w:r>
        <w:rPr>
          <w:rFonts w:hint="eastAsia" w:ascii="仿宋" w:hAnsi="仿宋" w:eastAsia="仿宋"/>
          <w:b/>
          <w:sz w:val="32"/>
          <w:szCs w:val="32"/>
        </w:rPr>
        <w:t>第五部分  投标文件格式</w:t>
      </w:r>
    </w:p>
    <w:p>
      <w:pPr>
        <w:spacing w:line="560" w:lineRule="exact"/>
        <w:rPr>
          <w:rFonts w:ascii="仿宋" w:hAnsi="仿宋" w:eastAsia="仿宋"/>
          <w:b/>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pStyle w:val="2"/>
        <w:rPr>
          <w:rFonts w:ascii="仿宋" w:hAnsi="仿宋" w:eastAsia="仿宋"/>
          <w:b/>
          <w:color w:val="auto"/>
          <w:sz w:val="32"/>
          <w:szCs w:val="32"/>
        </w:rPr>
      </w:pPr>
    </w:p>
    <w:p>
      <w:pPr>
        <w:spacing w:line="560" w:lineRule="exact"/>
        <w:rPr>
          <w:rFonts w:ascii="仿宋_GB2312" w:eastAsia="仿宋_GB2312"/>
          <w:b/>
          <w:sz w:val="36"/>
          <w:szCs w:val="36"/>
        </w:rPr>
      </w:pPr>
    </w:p>
    <w:p>
      <w:pPr>
        <w:pStyle w:val="2"/>
        <w:rPr>
          <w:rFonts w:ascii="仿宋_GB2312" w:eastAsia="仿宋_GB2312"/>
          <w:b/>
          <w:color w:val="auto"/>
          <w:sz w:val="36"/>
          <w:szCs w:val="36"/>
        </w:rPr>
      </w:pPr>
    </w:p>
    <w:p>
      <w:pPr>
        <w:numPr>
          <w:ilvl w:val="0"/>
          <w:numId w:val="1"/>
        </w:numPr>
        <w:spacing w:line="560" w:lineRule="exact"/>
        <w:ind w:left="0"/>
        <w:jc w:val="center"/>
        <w:rPr>
          <w:rFonts w:ascii="仿宋" w:hAnsi="仿宋" w:eastAsia="仿宋"/>
          <w:b/>
          <w:sz w:val="44"/>
          <w:szCs w:val="44"/>
        </w:rPr>
      </w:pPr>
      <w:r>
        <w:rPr>
          <w:rFonts w:hint="eastAsia" w:ascii="仿宋" w:hAnsi="仿宋" w:eastAsia="仿宋"/>
          <w:b/>
          <w:sz w:val="44"/>
          <w:szCs w:val="44"/>
        </w:rPr>
        <w:t>项目概要</w:t>
      </w:r>
    </w:p>
    <w:p>
      <w:pPr>
        <w:pStyle w:val="2"/>
        <w:rPr>
          <w:color w:val="auto"/>
        </w:rPr>
      </w:pPr>
    </w:p>
    <w:tbl>
      <w:tblPr>
        <w:tblStyle w:val="15"/>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  款  名  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编  列  内  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 w:val="28"/>
                <w:szCs w:val="28"/>
              </w:rPr>
            </w:pPr>
            <w:r>
              <w:rPr>
                <w:rFonts w:hint="eastAsia" w:ascii="仿宋" w:hAnsi="仿宋" w:eastAsia="仿宋" w:cs="仿宋"/>
                <w:sz w:val="28"/>
                <w:szCs w:val="28"/>
              </w:rPr>
              <w:t>名  称：昌吉市文化体育广播电视和旅游局</w:t>
            </w:r>
          </w:p>
          <w:p>
            <w:pPr>
              <w:snapToGrid w:val="0"/>
              <w:rPr>
                <w:rFonts w:ascii="仿宋" w:hAnsi="仿宋" w:eastAsia="仿宋" w:cs="仿宋"/>
                <w:sz w:val="28"/>
                <w:szCs w:val="28"/>
              </w:rPr>
            </w:pPr>
            <w:r>
              <w:rPr>
                <w:rFonts w:hint="eastAsia" w:ascii="仿宋" w:hAnsi="仿宋" w:eastAsia="仿宋" w:cs="仿宋"/>
                <w:sz w:val="28"/>
                <w:szCs w:val="28"/>
              </w:rPr>
              <w:t>地  址：昌吉市</w:t>
            </w:r>
            <w:r>
              <w:rPr>
                <w:rFonts w:hint="eastAsia" w:ascii="仿宋" w:hAnsi="仿宋" w:eastAsia="仿宋" w:cs="仿宋"/>
                <w:sz w:val="28"/>
                <w:szCs w:val="28"/>
                <w:lang w:eastAsia="zh-CN"/>
              </w:rPr>
              <w:t>长宁南</w:t>
            </w:r>
            <w:r>
              <w:rPr>
                <w:rFonts w:hint="eastAsia" w:ascii="仿宋" w:hAnsi="仿宋" w:eastAsia="仿宋" w:cs="仿宋"/>
                <w:sz w:val="28"/>
                <w:szCs w:val="28"/>
              </w:rPr>
              <w:t>路与</w:t>
            </w:r>
            <w:r>
              <w:rPr>
                <w:rFonts w:hint="eastAsia" w:ascii="仿宋" w:hAnsi="仿宋" w:eastAsia="仿宋" w:cs="仿宋"/>
                <w:sz w:val="28"/>
                <w:szCs w:val="28"/>
                <w:lang w:eastAsia="zh-CN"/>
              </w:rPr>
              <w:t>石河子路</w:t>
            </w:r>
            <w:r>
              <w:rPr>
                <w:rFonts w:hint="eastAsia" w:ascii="仿宋" w:hAnsi="仿宋" w:eastAsia="仿宋" w:cs="仿宋"/>
                <w:sz w:val="28"/>
                <w:szCs w:val="28"/>
              </w:rPr>
              <w:t>交汇处</w:t>
            </w:r>
          </w:p>
          <w:p>
            <w:pPr>
              <w:snapToGrid w:val="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zh-CN"/>
              </w:rPr>
              <w:t>摆文忠</w:t>
            </w:r>
          </w:p>
          <w:p>
            <w:pPr>
              <w:snapToGrid w:val="0"/>
              <w:rPr>
                <w:rFonts w:ascii="仿宋" w:hAnsi="仿宋" w:eastAsia="仿宋" w:cs="仿宋"/>
                <w:bCs/>
                <w:sz w:val="28"/>
                <w:szCs w:val="28"/>
              </w:rPr>
            </w:pPr>
            <w:r>
              <w:rPr>
                <w:rFonts w:hint="eastAsia" w:ascii="仿宋" w:hAnsi="仿宋" w:eastAsia="仿宋" w:cs="仿宋"/>
                <w:sz w:val="28"/>
                <w:szCs w:val="28"/>
              </w:rPr>
              <w:t>电  话：13899696046</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16"/>
              <w:jc w:val="both"/>
              <w:rPr>
                <w:rFonts w:ascii="仿宋" w:hAnsi="仿宋" w:eastAsia="仿宋" w:cs="仿宋"/>
                <w:color w:val="auto"/>
                <w:sz w:val="28"/>
                <w:szCs w:val="28"/>
              </w:rPr>
            </w:pPr>
            <w:r>
              <w:rPr>
                <w:rFonts w:hint="eastAsia" w:ascii="仿宋" w:hAnsi="仿宋" w:eastAsia="仿宋" w:cs="仿宋"/>
                <w:bCs/>
                <w:color w:val="auto"/>
                <w:sz w:val="28"/>
                <w:szCs w:val="28"/>
              </w:rPr>
              <w:t>名  称：</w:t>
            </w:r>
            <w:r>
              <w:rPr>
                <w:rFonts w:hint="eastAsia" w:ascii="仿宋" w:hAnsi="仿宋" w:eastAsia="仿宋" w:cs="仿宋"/>
                <w:color w:val="auto"/>
                <w:sz w:val="28"/>
                <w:szCs w:val="28"/>
              </w:rPr>
              <w:t xml:space="preserve"> 昌吉市政府采购中心</w:t>
            </w:r>
          </w:p>
          <w:p>
            <w:pPr>
              <w:snapToGrid w:val="0"/>
              <w:ind w:left="1120" w:hanging="1120" w:hangingChars="400"/>
              <w:rPr>
                <w:rFonts w:ascii="仿宋" w:hAnsi="仿宋" w:eastAsia="仿宋" w:cs="仿宋"/>
                <w:bCs/>
                <w:sz w:val="28"/>
                <w:szCs w:val="28"/>
              </w:rPr>
            </w:pPr>
            <w:r>
              <w:rPr>
                <w:rFonts w:hint="eastAsia" w:ascii="仿宋" w:hAnsi="仿宋" w:eastAsia="仿宋" w:cs="仿宋"/>
                <w:bCs/>
                <w:sz w:val="28"/>
                <w:szCs w:val="28"/>
              </w:rPr>
              <w:t>地  址：昌吉市财政局一楼102室。</w:t>
            </w:r>
          </w:p>
          <w:p>
            <w:pPr>
              <w:snapToGrid w:val="0"/>
              <w:rPr>
                <w:rFonts w:hint="eastAsia" w:ascii="仿宋" w:hAnsi="仿宋" w:eastAsia="仿宋" w:cs="仿宋"/>
                <w:bCs/>
                <w:sz w:val="28"/>
                <w:szCs w:val="28"/>
                <w:lang w:eastAsia="zh-CN"/>
              </w:rPr>
            </w:pPr>
            <w:r>
              <w:rPr>
                <w:rFonts w:hint="eastAsia" w:ascii="仿宋" w:hAnsi="仿宋" w:eastAsia="仿宋" w:cs="仿宋"/>
                <w:bCs/>
                <w:sz w:val="28"/>
                <w:szCs w:val="28"/>
              </w:rPr>
              <w:t xml:space="preserve">联系人：胡察 </w:t>
            </w:r>
            <w:r>
              <w:rPr>
                <w:rFonts w:ascii="仿宋" w:hAnsi="仿宋" w:eastAsia="仿宋" w:cs="仿宋"/>
                <w:bCs/>
                <w:sz w:val="28"/>
                <w:szCs w:val="28"/>
              </w:rPr>
              <w:t xml:space="preserve"> </w:t>
            </w:r>
            <w:r>
              <w:rPr>
                <w:rFonts w:hint="eastAsia" w:ascii="仿宋" w:hAnsi="仿宋" w:eastAsia="仿宋" w:cs="仿宋"/>
                <w:bCs/>
                <w:sz w:val="28"/>
                <w:szCs w:val="28"/>
              </w:rPr>
              <w:t xml:space="preserve">   </w:t>
            </w:r>
            <w:r>
              <w:rPr>
                <w:rFonts w:hint="eastAsia" w:ascii="仿宋" w:hAnsi="仿宋" w:eastAsia="仿宋" w:cs="仿宋"/>
                <w:bCs/>
                <w:sz w:val="28"/>
                <w:szCs w:val="28"/>
                <w:lang w:eastAsia="zh-CN"/>
              </w:rPr>
              <w:t>吴海榕</w:t>
            </w:r>
          </w:p>
          <w:p>
            <w:pPr>
              <w:snapToGrid w:val="0"/>
              <w:rPr>
                <w:rFonts w:ascii="仿宋" w:hAnsi="仿宋" w:eastAsia="仿宋" w:cs="仿宋"/>
                <w:bCs/>
                <w:sz w:val="28"/>
                <w:szCs w:val="28"/>
              </w:rPr>
            </w:pPr>
            <w:r>
              <w:rPr>
                <w:rFonts w:hint="eastAsia" w:ascii="仿宋" w:hAnsi="仿宋" w:eastAsia="仿宋" w:cs="仿宋"/>
                <w:bCs/>
                <w:sz w:val="28"/>
                <w:szCs w:val="28"/>
              </w:rPr>
              <w:t>电  话：0994-2528512   0994-2528713</w:t>
            </w:r>
          </w:p>
        </w:tc>
      </w:tr>
      <w:tr>
        <w:tblPrEx>
          <w:tblLayout w:type="fixed"/>
          <w:tblCellMar>
            <w:top w:w="0" w:type="dxa"/>
            <w:left w:w="108" w:type="dxa"/>
            <w:bottom w:w="0" w:type="dxa"/>
            <w:right w:w="108" w:type="dxa"/>
          </w:tblCellMar>
        </w:tblPrEx>
        <w:trPr>
          <w:trHeight w:val="6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8"/>
                <w:szCs w:val="28"/>
              </w:rPr>
            </w:pPr>
            <w:r>
              <w:rPr>
                <w:rFonts w:hint="eastAsia" w:ascii="仿宋" w:hAnsi="仿宋" w:eastAsia="仿宋" w:cs="仿宋"/>
                <w:bCs/>
                <w:sz w:val="28"/>
                <w:szCs w:val="28"/>
              </w:rPr>
              <w:t>昌吉市</w:t>
            </w:r>
            <w:r>
              <w:rPr>
                <w:rFonts w:hint="eastAsia" w:ascii="仿宋" w:hAnsi="仿宋" w:eastAsia="仿宋" w:cs="仿宋"/>
                <w:bCs/>
                <w:sz w:val="28"/>
                <w:szCs w:val="28"/>
                <w:lang w:val="en-US" w:eastAsia="zh-CN"/>
              </w:rPr>
              <w:t>文旅局</w:t>
            </w:r>
            <w:r>
              <w:rPr>
                <w:rFonts w:hint="eastAsia" w:ascii="仿宋" w:hAnsi="仿宋" w:eastAsia="仿宋" w:cs="仿宋"/>
                <w:bCs/>
                <w:sz w:val="28"/>
                <w:szCs w:val="28"/>
              </w:rPr>
              <w:t>泉州援疆·百姓书屋项目</w:t>
            </w:r>
          </w:p>
        </w:tc>
      </w:tr>
      <w:tr>
        <w:tblPrEx>
          <w:tblLayout w:type="fixed"/>
          <w:tblCellMar>
            <w:top w:w="0" w:type="dxa"/>
            <w:left w:w="108" w:type="dxa"/>
            <w:bottom w:w="0" w:type="dxa"/>
            <w:right w:w="108" w:type="dxa"/>
          </w:tblCellMar>
        </w:tblPrEx>
        <w:trPr>
          <w:trHeight w:val="46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0000FF"/>
                <w:sz w:val="28"/>
                <w:szCs w:val="28"/>
              </w:rPr>
            </w:pPr>
            <w:r>
              <w:rPr>
                <w:rFonts w:hint="eastAsia" w:ascii="仿宋" w:hAnsi="仿宋" w:eastAsia="仿宋" w:cs="仿宋"/>
                <w:bCs/>
                <w:color w:val="000000" w:themeColor="text1"/>
                <w:sz w:val="28"/>
                <w:szCs w:val="28"/>
                <w:lang w:val="en-US" w:eastAsia="zh-CN"/>
              </w:rPr>
              <w:t>中山路街道</w:t>
            </w:r>
            <w:r>
              <w:rPr>
                <w:rFonts w:hint="eastAsia" w:ascii="仿宋" w:hAnsi="仿宋" w:eastAsia="仿宋" w:cs="仿宋"/>
                <w:bCs/>
                <w:color w:val="000000" w:themeColor="text1"/>
                <w:sz w:val="28"/>
                <w:szCs w:val="28"/>
              </w:rPr>
              <w:t>天山社区（碧水锦苑小区）阅读点</w:t>
            </w:r>
            <w:r>
              <w:rPr>
                <w:rFonts w:hint="eastAsia" w:ascii="仿宋" w:hAnsi="仿宋" w:eastAsia="仿宋" w:cs="仿宋"/>
                <w:bCs/>
                <w:color w:val="000000" w:themeColor="text1"/>
                <w:sz w:val="28"/>
                <w:szCs w:val="28"/>
                <w:lang w:val="en-US" w:eastAsia="zh-CN"/>
              </w:rPr>
              <w:t>2</w:t>
            </w:r>
            <w:r>
              <w:rPr>
                <w:rFonts w:hint="eastAsia" w:ascii="仿宋" w:hAnsi="仿宋" w:eastAsia="仿宋" w:cs="仿宋"/>
                <w:bCs/>
                <w:color w:val="000000" w:themeColor="text1"/>
                <w:sz w:val="28"/>
                <w:szCs w:val="28"/>
              </w:rPr>
              <w:t>00平方</w:t>
            </w:r>
            <w:r>
              <w:rPr>
                <w:rFonts w:hint="eastAsia" w:ascii="仿宋" w:hAnsi="仿宋" w:eastAsia="仿宋" w:cs="仿宋"/>
                <w:bCs/>
                <w:color w:val="000000" w:themeColor="text1"/>
                <w:sz w:val="28"/>
                <w:szCs w:val="28"/>
                <w:lang w:val="en-US" w:eastAsia="zh-CN"/>
              </w:rPr>
              <w:t>米</w:t>
            </w:r>
            <w:r>
              <w:rPr>
                <w:rFonts w:hint="eastAsia" w:ascii="仿宋" w:hAnsi="仿宋" w:eastAsia="仿宋" w:cs="仿宋"/>
                <w:bCs/>
                <w:color w:val="000000" w:themeColor="text1"/>
                <w:sz w:val="28"/>
                <w:szCs w:val="28"/>
              </w:rPr>
              <w:t>；建国路街道晶彩城社区阅读点100平方米（二</w:t>
            </w:r>
            <w:r>
              <w:rPr>
                <w:rFonts w:hint="eastAsia" w:ascii="仿宋" w:hAnsi="仿宋" w:eastAsia="仿宋" w:cs="仿宋"/>
                <w:bCs/>
                <w:color w:val="000000" w:themeColor="text1"/>
                <w:sz w:val="28"/>
                <w:szCs w:val="28"/>
                <w:lang w:val="en-US" w:eastAsia="zh-CN"/>
              </w:rPr>
              <w:t>楼</w:t>
            </w:r>
            <w:r>
              <w:rPr>
                <w:rFonts w:hint="eastAsia" w:ascii="仿宋" w:hAnsi="仿宋" w:eastAsia="仿宋" w:cs="仿宋"/>
                <w:bCs/>
                <w:color w:val="000000" w:themeColor="text1"/>
                <w:sz w:val="28"/>
                <w:szCs w:val="28"/>
              </w:rPr>
              <w:t>）</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0000FF"/>
                <w:sz w:val="28"/>
                <w:szCs w:val="28"/>
              </w:rPr>
            </w:pPr>
            <w:r>
              <w:rPr>
                <w:rFonts w:hint="eastAsia" w:ascii="仿宋" w:hAnsi="仿宋" w:eastAsia="仿宋" w:cs="仿宋"/>
                <w:bCs/>
                <w:color w:val="000000" w:themeColor="text1"/>
                <w:sz w:val="28"/>
                <w:szCs w:val="28"/>
              </w:rPr>
              <w:t>泉州援疆资金</w:t>
            </w:r>
          </w:p>
        </w:tc>
      </w:tr>
      <w:tr>
        <w:tblPrEx>
          <w:tblLayout w:type="fixed"/>
          <w:tblCellMar>
            <w:top w:w="0" w:type="dxa"/>
            <w:left w:w="108" w:type="dxa"/>
            <w:bottom w:w="0" w:type="dxa"/>
            <w:right w:w="108" w:type="dxa"/>
          </w:tblCellMar>
        </w:tblPrEx>
        <w:trPr>
          <w:trHeight w:val="47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已落实</w:t>
            </w:r>
          </w:p>
        </w:tc>
      </w:tr>
      <w:tr>
        <w:tblPrEx>
          <w:tblLayout w:type="fixed"/>
          <w:tblCellMar>
            <w:top w:w="0" w:type="dxa"/>
            <w:left w:w="108" w:type="dxa"/>
            <w:bottom w:w="0" w:type="dxa"/>
            <w:right w:w="108" w:type="dxa"/>
          </w:tblCellMar>
        </w:tblPrEx>
        <w:trPr>
          <w:trHeight w:val="52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12"/>
              <w:snapToGrid w:val="0"/>
              <w:rPr>
                <w:rFonts w:ascii="仿宋" w:hAnsi="仿宋" w:eastAsia="仿宋" w:cs="仿宋"/>
                <w:bCs/>
                <w:sz w:val="28"/>
                <w:szCs w:val="28"/>
              </w:rPr>
            </w:pPr>
            <w:r>
              <w:rPr>
                <w:rFonts w:hint="eastAsia" w:ascii="仿宋" w:hAnsi="仿宋" w:eastAsia="仿宋" w:cs="仿宋"/>
                <w:bCs/>
                <w:sz w:val="28"/>
                <w:szCs w:val="28"/>
              </w:rPr>
              <w:t>详见招标项目要求</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供货期限及合同有效期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供货期限：在接到甲方供货需求45个工作日内完成供货。</w:t>
            </w:r>
          </w:p>
          <w:p>
            <w:pPr>
              <w:adjustRightInd w:val="0"/>
              <w:snapToGrid w:val="0"/>
              <w:rPr>
                <w:rFonts w:ascii="仿宋" w:hAnsi="仿宋" w:eastAsia="仿宋" w:cs="仿宋"/>
                <w:bCs/>
                <w:sz w:val="28"/>
                <w:szCs w:val="28"/>
              </w:rPr>
            </w:pPr>
            <w:r>
              <w:rPr>
                <w:rFonts w:hint="eastAsia" w:ascii="仿宋" w:hAnsi="仿宋" w:eastAsia="仿宋" w:cs="仿宋"/>
                <w:bCs/>
                <w:sz w:val="28"/>
                <w:szCs w:val="28"/>
              </w:rPr>
              <w:t>合同有效期：自合同签订之日起</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pStyle w:val="17"/>
              <w:rPr>
                <w:rFonts w:ascii="仿宋" w:hAnsi="仿宋" w:eastAsia="仿宋" w:cs="仿宋"/>
                <w:bCs/>
                <w:sz w:val="28"/>
                <w:szCs w:val="28"/>
              </w:rPr>
            </w:pPr>
            <w:r>
              <w:rPr>
                <w:rFonts w:hint="eastAsia" w:ascii="仿宋" w:hAnsi="仿宋" w:eastAsia="仿宋" w:cs="仿宋"/>
                <w:bCs/>
                <w:sz w:val="28"/>
                <w:szCs w:val="28"/>
              </w:rPr>
              <w:t>严格按照采购清单要求供货，达到甲方单位验收质量标准。</w:t>
            </w:r>
          </w:p>
        </w:tc>
      </w:tr>
      <w:tr>
        <w:tblPrEx>
          <w:tblLayout w:type="fixed"/>
          <w:tblCellMar>
            <w:top w:w="0" w:type="dxa"/>
            <w:left w:w="108" w:type="dxa"/>
            <w:bottom w:w="0" w:type="dxa"/>
            <w:right w:w="108" w:type="dxa"/>
          </w:tblCellMar>
        </w:tblPrEx>
        <w:trPr>
          <w:trHeight w:val="632"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pStyle w:val="17"/>
              <w:rPr>
                <w:rFonts w:ascii="仿宋" w:hAnsi="仿宋" w:eastAsia="仿宋" w:cs="仿宋"/>
                <w:bCs/>
                <w:sz w:val="28"/>
                <w:szCs w:val="28"/>
              </w:rPr>
            </w:pPr>
            <w:r>
              <w:rPr>
                <w:rFonts w:hint="eastAsia" w:ascii="仿宋" w:hAnsi="仿宋" w:eastAsia="仿宋" w:cs="仿宋"/>
                <w:bCs/>
                <w:color w:val="000000" w:themeColor="text1"/>
                <w:sz w:val="28"/>
                <w:szCs w:val="28"/>
              </w:rPr>
              <w:t>按合同要求、按进度支付</w:t>
            </w:r>
          </w:p>
        </w:tc>
      </w:tr>
      <w:tr>
        <w:tblPrEx>
          <w:tblLayout w:type="fixed"/>
          <w:tblCellMar>
            <w:top w:w="0" w:type="dxa"/>
            <w:left w:w="108" w:type="dxa"/>
            <w:bottom w:w="0" w:type="dxa"/>
            <w:right w:w="108" w:type="dxa"/>
          </w:tblCellMar>
        </w:tblPrEx>
        <w:trPr>
          <w:trHeight w:val="57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0" w:firstLineChars="100"/>
              <w:jc w:val="left"/>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不接受</w:t>
            </w:r>
          </w:p>
        </w:tc>
      </w:tr>
      <w:tr>
        <w:tblPrEx>
          <w:tblLayout w:type="fixed"/>
          <w:tblCellMar>
            <w:top w:w="0" w:type="dxa"/>
            <w:left w:w="108" w:type="dxa"/>
            <w:bottom w:w="0" w:type="dxa"/>
            <w:right w:w="108" w:type="dxa"/>
          </w:tblCellMar>
        </w:tblPrEx>
        <w:trPr>
          <w:trHeight w:val="68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 w:hAnsi="仿宋" w:eastAsia="仿宋" w:cs="仿宋"/>
                <w:bCs/>
                <w:sz w:val="28"/>
                <w:szCs w:val="28"/>
              </w:rPr>
            </w:pPr>
            <w:r>
              <w:rPr>
                <w:rFonts w:hint="eastAsia" w:ascii="仿宋" w:hAnsi="仿宋" w:eastAsia="仿宋" w:cs="仿宋"/>
                <w:bCs/>
                <w:sz w:val="28"/>
                <w:szCs w:val="28"/>
              </w:rPr>
              <w:t>质保期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年</w:t>
            </w:r>
          </w:p>
        </w:tc>
      </w:tr>
      <w:tr>
        <w:tblPrEx>
          <w:tblLayout w:type="fixed"/>
          <w:tblCellMar>
            <w:top w:w="0" w:type="dxa"/>
            <w:left w:w="108" w:type="dxa"/>
            <w:bottom w:w="0" w:type="dxa"/>
            <w:right w:w="108" w:type="dxa"/>
          </w:tblCellMar>
        </w:tblPrEx>
        <w:trPr>
          <w:trHeight w:val="6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 w:hAnsi="仿宋" w:eastAsia="仿宋" w:cs="仿宋"/>
                <w:bCs/>
                <w:sz w:val="28"/>
                <w:szCs w:val="28"/>
              </w:rPr>
            </w:pPr>
            <w:r>
              <w:rPr>
                <w:rFonts w:ascii="仿宋" w:hAnsi="仿宋" w:eastAsia="仿宋" w:cs="仿宋"/>
                <w:bCs/>
                <w:sz w:val="28"/>
                <w:szCs w:val="28"/>
              </w:rPr>
              <w:t>投标有效期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sz w:val="24"/>
                <w:u w:val="single"/>
                <w:lang w:val="en-US" w:eastAsia="zh-CN"/>
              </w:rPr>
              <w:t>6</w:t>
            </w:r>
            <w:r>
              <w:rPr>
                <w:rFonts w:hint="eastAsia" w:ascii="仿宋" w:hAnsi="仿宋" w:eastAsia="仿宋" w:cs="仿宋"/>
                <w:sz w:val="24"/>
                <w:u w:val="single"/>
              </w:rPr>
              <w:t>0天</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Cs/>
                <w:sz w:val="28"/>
                <w:szCs w:val="28"/>
              </w:rPr>
            </w:pPr>
            <w:r>
              <w:rPr>
                <w:rFonts w:hint="eastAsia" w:ascii="仿宋" w:hAnsi="仿宋" w:eastAsia="仿宋" w:cs="仿宋"/>
                <w:bCs/>
                <w:sz w:val="28"/>
                <w:szCs w:val="28"/>
                <w:highlight w:val="none"/>
                <w:u w:val="single"/>
              </w:rPr>
              <w:t xml:space="preserve">2021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11</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1</w:t>
            </w:r>
            <w:r>
              <w:rPr>
                <w:rFonts w:hint="eastAsia" w:ascii="仿宋" w:hAnsi="仿宋" w:eastAsia="仿宋" w:cs="仿宋"/>
                <w:bCs/>
                <w:sz w:val="28"/>
                <w:szCs w:val="28"/>
                <w:highlight w:val="none"/>
                <w:u w:val="single"/>
                <w:lang w:val="en-US" w:eastAsia="zh-CN"/>
              </w:rPr>
              <w:t>6</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eastAsia="zh-CN"/>
              </w:rPr>
              <w:t>上</w:t>
            </w:r>
            <w:r>
              <w:rPr>
                <w:rFonts w:hint="eastAsia" w:ascii="仿宋" w:hAnsi="仿宋" w:eastAsia="仿宋" w:cs="仿宋"/>
                <w:bCs/>
                <w:sz w:val="28"/>
                <w:szCs w:val="28"/>
                <w:highlight w:val="none"/>
                <w:u w:val="single"/>
              </w:rPr>
              <w:t>午1</w:t>
            </w:r>
            <w:r>
              <w:rPr>
                <w:rFonts w:hint="eastAsia" w:ascii="仿宋" w:hAnsi="仿宋" w:eastAsia="仿宋" w:cs="仿宋"/>
                <w:bCs/>
                <w:sz w:val="28"/>
                <w:szCs w:val="28"/>
                <w:highlight w:val="none"/>
                <w:u w:val="single"/>
                <w:lang w:val="en-US" w:eastAsia="zh-CN"/>
              </w:rPr>
              <w:t>0</w:t>
            </w:r>
            <w:r>
              <w:rPr>
                <w:rFonts w:hint="eastAsia" w:ascii="仿宋" w:hAnsi="仿宋" w:eastAsia="仿宋" w:cs="仿宋"/>
                <w:bCs/>
                <w:sz w:val="28"/>
                <w:szCs w:val="28"/>
                <w:highlight w:val="none"/>
                <w:u w:val="single"/>
              </w:rPr>
              <w:t>:30:00</w:t>
            </w:r>
            <w:r>
              <w:rPr>
                <w:rFonts w:hint="eastAsia" w:ascii="仿宋" w:hAnsi="仿宋" w:eastAsia="仿宋" w:cs="仿宋"/>
                <w:bCs/>
                <w:sz w:val="28"/>
                <w:szCs w:val="28"/>
                <w:highlight w:val="none"/>
              </w:rPr>
              <w:t>（北京时间）</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Cs/>
                <w:sz w:val="28"/>
                <w:szCs w:val="28"/>
              </w:rPr>
            </w:pPr>
            <w:r>
              <w:rPr>
                <w:rFonts w:hint="eastAsia" w:ascii="仿宋" w:hAnsi="仿宋" w:eastAsia="仿宋" w:cs="仿宋"/>
                <w:bCs/>
                <w:sz w:val="28"/>
                <w:szCs w:val="28"/>
              </w:rPr>
              <w:t>投标保证金金额：¥4</w:t>
            </w:r>
            <w:r>
              <w:rPr>
                <w:rFonts w:hint="eastAsia" w:ascii="仿宋" w:hAnsi="仿宋" w:eastAsia="仿宋" w:cs="仿宋"/>
                <w:bCs/>
                <w:sz w:val="28"/>
                <w:szCs w:val="28"/>
                <w:lang w:val="en-US" w:eastAsia="zh-CN"/>
              </w:rPr>
              <w:t>8</w:t>
            </w:r>
            <w:r>
              <w:rPr>
                <w:rFonts w:hint="eastAsia" w:ascii="仿宋" w:hAnsi="仿宋" w:eastAsia="仿宋" w:cs="仿宋"/>
                <w:bCs/>
                <w:sz w:val="28"/>
                <w:szCs w:val="28"/>
              </w:rPr>
              <w:t>000.00元（肆万</w:t>
            </w:r>
            <w:r>
              <w:rPr>
                <w:rFonts w:hint="eastAsia" w:ascii="仿宋" w:hAnsi="仿宋" w:eastAsia="仿宋" w:cs="仿宋"/>
                <w:bCs/>
                <w:sz w:val="28"/>
                <w:szCs w:val="28"/>
                <w:lang w:eastAsia="zh-CN"/>
              </w:rPr>
              <w:t>捌仟</w:t>
            </w:r>
            <w:r>
              <w:rPr>
                <w:rFonts w:hint="eastAsia" w:ascii="仿宋" w:hAnsi="仿宋" w:eastAsia="仿宋" w:cs="仿宋"/>
                <w:bCs/>
                <w:sz w:val="28"/>
                <w:szCs w:val="28"/>
              </w:rPr>
              <w:t>元整）</w:t>
            </w:r>
          </w:p>
          <w:p>
            <w:pPr>
              <w:snapToGrid w:val="0"/>
              <w:rPr>
                <w:rFonts w:ascii="仿宋" w:hAnsi="仿宋" w:eastAsia="仿宋" w:cs="仿宋"/>
                <w:bCs/>
                <w:sz w:val="28"/>
                <w:szCs w:val="28"/>
              </w:rPr>
            </w:pPr>
            <w:r>
              <w:rPr>
                <w:rFonts w:hint="eastAsia" w:ascii="仿宋" w:hAnsi="仿宋" w:eastAsia="仿宋" w:cs="仿宋"/>
                <w:bCs/>
                <w:sz w:val="28"/>
                <w:szCs w:val="28"/>
              </w:rPr>
              <w:t>投标保证金的形式：由投标企业基本账户转账或电汇方式一次性汇入指定账户。</w:t>
            </w:r>
          </w:p>
          <w:p>
            <w:pPr>
              <w:snapToGrid w:val="0"/>
              <w:rPr>
                <w:rFonts w:ascii="仿宋" w:hAnsi="仿宋" w:eastAsia="仿宋" w:cs="仿宋"/>
                <w:bCs/>
                <w:sz w:val="28"/>
                <w:szCs w:val="28"/>
              </w:rPr>
            </w:pPr>
            <w:r>
              <w:rPr>
                <w:rFonts w:hint="eastAsia" w:ascii="仿宋" w:hAnsi="仿宋" w:eastAsia="仿宋" w:cs="仿宋"/>
                <w:bCs/>
                <w:sz w:val="28"/>
                <w:szCs w:val="28"/>
              </w:rPr>
              <w:t>采购机构的开户银行及账号如下：</w:t>
            </w:r>
          </w:p>
          <w:p>
            <w:pPr>
              <w:pStyle w:val="11"/>
              <w:rPr>
                <w:rFonts w:ascii="仿宋" w:hAnsi="仿宋" w:eastAsia="仿宋" w:cs="仿宋"/>
                <w:bCs/>
                <w:sz w:val="28"/>
                <w:szCs w:val="28"/>
                <w:lang w:val="zh-CN"/>
              </w:rPr>
            </w:pPr>
            <w:r>
              <w:rPr>
                <w:rFonts w:hint="eastAsia" w:ascii="仿宋" w:hAnsi="仿宋" w:eastAsia="仿宋" w:cs="仿宋"/>
                <w:bCs/>
                <w:sz w:val="28"/>
                <w:szCs w:val="28"/>
                <w:lang w:val="zh-CN"/>
              </w:rPr>
              <w:t>账户名称：昌吉市政府采购中心</w:t>
            </w:r>
            <w:r>
              <w:rPr>
                <w:rFonts w:hint="eastAsia" w:ascii="仿宋" w:hAnsi="仿宋" w:eastAsia="仿宋" w:cs="仿宋"/>
                <w:bCs/>
                <w:sz w:val="28"/>
                <w:szCs w:val="28"/>
              </w:rPr>
              <w:t xml:space="preserve"> </w:t>
            </w:r>
          </w:p>
          <w:p>
            <w:pPr>
              <w:pStyle w:val="11"/>
              <w:rPr>
                <w:rFonts w:ascii="仿宋" w:hAnsi="仿宋" w:eastAsia="仿宋" w:cs="仿宋"/>
                <w:bCs/>
                <w:sz w:val="28"/>
                <w:szCs w:val="28"/>
                <w:lang w:val="zh-CN"/>
              </w:rPr>
            </w:pPr>
            <w:r>
              <w:rPr>
                <w:rFonts w:hint="eastAsia" w:ascii="仿宋" w:hAnsi="仿宋" w:eastAsia="仿宋" w:cs="仿宋"/>
                <w:bCs/>
                <w:sz w:val="28"/>
                <w:szCs w:val="28"/>
                <w:lang w:val="zh-CN"/>
              </w:rPr>
              <w:t>账    号：107006933941</w:t>
            </w:r>
            <w:r>
              <w:rPr>
                <w:rFonts w:hint="eastAsia" w:ascii="仿宋" w:hAnsi="仿宋" w:eastAsia="仿宋" w:cs="仿宋"/>
                <w:bCs/>
                <w:sz w:val="28"/>
                <w:szCs w:val="28"/>
                <w:lang w:val="zh-CN"/>
              </w:rPr>
              <w:tab/>
            </w:r>
          </w:p>
          <w:p>
            <w:pPr>
              <w:pStyle w:val="11"/>
              <w:rPr>
                <w:rFonts w:ascii="仿宋" w:hAnsi="仿宋" w:eastAsia="仿宋" w:cs="仿宋"/>
                <w:bCs/>
                <w:sz w:val="28"/>
                <w:szCs w:val="28"/>
                <w:lang w:val="zh-CN"/>
              </w:rPr>
            </w:pPr>
            <w:r>
              <w:rPr>
                <w:rFonts w:hint="eastAsia" w:ascii="仿宋" w:hAnsi="仿宋" w:eastAsia="仿宋" w:cs="仿宋"/>
                <w:bCs/>
                <w:sz w:val="28"/>
                <w:szCs w:val="28"/>
                <w:lang w:val="zh-CN"/>
              </w:rPr>
              <w:t>开户行号：104885001050</w:t>
            </w:r>
          </w:p>
          <w:p>
            <w:pPr>
              <w:pStyle w:val="11"/>
              <w:ind w:left="1400" w:hanging="1400" w:hangingChars="500"/>
              <w:rPr>
                <w:rFonts w:ascii="仿宋" w:hAnsi="仿宋" w:eastAsia="仿宋" w:cs="仿宋"/>
                <w:bCs/>
                <w:sz w:val="28"/>
                <w:szCs w:val="28"/>
                <w:lang w:val="zh-CN"/>
              </w:rPr>
            </w:pPr>
            <w:r>
              <w:rPr>
                <w:rFonts w:hint="eastAsia" w:ascii="仿宋" w:hAnsi="仿宋" w:eastAsia="仿宋" w:cs="仿宋"/>
                <w:bCs/>
                <w:sz w:val="28"/>
                <w:szCs w:val="28"/>
                <w:lang w:val="zh-CN"/>
              </w:rPr>
              <w:t>开 户 行：中国银行昌吉市开发区支行（公对公转账）</w:t>
            </w:r>
          </w:p>
          <w:p>
            <w:pPr>
              <w:pStyle w:val="11"/>
              <w:rPr>
                <w:rFonts w:ascii="仿宋" w:hAnsi="仿宋" w:eastAsia="仿宋" w:cs="仿宋"/>
                <w:bCs/>
                <w:sz w:val="28"/>
                <w:szCs w:val="28"/>
                <w:u w:val="single"/>
              </w:rPr>
            </w:pPr>
            <w:r>
              <w:rPr>
                <w:rFonts w:hint="eastAsia" w:ascii="仿宋" w:hAnsi="仿宋" w:eastAsia="仿宋" w:cs="仿宋"/>
                <w:bCs/>
                <w:sz w:val="28"/>
                <w:szCs w:val="28"/>
              </w:rPr>
              <w:t>投标保证金的递交截止时间为：</w:t>
            </w:r>
            <w:r>
              <w:rPr>
                <w:rFonts w:hint="eastAsia" w:ascii="仿宋" w:hAnsi="仿宋" w:eastAsia="仿宋" w:cs="仿宋"/>
                <w:bCs/>
                <w:sz w:val="28"/>
                <w:szCs w:val="28"/>
                <w:u w:val="single"/>
              </w:rPr>
              <w:t xml:space="preserve"> 2021</w:t>
            </w:r>
            <w:r>
              <w:rPr>
                <w:rFonts w:hint="eastAsia" w:ascii="仿宋" w:hAnsi="仿宋" w:eastAsia="仿宋" w:cs="仿宋"/>
                <w:bCs/>
                <w:sz w:val="28"/>
                <w:szCs w:val="28"/>
              </w:rPr>
              <w:t>年11月1</w:t>
            </w:r>
            <w:r>
              <w:rPr>
                <w:rFonts w:hint="eastAsia" w:ascii="仿宋" w:hAnsi="仿宋" w:eastAsia="仿宋" w:cs="仿宋"/>
                <w:bCs/>
                <w:sz w:val="28"/>
                <w:szCs w:val="28"/>
                <w:lang w:val="en-US" w:eastAsia="zh-CN"/>
              </w:rPr>
              <w:t>6</w:t>
            </w:r>
            <w:r>
              <w:rPr>
                <w:rFonts w:hint="eastAsia" w:ascii="仿宋" w:hAnsi="仿宋" w:eastAsia="仿宋" w:cs="仿宋"/>
                <w:bCs/>
                <w:sz w:val="28"/>
                <w:szCs w:val="28"/>
              </w:rPr>
              <w:t>日</w:t>
            </w:r>
            <w:r>
              <w:rPr>
                <w:rFonts w:hint="eastAsia" w:ascii="仿宋" w:hAnsi="仿宋" w:eastAsia="仿宋" w:cs="仿宋"/>
                <w:bCs/>
                <w:sz w:val="28"/>
                <w:szCs w:val="28"/>
                <w:u w:val="single"/>
              </w:rPr>
              <w:t xml:space="preserve"> 1</w:t>
            </w:r>
            <w:r>
              <w:rPr>
                <w:rFonts w:hint="eastAsia" w:ascii="仿宋" w:hAnsi="仿宋" w:eastAsia="仿宋" w:cs="仿宋"/>
                <w:bCs/>
                <w:sz w:val="28"/>
                <w:szCs w:val="28"/>
                <w:u w:val="single"/>
                <w:lang w:val="en-US" w:eastAsia="zh-CN"/>
              </w:rPr>
              <w:t>0</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时</w:t>
            </w:r>
            <w:r>
              <w:rPr>
                <w:rFonts w:hint="eastAsia" w:ascii="仿宋" w:hAnsi="仿宋" w:eastAsia="仿宋" w:cs="仿宋"/>
                <w:bCs/>
                <w:sz w:val="28"/>
                <w:szCs w:val="28"/>
                <w:u w:val="single"/>
              </w:rPr>
              <w:t xml:space="preserve"> 30 </w:t>
            </w:r>
            <w:r>
              <w:rPr>
                <w:rFonts w:hint="eastAsia" w:ascii="仿宋" w:hAnsi="仿宋" w:eastAsia="仿宋" w:cs="仿宋"/>
                <w:bCs/>
                <w:sz w:val="28"/>
                <w:szCs w:val="28"/>
              </w:rPr>
              <w:t>分之前（以银行记录确认到账为准）</w:t>
            </w:r>
            <w:r>
              <w:rPr>
                <w:rFonts w:hint="eastAsia" w:ascii="仿宋" w:hAnsi="仿宋" w:eastAsia="仿宋" w:cs="仿宋"/>
                <w:b/>
                <w:sz w:val="28"/>
                <w:szCs w:val="28"/>
              </w:rPr>
              <w:t>在提交保证金时必须标注明项目名称（昌吉市</w:t>
            </w:r>
            <w:r>
              <w:rPr>
                <w:rFonts w:hint="eastAsia" w:ascii="仿宋" w:hAnsi="仿宋" w:eastAsia="仿宋" w:cs="仿宋"/>
                <w:b/>
                <w:sz w:val="28"/>
                <w:szCs w:val="28"/>
                <w:lang w:val="en-US" w:eastAsia="zh-CN"/>
              </w:rPr>
              <w:t>文旅局</w:t>
            </w:r>
            <w:r>
              <w:rPr>
                <w:rFonts w:hint="eastAsia" w:ascii="仿宋" w:hAnsi="仿宋" w:eastAsia="仿宋" w:cs="仿宋"/>
                <w:b/>
                <w:sz w:val="28"/>
                <w:szCs w:val="28"/>
              </w:rPr>
              <w:t>泉州援疆·百姓书屋项目投标保证金）。</w:t>
            </w:r>
            <w:r>
              <w:rPr>
                <w:rFonts w:hint="eastAsia" w:ascii="仿宋" w:hAnsi="仿宋" w:eastAsia="仿宋" w:cs="仿宋"/>
                <w:bCs/>
                <w:sz w:val="28"/>
                <w:szCs w:val="28"/>
              </w:rPr>
              <w:t>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88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本招标文件技术指标是作为功能性说明，不论任何情况，投标人在投标时必须达到或优于招标文件要求。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招标文件领取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12"/>
              <w:spacing w:before="75" w:after="75"/>
              <w:rPr>
                <w:rFonts w:ascii="仿宋" w:hAnsi="仿宋" w:eastAsia="仿宋" w:cs="仿宋"/>
                <w:bCs/>
                <w:sz w:val="28"/>
                <w:szCs w:val="28"/>
              </w:rPr>
            </w:pPr>
            <w:r>
              <w:rPr>
                <w:rFonts w:hint="eastAsia" w:ascii="仿宋" w:hAnsi="仿宋" w:eastAsia="仿宋" w:cs="仿宋"/>
                <w:bCs/>
                <w:sz w:val="28"/>
                <w:szCs w:val="28"/>
              </w:rPr>
              <w:t>获取方式：线上免费获取（登录政府采购云平台 → 项目采购 → 获取采购文件 → 申请，审核通过后可下载招标文件）。本次招标不提供纸质版招标文件。</w:t>
            </w:r>
          </w:p>
          <w:p>
            <w:pPr>
              <w:pStyle w:val="12"/>
              <w:spacing w:before="75" w:after="75"/>
              <w:rPr>
                <w:rFonts w:ascii="仿宋" w:hAnsi="仿宋" w:eastAsia="仿宋" w:cs="仿宋"/>
                <w:bCs/>
                <w:sz w:val="28"/>
                <w:szCs w:val="28"/>
              </w:rPr>
            </w:pPr>
            <w:r>
              <w:rPr>
                <w:rFonts w:hint="eastAsia" w:ascii="仿宋" w:hAnsi="仿宋" w:eastAsia="仿宋" w:cs="仿宋"/>
                <w:bCs/>
                <w:sz w:val="28"/>
                <w:szCs w:val="28"/>
              </w:rPr>
              <w:t>投标单位登陆政采云平台http://www.zcygov.cn/，在线申请获取采购文件（登录政府采购云平台 → 项目采购 → 获取采购文件 → 申请，审核通过后可下载招标文件，如有操作性问题，可与政采云在线客服进行咨询，咨询电话：400-881-7190或加入“政采云新疆网超供应商服务群”钉钉号：32569183）。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递交纸质投标</w:t>
            </w:r>
          </w:p>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 w:hAnsi="仿宋" w:eastAsia="仿宋" w:cs="仿宋"/>
                <w:bCs/>
                <w:sz w:val="28"/>
                <w:szCs w:val="28"/>
              </w:rPr>
            </w:pPr>
            <w:r>
              <w:rPr>
                <w:rFonts w:hint="eastAsia" w:ascii="仿宋" w:hAnsi="仿宋" w:eastAsia="仿宋" w:cs="仿宋"/>
                <w:bCs/>
                <w:sz w:val="28"/>
                <w:szCs w:val="28"/>
              </w:rPr>
              <w:t>供应商提供纸质版文件一式二份、正本一份副本一份（书面递交至昌吉市财政局一楼102室（昌吉市政府采购中心办公室昌吉市长宁路17号）</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12"/>
              <w:widowControl/>
              <w:rPr>
                <w:rFonts w:ascii="仿宋" w:hAnsi="仿宋" w:eastAsia="仿宋" w:cs="仿宋"/>
                <w:bCs/>
                <w:sz w:val="28"/>
                <w:szCs w:val="28"/>
              </w:rPr>
            </w:pPr>
            <w:r>
              <w:rPr>
                <w:rFonts w:hint="eastAsia" w:ascii="仿宋" w:hAnsi="仿宋" w:eastAsia="仿宋" w:cs="仿宋"/>
                <w:bCs/>
                <w:sz w:val="28"/>
                <w:szCs w:val="28"/>
              </w:rPr>
              <w:t>提交截止时间：</w:t>
            </w:r>
            <w:r>
              <w:rPr>
                <w:rFonts w:hint="eastAsia" w:ascii="仿宋" w:hAnsi="仿宋" w:eastAsia="仿宋" w:cs="仿宋"/>
                <w:bCs/>
                <w:sz w:val="28"/>
                <w:szCs w:val="28"/>
                <w:u w:val="single"/>
              </w:rPr>
              <w:t xml:space="preserve"> 2021</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11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1</w:t>
            </w:r>
            <w:r>
              <w:rPr>
                <w:rFonts w:hint="eastAsia" w:ascii="仿宋" w:hAnsi="仿宋" w:eastAsia="仿宋" w:cs="仿宋"/>
                <w:bCs/>
                <w:sz w:val="28"/>
                <w:szCs w:val="28"/>
                <w:u w:val="single"/>
                <w:lang w:val="en-US" w:eastAsia="zh-CN"/>
              </w:rPr>
              <w:t>6</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r>
              <w:rPr>
                <w:rFonts w:hint="eastAsia" w:ascii="仿宋" w:hAnsi="仿宋" w:eastAsia="仿宋" w:cs="仿宋"/>
                <w:bCs/>
                <w:sz w:val="28"/>
                <w:szCs w:val="28"/>
                <w:lang w:eastAsia="zh-CN"/>
              </w:rPr>
              <w:t>上</w:t>
            </w:r>
            <w:r>
              <w:rPr>
                <w:rFonts w:hint="eastAsia" w:ascii="仿宋" w:hAnsi="仿宋" w:eastAsia="仿宋" w:cs="仿宋"/>
                <w:bCs/>
                <w:sz w:val="28"/>
                <w:szCs w:val="28"/>
                <w:u w:val="single"/>
              </w:rPr>
              <w:t>午1</w:t>
            </w:r>
            <w:r>
              <w:rPr>
                <w:rFonts w:hint="eastAsia" w:ascii="仿宋" w:hAnsi="仿宋" w:eastAsia="仿宋" w:cs="仿宋"/>
                <w:bCs/>
                <w:sz w:val="28"/>
                <w:szCs w:val="28"/>
                <w:u w:val="single"/>
                <w:lang w:val="en-US" w:eastAsia="zh-CN"/>
              </w:rPr>
              <w:t>0</w:t>
            </w:r>
            <w:r>
              <w:rPr>
                <w:rFonts w:hint="eastAsia" w:ascii="仿宋" w:hAnsi="仿宋" w:eastAsia="仿宋" w:cs="仿宋"/>
                <w:bCs/>
                <w:sz w:val="28"/>
                <w:szCs w:val="28"/>
                <w:u w:val="single"/>
              </w:rPr>
              <w:t>:30:00</w:t>
            </w:r>
            <w:r>
              <w:rPr>
                <w:rFonts w:hint="eastAsia" w:ascii="仿宋" w:hAnsi="仿宋" w:eastAsia="仿宋" w:cs="仿宋"/>
                <w:bCs/>
                <w:sz w:val="28"/>
                <w:szCs w:val="28"/>
              </w:rPr>
              <w:t>（北京时间）</w:t>
            </w:r>
          </w:p>
          <w:p>
            <w:pPr>
              <w:pStyle w:val="12"/>
              <w:widowControl/>
              <w:rPr>
                <w:rFonts w:ascii="仿宋" w:hAnsi="仿宋" w:eastAsia="仿宋" w:cs="仿宋"/>
                <w:bCs/>
                <w:sz w:val="28"/>
                <w:szCs w:val="28"/>
              </w:rPr>
            </w:pPr>
            <w:r>
              <w:rPr>
                <w:rFonts w:hint="eastAsia" w:ascii="仿宋" w:hAnsi="仿宋" w:eastAsia="仿宋" w:cs="仿宋"/>
                <w:bCs/>
                <w:sz w:val="28"/>
                <w:szCs w:val="28"/>
              </w:rPr>
              <w:t>投标文件递交地点：</w:t>
            </w:r>
            <w:r>
              <w:fldChar w:fldCharType="begin"/>
            </w:r>
            <w:r>
              <w:instrText xml:space="preserve"> HYPERLINK "https://www.zcygov.cn" </w:instrText>
            </w:r>
            <w:r>
              <w:fldChar w:fldCharType="separate"/>
            </w:r>
            <w:r>
              <w:rPr>
                <w:rFonts w:hint="eastAsia" w:ascii="仿宋" w:hAnsi="仿宋" w:eastAsia="仿宋" w:cs="仿宋"/>
                <w:bCs/>
                <w:sz w:val="28"/>
                <w:szCs w:val="28"/>
              </w:rPr>
              <w:t>https://www.zcygov.cn</w:t>
            </w:r>
            <w:r>
              <w:rPr>
                <w:rFonts w:hint="eastAsia" w:ascii="仿宋" w:hAnsi="仿宋" w:eastAsia="仿宋" w:cs="仿宋"/>
                <w:bCs/>
                <w:sz w:val="28"/>
                <w:szCs w:val="28"/>
              </w:rPr>
              <w:fldChar w:fldCharType="end"/>
            </w:r>
            <w:r>
              <w:rPr>
                <w:rFonts w:hint="eastAsia" w:ascii="仿宋" w:hAnsi="仿宋" w:eastAsia="仿宋" w:cs="仿宋"/>
                <w:bCs/>
                <w:sz w:val="28"/>
                <w:szCs w:val="28"/>
              </w:rPr>
              <w:t>在线上传 </w:t>
            </w:r>
          </w:p>
          <w:p>
            <w:pPr>
              <w:pStyle w:val="12"/>
              <w:widowControl/>
              <w:rPr>
                <w:rFonts w:ascii="仿宋" w:hAnsi="仿宋" w:eastAsia="仿宋" w:cs="仿宋"/>
                <w:bCs/>
                <w:sz w:val="28"/>
                <w:szCs w:val="28"/>
              </w:rPr>
            </w:pPr>
            <w:r>
              <w:rPr>
                <w:rFonts w:hint="eastAsia" w:ascii="仿宋" w:hAnsi="仿宋" w:eastAsia="仿宋" w:cs="仿宋"/>
                <w:bCs/>
                <w:sz w:val="28"/>
                <w:szCs w:val="28"/>
              </w:rPr>
              <w:t>招标时间：</w:t>
            </w:r>
            <w:r>
              <w:rPr>
                <w:rFonts w:hint="eastAsia" w:ascii="仿宋" w:hAnsi="仿宋" w:eastAsia="仿宋" w:cs="仿宋"/>
                <w:bCs/>
                <w:sz w:val="28"/>
                <w:szCs w:val="28"/>
                <w:u w:val="single"/>
              </w:rPr>
              <w:t xml:space="preserve"> 2021</w:t>
            </w:r>
            <w:r>
              <w:rPr>
                <w:rFonts w:hint="eastAsia" w:ascii="仿宋" w:hAnsi="仿宋" w:eastAsia="仿宋" w:cs="仿宋"/>
                <w:bCs/>
                <w:sz w:val="28"/>
                <w:szCs w:val="28"/>
              </w:rPr>
              <w:t xml:space="preserve">年 </w:t>
            </w:r>
            <w:r>
              <w:rPr>
                <w:rFonts w:hint="eastAsia" w:ascii="仿宋" w:hAnsi="仿宋" w:eastAsia="仿宋" w:cs="仿宋"/>
                <w:bCs/>
                <w:sz w:val="28"/>
                <w:szCs w:val="28"/>
                <w:u w:val="single"/>
              </w:rPr>
              <w:t>1</w:t>
            </w:r>
            <w:r>
              <w:rPr>
                <w:rFonts w:hint="eastAsia" w:ascii="仿宋" w:hAnsi="仿宋" w:eastAsia="仿宋" w:cs="仿宋"/>
                <w:bCs/>
                <w:sz w:val="28"/>
                <w:szCs w:val="28"/>
                <w:u w:val="single"/>
                <w:lang w:val="en-US" w:eastAsia="zh-CN"/>
              </w:rPr>
              <w:t>1</w:t>
            </w:r>
            <w:r>
              <w:rPr>
                <w:rFonts w:hint="eastAsia" w:ascii="仿宋" w:hAnsi="仿宋" w:eastAsia="仿宋" w:cs="仿宋"/>
                <w:bCs/>
                <w:sz w:val="28"/>
                <w:szCs w:val="28"/>
              </w:rPr>
              <w:t>月</w:t>
            </w:r>
            <w:r>
              <w:rPr>
                <w:rFonts w:hint="eastAsia" w:ascii="仿宋" w:hAnsi="仿宋" w:eastAsia="仿宋" w:cs="仿宋"/>
                <w:bCs/>
                <w:sz w:val="28"/>
                <w:szCs w:val="28"/>
                <w:u w:val="single"/>
                <w:lang w:val="en-US" w:eastAsia="zh-CN"/>
              </w:rPr>
              <w:t>16</w:t>
            </w:r>
            <w:r>
              <w:rPr>
                <w:rFonts w:hint="eastAsia" w:ascii="仿宋" w:hAnsi="仿宋" w:eastAsia="仿宋" w:cs="仿宋"/>
                <w:bCs/>
                <w:sz w:val="28"/>
                <w:szCs w:val="28"/>
              </w:rPr>
              <w:t>日</w:t>
            </w:r>
            <w:r>
              <w:rPr>
                <w:rFonts w:hint="eastAsia" w:ascii="仿宋" w:hAnsi="仿宋" w:eastAsia="仿宋" w:cs="仿宋"/>
                <w:bCs/>
                <w:sz w:val="28"/>
                <w:szCs w:val="28"/>
                <w:lang w:eastAsia="zh-CN"/>
              </w:rPr>
              <w:t>上</w:t>
            </w:r>
            <w:r>
              <w:rPr>
                <w:rFonts w:hint="eastAsia" w:ascii="仿宋" w:hAnsi="仿宋" w:eastAsia="仿宋" w:cs="仿宋"/>
                <w:bCs/>
                <w:sz w:val="28"/>
                <w:szCs w:val="28"/>
                <w:u w:val="single"/>
              </w:rPr>
              <w:t>午1</w:t>
            </w:r>
            <w:r>
              <w:rPr>
                <w:rFonts w:hint="eastAsia" w:ascii="仿宋" w:hAnsi="仿宋" w:eastAsia="仿宋" w:cs="仿宋"/>
                <w:bCs/>
                <w:sz w:val="28"/>
                <w:szCs w:val="28"/>
                <w:u w:val="single"/>
                <w:lang w:val="en-US" w:eastAsia="zh-CN"/>
              </w:rPr>
              <w:t>0</w:t>
            </w:r>
            <w:r>
              <w:rPr>
                <w:rFonts w:hint="eastAsia" w:ascii="仿宋" w:hAnsi="仿宋" w:eastAsia="仿宋" w:cs="仿宋"/>
                <w:bCs/>
                <w:sz w:val="28"/>
                <w:szCs w:val="28"/>
                <w:u w:val="single"/>
              </w:rPr>
              <w:t>:30</w:t>
            </w:r>
            <w:r>
              <w:rPr>
                <w:rFonts w:hint="eastAsia" w:ascii="仿宋" w:hAnsi="仿宋" w:eastAsia="仿宋" w:cs="仿宋"/>
                <w:bCs/>
                <w:sz w:val="28"/>
                <w:szCs w:val="28"/>
              </w:rPr>
              <w:t>（北京时间）</w:t>
            </w:r>
          </w:p>
          <w:p>
            <w:pPr>
              <w:pStyle w:val="12"/>
              <w:widowControl/>
              <w:rPr>
                <w:rFonts w:ascii="仿宋" w:hAnsi="仿宋" w:eastAsia="仿宋" w:cs="仿宋"/>
                <w:bCs/>
                <w:sz w:val="28"/>
                <w:szCs w:val="28"/>
              </w:rPr>
            </w:pPr>
            <w:r>
              <w:rPr>
                <w:rFonts w:hint="eastAsia" w:ascii="仿宋" w:hAnsi="仿宋" w:eastAsia="仿宋" w:cs="仿宋"/>
                <w:bCs/>
                <w:sz w:val="28"/>
                <w:szCs w:val="28"/>
              </w:rPr>
              <w:t>招标地点：https://www.zcygov.cn  </w:t>
            </w:r>
          </w:p>
        </w:tc>
      </w:tr>
      <w:tr>
        <w:tblPrEx>
          <w:tblLayout w:type="fixed"/>
          <w:tblCellMar>
            <w:top w:w="0" w:type="dxa"/>
            <w:left w:w="108" w:type="dxa"/>
            <w:bottom w:w="0" w:type="dxa"/>
            <w:right w:w="108" w:type="dxa"/>
          </w:tblCellMar>
        </w:tblPrEx>
        <w:trPr>
          <w:trHeight w:val="682"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rPr>
                <w:rFonts w:ascii="仿宋" w:hAnsi="仿宋" w:eastAsia="仿宋" w:cs="仿宋"/>
                <w:bCs/>
                <w:sz w:val="28"/>
                <w:szCs w:val="28"/>
              </w:rPr>
            </w:pPr>
            <w:r>
              <w:rPr>
                <w:rFonts w:hint="eastAsia" w:ascii="仿宋" w:hAnsi="仿宋" w:eastAsia="仿宋" w:cs="仿宋"/>
                <w:bCs/>
                <w:sz w:val="28"/>
                <w:szCs w:val="28"/>
              </w:rPr>
              <w:t>是否退还</w:t>
            </w:r>
          </w:p>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Cs/>
              </w:rPr>
            </w:pPr>
            <w:r>
              <w:rPr>
                <w:rFonts w:hint="eastAsia" w:ascii="仿宋" w:hAnsi="仿宋" w:eastAsia="仿宋" w:cs="仿宋"/>
                <w:bCs/>
                <w:sz w:val="28"/>
                <w:szCs w:val="28"/>
              </w:rPr>
              <w:t>不退还</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8"/>
                <w:szCs w:val="28"/>
              </w:rPr>
            </w:pPr>
            <w:r>
              <w:rPr>
                <w:rFonts w:hint="eastAsia" w:ascii="仿宋" w:hAnsi="仿宋" w:eastAsia="仿宋" w:cs="仿宋"/>
                <w:b/>
                <w:sz w:val="28"/>
              </w:rPr>
              <w:t>本次预算控制价</w:t>
            </w:r>
            <w:r>
              <w:rPr>
                <w:rFonts w:hint="eastAsia" w:ascii="仿宋" w:hAnsi="仿宋" w:eastAsia="仿宋" w:cs="仿宋"/>
                <w:bCs/>
                <w:sz w:val="28"/>
              </w:rPr>
              <w:t>：2440000元</w:t>
            </w:r>
          </w:p>
        </w:tc>
      </w:tr>
      <w:tr>
        <w:tblPrEx>
          <w:tblLayout w:type="fixed"/>
          <w:tblCellMar>
            <w:top w:w="0" w:type="dxa"/>
            <w:left w:w="108" w:type="dxa"/>
            <w:bottom w:w="0" w:type="dxa"/>
            <w:right w:w="108" w:type="dxa"/>
          </w:tblCellMar>
        </w:tblPrEx>
        <w:trPr>
          <w:trHeight w:val="45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rPr>
            </w:pPr>
            <w:r>
              <w:rPr>
                <w:rFonts w:ascii="仿宋" w:hAnsi="仿宋" w:eastAsia="仿宋" w:cs="仿宋"/>
                <w:bCs/>
                <w:sz w:val="28"/>
                <w:szCs w:val="28"/>
              </w:rPr>
              <w:t>2</w:t>
            </w: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评标办法</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 xml:space="preserve">采用综合评分法 </w:t>
            </w:r>
          </w:p>
        </w:tc>
      </w:tr>
      <w:tr>
        <w:tblPrEx>
          <w:tblLayout w:type="fixed"/>
          <w:tblCellMar>
            <w:top w:w="0" w:type="dxa"/>
            <w:left w:w="108" w:type="dxa"/>
            <w:bottom w:w="0" w:type="dxa"/>
            <w:right w:w="108" w:type="dxa"/>
          </w:tblCellMar>
        </w:tblPrEx>
        <w:trPr>
          <w:trHeight w:val="13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1、招标文件中所有偏离表，如无偏离应在相应表格中填写“响应”，如未填写视为不响应招标文件；</w:t>
            </w:r>
          </w:p>
          <w:p>
            <w:pPr>
              <w:adjustRightInd w:val="0"/>
              <w:snapToGrid w:val="0"/>
              <w:spacing w:line="288" w:lineRule="auto"/>
              <w:rPr>
                <w:rFonts w:ascii="仿宋" w:hAnsi="仿宋" w:eastAsia="仿宋" w:cs="仿宋"/>
                <w:bCs/>
                <w:sz w:val="28"/>
                <w:szCs w:val="28"/>
              </w:rPr>
            </w:pPr>
            <w:r>
              <w:rPr>
                <w:rFonts w:hint="eastAsia" w:ascii="仿宋" w:hAnsi="仿宋" w:eastAsia="仿宋" w:cs="仿宋"/>
                <w:bCs/>
                <w:sz w:val="28"/>
                <w:szCs w:val="28"/>
              </w:rPr>
              <w:t>2、本次招标项目，请各投标单位以人民币报价;</w:t>
            </w:r>
          </w:p>
          <w:p>
            <w:pPr>
              <w:adjustRightInd w:val="0"/>
              <w:snapToGrid w:val="0"/>
              <w:rPr>
                <w:rFonts w:ascii="仿宋" w:hAnsi="仿宋" w:eastAsia="仿宋" w:cs="仿宋"/>
                <w:bCs/>
                <w:sz w:val="28"/>
                <w:szCs w:val="28"/>
              </w:rPr>
            </w:pPr>
            <w:r>
              <w:rPr>
                <w:rFonts w:hint="eastAsia" w:ascii="仿宋" w:hAnsi="仿宋" w:eastAsia="仿宋" w:cs="仿宋"/>
                <w:bCs/>
                <w:sz w:val="28"/>
                <w:szCs w:val="28"/>
              </w:rPr>
              <w:t>3、招标文件中所涉及的日期均为日历日;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1.请投标单位提前自学线上开标流程；投标截止时间当天，线上开标环节，投标文件解密时长60分钟，各投标单位务必提前调试好在线参标电脑的各项配置及CA锁网上进行签到、文件解密以及操作投标。</w:t>
            </w:r>
          </w:p>
          <w:p>
            <w:pPr>
              <w:adjustRightInd w:val="0"/>
              <w:snapToGrid w:val="0"/>
              <w:rPr>
                <w:rFonts w:ascii="仿宋" w:hAnsi="仿宋" w:eastAsia="仿宋" w:cs="仿宋"/>
                <w:bCs/>
                <w:sz w:val="28"/>
                <w:szCs w:val="28"/>
              </w:rPr>
            </w:pPr>
            <w:r>
              <w:rPr>
                <w:rFonts w:hint="eastAsia" w:ascii="仿宋" w:hAnsi="仿宋" w:eastAsia="仿宋" w:cs="仿宋"/>
                <w:bCs/>
                <w:sz w:val="28"/>
                <w:szCs w:val="28"/>
              </w:rPr>
              <w:t>（如投标单位对电子投标不清楚，感觉单位无法完成可到招标现场，请自带笔记本电脑及CA锁网上进行签到、文件解密以及操作投标。）</w:t>
            </w:r>
          </w:p>
          <w:p>
            <w:pPr>
              <w:adjustRightInd w:val="0"/>
              <w:snapToGrid w:val="0"/>
              <w:rPr>
                <w:rFonts w:ascii="仿宋" w:hAnsi="仿宋" w:eastAsia="仿宋" w:cs="仿宋"/>
                <w:bCs/>
                <w:sz w:val="28"/>
                <w:szCs w:val="28"/>
              </w:rPr>
            </w:pPr>
            <w:r>
              <w:rPr>
                <w:rFonts w:hint="eastAsia" w:ascii="仿宋" w:hAnsi="仿宋" w:eastAsia="仿宋" w:cs="仿宋"/>
                <w:bCs/>
                <w:sz w:val="28"/>
                <w:szCs w:val="28"/>
              </w:rPr>
              <w:t>2.招标文件中采购清单、技术需求等如有偏差，如有疑义请澄清中及时提出；否则视为充分理解招标文件各项要求。</w:t>
            </w:r>
          </w:p>
          <w:p>
            <w:pPr>
              <w:adjustRightInd w:val="0"/>
              <w:snapToGrid w:val="0"/>
              <w:rPr>
                <w:rFonts w:ascii="仿宋" w:hAnsi="仿宋" w:eastAsia="仿宋" w:cs="仿宋"/>
                <w:bCs/>
                <w:sz w:val="28"/>
                <w:szCs w:val="28"/>
              </w:rPr>
            </w:pPr>
            <w:r>
              <w:rPr>
                <w:rFonts w:hint="eastAsia" w:ascii="仿宋" w:hAnsi="仿宋" w:eastAsia="仿宋" w:cs="仿宋"/>
                <w:bCs/>
                <w:sz w:val="28"/>
                <w:szCs w:val="28"/>
              </w:rPr>
              <w:t>3.本次采用政府采购云平台线上招标、投标，请各潜在投标单位及时办理CA锁和学习政府采购云平台线上投标相关知识。请在政府采购云平台登录后，进行下载招标文件，投标单位获取招标文件后及时关注云平台答疑文件获取栏目，具体相关事宜见政府采购云平台。本项目采用资格后审，请投标单位仔细阅读招标文件的各项要求，制作投标文件，并准备相关资料，若投标单位未按招标文件规定的时间和地点递交投标文件、资格条件不符或提供资料不全等原因导致投标失败，则由投标单位自行承担由此而引起的所有不利后果。招标文件中的内容如有不一致，以“项目概要”为准。</w:t>
            </w:r>
          </w:p>
          <w:p>
            <w:pPr>
              <w:adjustRightInd w:val="0"/>
              <w:snapToGrid w:val="0"/>
            </w:pPr>
            <w:r>
              <w:rPr>
                <w:rFonts w:hint="eastAsia" w:ascii="仿宋" w:hAnsi="仿宋" w:eastAsia="仿宋" w:cs="仿宋"/>
                <w:bCs/>
                <w:sz w:val="28"/>
                <w:szCs w:val="28"/>
              </w:rPr>
              <w:t>投标单位应在公开招标文件规定的时间将纸质版和电子版响应文件递交或送达，如二者内容不一致，则以电子版响应文件为准。</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p>
        </w:tc>
        <w:tc>
          <w:tcPr>
            <w:tcW w:w="90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需要补充的其它内容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sz w:val="28"/>
                <w:szCs w:val="28"/>
              </w:rPr>
            </w:pPr>
            <w:r>
              <w:rPr>
                <w:rFonts w:hint="eastAsia" w:ascii="仿宋" w:hAnsi="仿宋" w:eastAsia="仿宋" w:cs="仿宋"/>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spacing w:line="0" w:lineRule="atLeast"/>
              <w:ind w:left="105" w:leftChars="50" w:right="105" w:rightChars="50"/>
              <w:jc w:val="center"/>
              <w:rPr>
                <w:rFonts w:ascii="仿宋" w:hAnsi="仿宋" w:eastAsia="仿宋" w:cs="仿宋"/>
                <w:bCs/>
                <w:sz w:val="28"/>
                <w:szCs w:val="28"/>
              </w:rPr>
            </w:pPr>
            <w:r>
              <w:rPr>
                <w:rFonts w:hint="eastAsia" w:ascii="仿宋" w:hAnsi="仿宋" w:eastAsia="仿宋" w:cs="仿宋"/>
                <w:bCs/>
                <w:sz w:val="28"/>
                <w:szCs w:val="28"/>
              </w:rPr>
              <w:t>类似项目</w:t>
            </w:r>
          </w:p>
        </w:tc>
        <w:tc>
          <w:tcPr>
            <w:tcW w:w="6628" w:type="dxa"/>
            <w:tcBorders>
              <w:top w:val="single" w:color="auto" w:sz="4" w:space="0"/>
              <w:left w:val="single" w:color="auto" w:sz="4" w:space="0"/>
              <w:bottom w:val="single" w:color="auto" w:sz="4" w:space="0"/>
              <w:right w:val="single" w:color="auto" w:sz="4" w:space="0"/>
            </w:tcBorders>
            <w:vAlign w:val="center"/>
          </w:tcPr>
          <w:p>
            <w:pPr>
              <w:spacing w:line="0" w:lineRule="atLeast"/>
              <w:ind w:left="105" w:leftChars="50" w:right="105" w:rightChars="50"/>
              <w:rPr>
                <w:rFonts w:ascii="仿宋" w:hAnsi="仿宋" w:eastAsia="仿宋" w:cs="仿宋"/>
                <w:bCs/>
                <w:sz w:val="28"/>
                <w:szCs w:val="28"/>
              </w:rPr>
            </w:pPr>
            <w:r>
              <w:rPr>
                <w:rFonts w:hint="eastAsia" w:ascii="仿宋" w:hAnsi="仿宋" w:eastAsia="仿宋" w:cs="仿宋"/>
                <w:bCs/>
                <w:sz w:val="28"/>
                <w:szCs w:val="28"/>
              </w:rPr>
              <w:t>近三年类似业绩，</w:t>
            </w:r>
            <w:r>
              <w:rPr>
                <w:rFonts w:hint="eastAsia" w:ascii="仿宋" w:hAnsi="仿宋" w:eastAsia="仿宋" w:cs="仿宋"/>
                <w:sz w:val="28"/>
                <w:szCs w:val="28"/>
              </w:rPr>
              <w:t>主要指与本项目同类或类似业绩，提供类似项目的成交（中标）通知书或合同复印件。</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sz w:val="28"/>
                <w:szCs w:val="28"/>
              </w:rPr>
            </w:pPr>
            <w:r>
              <w:rPr>
                <w:rFonts w:hint="eastAsia" w:ascii="仿宋" w:hAnsi="仿宋" w:eastAsia="仿宋" w:cs="仿宋"/>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spacing w:line="0" w:lineRule="atLeast"/>
              <w:ind w:left="105" w:leftChars="50" w:right="105" w:rightChars="50"/>
              <w:jc w:val="center"/>
              <w:rPr>
                <w:rFonts w:ascii="仿宋" w:hAnsi="仿宋" w:eastAsia="仿宋" w:cs="仿宋"/>
                <w:bCs/>
                <w:sz w:val="28"/>
                <w:szCs w:val="28"/>
              </w:rPr>
            </w:pPr>
            <w:r>
              <w:rPr>
                <w:rFonts w:hint="eastAsia" w:ascii="仿宋" w:hAnsi="仿宋" w:eastAsia="仿宋" w:cs="仿宋"/>
                <w:bCs/>
                <w:sz w:val="28"/>
                <w:szCs w:val="28"/>
              </w:rPr>
              <w:t>评标委员会的组建</w:t>
            </w:r>
          </w:p>
        </w:tc>
        <w:tc>
          <w:tcPr>
            <w:tcW w:w="6628" w:type="dxa"/>
            <w:tcBorders>
              <w:top w:val="single" w:color="auto" w:sz="4" w:space="0"/>
              <w:left w:val="single" w:color="auto" w:sz="4" w:space="0"/>
              <w:bottom w:val="single" w:color="auto" w:sz="4" w:space="0"/>
              <w:right w:val="single" w:color="auto" w:sz="4" w:space="0"/>
            </w:tcBorders>
            <w:vAlign w:val="center"/>
          </w:tcPr>
          <w:p>
            <w:pPr>
              <w:spacing w:line="0" w:lineRule="atLeast"/>
              <w:ind w:left="105" w:leftChars="50" w:right="105" w:rightChars="50"/>
              <w:rPr>
                <w:rFonts w:ascii="仿宋" w:hAnsi="仿宋" w:eastAsia="仿宋" w:cs="仿宋"/>
                <w:bCs/>
                <w:sz w:val="28"/>
                <w:szCs w:val="28"/>
              </w:rPr>
            </w:pPr>
            <w:r>
              <w:rPr>
                <w:rFonts w:hint="eastAsia" w:ascii="仿宋" w:hAnsi="仿宋" w:eastAsia="仿宋" w:cs="仿宋"/>
                <w:bCs/>
                <w:sz w:val="28"/>
                <w:szCs w:val="28"/>
              </w:rPr>
              <w:t>评标委员会构成：共5人，其中招标人代表1名，经济、技术专家4人。</w:t>
            </w:r>
          </w:p>
        </w:tc>
      </w:tr>
      <w:tr>
        <w:tblPrEx>
          <w:tblLayout w:type="fixed"/>
          <w:tblCellMar>
            <w:top w:w="0" w:type="dxa"/>
            <w:left w:w="108" w:type="dxa"/>
            <w:bottom w:w="0" w:type="dxa"/>
            <w:right w:w="108" w:type="dxa"/>
          </w:tblCellMar>
        </w:tblPrEx>
        <w:trPr>
          <w:trHeight w:val="80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sz w:val="28"/>
                <w:szCs w:val="28"/>
              </w:rPr>
            </w:pPr>
            <w:r>
              <w:rPr>
                <w:rFonts w:hint="eastAsia" w:ascii="仿宋" w:hAnsi="仿宋" w:eastAsia="仿宋" w:cs="仿宋"/>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spacing w:line="0" w:lineRule="atLeast"/>
              <w:ind w:left="105" w:leftChars="50" w:right="105" w:rightChars="50"/>
              <w:jc w:val="center"/>
              <w:rPr>
                <w:rFonts w:ascii="仿宋" w:hAnsi="仿宋" w:eastAsia="仿宋" w:cs="仿宋"/>
                <w:bCs/>
                <w:sz w:val="28"/>
                <w:szCs w:val="28"/>
              </w:rPr>
            </w:pPr>
            <w:r>
              <w:rPr>
                <w:rFonts w:hint="eastAsia" w:ascii="仿宋" w:hAnsi="仿宋" w:eastAsia="仿宋" w:cs="仿宋"/>
                <w:bCs/>
                <w:sz w:val="28"/>
                <w:szCs w:val="28"/>
              </w:rPr>
              <w:t>中标结果公示</w:t>
            </w:r>
          </w:p>
        </w:tc>
        <w:tc>
          <w:tcPr>
            <w:tcW w:w="6628" w:type="dxa"/>
            <w:tcBorders>
              <w:top w:val="single" w:color="auto" w:sz="4" w:space="0"/>
              <w:left w:val="single" w:color="auto" w:sz="4" w:space="0"/>
              <w:bottom w:val="single" w:color="auto" w:sz="4" w:space="0"/>
              <w:right w:val="single" w:color="auto" w:sz="4" w:space="0"/>
            </w:tcBorders>
            <w:vAlign w:val="center"/>
          </w:tcPr>
          <w:p>
            <w:pPr>
              <w:spacing w:line="0" w:lineRule="atLeast"/>
              <w:ind w:left="105" w:leftChars="50" w:right="105" w:rightChars="50"/>
              <w:rPr>
                <w:rFonts w:ascii="仿宋" w:hAnsi="仿宋" w:eastAsia="仿宋" w:cs="仿宋"/>
                <w:bCs/>
                <w:sz w:val="28"/>
                <w:szCs w:val="28"/>
              </w:rPr>
            </w:pPr>
            <w:r>
              <w:rPr>
                <w:rFonts w:hint="eastAsia" w:ascii="仿宋" w:hAnsi="仿宋" w:eastAsia="仿宋" w:cs="仿宋"/>
                <w:bCs/>
                <w:sz w:val="28"/>
                <w:szCs w:val="28"/>
              </w:rPr>
              <w:t>本项目中标结果将在开标后三日内在新疆政府采购网公示，公示期1天。</w:t>
            </w:r>
          </w:p>
        </w:tc>
      </w:tr>
      <w:tr>
        <w:tblPrEx>
          <w:tblLayout w:type="fixed"/>
          <w:tblCellMar>
            <w:top w:w="0" w:type="dxa"/>
            <w:left w:w="108" w:type="dxa"/>
            <w:bottom w:w="0" w:type="dxa"/>
            <w:right w:w="108" w:type="dxa"/>
          </w:tblCellMar>
        </w:tblPrEx>
        <w:trPr>
          <w:trHeight w:val="742"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pStyle w:val="18"/>
              <w:spacing w:line="0" w:lineRule="atLeast"/>
              <w:rPr>
                <w:rFonts w:ascii="仿宋" w:hAnsi="仿宋" w:eastAsia="仿宋" w:cs="仿宋"/>
                <w:sz w:val="28"/>
                <w:szCs w:val="28"/>
              </w:rPr>
            </w:pPr>
            <w:r>
              <w:rPr>
                <w:rFonts w:hint="eastAsia" w:ascii="仿宋" w:hAnsi="仿宋" w:eastAsia="仿宋" w:cs="仿宋"/>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pStyle w:val="18"/>
              <w:spacing w:line="0" w:lineRule="atLeast"/>
              <w:ind w:left="105" w:leftChars="50" w:right="105" w:rightChars="50"/>
              <w:rPr>
                <w:rFonts w:ascii="仿宋" w:hAnsi="仿宋" w:eastAsia="仿宋" w:cs="仿宋"/>
                <w:bCs/>
                <w:sz w:val="28"/>
                <w:szCs w:val="28"/>
              </w:rPr>
            </w:pPr>
            <w:r>
              <w:rPr>
                <w:rFonts w:hint="eastAsia" w:ascii="仿宋" w:hAnsi="仿宋" w:eastAsia="仿宋" w:cs="仿宋"/>
                <w:bCs/>
                <w:sz w:val="28"/>
                <w:szCs w:val="28"/>
              </w:rPr>
              <w:t>中标说明</w:t>
            </w:r>
          </w:p>
        </w:tc>
        <w:tc>
          <w:tcPr>
            <w:tcW w:w="6628" w:type="dxa"/>
            <w:tcBorders>
              <w:top w:val="single" w:color="auto" w:sz="4" w:space="0"/>
              <w:left w:val="single" w:color="auto" w:sz="4" w:space="0"/>
              <w:bottom w:val="single" w:color="auto" w:sz="4" w:space="0"/>
              <w:right w:val="single" w:color="auto" w:sz="4" w:space="0"/>
            </w:tcBorders>
            <w:vAlign w:val="center"/>
          </w:tcPr>
          <w:p>
            <w:pPr>
              <w:pStyle w:val="18"/>
              <w:spacing w:line="0" w:lineRule="atLeast"/>
              <w:ind w:left="105" w:leftChars="50" w:right="105" w:rightChars="50"/>
              <w:jc w:val="left"/>
              <w:rPr>
                <w:rFonts w:ascii="仿宋" w:hAnsi="仿宋" w:eastAsia="仿宋" w:cs="仿宋"/>
                <w:bCs/>
                <w:sz w:val="28"/>
                <w:szCs w:val="28"/>
              </w:rPr>
            </w:pPr>
            <w:r>
              <w:rPr>
                <w:rFonts w:hint="eastAsia" w:ascii="仿宋" w:hAnsi="仿宋" w:eastAsia="仿宋" w:cs="仿宋"/>
                <w:bCs/>
                <w:sz w:val="28"/>
                <w:szCs w:val="28"/>
              </w:rPr>
              <w:t>综合得分最高者中标</w:t>
            </w:r>
          </w:p>
        </w:tc>
      </w:tr>
    </w:tbl>
    <w:p>
      <w:pPr>
        <w:pStyle w:val="5"/>
      </w:pPr>
    </w:p>
    <w:p>
      <w:pPr>
        <w:pStyle w:val="3"/>
        <w:spacing w:line="560" w:lineRule="exact"/>
        <w:rPr>
          <w:rFonts w:ascii="仿宋" w:hAnsi="仿宋" w:eastAsia="仿宋"/>
        </w:rPr>
      </w:pPr>
    </w:p>
    <w:p>
      <w:pPr>
        <w:pStyle w:val="3"/>
        <w:spacing w:line="560" w:lineRule="exact"/>
        <w:rPr>
          <w:rFonts w:ascii="仿宋" w:hAnsi="仿宋" w:eastAsia="仿宋"/>
        </w:rPr>
      </w:pPr>
    </w:p>
    <w:p>
      <w:pPr>
        <w:rPr>
          <w:rFonts w:ascii="仿宋" w:hAnsi="仿宋" w:eastAsia="仿宋"/>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2"/>
        <w:rPr>
          <w:rFonts w:ascii="仿宋" w:hAnsi="仿宋" w:eastAsia="仿宋"/>
          <w:color w:val="auto"/>
        </w:rPr>
      </w:pPr>
    </w:p>
    <w:p>
      <w:pPr>
        <w:pStyle w:val="3"/>
        <w:spacing w:line="560" w:lineRule="exact"/>
        <w:rPr>
          <w:rFonts w:ascii="仿宋" w:hAnsi="仿宋" w:eastAsia="仿宋"/>
        </w:rPr>
      </w:pPr>
    </w:p>
    <w:p>
      <w:pPr>
        <w:pStyle w:val="3"/>
        <w:spacing w:line="560" w:lineRule="exact"/>
        <w:rPr>
          <w:rFonts w:ascii="仿宋" w:hAnsi="仿宋" w:eastAsia="仿宋"/>
        </w:rPr>
      </w:pPr>
    </w:p>
    <w:p>
      <w:pPr>
        <w:pStyle w:val="3"/>
        <w:spacing w:line="560" w:lineRule="exact"/>
        <w:rPr>
          <w:rFonts w:ascii="仿宋" w:hAnsi="仿宋" w:eastAsia="仿宋"/>
        </w:rPr>
      </w:pPr>
      <w:r>
        <w:rPr>
          <w:rFonts w:hint="eastAsia" w:ascii="仿宋" w:hAnsi="仿宋" w:eastAsia="仿宋"/>
        </w:rPr>
        <w:t>第二部分  投标须知</w:t>
      </w:r>
    </w:p>
    <w:p>
      <w:pPr>
        <w:spacing w:line="380" w:lineRule="exact"/>
        <w:ind w:firstLine="964" w:firstLineChars="300"/>
        <w:rPr>
          <w:rFonts w:ascii="宋体" w:hAnsi="宋体" w:eastAsia="宋体"/>
          <w:b/>
          <w:sz w:val="36"/>
          <w:szCs w:val="36"/>
        </w:rPr>
      </w:pPr>
      <w:bookmarkStart w:id="0" w:name="_Toc125317337"/>
      <w:bookmarkStart w:id="1" w:name="_Toc125283517"/>
      <w:r>
        <w:rPr>
          <w:rFonts w:hint="eastAsia" w:ascii="宋体" w:hAnsi="宋体" w:eastAsia="宋体"/>
          <w:b/>
          <w:sz w:val="32"/>
          <w:szCs w:val="32"/>
        </w:rPr>
        <w:t>本招标文件仅适用于本次招标中所叙述的</w:t>
      </w:r>
      <w:r>
        <w:rPr>
          <w:rFonts w:hint="eastAsia" w:ascii="宋体" w:hAnsi="宋体" w:eastAsia="宋体" w:cs="Times New Roman"/>
          <w:b/>
          <w:sz w:val="32"/>
          <w:szCs w:val="32"/>
        </w:rPr>
        <w:t>昌吉市</w:t>
      </w:r>
      <w:r>
        <w:rPr>
          <w:rFonts w:hint="eastAsia" w:ascii="宋体" w:hAnsi="宋体" w:eastAsia="宋体" w:cs="Times New Roman"/>
          <w:b/>
          <w:sz w:val="32"/>
          <w:szCs w:val="32"/>
          <w:lang w:val="en-US" w:eastAsia="zh-CN"/>
        </w:rPr>
        <w:t>文旅局</w:t>
      </w:r>
      <w:r>
        <w:rPr>
          <w:rFonts w:hint="eastAsia" w:ascii="宋体" w:hAnsi="宋体" w:eastAsia="宋体" w:cs="Times New Roman"/>
          <w:b/>
          <w:sz w:val="32"/>
          <w:szCs w:val="32"/>
        </w:rPr>
        <w:t>泉州援疆·百姓书屋采购项目</w:t>
      </w:r>
      <w:r>
        <w:rPr>
          <w:rFonts w:hint="eastAsia" w:ascii="宋体" w:hAnsi="宋体" w:eastAsia="宋体"/>
          <w:b/>
          <w:sz w:val="36"/>
          <w:szCs w:val="36"/>
        </w:rPr>
        <w:t>。</w:t>
      </w:r>
    </w:p>
    <w:p>
      <w:pPr>
        <w:spacing w:line="560" w:lineRule="exact"/>
        <w:jc w:val="left"/>
        <w:rPr>
          <w:rFonts w:ascii="黑体" w:hAnsi="黑体" w:eastAsia="黑体"/>
          <w:b/>
          <w:bCs/>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一、</w:t>
      </w:r>
      <w:r>
        <w:rPr>
          <w:rFonts w:hint="eastAsia" w:ascii="宋体" w:hAnsi="宋体" w:eastAsia="宋体" w:cs="宋体"/>
          <w:b/>
          <w:bCs/>
          <w:sz w:val="32"/>
          <w:szCs w:val="32"/>
        </w:rPr>
        <w:t>报名及领取招标文件截止时间</w:t>
      </w:r>
    </w:p>
    <w:p>
      <w:pPr>
        <w:spacing w:line="560" w:lineRule="exact"/>
        <w:ind w:firstLine="640"/>
        <w:jc w:val="left"/>
        <w:rPr>
          <w:rFonts w:ascii="仿宋" w:hAnsi="仿宋" w:eastAsia="仿宋"/>
          <w:sz w:val="32"/>
          <w:szCs w:val="32"/>
          <w:highlight w:val="none"/>
        </w:rPr>
      </w:pPr>
      <w:r>
        <w:rPr>
          <w:rFonts w:hint="eastAsia" w:ascii="仿宋" w:hAnsi="仿宋" w:eastAsia="仿宋"/>
          <w:sz w:val="32"/>
          <w:szCs w:val="32"/>
        </w:rPr>
        <w:t>时间：</w:t>
      </w:r>
      <w:r>
        <w:rPr>
          <w:rFonts w:hint="eastAsia" w:ascii="仿宋" w:hAnsi="仿宋" w:eastAsia="仿宋"/>
          <w:sz w:val="32"/>
          <w:szCs w:val="32"/>
          <w:highlight w:val="none"/>
        </w:rPr>
        <w:t>2021年 10月2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 xml:space="preserve"> 日至2021年1</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1日</w:t>
      </w:r>
      <w:r>
        <w:rPr>
          <w:rFonts w:hint="eastAsia" w:ascii="仿宋" w:hAnsi="仿宋" w:eastAsia="仿宋"/>
          <w:sz w:val="32"/>
          <w:szCs w:val="32"/>
          <w:highlight w:val="none"/>
        </w:rPr>
        <w:t xml:space="preserve"> 下午</w:t>
      </w:r>
      <w:r>
        <w:rPr>
          <w:rFonts w:hint="eastAsia" w:ascii="仿宋" w:hAnsi="仿宋" w:eastAsia="仿宋"/>
          <w:sz w:val="32"/>
          <w:szCs w:val="32"/>
          <w:highlight w:val="none"/>
          <w:lang w:val="en-US" w:eastAsia="zh-CN"/>
        </w:rPr>
        <w:t>19</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0分</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 xml:space="preserve"> 二、投标文件递交截止时间和地点</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纸质版文件递交时间：2021年11 月 1</w:t>
      </w:r>
      <w:r>
        <w:rPr>
          <w:rFonts w:hint="eastAsia" w:ascii="仿宋" w:hAnsi="仿宋" w:eastAsia="仿宋"/>
          <w:sz w:val="32"/>
          <w:szCs w:val="32"/>
          <w:lang w:val="en-US" w:eastAsia="zh-CN"/>
        </w:rPr>
        <w:t>6</w:t>
      </w:r>
      <w:r>
        <w:rPr>
          <w:rFonts w:hint="eastAsia" w:ascii="仿宋" w:hAnsi="仿宋" w:eastAsia="仿宋"/>
          <w:sz w:val="32"/>
          <w:szCs w:val="32"/>
        </w:rPr>
        <w:t>日</w:t>
      </w:r>
      <w:r>
        <w:rPr>
          <w:rFonts w:hint="eastAsia" w:ascii="仿宋" w:hAnsi="仿宋" w:eastAsia="仿宋"/>
          <w:sz w:val="32"/>
          <w:szCs w:val="32"/>
          <w:lang w:eastAsia="zh-CN"/>
        </w:rPr>
        <w:t>上</w:t>
      </w:r>
      <w:r>
        <w:rPr>
          <w:rFonts w:hint="eastAsia" w:ascii="仿宋" w:hAnsi="仿宋" w:eastAsia="仿宋"/>
          <w:sz w:val="32"/>
          <w:szCs w:val="32"/>
        </w:rPr>
        <w:t>午1</w:t>
      </w:r>
      <w:r>
        <w:rPr>
          <w:rFonts w:hint="eastAsia" w:ascii="仿宋" w:hAnsi="仿宋" w:eastAsia="仿宋"/>
          <w:sz w:val="32"/>
          <w:szCs w:val="32"/>
          <w:lang w:val="en-US" w:eastAsia="zh-CN"/>
        </w:rPr>
        <w:t>0</w:t>
      </w:r>
      <w:r>
        <w:rPr>
          <w:rFonts w:hint="eastAsia" w:ascii="仿宋" w:hAnsi="仿宋" w:eastAsia="仿宋"/>
          <w:sz w:val="32"/>
          <w:szCs w:val="32"/>
        </w:rPr>
        <w:t>:30:00（北京时间）（潜在投标单位也可在本时间前邮寄或送至）</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递交地点：昌吉市财政局一楼招投标室（长宁路17号）</w:t>
      </w:r>
    </w:p>
    <w:p>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电子版文件递交时间：</w:t>
      </w:r>
      <w:r>
        <w:rPr>
          <w:rFonts w:hint="eastAsia" w:ascii="仿宋" w:hAnsi="仿宋" w:eastAsia="仿宋"/>
          <w:sz w:val="32"/>
          <w:szCs w:val="32"/>
          <w:highlight w:val="none"/>
        </w:rPr>
        <w:t>2021年 11 月1</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 xml:space="preserve"> 日</w:t>
      </w:r>
      <w:r>
        <w:rPr>
          <w:rFonts w:hint="eastAsia" w:ascii="仿宋" w:hAnsi="仿宋" w:eastAsia="仿宋"/>
          <w:sz w:val="32"/>
          <w:szCs w:val="32"/>
          <w:highlight w:val="none"/>
          <w:lang w:eastAsia="zh-CN"/>
        </w:rPr>
        <w:t>上</w:t>
      </w:r>
      <w:r>
        <w:rPr>
          <w:rFonts w:hint="eastAsia" w:ascii="仿宋" w:hAnsi="仿宋" w:eastAsia="仿宋"/>
          <w:sz w:val="32"/>
          <w:szCs w:val="32"/>
          <w:highlight w:val="none"/>
        </w:rPr>
        <w:t>午1</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:30:00（北京时间）（潜在投标单</w:t>
      </w:r>
      <w:r>
        <w:rPr>
          <w:rFonts w:hint="eastAsia" w:ascii="仿宋" w:hAnsi="仿宋" w:eastAsia="仿宋"/>
          <w:sz w:val="32"/>
          <w:szCs w:val="32"/>
        </w:rPr>
        <w:t>位也可在本时间前上传）</w:t>
      </w:r>
    </w:p>
    <w:p>
      <w:pPr>
        <w:spacing w:line="560" w:lineRule="exact"/>
        <w:ind w:firstLine="640"/>
        <w:jc w:val="left"/>
        <w:rPr>
          <w:rFonts w:ascii="仿宋" w:hAnsi="仿宋" w:eastAsia="仿宋"/>
          <w:sz w:val="32"/>
          <w:szCs w:val="32"/>
        </w:rPr>
      </w:pPr>
      <w:r>
        <w:rPr>
          <w:rFonts w:hint="eastAsia" w:ascii="仿宋" w:hAnsi="仿宋" w:eastAsia="仿宋"/>
          <w:sz w:val="32"/>
          <w:szCs w:val="32"/>
        </w:rPr>
        <w:t>递交地点：https://www.zcygov.cn在线上传</w:t>
      </w:r>
    </w:p>
    <w:bookmarkEnd w:id="0"/>
    <w:bookmarkEnd w:id="1"/>
    <w:p>
      <w:pPr>
        <w:ind w:firstLine="643" w:firstLineChars="200"/>
        <w:rPr>
          <w:rFonts w:ascii="宋体" w:hAnsi="宋体" w:eastAsia="宋体"/>
          <w:b/>
          <w:bCs/>
          <w:sz w:val="32"/>
          <w:szCs w:val="32"/>
        </w:rPr>
      </w:pPr>
      <w:r>
        <w:rPr>
          <w:rFonts w:hint="eastAsia" w:ascii="宋体" w:hAnsi="宋体" w:eastAsia="宋体"/>
          <w:b/>
          <w:bCs/>
          <w:sz w:val="32"/>
          <w:szCs w:val="32"/>
        </w:rPr>
        <w:t>三、投</w:t>
      </w:r>
      <w:r>
        <w:rPr>
          <w:rFonts w:hint="eastAsia" w:ascii="宋体" w:hAnsi="宋体" w:eastAsia="宋体" w:cs="宋体"/>
          <w:b/>
          <w:bCs/>
          <w:sz w:val="32"/>
          <w:szCs w:val="32"/>
        </w:rPr>
        <w:t>标人资</w:t>
      </w:r>
      <w:r>
        <w:rPr>
          <w:rFonts w:hint="eastAsia" w:ascii="宋体" w:hAnsi="宋体" w:eastAsia="宋体" w:cs="Dotum"/>
          <w:b/>
          <w:bCs/>
          <w:sz w:val="32"/>
          <w:szCs w:val="32"/>
        </w:rPr>
        <w:t>格要求</w:t>
      </w:r>
    </w:p>
    <w:p>
      <w:pPr>
        <w:ind w:firstLine="320" w:firstLineChars="100"/>
        <w:rPr>
          <w:rFonts w:ascii="仿宋" w:hAnsi="仿宋" w:eastAsia="仿宋" w:cs="仿宋"/>
          <w:b/>
          <w:sz w:val="32"/>
          <w:szCs w:val="32"/>
        </w:rPr>
      </w:pPr>
      <w:r>
        <w:rPr>
          <w:rFonts w:hint="eastAsia" w:ascii="仿宋" w:hAnsi="仿宋" w:eastAsia="仿宋" w:cs="仿宋"/>
          <w:sz w:val="32"/>
          <w:szCs w:val="32"/>
        </w:rPr>
        <w:t>（一）符合《中华人民共和国政府采购法》第二十二条的规定。</w:t>
      </w:r>
    </w:p>
    <w:p>
      <w:pPr>
        <w:ind w:firstLine="320" w:firstLineChars="100"/>
        <w:rPr>
          <w:rFonts w:ascii="仿宋" w:hAnsi="仿宋" w:eastAsia="仿宋" w:cs="仿宋"/>
          <w:bCs/>
          <w:sz w:val="32"/>
          <w:szCs w:val="32"/>
        </w:rPr>
      </w:pPr>
      <w:r>
        <w:rPr>
          <w:rFonts w:hint="eastAsia" w:ascii="仿宋" w:hAnsi="仿宋" w:eastAsia="仿宋" w:cs="仿宋"/>
          <w:sz w:val="32"/>
          <w:szCs w:val="32"/>
        </w:rPr>
        <w:t>（二）本项目不接受联合体投标。</w:t>
      </w:r>
    </w:p>
    <w:p>
      <w:pPr>
        <w:ind w:firstLine="320" w:firstLineChars="100"/>
        <w:rPr>
          <w:rFonts w:ascii="仿宋" w:hAnsi="仿宋" w:eastAsia="仿宋" w:cs="仿宋"/>
          <w:b/>
          <w:bCs/>
          <w:sz w:val="32"/>
          <w:szCs w:val="32"/>
        </w:rPr>
      </w:pPr>
      <w:r>
        <w:rPr>
          <w:rFonts w:hint="eastAsia" w:ascii="仿宋" w:hAnsi="仿宋" w:eastAsia="仿宋" w:cs="仿宋"/>
          <w:sz w:val="32"/>
          <w:szCs w:val="32"/>
        </w:rPr>
        <w:t>（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仿宋" w:hAnsi="仿宋" w:eastAsia="仿宋" w:cs="仿宋"/>
          <w:b/>
          <w:bCs/>
          <w:sz w:val="32"/>
          <w:szCs w:val="32"/>
        </w:rPr>
        <w:t>查询渠道：“信用中国”网址（www.creditchina.gov.cn）、“中国政府采购网”网址（www.ccgp.gov.cn），查询打印时间自开评标前20日内。</w:t>
      </w:r>
    </w:p>
    <w:p>
      <w:pPr>
        <w:spacing w:line="560" w:lineRule="exact"/>
        <w:ind w:firstLine="640" w:firstLineChars="200"/>
        <w:jc w:val="left"/>
        <w:rPr>
          <w:rFonts w:ascii="黑体" w:hAnsi="黑体" w:eastAsia="黑体"/>
          <w:b/>
          <w:bCs/>
          <w:sz w:val="32"/>
          <w:szCs w:val="32"/>
        </w:rPr>
      </w:pPr>
      <w:r>
        <w:rPr>
          <w:rFonts w:hint="eastAsia" w:ascii="黑体" w:hAnsi="黑体" w:eastAsia="黑体"/>
          <w:sz w:val="32"/>
          <w:szCs w:val="32"/>
        </w:rPr>
        <w:t>四、</w:t>
      </w:r>
      <w:r>
        <w:rPr>
          <w:rFonts w:hint="eastAsia" w:ascii="黑体" w:hAnsi="黑体" w:eastAsia="黑体"/>
          <w:b/>
          <w:bCs/>
          <w:sz w:val="32"/>
          <w:szCs w:val="32"/>
        </w:rPr>
        <w:t>投标文件的编制要求</w:t>
      </w:r>
    </w:p>
    <w:p>
      <w:pPr>
        <w:pStyle w:val="5"/>
        <w:ind w:firstLine="640"/>
      </w:pPr>
      <w:r>
        <w:rPr>
          <w:rFonts w:hint="eastAsia" w:ascii="仿宋" w:hAnsi="仿宋" w:eastAsia="仿宋" w:cs="仿宋_GB2312"/>
          <w:sz w:val="32"/>
          <w:szCs w:val="32"/>
        </w:rPr>
        <w:t>1、纸质版投标文件和电子版投标文件的所有内容应当完全一致，如内容不一致，则以电子版投标文件为准。</w:t>
      </w:r>
    </w:p>
    <w:p>
      <w:pPr>
        <w:spacing w:line="560" w:lineRule="exact"/>
        <w:jc w:val="left"/>
        <w:rPr>
          <w:rFonts w:ascii="仿宋" w:hAnsi="仿宋" w:eastAsia="仿宋" w:cs="仿宋_GB2312"/>
          <w:sz w:val="32"/>
          <w:szCs w:val="32"/>
        </w:rPr>
      </w:pPr>
      <w:r>
        <w:rPr>
          <w:rFonts w:hint="eastAsia" w:ascii="黑体" w:hAnsi="黑体" w:eastAsia="黑体"/>
          <w:b/>
          <w:bCs/>
          <w:sz w:val="32"/>
          <w:szCs w:val="32"/>
        </w:rPr>
        <w:t xml:space="preserve">   </w:t>
      </w:r>
      <w:r>
        <w:rPr>
          <w:rFonts w:hint="eastAsia" w:ascii="仿宋" w:hAnsi="仿宋" w:eastAsia="仿宋" w:cs="仿宋_GB2312"/>
          <w:sz w:val="32"/>
          <w:szCs w:val="32"/>
        </w:rPr>
        <w:t xml:space="preserve"> 2、投标文件须以中文书写，除在技术规格中另有规定外，计量单位应使用中华人民共和国法定计量单位。</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投标文件应统一使用A4规格纸打印，编写目录页码，文字、图片等材料要清晰，并牢固装订成册。牢固装订成册是指用适当的办法，牢固紧密扎紧，以保证投标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4、投标文件应装入封装袋密封，密封袋上注明项目名称、投标人单位名称及“不准提前启封”字样，并加盖投标人公章。正、副本投标文件（封面及规定签章处）应由投标人单位法定代表人亲自签署或签章并加盖投标人公章。</w:t>
      </w:r>
    </w:p>
    <w:p>
      <w:pPr>
        <w:pStyle w:val="5"/>
        <w:ind w:firstLine="640"/>
        <w:rPr>
          <w:rFonts w:ascii="仿宋" w:hAnsi="仿宋" w:eastAsia="仿宋"/>
          <w:sz w:val="32"/>
          <w:szCs w:val="32"/>
        </w:rPr>
      </w:pPr>
      <w:r>
        <w:rPr>
          <w:rFonts w:hint="eastAsia" w:ascii="仿宋" w:hAnsi="仿宋" w:eastAsia="仿宋"/>
          <w:sz w:val="32"/>
          <w:szCs w:val="32"/>
        </w:rPr>
        <w:t>5、招标文件附件及招标文件各章节提供了一部分用于编制投标文件时必要的格式，投标人应按此格式的要求和内容编制投标文件，招标文件中未提供格式的部分可由投标人自行编制。</w:t>
      </w:r>
    </w:p>
    <w:p>
      <w:pPr>
        <w:spacing w:line="560" w:lineRule="exact"/>
        <w:jc w:val="left"/>
        <w:rPr>
          <w:rFonts w:ascii="仿宋" w:hAnsi="仿宋" w:eastAsia="仿宋"/>
          <w:b/>
          <w:sz w:val="32"/>
          <w:szCs w:val="32"/>
        </w:rPr>
      </w:pPr>
      <w:r>
        <w:rPr>
          <w:rFonts w:hint="eastAsia" w:ascii="仿宋" w:hAnsi="仿宋" w:eastAsia="仿宋"/>
          <w:sz w:val="32"/>
          <w:szCs w:val="32"/>
        </w:rPr>
        <w:t xml:space="preserve">    投标人应按以上公开招标文件的要求编制投标文件，并保证所提供全部材料的真实性，</w:t>
      </w:r>
      <w:r>
        <w:rPr>
          <w:rFonts w:hint="eastAsia" w:ascii="仿宋" w:hAnsi="仿宋" w:eastAsia="仿宋" w:cs="仿宋_GB2312"/>
          <w:sz w:val="32"/>
          <w:szCs w:val="32"/>
        </w:rPr>
        <w:t>对招标文件提出的要求和条件作出实质性响应，</w:t>
      </w:r>
      <w:r>
        <w:rPr>
          <w:rFonts w:hint="eastAsia" w:ascii="仿宋" w:hAnsi="仿宋" w:eastAsia="仿宋"/>
          <w:sz w:val="32"/>
          <w:szCs w:val="32"/>
        </w:rPr>
        <w:t>否则将认定为无效投标文件</w:t>
      </w:r>
      <w:r>
        <w:rPr>
          <w:rFonts w:hint="eastAsia" w:ascii="仿宋" w:hAnsi="仿宋" w:eastAsia="仿宋"/>
          <w:b/>
          <w:sz w:val="32"/>
          <w:szCs w:val="32"/>
        </w:rPr>
        <w:t>。</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五、投标文件的组成（按顺序排列）</w:t>
      </w:r>
    </w:p>
    <w:p>
      <w:pPr>
        <w:pStyle w:val="16"/>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（一）响应文件的资格要求(以下文件必须在有效期内)</w:t>
      </w:r>
    </w:p>
    <w:p>
      <w:pPr>
        <w:pStyle w:val="16"/>
        <w:spacing w:line="360" w:lineRule="auto"/>
        <w:ind w:firstLine="640" w:firstLineChars="200"/>
        <w:jc w:val="both"/>
        <w:rPr>
          <w:rFonts w:hint="eastAsia" w:ascii="仿宋" w:hAnsi="仿宋" w:eastAsia="仿宋"/>
          <w:kern w:val="2"/>
          <w:sz w:val="32"/>
          <w:szCs w:val="32"/>
        </w:rPr>
      </w:pPr>
      <w:r>
        <w:rPr>
          <w:rFonts w:hint="eastAsia" w:ascii="仿宋" w:hAnsi="仿宋" w:eastAsia="仿宋"/>
          <w:color w:val="auto"/>
          <w:kern w:val="2"/>
          <w:sz w:val="32"/>
          <w:szCs w:val="32"/>
        </w:rPr>
        <w:t>1.营业执照</w:t>
      </w:r>
      <w:r>
        <w:rPr>
          <w:rFonts w:hint="eastAsia" w:ascii="仿宋" w:hAnsi="仿宋" w:eastAsia="仿宋"/>
          <w:kern w:val="2"/>
          <w:sz w:val="32"/>
          <w:szCs w:val="32"/>
        </w:rPr>
        <w:t>、开户行许可证。</w:t>
      </w:r>
    </w:p>
    <w:p>
      <w:pPr>
        <w:pStyle w:val="16"/>
        <w:spacing w:line="360" w:lineRule="auto"/>
        <w:ind w:firstLine="640" w:firstLineChars="200"/>
        <w:jc w:val="both"/>
        <w:rPr>
          <w:rFonts w:hint="default" w:ascii="仿宋" w:hAnsi="仿宋" w:eastAsia="仿宋"/>
          <w:kern w:val="2"/>
          <w:sz w:val="32"/>
          <w:szCs w:val="32"/>
          <w:lang w:val="en-US" w:eastAsia="zh-CN"/>
        </w:rPr>
      </w:pPr>
      <w:r>
        <w:rPr>
          <w:rFonts w:hint="eastAsia" w:ascii="仿宋" w:hAnsi="仿宋" w:eastAsia="仿宋"/>
          <w:kern w:val="2"/>
          <w:sz w:val="32"/>
          <w:szCs w:val="32"/>
          <w:lang w:val="en-US" w:eastAsia="zh-CN"/>
        </w:rPr>
        <w:t>2.</w:t>
      </w:r>
      <w:r>
        <w:rPr>
          <w:rFonts w:hint="eastAsia" w:ascii="仿宋" w:hAnsi="仿宋" w:eastAsia="仿宋"/>
          <w:color w:val="auto"/>
          <w:kern w:val="2"/>
          <w:sz w:val="32"/>
          <w:szCs w:val="32"/>
          <w:lang w:eastAsia="zh-CN"/>
        </w:rPr>
        <w:t>出版物经营许可证。</w:t>
      </w:r>
    </w:p>
    <w:p>
      <w:pPr>
        <w:pStyle w:val="16"/>
        <w:spacing w:line="360" w:lineRule="auto"/>
        <w:ind w:firstLine="640" w:firstLineChars="200"/>
        <w:jc w:val="both"/>
        <w:rPr>
          <w:rFonts w:hint="eastAsia" w:ascii="仿宋" w:hAnsi="仿宋" w:eastAsia="仿宋"/>
          <w:color w:val="auto"/>
          <w:kern w:val="2"/>
          <w:sz w:val="32"/>
          <w:szCs w:val="32"/>
          <w:lang w:eastAsia="zh-CN"/>
        </w:rPr>
      </w:pPr>
      <w:r>
        <w:rPr>
          <w:rFonts w:hint="eastAsia" w:ascii="仿宋" w:hAnsi="仿宋" w:eastAsia="仿宋"/>
          <w:color w:val="auto"/>
          <w:kern w:val="2"/>
          <w:sz w:val="32"/>
          <w:szCs w:val="32"/>
          <w:lang w:val="en-US" w:eastAsia="zh-CN"/>
        </w:rPr>
        <w:t>3</w:t>
      </w:r>
      <w:r>
        <w:rPr>
          <w:rFonts w:hint="eastAsia" w:ascii="仿宋" w:hAnsi="仿宋" w:eastAsia="仿宋"/>
          <w:color w:val="auto"/>
          <w:kern w:val="2"/>
          <w:sz w:val="32"/>
          <w:szCs w:val="32"/>
        </w:rPr>
        <w:t>.投标保证金汇款回执截图</w:t>
      </w:r>
      <w:r>
        <w:rPr>
          <w:rFonts w:hint="eastAsia" w:ascii="仿宋" w:hAnsi="仿宋" w:eastAsia="仿宋"/>
          <w:color w:val="auto"/>
          <w:kern w:val="2"/>
          <w:sz w:val="32"/>
          <w:szCs w:val="32"/>
          <w:lang w:eastAsia="zh-CN"/>
        </w:rPr>
        <w:t>。</w:t>
      </w:r>
    </w:p>
    <w:p>
      <w:pPr>
        <w:pStyle w:val="16"/>
        <w:spacing w:line="360" w:lineRule="auto"/>
        <w:ind w:firstLine="640" w:firstLineChars="200"/>
        <w:jc w:val="both"/>
        <w:rPr>
          <w:rFonts w:hint="eastAsia" w:ascii="仿宋" w:hAnsi="仿宋" w:eastAsia="仿宋"/>
          <w:color w:val="auto"/>
          <w:kern w:val="2"/>
          <w:sz w:val="32"/>
          <w:szCs w:val="32"/>
          <w:lang w:eastAsia="zh-CN"/>
        </w:rPr>
      </w:pPr>
      <w:r>
        <w:rPr>
          <w:rFonts w:hint="eastAsia" w:ascii="仿宋" w:hAnsi="仿宋" w:eastAsia="仿宋"/>
          <w:color w:val="auto"/>
          <w:kern w:val="2"/>
          <w:sz w:val="32"/>
          <w:szCs w:val="32"/>
          <w:lang w:val="en-US" w:eastAsia="zh-CN"/>
        </w:rPr>
        <w:t>4</w:t>
      </w:r>
      <w:r>
        <w:rPr>
          <w:rFonts w:hint="eastAsia" w:ascii="仿宋" w:hAnsi="仿宋" w:eastAsia="仿宋"/>
          <w:color w:val="auto"/>
          <w:kern w:val="2"/>
          <w:sz w:val="32"/>
          <w:szCs w:val="32"/>
        </w:rPr>
        <w:t>.“信用中国”和“中国政府采购网”查询投标人无违法违规行为的截图</w:t>
      </w:r>
      <w:r>
        <w:rPr>
          <w:rFonts w:hint="eastAsia" w:ascii="仿宋" w:hAnsi="仿宋" w:eastAsia="仿宋"/>
          <w:color w:val="auto"/>
          <w:kern w:val="2"/>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（二）响应文件的报价要求：</w:t>
      </w:r>
    </w:p>
    <w:p>
      <w:pPr>
        <w:pStyle w:val="16"/>
        <w:spacing w:line="360" w:lineRule="auto"/>
        <w:ind w:firstLine="640" w:firstLineChars="200"/>
        <w:jc w:val="both"/>
        <w:rPr>
          <w:rFonts w:ascii="仿宋" w:hAnsi="仿宋" w:eastAsia="仿宋"/>
          <w:sz w:val="32"/>
          <w:szCs w:val="32"/>
        </w:rPr>
      </w:pPr>
      <w:r>
        <w:rPr>
          <w:rFonts w:hint="eastAsia" w:ascii="仿宋" w:hAnsi="仿宋" w:eastAsia="仿宋"/>
          <w:sz w:val="32"/>
          <w:szCs w:val="32"/>
        </w:rPr>
        <w:t>1.开标一览表（见表一）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2.报价明细表(见表二)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（三）响应文件的商务部分：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1.法定代表人资格证明及授权委托书（见表三）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2.反商业贿赂承诺书（见表四）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3.商务规格偏离表（见表五）</w:t>
      </w:r>
    </w:p>
    <w:p>
      <w:pPr>
        <w:pStyle w:val="5"/>
        <w:rPr>
          <w:rFonts w:ascii="仿宋" w:hAnsi="仿宋" w:eastAsia="仿宋"/>
          <w:sz w:val="32"/>
          <w:szCs w:val="32"/>
        </w:rPr>
      </w:pPr>
      <w:r>
        <w:rPr>
          <w:rFonts w:hint="eastAsia"/>
        </w:rPr>
        <w:t xml:space="preserve">  </w:t>
      </w:r>
      <w:r>
        <w:rPr>
          <w:rFonts w:hint="eastAsia" w:ascii="仿宋" w:hAnsi="仿宋" w:eastAsia="仿宋"/>
          <w:sz w:val="32"/>
          <w:szCs w:val="32"/>
        </w:rPr>
        <w:t>4.无重大违法记录、书面声明（见附件一、二）</w:t>
      </w:r>
    </w:p>
    <w:p>
      <w:pPr>
        <w:pStyle w:val="5"/>
        <w:ind w:firstLine="640"/>
        <w:rPr>
          <w:rFonts w:ascii="仿宋" w:hAnsi="仿宋" w:eastAsia="仿宋"/>
          <w:sz w:val="32"/>
          <w:szCs w:val="32"/>
        </w:rPr>
      </w:pPr>
      <w:r>
        <w:rPr>
          <w:rFonts w:hint="eastAsia" w:ascii="仿宋" w:hAnsi="仿宋" w:eastAsia="仿宋"/>
          <w:sz w:val="32"/>
          <w:szCs w:val="32"/>
        </w:rPr>
        <w:t>5.完成类似项目业绩证明材料（见表六）</w:t>
      </w:r>
    </w:p>
    <w:p>
      <w:pPr>
        <w:pStyle w:val="5"/>
        <w:ind w:firstLine="640"/>
      </w:pPr>
      <w:r>
        <w:rPr>
          <w:rFonts w:hint="eastAsia" w:ascii="仿宋" w:hAnsi="仿宋" w:eastAsia="仿宋"/>
          <w:sz w:val="32"/>
          <w:szCs w:val="32"/>
        </w:rPr>
        <w:t>6.投标人认为需要提供的其他商务材料（相关证明文件）</w:t>
      </w:r>
      <w:r>
        <w:rPr>
          <w:rFonts w:hint="eastAsia"/>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（四）响应文件的技术部分：</w:t>
      </w:r>
    </w:p>
    <w:p>
      <w:pPr>
        <w:spacing w:line="560" w:lineRule="exact"/>
        <w:ind w:firstLine="640" w:firstLineChars="200"/>
        <w:rPr>
          <w:rFonts w:eastAsia="仿宋"/>
        </w:rPr>
      </w:pPr>
      <w:r>
        <w:rPr>
          <w:rFonts w:hint="eastAsia" w:ascii="仿宋" w:hAnsi="仿宋" w:eastAsia="仿宋" w:cs="仿宋"/>
          <w:sz w:val="32"/>
          <w:szCs w:val="32"/>
        </w:rPr>
        <w:t>1.项目实施方案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2.技术规格偏离表(见表七)</w:t>
      </w:r>
    </w:p>
    <w:p>
      <w:pPr>
        <w:pStyle w:val="2"/>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3.质量保证（严格按照招标清单中的品种、规格保质保量的提供产品，同时保证如遇质量不符时应按照甲方的要求及时调换）          </w:t>
      </w:r>
    </w:p>
    <w:p>
      <w:pPr>
        <w:pStyle w:val="2"/>
        <w:ind w:firstLine="640" w:firstLineChars="200"/>
        <w:rPr>
          <w:rFonts w:ascii="仿宋" w:hAnsi="仿宋" w:eastAsia="仿宋"/>
          <w:color w:val="auto"/>
          <w:sz w:val="32"/>
          <w:szCs w:val="32"/>
        </w:rPr>
      </w:pPr>
      <w:r>
        <w:rPr>
          <w:rFonts w:hint="eastAsia" w:ascii="仿宋" w:hAnsi="仿宋" w:eastAsia="仿宋"/>
          <w:color w:val="auto"/>
          <w:sz w:val="32"/>
          <w:szCs w:val="32"/>
        </w:rPr>
        <w:t>4. 售后服务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 xml:space="preserve">. </w:t>
      </w:r>
      <w:r>
        <w:rPr>
          <w:rFonts w:hint="eastAsia" w:ascii="仿宋" w:hAnsi="仿宋" w:eastAsia="仿宋"/>
          <w:sz w:val="32"/>
          <w:szCs w:val="32"/>
        </w:rPr>
        <w:t>投标单位认为需要提供的其他技术材料（相关证明文件）</w:t>
      </w:r>
    </w:p>
    <w:p>
      <w:pPr>
        <w:spacing w:line="560" w:lineRule="exact"/>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六、投标文件的修改和撤回</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投标人递交投标文件后，不得有涂改、增删之处，但如有错误必须修改时，必须在规定的投标截止时间之前，可以书面形式向招标机构提出补充修改或撤回其已递交的投标文件，投标截止日期之后不允许修改投标文件。</w:t>
      </w:r>
    </w:p>
    <w:p>
      <w:pPr>
        <w:spacing w:line="560" w:lineRule="exact"/>
        <w:ind w:firstLine="640" w:firstLineChars="200"/>
        <w:jc w:val="left"/>
        <w:rPr>
          <w:rFonts w:ascii="宋体" w:hAnsi="宋体" w:eastAsia="宋体" w:cs="宋体"/>
          <w:b/>
          <w:bCs/>
          <w:sz w:val="32"/>
          <w:szCs w:val="32"/>
        </w:rPr>
      </w:pPr>
      <w:r>
        <w:rPr>
          <w:rFonts w:hint="eastAsia" w:ascii="仿宋" w:hAnsi="仿宋" w:eastAsia="仿宋"/>
          <w:sz w:val="32"/>
          <w:szCs w:val="32"/>
        </w:rPr>
        <w:t xml:space="preserve">2、投标人对投标文件补充修改的书面材料或撤销通知按招标文件要求进行密封、标注和递交，并在包封上注明“修改投标文件”或“撤销投标”字样，投标文件封页由投标人法定代表人签字并加盖公章和印鉴。不接受电报、电话、电传、E-MAIL形式的投标文件。 </w:t>
      </w:r>
    </w:p>
    <w:p>
      <w:pPr>
        <w:spacing w:line="560" w:lineRule="exact"/>
        <w:ind w:firstLine="321" w:firstLineChars="100"/>
        <w:rPr>
          <w:rFonts w:ascii="宋体" w:hAnsi="宋体" w:eastAsia="宋体" w:cs="宋体"/>
          <w:b/>
          <w:sz w:val="32"/>
          <w:szCs w:val="32"/>
        </w:rPr>
      </w:pPr>
      <w:r>
        <w:rPr>
          <w:rFonts w:hint="eastAsia" w:ascii="黑体" w:hAnsi="黑体" w:eastAsia="黑体" w:cs="仿宋_GB2312"/>
          <w:b/>
          <w:bCs/>
          <w:sz w:val="32"/>
          <w:szCs w:val="32"/>
        </w:rPr>
        <w:t>七、评标办法及评定标准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一）采取综合评分法。由依法组建的熟悉相关业务的代表及有关技术、经济等方面的专家组成评标委员会进行评标，并依据《政府采购法》《中华人民共和国招投标法》等相关法律法规及本招标文件进行评审，有关监督部门现场监督。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（二）招标文件评分分值由</w:t>
      </w:r>
      <w:r>
        <w:rPr>
          <w:rFonts w:hint="eastAsia" w:ascii="仿宋" w:hAnsi="仿宋" w:eastAsia="仿宋"/>
          <w:sz w:val="32"/>
          <w:szCs w:val="32"/>
          <w:lang w:val="en-US" w:eastAsia="zh-CN"/>
        </w:rPr>
        <w:t>投标报价20分、</w:t>
      </w:r>
      <w:r>
        <w:rPr>
          <w:rFonts w:hint="eastAsia" w:ascii="仿宋" w:hAnsi="仿宋" w:eastAsia="仿宋"/>
          <w:sz w:val="32"/>
          <w:szCs w:val="32"/>
        </w:rPr>
        <w:t>商务</w:t>
      </w:r>
      <w:r>
        <w:rPr>
          <w:rFonts w:hint="eastAsia" w:ascii="仿宋" w:hAnsi="仿宋" w:eastAsia="仿宋"/>
          <w:sz w:val="32"/>
          <w:szCs w:val="32"/>
          <w:lang w:val="en-US" w:eastAsia="zh-CN"/>
        </w:rPr>
        <w:t>评审25分</w:t>
      </w:r>
      <w:r>
        <w:rPr>
          <w:rFonts w:hint="eastAsia" w:ascii="仿宋" w:hAnsi="仿宋" w:eastAsia="仿宋"/>
          <w:sz w:val="32"/>
          <w:szCs w:val="32"/>
        </w:rPr>
        <w:t>、技术</w:t>
      </w:r>
      <w:r>
        <w:rPr>
          <w:rFonts w:hint="eastAsia" w:ascii="仿宋" w:hAnsi="仿宋" w:eastAsia="仿宋"/>
          <w:sz w:val="32"/>
          <w:szCs w:val="32"/>
          <w:lang w:val="en-US" w:eastAsia="zh-CN"/>
        </w:rPr>
        <w:t>评审35分</w:t>
      </w:r>
      <w:r>
        <w:rPr>
          <w:rFonts w:hint="eastAsia" w:ascii="仿宋" w:hAnsi="仿宋" w:eastAsia="仿宋"/>
          <w:sz w:val="32"/>
          <w:szCs w:val="32"/>
          <w:lang w:eastAsia="zh-CN"/>
        </w:rPr>
        <w:t>、社会化</w:t>
      </w:r>
      <w:r>
        <w:rPr>
          <w:rFonts w:hint="eastAsia" w:ascii="仿宋" w:hAnsi="仿宋" w:eastAsia="仿宋"/>
          <w:sz w:val="32"/>
          <w:szCs w:val="32"/>
        </w:rPr>
        <w:t>服务</w:t>
      </w:r>
      <w:r>
        <w:rPr>
          <w:rFonts w:hint="eastAsia" w:ascii="仿宋" w:hAnsi="仿宋" w:eastAsia="仿宋"/>
          <w:sz w:val="32"/>
          <w:szCs w:val="32"/>
          <w:lang w:val="en-US" w:eastAsia="zh-CN"/>
        </w:rPr>
        <w:t>20</w:t>
      </w:r>
      <w:r>
        <w:rPr>
          <w:rFonts w:hint="eastAsia" w:ascii="仿宋" w:hAnsi="仿宋" w:eastAsia="仿宋"/>
          <w:sz w:val="32"/>
          <w:szCs w:val="32"/>
        </w:rPr>
        <w:t>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（三）评定标准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1、报价评分标准（</w:t>
      </w:r>
      <w:r>
        <w:rPr>
          <w:rFonts w:hint="eastAsia" w:ascii="仿宋" w:hAnsi="仿宋" w:eastAsia="仿宋"/>
          <w:sz w:val="32"/>
          <w:szCs w:val="32"/>
          <w:lang w:val="en-US" w:eastAsia="zh-CN"/>
        </w:rPr>
        <w:t>2</w:t>
      </w:r>
      <w:r>
        <w:rPr>
          <w:rFonts w:hint="eastAsia" w:ascii="仿宋" w:hAnsi="仿宋" w:eastAsia="仿宋"/>
          <w:sz w:val="32"/>
          <w:szCs w:val="32"/>
        </w:rPr>
        <w:t>0分）：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报价得分=(评标基准价／投标报价)×100×</w:t>
      </w:r>
      <w:r>
        <w:rPr>
          <w:rFonts w:hint="eastAsia" w:ascii="仿宋" w:hAnsi="仿宋" w:eastAsia="仿宋"/>
          <w:sz w:val="32"/>
          <w:szCs w:val="32"/>
          <w:lang w:val="en-US" w:eastAsia="zh-CN"/>
        </w:rPr>
        <w:t>2</w:t>
      </w:r>
      <w:r>
        <w:rPr>
          <w:rFonts w:hint="eastAsia" w:ascii="仿宋" w:hAnsi="仿宋" w:eastAsia="仿宋"/>
          <w:sz w:val="32"/>
          <w:szCs w:val="32"/>
        </w:rPr>
        <w:t>0%</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投标人有效最低报价为评标基准价，其价格分为满分，各投标人价格得分应保留两位小数。</w:t>
      </w:r>
    </w:p>
    <w:p>
      <w:pPr>
        <w:numPr>
          <w:ilvl w:val="0"/>
          <w:numId w:val="2"/>
        </w:num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商务</w:t>
      </w:r>
      <w:r>
        <w:rPr>
          <w:rFonts w:hint="eastAsia" w:ascii="仿宋" w:hAnsi="仿宋" w:eastAsia="仿宋"/>
          <w:sz w:val="32"/>
          <w:szCs w:val="32"/>
          <w:lang w:val="en-US" w:eastAsia="zh-CN"/>
        </w:rPr>
        <w:t>评审</w:t>
      </w:r>
      <w:r>
        <w:rPr>
          <w:rFonts w:hint="eastAsia" w:ascii="仿宋" w:hAnsi="仿宋" w:eastAsia="仿宋"/>
          <w:sz w:val="32"/>
          <w:szCs w:val="32"/>
        </w:rPr>
        <w:t>、技术</w:t>
      </w:r>
      <w:r>
        <w:rPr>
          <w:rFonts w:hint="eastAsia" w:ascii="仿宋" w:hAnsi="仿宋" w:eastAsia="仿宋"/>
          <w:sz w:val="32"/>
          <w:szCs w:val="32"/>
          <w:lang w:val="en-US" w:eastAsia="zh-CN"/>
        </w:rPr>
        <w:t>评审</w:t>
      </w:r>
      <w:r>
        <w:rPr>
          <w:rFonts w:hint="eastAsia" w:ascii="仿宋" w:hAnsi="仿宋" w:eastAsia="仿宋"/>
          <w:sz w:val="32"/>
          <w:szCs w:val="32"/>
          <w:lang w:eastAsia="zh-CN"/>
        </w:rPr>
        <w:t>、社会化</w:t>
      </w:r>
      <w:r>
        <w:rPr>
          <w:rFonts w:hint="eastAsia" w:ascii="仿宋" w:hAnsi="仿宋" w:eastAsia="仿宋"/>
          <w:sz w:val="32"/>
          <w:szCs w:val="32"/>
        </w:rPr>
        <w:t>服务评分标准（</w:t>
      </w:r>
      <w:r>
        <w:rPr>
          <w:rFonts w:hint="eastAsia" w:ascii="仿宋" w:hAnsi="仿宋" w:eastAsia="仿宋"/>
          <w:sz w:val="32"/>
          <w:szCs w:val="32"/>
          <w:lang w:val="en-US" w:eastAsia="zh-CN"/>
        </w:rPr>
        <w:t>8</w:t>
      </w:r>
      <w:r>
        <w:rPr>
          <w:rFonts w:hint="eastAsia" w:ascii="仿宋" w:hAnsi="仿宋" w:eastAsia="仿宋"/>
          <w:sz w:val="32"/>
          <w:szCs w:val="32"/>
        </w:rPr>
        <w:t>0分）</w:t>
      </w:r>
    </w:p>
    <w:tbl>
      <w:tblPr>
        <w:tblStyle w:val="15"/>
        <w:tblW w:w="10641" w:type="dxa"/>
        <w:jc w:val="center"/>
        <w:tblInd w:w="0" w:type="dxa"/>
        <w:tblLayout w:type="fixed"/>
        <w:tblCellMar>
          <w:top w:w="0" w:type="dxa"/>
          <w:left w:w="108" w:type="dxa"/>
          <w:bottom w:w="0" w:type="dxa"/>
          <w:right w:w="108" w:type="dxa"/>
        </w:tblCellMar>
      </w:tblPr>
      <w:tblGrid>
        <w:gridCol w:w="692"/>
        <w:gridCol w:w="530"/>
        <w:gridCol w:w="1069"/>
        <w:gridCol w:w="7721"/>
        <w:gridCol w:w="629"/>
      </w:tblGrid>
      <w:tr>
        <w:tblPrEx>
          <w:tblLayout w:type="fixed"/>
          <w:tblCellMar>
            <w:top w:w="0" w:type="dxa"/>
            <w:left w:w="108" w:type="dxa"/>
            <w:bottom w:w="0" w:type="dxa"/>
            <w:right w:w="108" w:type="dxa"/>
          </w:tblCellMar>
        </w:tblPrEx>
        <w:trPr>
          <w:trHeight w:val="377" w:hRule="atLeast"/>
          <w:jc w:val="center"/>
        </w:trPr>
        <w:tc>
          <w:tcPr>
            <w:tcW w:w="1222" w:type="dxa"/>
            <w:gridSpan w:val="2"/>
            <w:tcBorders>
              <w:top w:val="single" w:color="000000" w:sz="4" w:space="0"/>
              <w:left w:val="single" w:color="000000"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评审项</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分值</w:t>
            </w:r>
          </w:p>
        </w:tc>
        <w:tc>
          <w:tcPr>
            <w:tcW w:w="772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评分标准</w:t>
            </w:r>
          </w:p>
        </w:tc>
        <w:tc>
          <w:tcPr>
            <w:tcW w:w="62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分值</w:t>
            </w:r>
          </w:p>
        </w:tc>
      </w:tr>
      <w:tr>
        <w:tblPrEx>
          <w:tblLayout w:type="fixed"/>
          <w:tblCellMar>
            <w:top w:w="0" w:type="dxa"/>
            <w:left w:w="108" w:type="dxa"/>
            <w:bottom w:w="0" w:type="dxa"/>
            <w:right w:w="108" w:type="dxa"/>
          </w:tblCellMar>
        </w:tblPrEx>
        <w:trPr>
          <w:trHeight w:val="1215" w:hRule="atLeast"/>
          <w:jc w:val="center"/>
        </w:trPr>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投标报价</w:t>
            </w:r>
            <w:r>
              <w:rPr>
                <w:rFonts w:hint="eastAsia" w:ascii="宋体" w:hAnsi="宋体" w:eastAsia="宋体" w:cs="宋体"/>
                <w:color w:val="000000"/>
                <w:kern w:val="0"/>
                <w:szCs w:val="21"/>
                <w:lang w:val="en-US" w:eastAsia="zh-CN"/>
              </w:rPr>
              <w:t>20</w:t>
            </w:r>
            <w:r>
              <w:rPr>
                <w:rFonts w:hint="eastAsia" w:ascii="宋体" w:hAnsi="宋体" w:eastAsia="宋体" w:cs="宋体"/>
                <w:color w:val="000000"/>
                <w:kern w:val="0"/>
                <w:szCs w:val="21"/>
              </w:rPr>
              <w:t>分</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20</w:t>
            </w:r>
            <w:r>
              <w:rPr>
                <w:rFonts w:hint="eastAsia" w:ascii="宋体" w:hAnsi="宋体" w:eastAsia="宋体" w:cs="宋体"/>
                <w:color w:val="000000"/>
                <w:kern w:val="0"/>
                <w:szCs w:val="21"/>
              </w:rPr>
              <w:t>分</w:t>
            </w:r>
          </w:p>
        </w:tc>
        <w:tc>
          <w:tcPr>
            <w:tcW w:w="772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Cs w:val="21"/>
                <w:lang w:val="en-US" w:eastAsia="zh-CN"/>
              </w:rPr>
            </w:pPr>
            <w:r>
              <w:rPr>
                <w:rFonts w:hint="eastAsia" w:ascii="宋体" w:hAnsi="宋体" w:eastAsia="宋体" w:cs="宋体"/>
                <w:szCs w:val="21"/>
                <w:lang w:val="en-US" w:eastAsia="zh-CN"/>
              </w:rPr>
              <w:t>报价得分=(评标基准价／投标报价)×100×20%</w:t>
            </w:r>
          </w:p>
          <w:p>
            <w:pPr>
              <w:widowControl/>
              <w:jc w:val="left"/>
              <w:rPr>
                <w:rFonts w:hint="eastAsia" w:ascii="宋体" w:hAnsi="宋体" w:eastAsia="宋体" w:cs="宋体"/>
                <w:color w:val="000000"/>
                <w:kern w:val="0"/>
                <w:szCs w:val="21"/>
              </w:rPr>
            </w:pPr>
            <w:r>
              <w:rPr>
                <w:rFonts w:hint="eastAsia" w:ascii="宋体" w:hAnsi="宋体" w:eastAsia="宋体" w:cs="宋体"/>
                <w:szCs w:val="21"/>
                <w:lang w:val="en-US" w:eastAsia="zh-CN"/>
              </w:rPr>
              <w:t>投标人有效最低报价为评标基准价，其价格分为满分，各投标人价格得分应保留两位小数。备注：投标人报价明显偏低，评标委员会认定具有恶性竞争嫌疑，要求其作出解释，其解释被评委会接受，可确定其报价合理；如不被评委会接受，评委会将不予认可，将作为无效投标书处理。</w:t>
            </w:r>
          </w:p>
        </w:tc>
        <w:tc>
          <w:tcPr>
            <w:tcW w:w="62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rPr>
            </w:pPr>
            <w:r>
              <w:rPr>
                <w:rFonts w:hint="eastAsia" w:ascii="宋体" w:hAnsi="宋体" w:eastAsia="宋体" w:cs="宋体"/>
                <w:color w:val="000000"/>
                <w:kern w:val="0"/>
                <w:szCs w:val="21"/>
                <w:lang w:val="en-US" w:eastAsia="zh-CN"/>
              </w:rPr>
              <w:t>20</w:t>
            </w:r>
          </w:p>
        </w:tc>
      </w:tr>
      <w:tr>
        <w:tblPrEx>
          <w:tblLayout w:type="fixed"/>
          <w:tblCellMar>
            <w:top w:w="0" w:type="dxa"/>
            <w:left w:w="108" w:type="dxa"/>
            <w:bottom w:w="0" w:type="dxa"/>
            <w:right w:w="108" w:type="dxa"/>
          </w:tblCellMar>
        </w:tblPrEx>
        <w:trPr>
          <w:trHeight w:val="720" w:hRule="atLeast"/>
          <w:jc w:val="center"/>
        </w:trPr>
        <w:tc>
          <w:tcPr>
            <w:tcW w:w="6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商务</w:t>
            </w:r>
          </w:p>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评审</w:t>
            </w:r>
          </w:p>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25</w:t>
            </w:r>
            <w:r>
              <w:rPr>
                <w:rFonts w:hint="eastAsia" w:ascii="宋体" w:hAnsi="宋体" w:eastAsia="宋体" w:cs="宋体"/>
                <w:color w:val="000000"/>
                <w:kern w:val="0"/>
                <w:szCs w:val="21"/>
              </w:rPr>
              <w:t>分</w:t>
            </w:r>
          </w:p>
        </w:tc>
        <w:tc>
          <w:tcPr>
            <w:tcW w:w="5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sz w:val="21"/>
                <w:szCs w:val="21"/>
                <w:u w:val="none"/>
              </w:rPr>
              <w:t>能力认证</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szCs w:val="21"/>
                <w:lang w:val="en-US" w:eastAsia="zh-CN"/>
              </w:rPr>
              <w:t>23分</w:t>
            </w:r>
          </w:p>
        </w:tc>
        <w:tc>
          <w:tcPr>
            <w:tcW w:w="772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1.投标人具有书店经营经验。（提供相关材料得1分，否则不得分。）</w:t>
            </w:r>
          </w:p>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2.投标人有书店运营并结合书屋做公益读书活动经验的</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（提供现场照片得</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分，否则不得分。）</w:t>
            </w:r>
          </w:p>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3.投标人近两年来有举办各种读书会、读者见面会、分享会等活动50场次以上。（提供相关照片材料得3分，否则不得分。）</w:t>
            </w:r>
          </w:p>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4.投标人近3年来，有举办对口援疆文化交流交往活动2次（含2次）以上</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（提供活动方案及活动图片每增加一次得1分，4分封顶。）</w:t>
            </w:r>
          </w:p>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5.投标人有相关类似图书馆社会化运营的经验，并且提供该案例项目的中标（成交）公告（提供相关网站网址）或中标（成交）通知书或采购合同文本</w:t>
            </w:r>
            <w:r>
              <w:rPr>
                <w:rFonts w:hint="eastAsia" w:ascii="宋体" w:hAnsi="宋体" w:eastAsia="宋体" w:cs="宋体"/>
                <w:color w:val="auto"/>
                <w:kern w:val="0"/>
                <w:szCs w:val="21"/>
                <w:lang w:eastAsia="zh-CN"/>
              </w:rPr>
              <w:t>，</w:t>
            </w:r>
            <w:r>
              <w:rPr>
                <w:rFonts w:hint="eastAsia" w:ascii="宋体" w:hAnsi="宋体" w:eastAsia="宋体" w:cs="宋体"/>
                <w:sz w:val="22"/>
                <w:szCs w:val="22"/>
              </w:rPr>
              <w:t>业绩且单项金额</w:t>
            </w:r>
            <w:r>
              <w:rPr>
                <w:rFonts w:hint="eastAsia" w:ascii="宋体" w:hAnsi="宋体" w:cs="宋体"/>
                <w:sz w:val="22"/>
                <w:szCs w:val="22"/>
              </w:rPr>
              <w:t>100</w:t>
            </w:r>
            <w:r>
              <w:rPr>
                <w:rFonts w:hint="eastAsia" w:ascii="宋体" w:hAnsi="宋体" w:eastAsia="宋体" w:cs="宋体"/>
                <w:sz w:val="22"/>
                <w:szCs w:val="22"/>
              </w:rPr>
              <w:t>万元以上</w:t>
            </w:r>
            <w:r>
              <w:rPr>
                <w:rFonts w:hint="eastAsia" w:ascii="宋体" w:hAnsi="宋体" w:eastAsia="宋体" w:cs="宋体"/>
                <w:color w:val="auto"/>
                <w:kern w:val="0"/>
                <w:szCs w:val="21"/>
              </w:rPr>
              <w:t>等相关证明文件复印件。未能提供案例的或案例资料提供不齐全，不得分）（提供相关材料得2分。）</w:t>
            </w:r>
          </w:p>
          <w:p>
            <w:pPr>
              <w:widowControl/>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有社会媒体报道不少于</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家的宣传报道，（提供一家截图得1分，满分</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分，否则不得分）</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4分封顶。</w:t>
            </w:r>
          </w:p>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投标人有图书捐赠方面的捐赠经验，所捐赠主体“取得中国社会组织评估等级达到5A级”标准的公益社团，近3年来向社会团体、学校等单位捐赠价值不少于100万元以上图书的企业。（提供一项得1分，满分2分；否则不得分。）</w:t>
            </w:r>
          </w:p>
          <w:p>
            <w:pPr>
              <w:widowControl/>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.投标人有固定读者交流群，且总人数达到1000人；得</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分</w:t>
            </w:r>
            <w:r>
              <w:rPr>
                <w:rFonts w:hint="eastAsia" w:ascii="宋体" w:hAnsi="宋体" w:eastAsia="宋体" w:cs="宋体"/>
                <w:color w:val="auto"/>
                <w:kern w:val="0"/>
                <w:szCs w:val="21"/>
                <w:lang w:eastAsia="zh-CN"/>
              </w:rPr>
              <w:t>。</w:t>
            </w:r>
          </w:p>
          <w:p>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.投标人有过直播文化活动经验的并且参与人数达到7万人数</w:t>
            </w:r>
            <w:r>
              <w:rPr>
                <w:rFonts w:hint="eastAsia" w:ascii="宋体" w:hAnsi="宋体" w:eastAsia="宋体" w:cs="宋体"/>
                <w:color w:val="auto"/>
                <w:kern w:val="0"/>
                <w:szCs w:val="21"/>
                <w:lang w:eastAsia="zh-CN"/>
              </w:rPr>
              <w:t>以上</w:t>
            </w:r>
            <w:r>
              <w:rPr>
                <w:rFonts w:hint="eastAsia" w:ascii="宋体" w:hAnsi="宋体" w:eastAsia="宋体" w:cs="宋体"/>
                <w:color w:val="auto"/>
                <w:kern w:val="0"/>
                <w:szCs w:val="21"/>
              </w:rPr>
              <w:t>的，提供照片或相关视频</w:t>
            </w:r>
            <w:r>
              <w:rPr>
                <w:rFonts w:hint="eastAsia" w:ascii="宋体" w:hAnsi="宋体" w:eastAsia="宋体" w:cs="宋体"/>
                <w:color w:val="auto"/>
                <w:kern w:val="0"/>
                <w:szCs w:val="21"/>
                <w:lang w:eastAsia="zh-CN"/>
              </w:rPr>
              <w:t>截图</w:t>
            </w:r>
            <w:r>
              <w:rPr>
                <w:rFonts w:hint="eastAsia" w:ascii="宋体" w:hAnsi="宋体" w:eastAsia="宋体" w:cs="宋体"/>
                <w:color w:val="auto"/>
                <w:kern w:val="0"/>
                <w:szCs w:val="21"/>
              </w:rPr>
              <w:t>得2分，否则不得分。</w:t>
            </w:r>
          </w:p>
        </w:tc>
        <w:tc>
          <w:tcPr>
            <w:tcW w:w="62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23</w:t>
            </w:r>
          </w:p>
        </w:tc>
      </w:tr>
      <w:tr>
        <w:tblPrEx>
          <w:tblLayout w:type="fixed"/>
          <w:tblCellMar>
            <w:top w:w="0" w:type="dxa"/>
            <w:left w:w="108" w:type="dxa"/>
            <w:bottom w:w="0" w:type="dxa"/>
            <w:right w:w="108" w:type="dxa"/>
          </w:tblCellMar>
        </w:tblPrEx>
        <w:trPr>
          <w:trHeight w:val="720"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标书编制</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分</w:t>
            </w:r>
          </w:p>
        </w:tc>
        <w:tc>
          <w:tcPr>
            <w:tcW w:w="772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标函编制内容完整、齐全、叙述严谨；标书无涂改、错页、漏页现象；履约措施具体、合理、可行，得2分；标函编制内容不完整、叙述简单；标书有涂改、错页或漏页现象；履约措施不具体，得0-1分。</w:t>
            </w:r>
          </w:p>
        </w:tc>
        <w:tc>
          <w:tcPr>
            <w:tcW w:w="629"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Layout w:type="fixed"/>
          <w:tblCellMar>
            <w:top w:w="0" w:type="dxa"/>
            <w:left w:w="108" w:type="dxa"/>
            <w:bottom w:w="0" w:type="dxa"/>
            <w:right w:w="108" w:type="dxa"/>
          </w:tblCellMar>
        </w:tblPrEx>
        <w:trPr>
          <w:trHeight w:val="720" w:hRule="atLeast"/>
          <w:jc w:val="center"/>
        </w:trPr>
        <w:tc>
          <w:tcPr>
            <w:tcW w:w="1222"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技术评审</w:t>
            </w:r>
            <w:r>
              <w:rPr>
                <w:rFonts w:hint="eastAsia" w:ascii="宋体" w:hAnsi="宋体" w:eastAsia="宋体" w:cs="宋体"/>
                <w:color w:val="000000"/>
                <w:kern w:val="0"/>
                <w:szCs w:val="21"/>
                <w:lang w:val="en-US" w:eastAsia="zh-CN"/>
              </w:rPr>
              <w:t>35</w:t>
            </w:r>
            <w:r>
              <w:rPr>
                <w:rFonts w:hint="eastAsia" w:ascii="宋体" w:hAnsi="宋体" w:eastAsia="宋体" w:cs="宋体"/>
                <w:color w:val="000000"/>
                <w:kern w:val="0"/>
                <w:szCs w:val="21"/>
              </w:rPr>
              <w:t>分</w:t>
            </w:r>
          </w:p>
        </w:tc>
        <w:tc>
          <w:tcPr>
            <w:tcW w:w="1069"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32</w:t>
            </w:r>
            <w:r>
              <w:rPr>
                <w:rFonts w:hint="eastAsia" w:ascii="宋体" w:hAnsi="宋体" w:eastAsia="宋体" w:cs="宋体"/>
                <w:color w:val="000000"/>
                <w:kern w:val="0"/>
                <w:szCs w:val="21"/>
              </w:rPr>
              <w:t>分</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为保证产品运行稳定，性能可靠，所投自助借还办证一体机通过国家权威检验中心出具的体现产品平均无故障间隔的MTBF认证及检测，平均无故障时间≥10000小时以上的，得2分。需提供MTBF认证证书及检测报告复印件并加盖投标人公章，否则不得分。</w:t>
            </w:r>
          </w:p>
          <w:p>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2.为保证产品在不同环境下使用的稳定性，需提供自助借还办证一体机通过由国家权威检验中心出具的≥72h盐雾检测证书及报告。全部满足得2分，否则不得分。</w:t>
            </w:r>
          </w:p>
          <w:p>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3.提供图书馆安全门禁质检报告，全部满足得1分，否则不得分。（加盖原厂公章）</w:t>
            </w:r>
          </w:p>
          <w:p>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4.提供图书馆安全门产品高低温检测报告，得1分，否则不得分。（提供检测报告复印件，加盖原厂公章）</w:t>
            </w:r>
          </w:p>
          <w:p>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为确保独立自主知识产权，系统稳定运行，所投图书馆管理平台获得软件著作权及省级以上图书馆管理平台软件检测报告，提供图书馆管理平台软件著作权证书及图书馆管理平台软件检测报告复印件并加盖投标人公章，全部满足得2分，否则不得分。</w:t>
            </w:r>
          </w:p>
          <w:p>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6.儿童电子阅读器可以提供中国国家强制性产品认证3C、低蓝光认证；提供一个得1分，全部满足得2分，否则不得分.</w:t>
            </w:r>
          </w:p>
          <w:p>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7.为保证产品在不同环境下使用的稳定性，需提供自助借还书机通过国家权威检验中心出具的浪涌（冲击）抗扰度及防静电检测报告复印件并加盖投标人公章。全部满足得2分，否则不得分</w:t>
            </w:r>
          </w:p>
          <w:p>
            <w:pPr>
              <w:spacing w:line="336" w:lineRule="auto"/>
              <w:rPr>
                <w:rFonts w:ascii="宋体" w:hAnsi="宋体" w:eastAsia="宋体" w:cs="宋体"/>
                <w:sz w:val="22"/>
                <w:szCs w:val="22"/>
              </w:rPr>
            </w:pPr>
            <w:r>
              <w:rPr>
                <w:rFonts w:hint="eastAsia" w:ascii="宋体" w:hAnsi="宋体" w:eastAsia="宋体" w:cs="宋体"/>
                <w:color w:val="auto"/>
                <w:kern w:val="0"/>
                <w:szCs w:val="21"/>
                <w:lang w:val="en-US" w:eastAsia="zh-CN"/>
              </w:rPr>
              <w:t>8.</w:t>
            </w:r>
            <w:r>
              <w:rPr>
                <w:rFonts w:hint="eastAsia" w:ascii="宋体" w:hAnsi="宋体" w:eastAsia="宋体" w:cs="宋体"/>
                <w:sz w:val="22"/>
                <w:szCs w:val="22"/>
              </w:rPr>
              <w:t>对招标参数技术要求（★指标）的响应程度，以及提供的证明材料等。</w:t>
            </w:r>
          </w:p>
          <w:p>
            <w:pPr>
              <w:widowControl/>
              <w:jc w:val="left"/>
              <w:rPr>
                <w:rFonts w:ascii="宋体" w:hAnsi="宋体" w:eastAsia="宋体" w:cs="宋体"/>
                <w:color w:val="000000"/>
                <w:kern w:val="0"/>
                <w:szCs w:val="21"/>
              </w:rPr>
            </w:pPr>
            <w:r>
              <w:rPr>
                <w:rFonts w:hint="eastAsia" w:ascii="宋体" w:hAnsi="宋体" w:eastAsia="宋体" w:cs="宋体"/>
                <w:sz w:val="22"/>
                <w:szCs w:val="22"/>
              </w:rPr>
              <w:t>完全响应或优于得</w:t>
            </w:r>
            <w:r>
              <w:rPr>
                <w:rFonts w:hint="eastAsia" w:ascii="宋体" w:hAnsi="宋体" w:cs="宋体"/>
                <w:sz w:val="22"/>
                <w:szCs w:val="22"/>
              </w:rPr>
              <w:t>20</w:t>
            </w:r>
            <w:r>
              <w:rPr>
                <w:rFonts w:hint="eastAsia" w:ascii="宋体" w:hAnsi="宋体" w:eastAsia="宋体" w:cs="宋体"/>
                <w:sz w:val="22"/>
                <w:szCs w:val="22"/>
              </w:rPr>
              <w:t>分；参数指标一项不响应扣1分，扣完为止</w:t>
            </w:r>
            <w:r>
              <w:rPr>
                <w:rFonts w:hint="eastAsia" w:ascii="宋体" w:hAnsi="宋体" w:eastAsia="宋体" w:cs="宋体"/>
                <w:color w:val="auto"/>
                <w:kern w:val="0"/>
                <w:szCs w:val="21"/>
                <w:lang w:val="en-US" w:eastAsia="zh-CN"/>
              </w:rPr>
              <w:t>需要对应提供参数中要求的佐证材料（功能截图、产品证书、检测报告等），请务必保证材料真实性，评标委员会根据材料进行详细比对打分。</w:t>
            </w:r>
          </w:p>
        </w:tc>
        <w:tc>
          <w:tcPr>
            <w:tcW w:w="62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32</w:t>
            </w:r>
          </w:p>
        </w:tc>
      </w:tr>
      <w:tr>
        <w:tblPrEx>
          <w:tblLayout w:type="fixed"/>
          <w:tblCellMar>
            <w:top w:w="0" w:type="dxa"/>
            <w:left w:w="108" w:type="dxa"/>
            <w:bottom w:w="0" w:type="dxa"/>
            <w:right w:w="108" w:type="dxa"/>
          </w:tblCellMar>
        </w:tblPrEx>
        <w:trPr>
          <w:trHeight w:val="900" w:hRule="atLeast"/>
          <w:jc w:val="center"/>
        </w:trPr>
        <w:tc>
          <w:tcPr>
            <w:tcW w:w="1222" w:type="dxa"/>
            <w:gridSpan w:val="2"/>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1069"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p>
        </w:tc>
        <w:tc>
          <w:tcPr>
            <w:tcW w:w="772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cs="宋体"/>
                <w:color w:val="000000"/>
                <w:kern w:val="0"/>
                <w:szCs w:val="21"/>
                <w:highlight w:val="green"/>
              </w:rPr>
            </w:pPr>
            <w:r>
              <w:rPr>
                <w:rFonts w:hint="eastAsia" w:ascii="宋体" w:hAnsi="宋体" w:eastAsia="宋体" w:cs="宋体"/>
                <w:i w:val="0"/>
                <w:iCs w:val="0"/>
                <w:color w:val="000000"/>
                <w:kern w:val="0"/>
                <w:sz w:val="20"/>
                <w:szCs w:val="20"/>
                <w:u w:val="none"/>
                <w:lang w:val="en-US" w:eastAsia="zh-CN" w:bidi="ar"/>
              </w:rPr>
              <w:t>供货方案：供货期保证措施的科学、合理，供货时间优于招标要求得3分；能够满足基本需求的得1-2分，其他不得分。</w:t>
            </w:r>
          </w:p>
        </w:tc>
        <w:tc>
          <w:tcPr>
            <w:tcW w:w="629"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3</w:t>
            </w:r>
          </w:p>
        </w:tc>
      </w:tr>
      <w:tr>
        <w:tblPrEx>
          <w:tblLayout w:type="fixed"/>
          <w:tblCellMar>
            <w:top w:w="0" w:type="dxa"/>
            <w:left w:w="108" w:type="dxa"/>
            <w:bottom w:w="0" w:type="dxa"/>
            <w:right w:w="108" w:type="dxa"/>
          </w:tblCellMar>
        </w:tblPrEx>
        <w:trPr>
          <w:trHeight w:val="882" w:hRule="atLeast"/>
          <w:jc w:val="center"/>
        </w:trPr>
        <w:tc>
          <w:tcPr>
            <w:tcW w:w="1222" w:type="dxa"/>
            <w:gridSpan w:val="2"/>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社会化服务</w:t>
            </w:r>
            <w:r>
              <w:rPr>
                <w:rFonts w:hint="eastAsia" w:ascii="宋体" w:hAnsi="宋体" w:eastAsia="宋体" w:cs="宋体"/>
                <w:color w:val="000000"/>
                <w:kern w:val="0"/>
                <w:szCs w:val="21"/>
                <w:lang w:val="en-US" w:eastAsia="zh-CN"/>
              </w:rPr>
              <w:t>20分</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0"/>
                <w:szCs w:val="20"/>
                <w:u w:val="none"/>
                <w:lang w:val="en-US" w:eastAsia="zh-CN" w:bidi="ar"/>
              </w:rPr>
              <w:t>社会化服务（20分）</w:t>
            </w:r>
          </w:p>
        </w:tc>
        <w:tc>
          <w:tcPr>
            <w:tcW w:w="7721"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napToGrid w:val="0"/>
              <w:spacing w:line="360" w:lineRule="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提供可操作性强的《泉州援疆·百姓书屋社会化运营方案》，包含各种讲座、展览、培训、阅读推广活动等方案较好得6-10分，一般得1-5分，无方案不得分；</w:t>
            </w:r>
          </w:p>
          <w:p>
            <w:pPr>
              <w:numPr>
                <w:ilvl w:val="0"/>
                <w:numId w:val="3"/>
              </w:numPr>
              <w:snapToGrid w:val="0"/>
              <w:spacing w:line="360" w:lineRule="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提供近2年公益性书屋的社会化运营成果，较好得6-10分，一般得1-5分，无成果不得分。</w:t>
            </w:r>
          </w:p>
          <w:p>
            <w:pPr>
              <w:keepNext w:val="0"/>
              <w:keepLines w:val="0"/>
              <w:widowControl/>
              <w:suppressLineNumbers w:val="0"/>
              <w:jc w:val="left"/>
              <w:textAlignment w:val="center"/>
              <w:rPr>
                <w:rFonts w:hint="eastAsia" w:ascii="宋体" w:hAnsi="宋体" w:eastAsia="宋体" w:cs="宋体"/>
                <w:szCs w:val="21"/>
              </w:rPr>
            </w:pPr>
          </w:p>
        </w:tc>
        <w:tc>
          <w:tcPr>
            <w:tcW w:w="62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rPr>
            </w:pPr>
            <w:r>
              <w:rPr>
                <w:rFonts w:hint="eastAsia" w:ascii="宋体" w:hAnsi="宋体" w:eastAsia="宋体" w:cs="宋体"/>
                <w:i w:val="0"/>
                <w:iCs w:val="0"/>
                <w:color w:val="000000"/>
                <w:kern w:val="0"/>
                <w:sz w:val="20"/>
                <w:szCs w:val="20"/>
                <w:u w:val="none"/>
                <w:lang w:val="en-US" w:eastAsia="zh-CN" w:bidi="ar"/>
              </w:rPr>
              <w:t>20</w:t>
            </w:r>
          </w:p>
        </w:tc>
      </w:tr>
    </w:tbl>
    <w:p>
      <w:pPr>
        <w:spacing w:line="560" w:lineRule="exact"/>
        <w:rPr>
          <w:rFonts w:ascii="仿宋" w:hAnsi="仿宋" w:eastAsia="仿宋"/>
          <w:sz w:val="32"/>
          <w:szCs w:val="32"/>
        </w:rPr>
      </w:pPr>
      <w:r>
        <w:rPr>
          <w:rFonts w:hint="eastAsia" w:ascii="仿宋" w:hAnsi="仿宋" w:eastAsia="仿宋"/>
          <w:sz w:val="32"/>
          <w:szCs w:val="32"/>
        </w:rPr>
        <w:t>（四）开标时，投标文件中开标一览表内容与投标文件中的明细表内容不一致，则以开标一览表为准。</w:t>
      </w:r>
    </w:p>
    <w:p>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电子版投标文件和纸质版投标文件不一致的，以电子版投标文件为准；</w:t>
      </w:r>
      <w:r>
        <w:rPr>
          <w:rFonts w:hint="eastAsia" w:ascii="仿宋" w:hAnsi="仿宋" w:eastAsia="仿宋"/>
          <w:sz w:val="32"/>
          <w:szCs w:val="32"/>
        </w:rPr>
        <w:t>投标文件的大写金额和小写金额不一致的，以大写金额为准；总价金额与按单价汇总金额不一致的，以单价金额计算结果为准；单价金额小数点有明显错位的，应以总价为准，并修改单价。</w:t>
      </w:r>
    </w:p>
    <w:p>
      <w:pPr>
        <w:tabs>
          <w:tab w:val="left" w:pos="6300"/>
        </w:tabs>
        <w:snapToGrid w:val="0"/>
        <w:spacing w:line="560" w:lineRule="exact"/>
        <w:ind w:firstLine="320" w:firstLineChars="100"/>
        <w:outlineLvl w:val="0"/>
        <w:rPr>
          <w:rFonts w:ascii="仿宋" w:hAnsi="仿宋" w:eastAsia="仿宋"/>
          <w:sz w:val="32"/>
          <w:szCs w:val="32"/>
        </w:rPr>
      </w:pPr>
      <w:r>
        <w:rPr>
          <w:rFonts w:hint="eastAsia" w:ascii="仿宋" w:hAnsi="仿宋" w:eastAsia="仿宋" w:cs="仿宋_GB2312"/>
          <w:sz w:val="32"/>
          <w:szCs w:val="32"/>
        </w:rPr>
        <w:t>（五）</w:t>
      </w:r>
      <w:r>
        <w:rPr>
          <w:rFonts w:hint="eastAsia" w:ascii="仿宋" w:hAnsi="仿宋" w:eastAsia="仿宋"/>
          <w:sz w:val="32"/>
          <w:szCs w:val="32"/>
        </w:rPr>
        <w:t>在监督部门监督下，评标委员会根据招标文件规定，对提交投标文件和其他必要的资料进行进一步审查，投标文件响应性不能出现重大偏离，如果投标文件没有实质上响应招标文件的要求，评标委员会将判定无效投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下列情况属于重大偏离：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（1）投标文件载明的招标项目完成期限超过招标文件规定的期限；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（2）明显不符合技术规格、技术标准的要求；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（3）投标文件附有招标人不能接受的条件；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（4）不符合招标文件中规定的其他实质性要求。</w:t>
      </w:r>
    </w:p>
    <w:p>
      <w:pPr>
        <w:spacing w:line="560" w:lineRule="exact"/>
        <w:ind w:firstLine="320" w:firstLineChars="100"/>
        <w:rPr>
          <w:rFonts w:ascii="仿宋" w:hAnsi="仿宋" w:eastAsia="仿宋"/>
          <w:sz w:val="32"/>
          <w:szCs w:val="32"/>
        </w:rPr>
      </w:pPr>
      <w:r>
        <w:rPr>
          <w:rFonts w:hint="eastAsia" w:ascii="仿宋" w:hAnsi="仿宋" w:eastAsia="仿宋" w:cs="仿宋_GB2312"/>
          <w:sz w:val="32"/>
          <w:szCs w:val="32"/>
        </w:rPr>
        <w:t>（六）</w:t>
      </w:r>
      <w:r>
        <w:rPr>
          <w:rFonts w:hint="eastAsia" w:ascii="仿宋" w:hAnsi="仿宋" w:eastAsia="仿宋"/>
          <w:sz w:val="32"/>
          <w:szCs w:val="32"/>
        </w:rPr>
        <w:t>评标委员会成员有下列情形之一的，应当回避：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（1）招标人或投标人的主要法定代表人的近亲属；</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（2）与投标人有经济利益关系，可能影响对投标公正评审的；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（3）曾因在招标、评标以及其他招标投标有关活动中从事违法行为而受过行政处罚或刑事处罚的。</w:t>
      </w:r>
    </w:p>
    <w:p>
      <w:pPr>
        <w:tabs>
          <w:tab w:val="left" w:pos="6300"/>
        </w:tabs>
        <w:snapToGrid w:val="0"/>
        <w:spacing w:line="560" w:lineRule="exact"/>
        <w:ind w:firstLine="643" w:firstLineChars="200"/>
        <w:outlineLvl w:val="0"/>
        <w:rPr>
          <w:rFonts w:ascii="黑体" w:hAnsi="宋体" w:eastAsia="黑体"/>
          <w:b/>
          <w:sz w:val="32"/>
          <w:szCs w:val="32"/>
        </w:rPr>
      </w:pPr>
      <w:r>
        <w:rPr>
          <w:rFonts w:hint="eastAsia" w:ascii="黑体" w:hAnsi="宋体" w:eastAsia="黑体"/>
          <w:b/>
          <w:sz w:val="32"/>
          <w:szCs w:val="32"/>
        </w:rPr>
        <w:t>八、无效投标</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评标小组评审时，投标人或其投标文件出现下列情况之一者，应为无效投标：</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（1）逾期递交纸质版和电子版投标文件或未将纸质版和电子版投标文件送达或上传至指定地点；</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（2）投标文件未按要求密封、未签署、加盖单位公章；</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（3）联合体投标未附联合体各方共同投标协议的（不接受联合体投标的除外）；</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（4）投标人未按招标文件要求提交投标文件，投标文件中的内容未按中文书写；</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（5）资格证明文件不全或不符合招标文件标明的资格要求；</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（6）投标文件出现多个投标方案或投标报价、超过最高限价竞标的；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（7）投标文件未按规定的格式、内容和要求填写制作的；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（8）投标产品不符合必须强制执行的国家标准，含有违反国家法律、法规的内容，或附有招标人不能接受的条件的；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（9）投标人未按招标文件规定提交足额投标保证金的；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（10）评标委员会认为投标人所递交的投标文件所附相关资料内容不真实，且投标人不能提交证明其真实性的材料的；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（12）投标人所递交的投标文件雷同，或存在其他情形导致评标委员会认为投标人之间存在串标、围标嫌疑的；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（13）法律、法规规定的其他情况。</w:t>
      </w:r>
    </w:p>
    <w:p>
      <w:pPr>
        <w:spacing w:line="560" w:lineRule="exact"/>
        <w:ind w:firstLine="640" w:firstLineChars="200"/>
        <w:rPr>
          <w:rFonts w:ascii="黑体" w:hAnsi="黑体" w:eastAsia="黑体"/>
          <w:b/>
          <w:sz w:val="32"/>
          <w:szCs w:val="32"/>
        </w:rPr>
      </w:pPr>
      <w:r>
        <w:rPr>
          <w:rFonts w:hint="eastAsia" w:ascii="黑体" w:hAnsi="黑体" w:eastAsia="黑体"/>
          <w:sz w:val="32"/>
          <w:szCs w:val="32"/>
        </w:rPr>
        <w:t>九</w:t>
      </w:r>
      <w:r>
        <w:rPr>
          <w:rFonts w:hint="eastAsia" w:ascii="黑体" w:hAnsi="黑体" w:eastAsia="黑体"/>
          <w:b/>
          <w:sz w:val="32"/>
          <w:szCs w:val="32"/>
        </w:rPr>
        <w:t>、关于投标保证金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若发生下列情形之一，投标保证金将不予退还并取消投标资格。情节严重的，将列入不良记录名单，在三年内禁止参加任何政府采购活动。</w:t>
      </w:r>
    </w:p>
    <w:p>
      <w:pPr>
        <w:spacing w:line="560" w:lineRule="exact"/>
        <w:rPr>
          <w:rFonts w:ascii="仿宋" w:hAnsi="仿宋" w:eastAsia="仿宋"/>
          <w:sz w:val="32"/>
          <w:szCs w:val="32"/>
        </w:rPr>
      </w:pPr>
      <w:r>
        <w:rPr>
          <w:rFonts w:hint="eastAsia" w:ascii="仿宋" w:hAnsi="仿宋" w:eastAsia="仿宋"/>
          <w:sz w:val="32"/>
          <w:szCs w:val="32"/>
        </w:rPr>
        <w:t xml:space="preserve">    1、评标开始后，未经同意中途离场、无故撤回报价的；</w:t>
      </w:r>
    </w:p>
    <w:p>
      <w:pPr>
        <w:spacing w:line="560" w:lineRule="exact"/>
        <w:ind w:firstLine="630"/>
        <w:rPr>
          <w:rFonts w:ascii="仿宋" w:hAnsi="仿宋" w:eastAsia="仿宋"/>
          <w:sz w:val="32"/>
          <w:szCs w:val="32"/>
        </w:rPr>
      </w:pPr>
      <w:r>
        <w:rPr>
          <w:rFonts w:hint="eastAsia" w:ascii="仿宋" w:hAnsi="仿宋" w:eastAsia="仿宋"/>
          <w:sz w:val="32"/>
          <w:szCs w:val="32"/>
        </w:rPr>
        <w:t>2、交纳保证金后无故不参加投标的；</w:t>
      </w:r>
    </w:p>
    <w:p>
      <w:pPr>
        <w:spacing w:line="560" w:lineRule="exact"/>
        <w:ind w:firstLine="630"/>
        <w:rPr>
          <w:rFonts w:ascii="仿宋" w:hAnsi="仿宋" w:eastAsia="仿宋"/>
          <w:sz w:val="32"/>
          <w:szCs w:val="32"/>
        </w:rPr>
      </w:pPr>
      <w:r>
        <w:rPr>
          <w:rFonts w:hint="eastAsia" w:ascii="仿宋" w:hAnsi="仿宋" w:eastAsia="仿宋"/>
          <w:sz w:val="32"/>
          <w:szCs w:val="32"/>
        </w:rPr>
        <w:t>3、投标人在被通知成交后未按规定时间与采购单位签订合同或拒绝按成交状态签订合同的；</w:t>
      </w:r>
    </w:p>
    <w:p>
      <w:pPr>
        <w:spacing w:line="560" w:lineRule="exact"/>
        <w:ind w:firstLine="640"/>
        <w:rPr>
          <w:rFonts w:ascii="仿宋" w:hAnsi="仿宋" w:eastAsia="仿宋"/>
          <w:sz w:val="32"/>
          <w:szCs w:val="32"/>
        </w:rPr>
      </w:pPr>
      <w:r>
        <w:rPr>
          <w:rFonts w:hint="eastAsia" w:ascii="仿宋" w:hAnsi="仿宋" w:eastAsia="仿宋"/>
          <w:sz w:val="32"/>
          <w:szCs w:val="32"/>
        </w:rPr>
        <w:t>4、签约后无法按时间、质量要求完成合同内容，履行合同义务的；</w:t>
      </w:r>
    </w:p>
    <w:p>
      <w:pPr>
        <w:spacing w:line="560" w:lineRule="exact"/>
        <w:ind w:firstLine="640"/>
        <w:rPr>
          <w:rFonts w:ascii="仿宋" w:hAnsi="仿宋" w:eastAsia="仿宋"/>
          <w:sz w:val="32"/>
          <w:szCs w:val="32"/>
        </w:rPr>
      </w:pPr>
      <w:r>
        <w:rPr>
          <w:rFonts w:hint="eastAsia" w:ascii="仿宋" w:hAnsi="仿宋" w:eastAsia="仿宋"/>
          <w:sz w:val="32"/>
          <w:szCs w:val="32"/>
        </w:rPr>
        <w:t>5、投标人在投标文件中提供虚假材料谋取中标的；</w:t>
      </w:r>
    </w:p>
    <w:p>
      <w:pPr>
        <w:spacing w:line="560" w:lineRule="exact"/>
        <w:ind w:firstLine="630"/>
        <w:rPr>
          <w:rFonts w:ascii="仿宋" w:hAnsi="仿宋" w:eastAsia="仿宋"/>
          <w:sz w:val="32"/>
          <w:szCs w:val="32"/>
        </w:rPr>
      </w:pPr>
      <w:r>
        <w:rPr>
          <w:rFonts w:hint="eastAsia" w:ascii="仿宋" w:hAnsi="仿宋" w:eastAsia="仿宋"/>
          <w:sz w:val="32"/>
          <w:szCs w:val="32"/>
        </w:rPr>
        <w:t>6、评标过程中，发现有意扰乱采购活动或围标、串标等情形的；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7、违反招标采购文件有关规定的其他情形的；</w:t>
      </w:r>
    </w:p>
    <w:p>
      <w:pPr>
        <w:tabs>
          <w:tab w:val="left" w:pos="6300"/>
        </w:tabs>
        <w:snapToGrid w:val="0"/>
        <w:spacing w:line="560" w:lineRule="exact"/>
        <w:ind w:firstLine="643" w:firstLineChars="200"/>
        <w:outlineLvl w:val="0"/>
        <w:rPr>
          <w:rFonts w:ascii="黑体" w:hAnsi="黑体" w:eastAsia="黑体"/>
          <w:b/>
          <w:sz w:val="32"/>
          <w:szCs w:val="32"/>
        </w:rPr>
      </w:pPr>
      <w:r>
        <w:rPr>
          <w:rFonts w:hint="eastAsia" w:ascii="黑体" w:hAnsi="黑体" w:eastAsia="黑体"/>
          <w:b/>
          <w:sz w:val="32"/>
          <w:szCs w:val="32"/>
        </w:rPr>
        <w:t>十、废标</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根据《中华人民共和国政府采购法》第三十六条之规定，在采购中，出现下列情形之一的，应予废标：</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1、符合专业条件的投标人或者对招标文件作实质响应的投标人不足3家的；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2、出现影响采购公正的违法、违规行为的；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3、因重大变故，采购任务取消的。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废标后可按照相关法律要求重新招标</w:t>
      </w:r>
    </w:p>
    <w:p>
      <w:pPr>
        <w:tabs>
          <w:tab w:val="left" w:pos="6300"/>
        </w:tabs>
        <w:snapToGrid w:val="0"/>
        <w:spacing w:line="560" w:lineRule="exact"/>
        <w:ind w:firstLine="643" w:firstLineChars="200"/>
        <w:outlineLvl w:val="0"/>
        <w:rPr>
          <w:rFonts w:ascii="黑体" w:hAnsi="黑体" w:eastAsia="黑体"/>
          <w:b/>
          <w:sz w:val="32"/>
          <w:szCs w:val="32"/>
        </w:rPr>
      </w:pPr>
      <w:r>
        <w:rPr>
          <w:rFonts w:hint="eastAsia" w:ascii="黑体" w:hAnsi="黑体" w:eastAsia="黑体"/>
          <w:b/>
          <w:sz w:val="32"/>
          <w:szCs w:val="32"/>
        </w:rPr>
        <w:t>十一、定标</w:t>
      </w:r>
      <w:r>
        <w:rPr>
          <w:rFonts w:hint="eastAsia" w:ascii="黑体" w:hAnsi="仿宋" w:eastAsia="黑体"/>
          <w:b/>
          <w:sz w:val="32"/>
          <w:szCs w:val="32"/>
        </w:rPr>
        <w:t>原则</w:t>
      </w:r>
    </w:p>
    <w:p>
      <w:pPr>
        <w:tabs>
          <w:tab w:val="left" w:pos="6300"/>
        </w:tabs>
        <w:snapToGrid w:val="0"/>
        <w:spacing w:line="560" w:lineRule="exact"/>
        <w:ind w:firstLine="640" w:firstLineChars="200"/>
        <w:outlineLvl w:val="0"/>
        <w:rPr>
          <w:rFonts w:ascii="仿宋" w:hAnsi="仿宋" w:eastAsia="仿宋"/>
          <w:bCs/>
          <w:sz w:val="32"/>
          <w:szCs w:val="32"/>
        </w:rPr>
      </w:pPr>
      <w:r>
        <w:rPr>
          <w:rFonts w:hint="eastAsia" w:ascii="仿宋" w:hAnsi="仿宋" w:eastAsia="仿宋"/>
          <w:bCs/>
          <w:sz w:val="32"/>
          <w:szCs w:val="32"/>
        </w:rPr>
        <w:t>1、</w:t>
      </w:r>
      <w:r>
        <w:rPr>
          <w:rFonts w:hint="eastAsia" w:ascii="仿宋" w:hAnsi="仿宋" w:eastAsia="仿宋"/>
          <w:bCs/>
          <w:sz w:val="32"/>
          <w:szCs w:val="32"/>
          <w:lang w:val="zh-CN"/>
        </w:rPr>
        <w:t>评标委员会成员以打分的方法</w:t>
      </w:r>
      <w:r>
        <w:rPr>
          <w:rFonts w:hint="eastAsia" w:ascii="仿宋" w:hAnsi="仿宋" w:eastAsia="仿宋"/>
          <w:bCs/>
          <w:sz w:val="32"/>
          <w:szCs w:val="32"/>
        </w:rPr>
        <w:t>，以得分高低顺序排列</w:t>
      </w:r>
      <w:r>
        <w:rPr>
          <w:rFonts w:hint="eastAsia" w:ascii="仿宋" w:hAnsi="仿宋" w:eastAsia="仿宋"/>
          <w:bCs/>
          <w:sz w:val="32"/>
          <w:szCs w:val="32"/>
          <w:lang w:val="zh-CN"/>
        </w:rPr>
        <w:t>，</w:t>
      </w:r>
      <w:r>
        <w:rPr>
          <w:rFonts w:hint="eastAsia" w:ascii="仿宋" w:hAnsi="仿宋" w:eastAsia="仿宋"/>
          <w:bCs/>
          <w:sz w:val="32"/>
          <w:szCs w:val="32"/>
        </w:rPr>
        <w:t>原则上选定评审得分最高的投标人为排名第一的中标候选人，得分相同的，则由招标人决定最终的中标方式，即直接确定中标单位或由评标委员会成员现场商议做出决策。</w:t>
      </w:r>
    </w:p>
    <w:p>
      <w:pPr>
        <w:tabs>
          <w:tab w:val="left" w:pos="6300"/>
        </w:tabs>
        <w:snapToGrid w:val="0"/>
        <w:spacing w:line="560" w:lineRule="exact"/>
        <w:ind w:firstLine="640" w:firstLineChars="200"/>
        <w:outlineLvl w:val="0"/>
        <w:rPr>
          <w:rFonts w:ascii="仿宋" w:hAnsi="仿宋" w:eastAsia="仿宋"/>
          <w:bCs/>
          <w:sz w:val="32"/>
          <w:szCs w:val="32"/>
        </w:rPr>
      </w:pPr>
      <w:r>
        <w:rPr>
          <w:rFonts w:hint="eastAsia" w:ascii="仿宋" w:hAnsi="仿宋" w:eastAsia="仿宋"/>
          <w:bCs/>
          <w:sz w:val="32"/>
          <w:szCs w:val="32"/>
        </w:rPr>
        <w:t>如排名第一的中标人因不可抗力或者自身原因不能履行合同的，根据相关办法规定，招标人可以确定排名第二的中标候选人为中标人或认定中标无效，中标无效的重新组织招标。</w:t>
      </w:r>
    </w:p>
    <w:p>
      <w:pPr>
        <w:tabs>
          <w:tab w:val="left" w:pos="6300"/>
        </w:tabs>
        <w:snapToGrid w:val="0"/>
        <w:spacing w:line="560" w:lineRule="exact"/>
        <w:ind w:firstLine="640" w:firstLineChars="200"/>
        <w:outlineLvl w:val="0"/>
        <w:rPr>
          <w:rFonts w:ascii="仿宋" w:hAnsi="仿宋" w:eastAsia="仿宋"/>
          <w:bCs/>
          <w:sz w:val="32"/>
          <w:szCs w:val="32"/>
        </w:rPr>
      </w:pPr>
      <w:r>
        <w:rPr>
          <w:rFonts w:hint="eastAsia" w:ascii="仿宋" w:hAnsi="仿宋" w:eastAsia="仿宋"/>
          <w:bCs/>
          <w:sz w:val="32"/>
          <w:szCs w:val="32"/>
        </w:rPr>
        <w:t xml:space="preserve"> 2、招标人及采购机构将有权对成交投标人的财务、技术、管理能力及信誉进行审查，确定其是否能圆满地履行合同。</w:t>
      </w:r>
    </w:p>
    <w:p>
      <w:pPr>
        <w:tabs>
          <w:tab w:val="left" w:pos="6300"/>
        </w:tabs>
        <w:snapToGrid w:val="0"/>
        <w:spacing w:line="560" w:lineRule="exact"/>
        <w:ind w:firstLine="640" w:firstLineChars="200"/>
        <w:outlineLvl w:val="0"/>
        <w:rPr>
          <w:rFonts w:eastAsia="仿宋"/>
          <w:bCs/>
        </w:rPr>
      </w:pPr>
      <w:r>
        <w:rPr>
          <w:rFonts w:hint="eastAsia" w:ascii="仿宋" w:hAnsi="仿宋" w:eastAsia="仿宋"/>
          <w:bCs/>
          <w:sz w:val="32"/>
          <w:szCs w:val="32"/>
        </w:rPr>
        <w:t>3、中标结果将在新疆政府采购网（</w:t>
      </w:r>
      <w:r>
        <w:rPr>
          <w:rFonts w:hint="eastAsia" w:ascii="仿宋" w:hAnsi="仿宋" w:eastAsia="仿宋"/>
          <w:bCs/>
          <w:szCs w:val="21"/>
        </w:rPr>
        <w:t>http://www.ccgp-xinjiang.gov.cn/</w:t>
      </w:r>
      <w:r>
        <w:rPr>
          <w:rFonts w:hint="eastAsia" w:ascii="仿宋" w:hAnsi="仿宋" w:eastAsia="仿宋"/>
          <w:bCs/>
          <w:sz w:val="32"/>
          <w:szCs w:val="32"/>
        </w:rPr>
        <w:t>）公示。</w:t>
      </w:r>
    </w:p>
    <w:p>
      <w:pPr>
        <w:tabs>
          <w:tab w:val="left" w:pos="6300"/>
        </w:tabs>
        <w:snapToGrid w:val="0"/>
        <w:spacing w:line="560" w:lineRule="exact"/>
        <w:ind w:firstLine="321" w:firstLineChars="100"/>
        <w:outlineLvl w:val="0"/>
        <w:rPr>
          <w:rFonts w:ascii="黑体" w:hAnsi="黑体" w:eastAsia="黑体"/>
          <w:b/>
          <w:sz w:val="32"/>
          <w:szCs w:val="32"/>
        </w:rPr>
      </w:pPr>
      <w:r>
        <w:rPr>
          <w:rFonts w:hint="eastAsia" w:ascii="黑体" w:hAnsi="仿宋" w:eastAsia="黑体"/>
          <w:b/>
          <w:sz w:val="32"/>
          <w:szCs w:val="32"/>
        </w:rPr>
        <w:t xml:space="preserve"> </w:t>
      </w:r>
      <w:r>
        <w:rPr>
          <w:rFonts w:hint="eastAsia" w:ascii="黑体" w:hAnsi="黑体" w:eastAsia="黑体"/>
          <w:b/>
          <w:sz w:val="32"/>
          <w:szCs w:val="32"/>
        </w:rPr>
        <w:t>十二、履约条款</w:t>
      </w:r>
    </w:p>
    <w:p>
      <w:pPr>
        <w:widowControl/>
        <w:spacing w:line="560" w:lineRule="exact"/>
        <w:ind w:firstLine="64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u w:val="single"/>
        </w:rPr>
        <w:t>中标单位需在中标公告结束后五个工作日内将与采购单位签订的合同交至昌吉市政府采购中心</w:t>
      </w:r>
      <w:r>
        <w:rPr>
          <w:rFonts w:hint="eastAsia" w:ascii="仿宋" w:hAnsi="仿宋" w:eastAsia="仿宋"/>
          <w:sz w:val="32"/>
          <w:szCs w:val="32"/>
        </w:rPr>
        <w:t>。《成交（中标）通知书》是合同的组成部分，是签订合同的依据。</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2、履约保证金由采购单位收取，收取比例不得高于国家标准。</w:t>
      </w:r>
    </w:p>
    <w:p>
      <w:pPr>
        <w:pStyle w:val="2"/>
        <w:rPr>
          <w:rFonts w:ascii="仿宋" w:hAnsi="仿宋" w:eastAsia="仿宋"/>
          <w:color w:val="auto"/>
          <w:sz w:val="32"/>
          <w:szCs w:val="32"/>
        </w:rPr>
      </w:pPr>
      <w:r>
        <w:rPr>
          <w:rFonts w:hint="eastAsia" w:ascii="仿宋" w:hAnsi="仿宋" w:eastAsia="仿宋"/>
          <w:color w:val="auto"/>
          <w:sz w:val="32"/>
          <w:szCs w:val="32"/>
        </w:rPr>
        <w:t xml:space="preserve">    3、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十三、其他事项</w:t>
      </w:r>
    </w:p>
    <w:p>
      <w:pPr>
        <w:spacing w:line="560" w:lineRule="exact"/>
        <w:ind w:firstLine="640"/>
        <w:rPr>
          <w:rFonts w:ascii="仿宋" w:hAnsi="仿宋" w:eastAsia="仿宋"/>
          <w:sz w:val="32"/>
          <w:szCs w:val="32"/>
        </w:rPr>
      </w:pPr>
      <w:r>
        <w:rPr>
          <w:rFonts w:hint="eastAsia" w:ascii="仿宋" w:hAnsi="仿宋" w:eastAsia="仿宋"/>
          <w:sz w:val="32"/>
          <w:szCs w:val="32"/>
        </w:rPr>
        <w:t>1、昌吉市政府采购中心所作的一切有效的书面通知、修改及补充，都是公开招标文件不可分割的部分。在招投标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2、投标人必须严格按照采购文件约定的技术要求进行相应服务，凡是达不到采购单位要求，采购单位有权拒绝。</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 xml:space="preserve">3、在开标前，投标人若对招标文件中规格及要求有异议或对要求有不合理之处，可及时提出相关意见，如投标人未提出疑问，视为完全理解并同意本招标文件。一经进入评标程序，即视为各投标人已详细阅读全部文件资料，完全理解招标文件所有条款内容并同意放弃对这方面有不明白及误解的权利。 </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4、在招标活动全程中，如发生对招标文件理解不一致或出现任何其他争议事项，均可提交评标委员会并按少数服从多数的原则进行表决，该表决在作出时直接发生效力。</w:t>
      </w:r>
    </w:p>
    <w:p>
      <w:pPr>
        <w:spacing w:line="560" w:lineRule="exact"/>
        <w:rPr>
          <w:rFonts w:ascii="仿宋" w:hAnsi="仿宋" w:eastAsia="仿宋"/>
          <w:b/>
          <w:sz w:val="44"/>
          <w:szCs w:val="44"/>
        </w:rPr>
      </w:pPr>
      <w:r>
        <w:rPr>
          <w:rFonts w:hint="eastAsia" w:ascii="仿宋" w:hAnsi="仿宋" w:eastAsia="仿宋"/>
          <w:sz w:val="32"/>
          <w:szCs w:val="32"/>
        </w:rPr>
        <w:t xml:space="preserve">    5、本文件由昌吉市政府采购中心负责解释。</w:t>
      </w:r>
    </w:p>
    <w:p>
      <w:pPr>
        <w:spacing w:line="560" w:lineRule="exact"/>
        <w:rPr>
          <w:rFonts w:ascii="仿宋" w:hAnsi="仿宋" w:eastAsia="仿宋"/>
          <w:b/>
          <w:sz w:val="44"/>
          <w:szCs w:val="44"/>
        </w:rPr>
      </w:pPr>
    </w:p>
    <w:p>
      <w:pPr>
        <w:pStyle w:val="2"/>
        <w:rPr>
          <w:rFonts w:ascii="仿宋" w:hAnsi="仿宋" w:eastAsia="仿宋"/>
          <w:b/>
          <w:color w:val="auto"/>
          <w:sz w:val="44"/>
          <w:szCs w:val="44"/>
        </w:rPr>
      </w:pPr>
    </w:p>
    <w:p>
      <w:pPr>
        <w:pStyle w:val="2"/>
        <w:rPr>
          <w:rFonts w:ascii="仿宋" w:hAnsi="仿宋" w:eastAsia="仿宋"/>
          <w:b/>
          <w:color w:val="auto"/>
          <w:sz w:val="44"/>
          <w:szCs w:val="44"/>
        </w:rPr>
      </w:pPr>
    </w:p>
    <w:p>
      <w:pPr>
        <w:pStyle w:val="2"/>
        <w:rPr>
          <w:rFonts w:ascii="仿宋" w:hAnsi="仿宋" w:eastAsia="仿宋"/>
          <w:b/>
          <w:color w:val="auto"/>
          <w:sz w:val="44"/>
          <w:szCs w:val="44"/>
        </w:rPr>
      </w:pPr>
    </w:p>
    <w:p>
      <w:pPr>
        <w:pStyle w:val="2"/>
        <w:rPr>
          <w:rFonts w:ascii="仿宋" w:hAnsi="仿宋" w:eastAsia="仿宋"/>
          <w:b/>
          <w:color w:val="auto"/>
          <w:sz w:val="44"/>
          <w:szCs w:val="44"/>
        </w:rPr>
      </w:pPr>
    </w:p>
    <w:p>
      <w:pPr>
        <w:pStyle w:val="2"/>
        <w:rPr>
          <w:rFonts w:ascii="仿宋" w:hAnsi="仿宋" w:eastAsia="仿宋"/>
          <w:b/>
          <w:color w:val="auto"/>
          <w:sz w:val="44"/>
          <w:szCs w:val="44"/>
        </w:rPr>
      </w:pPr>
    </w:p>
    <w:p>
      <w:pPr>
        <w:tabs>
          <w:tab w:val="left" w:pos="6300"/>
        </w:tabs>
        <w:snapToGrid w:val="0"/>
        <w:spacing w:line="560" w:lineRule="exact"/>
        <w:ind w:firstLine="1767" w:firstLineChars="400"/>
        <w:outlineLvl w:val="0"/>
        <w:rPr>
          <w:rFonts w:ascii="仿宋" w:hAnsi="仿宋" w:eastAsia="仿宋"/>
          <w:b/>
          <w:sz w:val="44"/>
          <w:szCs w:val="44"/>
        </w:rPr>
      </w:pPr>
    </w:p>
    <w:p>
      <w:pPr>
        <w:tabs>
          <w:tab w:val="left" w:pos="6300"/>
        </w:tabs>
        <w:snapToGrid w:val="0"/>
        <w:spacing w:line="560" w:lineRule="exact"/>
        <w:ind w:firstLine="1767" w:firstLineChars="400"/>
        <w:outlineLvl w:val="0"/>
        <w:rPr>
          <w:rFonts w:ascii="仿宋" w:hAnsi="仿宋" w:eastAsia="仿宋"/>
          <w:b/>
          <w:sz w:val="44"/>
          <w:szCs w:val="44"/>
        </w:rPr>
      </w:pPr>
    </w:p>
    <w:p>
      <w:pPr>
        <w:tabs>
          <w:tab w:val="left" w:pos="6300"/>
        </w:tabs>
        <w:snapToGrid w:val="0"/>
        <w:spacing w:line="560" w:lineRule="exact"/>
        <w:ind w:firstLine="1767" w:firstLineChars="400"/>
        <w:outlineLvl w:val="0"/>
        <w:rPr>
          <w:rFonts w:ascii="仿宋" w:hAnsi="仿宋" w:eastAsia="仿宋"/>
          <w:b/>
          <w:sz w:val="44"/>
          <w:szCs w:val="44"/>
        </w:rPr>
      </w:pPr>
    </w:p>
    <w:p>
      <w:pPr>
        <w:tabs>
          <w:tab w:val="left" w:pos="6300"/>
        </w:tabs>
        <w:snapToGrid w:val="0"/>
        <w:spacing w:line="560" w:lineRule="exact"/>
        <w:ind w:firstLine="1767" w:firstLineChars="400"/>
        <w:outlineLvl w:val="0"/>
        <w:rPr>
          <w:rFonts w:ascii="仿宋" w:hAnsi="仿宋" w:eastAsia="仿宋"/>
          <w:b/>
          <w:sz w:val="44"/>
          <w:szCs w:val="44"/>
        </w:rPr>
      </w:pPr>
    </w:p>
    <w:p>
      <w:pPr>
        <w:tabs>
          <w:tab w:val="left" w:pos="6300"/>
        </w:tabs>
        <w:snapToGrid w:val="0"/>
        <w:spacing w:line="560" w:lineRule="exact"/>
        <w:ind w:firstLine="1767" w:firstLineChars="400"/>
        <w:outlineLvl w:val="0"/>
        <w:rPr>
          <w:rFonts w:ascii="仿宋" w:hAnsi="仿宋" w:eastAsia="仿宋"/>
          <w:b/>
          <w:sz w:val="44"/>
          <w:szCs w:val="44"/>
        </w:rPr>
      </w:pPr>
    </w:p>
    <w:p>
      <w:pPr>
        <w:tabs>
          <w:tab w:val="left" w:pos="6300"/>
        </w:tabs>
        <w:snapToGrid w:val="0"/>
        <w:spacing w:line="560" w:lineRule="exact"/>
        <w:ind w:firstLine="1767" w:firstLineChars="400"/>
        <w:outlineLvl w:val="0"/>
        <w:rPr>
          <w:rFonts w:hint="eastAsia" w:ascii="仿宋" w:hAnsi="仿宋" w:eastAsia="仿宋"/>
          <w:b/>
          <w:sz w:val="44"/>
          <w:szCs w:val="44"/>
        </w:rPr>
      </w:pPr>
    </w:p>
    <w:p>
      <w:pPr>
        <w:tabs>
          <w:tab w:val="left" w:pos="6300"/>
        </w:tabs>
        <w:snapToGrid w:val="0"/>
        <w:spacing w:line="560" w:lineRule="exact"/>
        <w:ind w:firstLine="1767" w:firstLineChars="400"/>
        <w:outlineLvl w:val="0"/>
        <w:rPr>
          <w:rFonts w:hint="eastAsia" w:ascii="仿宋" w:hAnsi="仿宋" w:eastAsia="仿宋"/>
          <w:b/>
          <w:sz w:val="44"/>
          <w:szCs w:val="44"/>
        </w:rPr>
      </w:pPr>
    </w:p>
    <w:p>
      <w:pPr>
        <w:tabs>
          <w:tab w:val="left" w:pos="6300"/>
        </w:tabs>
        <w:snapToGrid w:val="0"/>
        <w:spacing w:line="560" w:lineRule="exact"/>
        <w:ind w:firstLine="1767" w:firstLineChars="400"/>
        <w:outlineLvl w:val="0"/>
        <w:rPr>
          <w:rFonts w:hint="eastAsia" w:ascii="仿宋" w:hAnsi="仿宋" w:eastAsia="仿宋"/>
          <w:b/>
          <w:sz w:val="44"/>
          <w:szCs w:val="44"/>
        </w:rPr>
      </w:pPr>
    </w:p>
    <w:p>
      <w:pPr>
        <w:tabs>
          <w:tab w:val="left" w:pos="6300"/>
        </w:tabs>
        <w:snapToGrid w:val="0"/>
        <w:spacing w:line="560" w:lineRule="exact"/>
        <w:ind w:firstLine="1767" w:firstLineChars="400"/>
        <w:outlineLvl w:val="0"/>
        <w:rPr>
          <w:rFonts w:ascii="仿宋" w:hAnsi="仿宋" w:eastAsia="仿宋"/>
          <w:b/>
          <w:sz w:val="44"/>
          <w:szCs w:val="44"/>
        </w:rPr>
      </w:pPr>
      <w:bookmarkStart w:id="5" w:name="_GoBack"/>
      <w:bookmarkEnd w:id="5"/>
      <w:r>
        <w:rPr>
          <w:rFonts w:hint="eastAsia" w:ascii="仿宋" w:hAnsi="仿宋" w:eastAsia="仿宋"/>
          <w:b/>
          <w:sz w:val="44"/>
          <w:szCs w:val="44"/>
        </w:rPr>
        <w:t>第三部分  项目要求</w:t>
      </w:r>
    </w:p>
    <w:p>
      <w:pPr>
        <w:tabs>
          <w:tab w:val="left" w:pos="6300"/>
        </w:tabs>
        <w:snapToGrid w:val="0"/>
        <w:spacing w:line="500" w:lineRule="exact"/>
        <w:ind w:left="596" w:leftChars="284"/>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一、项目名称：昌吉市</w:t>
      </w:r>
      <w:r>
        <w:rPr>
          <w:rFonts w:hint="eastAsia" w:ascii="仿宋_GB2312" w:hAnsi="仿宋_GB2312" w:eastAsia="仿宋_GB2312" w:cs="仿宋_GB2312"/>
          <w:sz w:val="30"/>
          <w:szCs w:val="30"/>
          <w:lang w:val="en-US" w:eastAsia="zh-CN"/>
        </w:rPr>
        <w:t>文旅局</w:t>
      </w:r>
      <w:r>
        <w:rPr>
          <w:rFonts w:hint="eastAsia" w:ascii="仿宋_GB2312" w:hAnsi="仿宋_GB2312" w:eastAsia="仿宋_GB2312" w:cs="仿宋_GB2312"/>
          <w:sz w:val="30"/>
          <w:szCs w:val="30"/>
        </w:rPr>
        <w:t>泉州援疆·百姓书屋项目</w:t>
      </w:r>
    </w:p>
    <w:p>
      <w:pPr>
        <w:tabs>
          <w:tab w:val="left" w:pos="6300"/>
        </w:tabs>
        <w:snapToGrid w:val="0"/>
        <w:spacing w:line="500" w:lineRule="exact"/>
        <w:ind w:left="596" w:leftChars="284"/>
        <w:jc w:val="left"/>
        <w:rPr>
          <w:rFonts w:ascii="仿宋_GB2312" w:hAnsi="华文仿宋" w:eastAsia="仿宋_GB2312" w:cs="华文仿宋"/>
          <w:sz w:val="30"/>
          <w:szCs w:val="30"/>
        </w:rPr>
      </w:pPr>
      <w:r>
        <w:rPr>
          <w:rFonts w:hint="eastAsia" w:ascii="仿宋_GB2312" w:hAnsi="仿宋_GB2312" w:eastAsia="仿宋_GB2312" w:cs="仿宋_GB2312"/>
          <w:sz w:val="30"/>
          <w:szCs w:val="30"/>
        </w:rPr>
        <w:t>二、招标品目及参数要求如下</w:t>
      </w:r>
      <w:r>
        <w:rPr>
          <w:rFonts w:hint="eastAsia" w:ascii="仿宋_GB2312" w:hAnsi="华文仿宋" w:eastAsia="仿宋_GB2312" w:cs="华文仿宋"/>
          <w:sz w:val="30"/>
          <w:szCs w:val="30"/>
        </w:rPr>
        <w:t>：</w:t>
      </w:r>
    </w:p>
    <w:tbl>
      <w:tblPr>
        <w:tblStyle w:val="15"/>
        <w:tblW w:w="10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2153"/>
        <w:gridCol w:w="6922"/>
        <w:gridCol w:w="676"/>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atLeast"/>
          <w:jc w:val="center"/>
        </w:trPr>
        <w:tc>
          <w:tcPr>
            <w:tcW w:w="539" w:type="dxa"/>
            <w:tcMar>
              <w:top w:w="15" w:type="dxa"/>
              <w:left w:w="15" w:type="dxa"/>
              <w:right w:w="15"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序号</w:t>
            </w:r>
          </w:p>
        </w:tc>
        <w:tc>
          <w:tcPr>
            <w:tcW w:w="2153" w:type="dxa"/>
            <w:tcMar>
              <w:top w:w="15" w:type="dxa"/>
              <w:left w:w="15" w:type="dxa"/>
              <w:right w:w="15"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产品名称</w:t>
            </w:r>
          </w:p>
        </w:tc>
        <w:tc>
          <w:tcPr>
            <w:tcW w:w="6922" w:type="dxa"/>
            <w:tcMar>
              <w:top w:w="15" w:type="dxa"/>
              <w:left w:w="15" w:type="dxa"/>
              <w:right w:w="15"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招标参数要求</w:t>
            </w:r>
          </w:p>
        </w:tc>
        <w:tc>
          <w:tcPr>
            <w:tcW w:w="676" w:type="dxa"/>
            <w:tcMar>
              <w:top w:w="15" w:type="dxa"/>
              <w:left w:w="15" w:type="dxa"/>
              <w:right w:w="15" w:type="dxa"/>
            </w:tcMar>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数量</w:t>
            </w:r>
          </w:p>
        </w:tc>
        <w:tc>
          <w:tcPr>
            <w:tcW w:w="548" w:type="dxa"/>
            <w:tcMar>
              <w:top w:w="15" w:type="dxa"/>
              <w:left w:w="15" w:type="dxa"/>
              <w:right w:w="15" w:type="dxa"/>
            </w:tcMar>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8" w:hRule="atLeast"/>
          <w:jc w:val="center"/>
        </w:trPr>
        <w:tc>
          <w:tcPr>
            <w:tcW w:w="539" w:type="dxa"/>
            <w:vMerge w:val="restart"/>
            <w:tcMar>
              <w:top w:w="15" w:type="dxa"/>
              <w:left w:w="15" w:type="dxa"/>
              <w:right w:w="15" w:type="dxa"/>
            </w:tcMar>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1</w:t>
            </w:r>
          </w:p>
        </w:tc>
        <w:tc>
          <w:tcPr>
            <w:tcW w:w="2153" w:type="dxa"/>
            <w:vMerge w:val="restart"/>
            <w:tcMar>
              <w:top w:w="15" w:type="dxa"/>
              <w:left w:w="15" w:type="dxa"/>
              <w:right w:w="15" w:type="dxa"/>
            </w:tcMar>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color w:val="000000"/>
                <w:kern w:val="0"/>
                <w:sz w:val="22"/>
                <w:szCs w:val="22"/>
              </w:rPr>
              <w:t>自助借还书办证一体机</w:t>
            </w:r>
          </w:p>
        </w:tc>
        <w:tc>
          <w:tcPr>
            <w:tcW w:w="6922" w:type="dxa"/>
            <w:tcMar>
              <w:top w:w="15" w:type="dxa"/>
              <w:left w:w="15" w:type="dxa"/>
              <w:right w:w="15" w:type="dxa"/>
            </w:tcMar>
            <w:vAlign w:val="center"/>
          </w:tcPr>
          <w:p>
            <w:pPr>
              <w:snapToGrid w:val="0"/>
              <w:rPr>
                <w:rFonts w:ascii="仿宋" w:hAnsi="仿宋" w:eastAsia="仿宋" w:cs="仿宋"/>
                <w:kern w:val="0"/>
                <w:sz w:val="22"/>
                <w:szCs w:val="22"/>
              </w:rPr>
            </w:pPr>
            <w:r>
              <w:rPr>
                <w:rFonts w:hint="eastAsia" w:ascii="仿宋" w:hAnsi="仿宋" w:eastAsia="仿宋" w:cs="仿宋"/>
                <w:color w:val="000000"/>
                <w:sz w:val="22"/>
                <w:szCs w:val="22"/>
              </w:rPr>
              <w:t>技术</w:t>
            </w:r>
            <w:r>
              <w:rPr>
                <w:rFonts w:hint="eastAsia" w:ascii="仿宋" w:hAnsi="仿宋" w:eastAsia="仿宋" w:cs="仿宋"/>
                <w:kern w:val="0"/>
                <w:sz w:val="22"/>
                <w:szCs w:val="22"/>
              </w:rPr>
              <w:t>参数：</w:t>
            </w:r>
          </w:p>
          <w:p>
            <w:pPr>
              <w:snapToGrid w:val="0"/>
              <w:rPr>
                <w:rFonts w:ascii="仿宋" w:hAnsi="仿宋" w:eastAsia="仿宋" w:cs="仿宋"/>
                <w:kern w:val="0"/>
                <w:sz w:val="22"/>
                <w:szCs w:val="22"/>
              </w:rPr>
            </w:pPr>
            <w:r>
              <w:rPr>
                <w:rFonts w:hint="eastAsia" w:ascii="仿宋" w:hAnsi="仿宋" w:eastAsia="仿宋" w:cs="仿宋"/>
                <w:kern w:val="0"/>
                <w:sz w:val="22"/>
                <w:szCs w:val="22"/>
              </w:rPr>
              <w:t>1.整机外观尺寸：长≥500；宽≥570；高≥1400mm；</w:t>
            </w:r>
          </w:p>
          <w:p>
            <w:pPr>
              <w:snapToGrid w:val="0"/>
              <w:rPr>
                <w:rFonts w:ascii="仿宋" w:hAnsi="仿宋" w:eastAsia="仿宋" w:cs="仿宋"/>
                <w:kern w:val="0"/>
                <w:sz w:val="22"/>
                <w:szCs w:val="22"/>
              </w:rPr>
            </w:pPr>
            <w:r>
              <w:rPr>
                <w:rFonts w:hint="eastAsia" w:ascii="仿宋" w:hAnsi="仿宋" w:eastAsia="仿宋" w:cs="仿宋"/>
                <w:kern w:val="0"/>
                <w:sz w:val="22"/>
                <w:szCs w:val="22"/>
              </w:rPr>
              <w:t>2. 工作频率：13.56MHz；</w:t>
            </w:r>
          </w:p>
          <w:p>
            <w:pPr>
              <w:snapToGrid w:val="0"/>
              <w:rPr>
                <w:rFonts w:ascii="仿宋" w:hAnsi="仿宋" w:eastAsia="仿宋" w:cs="仿宋"/>
                <w:kern w:val="0"/>
                <w:sz w:val="22"/>
                <w:szCs w:val="22"/>
              </w:rPr>
            </w:pPr>
            <w:r>
              <w:rPr>
                <w:rFonts w:hint="eastAsia" w:ascii="仿宋" w:hAnsi="仿宋" w:eastAsia="仿宋" w:cs="仿宋"/>
                <w:kern w:val="0"/>
                <w:sz w:val="22"/>
                <w:szCs w:val="22"/>
              </w:rPr>
              <w:t>3.</w:t>
            </w:r>
            <w:r>
              <w:rPr>
                <w:rFonts w:hint="eastAsia" w:ascii="仿宋" w:hAnsi="仿宋" w:eastAsia="仿宋" w:cs="仿宋"/>
                <w:b/>
                <w:bCs/>
                <w:color w:val="000000"/>
                <w:kern w:val="0"/>
                <w:sz w:val="22"/>
                <w:szCs w:val="22"/>
              </w:rPr>
              <w:t>★</w:t>
            </w:r>
            <w:r>
              <w:rPr>
                <w:rFonts w:hint="eastAsia" w:ascii="仿宋" w:hAnsi="仿宋" w:eastAsia="仿宋" w:cs="仿宋"/>
                <w:kern w:val="0"/>
                <w:sz w:val="22"/>
                <w:szCs w:val="22"/>
              </w:rPr>
              <w:t xml:space="preserve"> 主机配置：21.5英寸及以上，windows操作系统，支持多点触摸；CPU处理器：I5九代或九代以上处理器，运行内存≥4G，硬盘256Nvme固态；配置内嵌式小票打印出口。</w:t>
            </w:r>
          </w:p>
          <w:p>
            <w:pPr>
              <w:snapToGrid w:val="0"/>
              <w:rPr>
                <w:rFonts w:ascii="仿宋" w:hAnsi="仿宋" w:eastAsia="仿宋" w:cs="仿宋"/>
                <w:kern w:val="0"/>
                <w:sz w:val="22"/>
                <w:szCs w:val="22"/>
              </w:rPr>
            </w:pPr>
            <w:r>
              <w:rPr>
                <w:rFonts w:hint="eastAsia" w:ascii="仿宋" w:hAnsi="仿宋" w:eastAsia="仿宋" w:cs="仿宋"/>
                <w:kern w:val="0"/>
                <w:sz w:val="22"/>
                <w:szCs w:val="22"/>
              </w:rPr>
              <w:t>4. 刷卡器：具备RF读者证阅读模块，身份证阅读模块，同时支持ISO14443A标准、ISO15693标准、ID卡；</w:t>
            </w:r>
          </w:p>
          <w:p>
            <w:pPr>
              <w:snapToGrid w:val="0"/>
              <w:rPr>
                <w:rFonts w:ascii="仿宋" w:hAnsi="仿宋" w:eastAsia="仿宋" w:cs="仿宋"/>
                <w:kern w:val="0"/>
                <w:sz w:val="22"/>
                <w:szCs w:val="22"/>
              </w:rPr>
            </w:pPr>
            <w:r>
              <w:rPr>
                <w:rFonts w:hint="eastAsia" w:ascii="仿宋" w:hAnsi="仿宋" w:eastAsia="仿宋" w:cs="仿宋"/>
                <w:kern w:val="0"/>
                <w:sz w:val="22"/>
                <w:szCs w:val="22"/>
              </w:rPr>
              <w:t>5. 读写器：具有快速防碰撞处理算法；工作时自动开启射频，空闲时自动关闭射频；</w:t>
            </w:r>
          </w:p>
          <w:p>
            <w:pPr>
              <w:snapToGrid w:val="0"/>
              <w:rPr>
                <w:rFonts w:ascii="仿宋" w:hAnsi="仿宋" w:eastAsia="仿宋" w:cs="仿宋"/>
                <w:kern w:val="0"/>
                <w:sz w:val="22"/>
                <w:szCs w:val="22"/>
              </w:rPr>
            </w:pPr>
            <w:r>
              <w:rPr>
                <w:rFonts w:hint="eastAsia" w:ascii="仿宋" w:hAnsi="仿宋" w:eastAsia="仿宋" w:cs="仿宋"/>
                <w:kern w:val="0"/>
                <w:sz w:val="22"/>
                <w:szCs w:val="22"/>
              </w:rPr>
              <w:t>6. 摄像头：设备内置高清网络摄像头，方便读者借阅；</w:t>
            </w:r>
          </w:p>
          <w:p>
            <w:pPr>
              <w:snapToGrid w:val="0"/>
              <w:rPr>
                <w:rFonts w:ascii="仿宋" w:hAnsi="仿宋" w:eastAsia="仿宋" w:cs="仿宋"/>
                <w:kern w:val="0"/>
                <w:sz w:val="22"/>
                <w:szCs w:val="22"/>
              </w:rPr>
            </w:pPr>
            <w:r>
              <w:rPr>
                <w:rFonts w:hint="eastAsia" w:ascii="仿宋" w:hAnsi="仿宋" w:eastAsia="仿宋" w:cs="仿宋"/>
                <w:kern w:val="0"/>
                <w:sz w:val="22"/>
                <w:szCs w:val="22"/>
              </w:rPr>
              <w:t>7.扫码器：设备内置扫码器，支持多种条形码读卡器，支持条形码、二维码扫描；</w:t>
            </w:r>
          </w:p>
          <w:p>
            <w:pPr>
              <w:snapToGrid w:val="0"/>
              <w:rPr>
                <w:rFonts w:ascii="仿宋" w:hAnsi="仿宋" w:eastAsia="仿宋" w:cs="仿宋"/>
                <w:kern w:val="0"/>
                <w:sz w:val="22"/>
                <w:szCs w:val="22"/>
              </w:rPr>
            </w:pPr>
            <w:r>
              <w:rPr>
                <w:rFonts w:hint="eastAsia" w:ascii="仿宋" w:hAnsi="仿宋" w:eastAsia="仿宋" w:cs="仿宋"/>
                <w:kern w:val="0"/>
                <w:sz w:val="22"/>
                <w:szCs w:val="22"/>
              </w:rPr>
              <w:t>8.</w:t>
            </w:r>
            <w:r>
              <w:rPr>
                <w:rFonts w:hint="eastAsia" w:ascii="仿宋" w:hAnsi="仿宋" w:eastAsia="仿宋" w:cs="仿宋"/>
                <w:b/>
                <w:bCs/>
                <w:color w:val="000000"/>
                <w:kern w:val="0"/>
                <w:sz w:val="22"/>
                <w:szCs w:val="22"/>
              </w:rPr>
              <w:t>★</w:t>
            </w:r>
            <w:r>
              <w:rPr>
                <w:rFonts w:hint="eastAsia" w:ascii="仿宋" w:hAnsi="仿宋" w:eastAsia="仿宋" w:cs="仿宋"/>
                <w:kern w:val="0"/>
                <w:sz w:val="22"/>
                <w:szCs w:val="22"/>
              </w:rPr>
              <w:t>发卡机：设备内置读者证发卡机。</w:t>
            </w:r>
          </w:p>
          <w:p>
            <w:pPr>
              <w:snapToGrid w:val="0"/>
              <w:rPr>
                <w:rFonts w:ascii="仿宋" w:hAnsi="仿宋" w:eastAsia="仿宋" w:cs="仿宋"/>
                <w:kern w:val="0"/>
                <w:sz w:val="22"/>
                <w:szCs w:val="22"/>
              </w:rPr>
            </w:pPr>
            <w:r>
              <w:rPr>
                <w:rFonts w:hint="eastAsia" w:ascii="仿宋" w:hAnsi="仿宋" w:eastAsia="仿宋" w:cs="仿宋"/>
                <w:kern w:val="0"/>
                <w:sz w:val="22"/>
                <w:szCs w:val="22"/>
              </w:rPr>
              <w:t>9.系统安全性：支持 TCP/IP 联网协议，其接口可以与本地图书馆端数据库进行数据交换，确保系统安全。</w:t>
            </w:r>
          </w:p>
          <w:p>
            <w:pPr>
              <w:snapToGrid w:val="0"/>
              <w:rPr>
                <w:rFonts w:ascii="仿宋" w:hAnsi="仿宋" w:eastAsia="仿宋" w:cs="仿宋"/>
                <w:color w:val="000000"/>
                <w:sz w:val="22"/>
                <w:szCs w:val="22"/>
              </w:rPr>
            </w:pPr>
            <w:r>
              <w:rPr>
                <w:rFonts w:hint="eastAsia" w:ascii="仿宋" w:hAnsi="仿宋" w:eastAsia="仿宋" w:cs="仿宋"/>
                <w:kern w:val="0"/>
                <w:sz w:val="22"/>
                <w:szCs w:val="22"/>
              </w:rPr>
              <w:t>10.支持工作温度-20度~50度，相对湿度20%至70%。</w:t>
            </w:r>
          </w:p>
        </w:tc>
        <w:tc>
          <w:tcPr>
            <w:tcW w:w="676" w:type="dxa"/>
            <w:vMerge w:val="restart"/>
            <w:tcMar>
              <w:top w:w="15" w:type="dxa"/>
              <w:left w:w="15" w:type="dxa"/>
              <w:right w:w="15" w:type="dxa"/>
            </w:tcMar>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2</w:t>
            </w:r>
          </w:p>
        </w:tc>
        <w:tc>
          <w:tcPr>
            <w:tcW w:w="548" w:type="dxa"/>
            <w:vMerge w:val="restart"/>
            <w:tcMar>
              <w:top w:w="15" w:type="dxa"/>
              <w:left w:w="15" w:type="dxa"/>
              <w:right w:w="15" w:type="dxa"/>
            </w:tcMar>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atLeast"/>
          <w:jc w:val="center"/>
        </w:trPr>
        <w:tc>
          <w:tcPr>
            <w:tcW w:w="539" w:type="dxa"/>
            <w:vMerge w:val="continue"/>
            <w:vAlign w:val="center"/>
          </w:tcPr>
          <w:p>
            <w:pPr>
              <w:widowControl/>
              <w:jc w:val="center"/>
              <w:textAlignment w:val="center"/>
              <w:rPr>
                <w:rFonts w:ascii="仿宋" w:hAnsi="仿宋" w:eastAsia="仿宋" w:cs="仿宋"/>
                <w:b/>
                <w:color w:val="000000"/>
                <w:kern w:val="0"/>
                <w:sz w:val="22"/>
                <w:szCs w:val="22"/>
              </w:rPr>
            </w:pPr>
          </w:p>
        </w:tc>
        <w:tc>
          <w:tcPr>
            <w:tcW w:w="2153" w:type="dxa"/>
            <w:vMerge w:val="continue"/>
            <w:vAlign w:val="center"/>
          </w:tcPr>
          <w:p>
            <w:pPr>
              <w:widowControl/>
              <w:jc w:val="center"/>
              <w:textAlignment w:val="center"/>
              <w:rPr>
                <w:rFonts w:ascii="仿宋" w:hAnsi="仿宋" w:eastAsia="仿宋" w:cs="仿宋"/>
                <w:b/>
                <w:color w:val="000000"/>
                <w:kern w:val="0"/>
                <w:sz w:val="22"/>
                <w:szCs w:val="22"/>
              </w:rPr>
            </w:pPr>
          </w:p>
        </w:tc>
        <w:tc>
          <w:tcPr>
            <w:tcW w:w="6922" w:type="dxa"/>
            <w:vAlign w:val="center"/>
          </w:tcPr>
          <w:p>
            <w:pPr>
              <w:rPr>
                <w:rFonts w:ascii="仿宋" w:hAnsi="仿宋" w:eastAsia="仿宋" w:cs="仿宋"/>
                <w:b/>
                <w:bCs/>
                <w:color w:val="000000"/>
                <w:sz w:val="22"/>
                <w:szCs w:val="22"/>
              </w:rPr>
            </w:pPr>
            <w:r>
              <w:rPr>
                <w:rFonts w:hint="eastAsia" w:ascii="仿宋" w:hAnsi="仿宋" w:eastAsia="仿宋" w:cs="仿宋"/>
                <w:b/>
                <w:bCs/>
                <w:color w:val="000000"/>
                <w:sz w:val="22"/>
                <w:szCs w:val="22"/>
              </w:rPr>
              <w:t>功能参数：</w:t>
            </w:r>
          </w:p>
          <w:p>
            <w:pPr>
              <w:rPr>
                <w:rFonts w:ascii="仿宋" w:hAnsi="仿宋" w:eastAsia="仿宋" w:cs="仿宋"/>
                <w:color w:val="000000"/>
                <w:sz w:val="22"/>
                <w:szCs w:val="22"/>
              </w:rPr>
            </w:pPr>
            <w:r>
              <w:rPr>
                <w:rFonts w:hint="eastAsia" w:ascii="仿宋" w:hAnsi="仿宋" w:eastAsia="仿宋" w:cs="仿宋"/>
                <w:color w:val="000000"/>
                <w:sz w:val="22"/>
                <w:szCs w:val="22"/>
              </w:rPr>
              <w:t>1. 登录方式多样化：支持账号登录、人脸识别、刷卡登录、微信扫二维码授权登录，可选配登录方式</w:t>
            </w:r>
          </w:p>
          <w:p>
            <w:pPr>
              <w:rPr>
                <w:rFonts w:ascii="仿宋" w:hAnsi="仿宋" w:eastAsia="仿宋" w:cs="仿宋"/>
                <w:color w:val="000000"/>
                <w:sz w:val="22"/>
                <w:szCs w:val="22"/>
              </w:rPr>
            </w:pPr>
            <w:r>
              <w:rPr>
                <w:rFonts w:hint="eastAsia" w:ascii="仿宋" w:hAnsi="仿宋" w:eastAsia="仿宋" w:cs="仿宋"/>
                <w:color w:val="000000"/>
                <w:sz w:val="22"/>
                <w:szCs w:val="22"/>
              </w:rPr>
              <w:t>2. 自助借阅：具有对图书标签防盗位进行复位或置位，可以一次借还多本书刊；</w:t>
            </w:r>
          </w:p>
          <w:p>
            <w:pPr>
              <w:rPr>
                <w:rFonts w:ascii="仿宋" w:hAnsi="仿宋" w:eastAsia="仿宋" w:cs="仿宋"/>
                <w:color w:val="000000"/>
                <w:sz w:val="22"/>
                <w:szCs w:val="22"/>
              </w:rPr>
            </w:pPr>
            <w:r>
              <w:rPr>
                <w:rFonts w:hint="eastAsia" w:ascii="仿宋" w:hAnsi="仿宋" w:eastAsia="仿宋" w:cs="仿宋"/>
                <w:color w:val="000000"/>
                <w:sz w:val="22"/>
                <w:szCs w:val="22"/>
              </w:rPr>
              <w:t>4. 自助办证：支持注册、绑定电子借阅证或办理、激活实体借阅证；支持支付宝或微信押金支付方式；</w:t>
            </w:r>
            <w:r>
              <w:rPr>
                <w:rFonts w:hint="eastAsia" w:ascii="仿宋" w:hAnsi="仿宋" w:eastAsia="仿宋" w:cs="仿宋"/>
                <w:b/>
                <w:bCs/>
                <w:color w:val="000000"/>
                <w:sz w:val="22"/>
                <w:szCs w:val="22"/>
              </w:rPr>
              <w:t>支持</w:t>
            </w:r>
            <w:r>
              <w:rPr>
                <w:rFonts w:hint="eastAsia" w:ascii="仿宋" w:hAnsi="仿宋" w:eastAsia="仿宋" w:cs="仿宋"/>
                <w:b/>
                <w:bCs/>
                <w:color w:val="000000"/>
                <w:kern w:val="0"/>
                <w:sz w:val="22"/>
                <w:szCs w:val="22"/>
              </w:rPr>
              <w:t>二代身份证办证功能；</w:t>
            </w:r>
          </w:p>
          <w:p>
            <w:pPr>
              <w:rPr>
                <w:rFonts w:ascii="仿宋" w:hAnsi="仿宋" w:eastAsia="仿宋" w:cs="仿宋"/>
                <w:color w:val="000000"/>
                <w:sz w:val="22"/>
                <w:szCs w:val="22"/>
              </w:rPr>
            </w:pPr>
            <w:r>
              <w:rPr>
                <w:rFonts w:hint="eastAsia" w:ascii="仿宋" w:hAnsi="仿宋" w:eastAsia="仿宋" w:cs="仿宋"/>
                <w:color w:val="000000"/>
                <w:sz w:val="22"/>
                <w:szCs w:val="22"/>
              </w:rPr>
              <w:t>5. 读者隐私保护：具有选择保护读者隐私功能，可隐藏读者部分信息</w:t>
            </w:r>
          </w:p>
          <w:p>
            <w:pPr>
              <w:rPr>
                <w:rFonts w:ascii="仿宋" w:hAnsi="仿宋" w:eastAsia="仿宋" w:cs="仿宋"/>
                <w:color w:val="000000"/>
                <w:sz w:val="22"/>
                <w:szCs w:val="22"/>
              </w:rPr>
            </w:pPr>
            <w:r>
              <w:rPr>
                <w:rFonts w:hint="eastAsia" w:ascii="仿宋" w:hAnsi="仿宋" w:eastAsia="仿宋" w:cs="仿宋"/>
                <w:color w:val="000000"/>
                <w:sz w:val="22"/>
                <w:szCs w:val="22"/>
              </w:rPr>
              <w:t>6. 登录管理：允许查看读者个人信息，包括：借阅量、在借量、超期量、借阅期限和人脸注册信息；在借详情，包括：在借书刊借阅时间以及到期时间，是否允许续借；预约管理，包括：预借到期时间和取消预借；密码管理等；</w:t>
            </w:r>
          </w:p>
          <w:p>
            <w:pPr>
              <w:rPr>
                <w:rFonts w:ascii="仿宋" w:hAnsi="仿宋" w:eastAsia="仿宋" w:cs="仿宋"/>
                <w:color w:val="000000"/>
                <w:sz w:val="22"/>
                <w:szCs w:val="22"/>
              </w:rPr>
            </w:pPr>
            <w:r>
              <w:rPr>
                <w:rFonts w:hint="eastAsia" w:ascii="仿宋" w:hAnsi="仿宋" w:eastAsia="仿宋" w:cs="仿宋"/>
                <w:color w:val="000000"/>
                <w:sz w:val="22"/>
                <w:szCs w:val="22"/>
              </w:rPr>
              <w:t>7. 图书查询：读者可查询设备中的文献情况，提示文献在设备中的相应位置信息，方便读者借阅；</w:t>
            </w:r>
          </w:p>
          <w:p>
            <w:pPr>
              <w:rPr>
                <w:rFonts w:ascii="仿宋" w:hAnsi="仿宋" w:eastAsia="仿宋" w:cs="仿宋"/>
                <w:color w:val="000000"/>
                <w:sz w:val="22"/>
                <w:szCs w:val="22"/>
              </w:rPr>
            </w:pPr>
            <w:r>
              <w:rPr>
                <w:rFonts w:hint="eastAsia" w:ascii="仿宋" w:hAnsi="仿宋" w:eastAsia="仿宋" w:cs="仿宋"/>
                <w:color w:val="000000"/>
                <w:sz w:val="22"/>
                <w:szCs w:val="22"/>
              </w:rPr>
              <w:t>8.设备缓存数据管理：支持查看本馆读者人数、人脸数量并允许清除缓存数据；</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9.设备软件须可加载图书馆微信公众号扫码登陆模块，读者可以通过采购方的微信公众号扫码登录，实现读者无卡登陆、借书、还书功能；</w:t>
            </w:r>
          </w:p>
          <w:p>
            <w:pPr>
              <w:rPr>
                <w:rFonts w:ascii="仿宋" w:hAnsi="仿宋" w:eastAsia="仿宋" w:cs="仿宋"/>
                <w:color w:val="000000"/>
                <w:sz w:val="22"/>
                <w:szCs w:val="22"/>
              </w:rPr>
            </w:pPr>
            <w:r>
              <w:rPr>
                <w:rFonts w:hint="eastAsia" w:ascii="仿宋" w:hAnsi="仿宋" w:eastAsia="仿宋" w:cs="仿宋"/>
                <w:color w:val="000000"/>
                <w:sz w:val="22"/>
                <w:szCs w:val="22"/>
              </w:rPr>
              <w:t>10. 固件升级：具有通过后台远程批量控制设备和固件的统一升级功能。</w:t>
            </w:r>
          </w:p>
        </w:tc>
        <w:tc>
          <w:tcPr>
            <w:tcW w:w="676" w:type="dxa"/>
            <w:vMerge w:val="continue"/>
            <w:vAlign w:val="center"/>
          </w:tcPr>
          <w:p>
            <w:pPr>
              <w:widowControl/>
              <w:jc w:val="center"/>
              <w:textAlignment w:val="center"/>
              <w:rPr>
                <w:rFonts w:ascii="仿宋" w:hAnsi="仿宋" w:eastAsia="仿宋" w:cs="仿宋"/>
                <w:b/>
                <w:color w:val="000000"/>
                <w:kern w:val="0"/>
                <w:sz w:val="22"/>
                <w:szCs w:val="22"/>
              </w:rPr>
            </w:pPr>
          </w:p>
        </w:tc>
        <w:tc>
          <w:tcPr>
            <w:tcW w:w="548" w:type="dxa"/>
            <w:vMerge w:val="continue"/>
            <w:vAlign w:val="center"/>
          </w:tcPr>
          <w:p>
            <w:pPr>
              <w:widowControl/>
              <w:jc w:val="center"/>
              <w:textAlignment w:val="center"/>
              <w:rPr>
                <w:rFonts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2</w:t>
            </w:r>
          </w:p>
        </w:tc>
        <w:tc>
          <w:tcPr>
            <w:tcW w:w="2153"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Cs/>
                <w:color w:val="000000"/>
                <w:kern w:val="0"/>
                <w:sz w:val="22"/>
                <w:szCs w:val="22"/>
              </w:rPr>
              <w:t>RFID安全门</w:t>
            </w:r>
          </w:p>
        </w:tc>
        <w:tc>
          <w:tcPr>
            <w:tcW w:w="6922" w:type="dxa"/>
            <w:vAlign w:val="center"/>
          </w:tcPr>
          <w:p>
            <w:pPr>
              <w:rPr>
                <w:rFonts w:ascii="仿宋" w:hAnsi="仿宋" w:eastAsia="仿宋" w:cs="仿宋"/>
                <w:sz w:val="22"/>
                <w:szCs w:val="22"/>
              </w:rPr>
            </w:pPr>
            <w:r>
              <w:rPr>
                <w:rFonts w:hint="eastAsia" w:ascii="仿宋" w:hAnsi="仿宋" w:eastAsia="仿宋" w:cs="仿宋"/>
                <w:sz w:val="22"/>
                <w:szCs w:val="22"/>
              </w:rPr>
              <w:t>功能及指标要求：1.三维门禁系统可对粘贴有RFID标签的流通资料文献进行通道内全方位扫描的安全识别的系统设备，用于对流通资料进行安全控制，以达到防盗和监控的目的，该设备系统通过对书籍借阅状态的判断来确定报警提示信息是否鸣响。1.设备外观设 计典雅，符合ADA相关标准要求，宽度≤914mm，阅读范围半径≥450mm并且可以很方便地集成到图书馆的家具设施和图书馆业务实施环境中。2.系统可以兼容使用各类报警模式。3.监测系统采用RTF工作模式(Reader Talks First)。4.可以非接触式的快速识别粘贴在流通资料上的RFID标签，如图书馆内的印刷品、视听出版物、CD及DVD等流通资料进行安全扫描操作。5.安装形式可随实际现场情况由采购方确定。6.提供设备配套驱动程序文件及相关图书馆业务应用程序文件及后续升级程序包，所有相关软件提供升级服务。7.检查是否有遗漏处理的图书带出，具有音频和视觉报警信号，报警音量可调控，具有灯光、音响报警，且信号源可设置，报警音量可调控。</w:t>
            </w:r>
            <w:r>
              <w:rPr>
                <w:rFonts w:hint="eastAsia" w:ascii="仿宋" w:hAnsi="仿宋" w:eastAsia="仿宋" w:cs="仿宋"/>
                <w:b/>
                <w:bCs/>
                <w:color w:val="000000"/>
                <w:kern w:val="0"/>
                <w:sz w:val="22"/>
                <w:szCs w:val="22"/>
              </w:rPr>
              <w:t>★</w:t>
            </w:r>
            <w:r>
              <w:rPr>
                <w:rFonts w:hint="eastAsia" w:ascii="仿宋" w:hAnsi="仿宋" w:eastAsia="仿宋" w:cs="仿宋"/>
                <w:sz w:val="22"/>
                <w:szCs w:val="22"/>
              </w:rPr>
              <w:t>8.</w:t>
            </w:r>
            <w:r>
              <w:rPr>
                <w:rFonts w:hint="eastAsia" w:ascii="仿宋" w:hAnsi="仿宋" w:eastAsia="仿宋" w:cs="仿宋"/>
                <w:color w:val="000000"/>
                <w:sz w:val="22"/>
                <w:szCs w:val="22"/>
              </w:rPr>
              <w:t>参数配置：安全门具有Micro-USB接口，连接电脑即可直接读取或修改安全门配置；</w:t>
            </w:r>
            <w:r>
              <w:rPr>
                <w:rFonts w:hint="eastAsia" w:ascii="仿宋" w:hAnsi="仿宋" w:eastAsia="仿宋" w:cs="仿宋"/>
                <w:b/>
                <w:bCs/>
                <w:color w:val="000000"/>
                <w:kern w:val="0"/>
                <w:sz w:val="22"/>
                <w:szCs w:val="22"/>
              </w:rPr>
              <w:t>（需提供产品功能截图并加盖投标人公章）</w:t>
            </w:r>
            <w:r>
              <w:rPr>
                <w:rFonts w:hint="eastAsia" w:ascii="仿宋" w:hAnsi="仿宋" w:eastAsia="仿宋" w:cs="仿宋"/>
                <w:sz w:val="22"/>
                <w:szCs w:val="22"/>
              </w:rPr>
              <w:t>9.独立工作，不需要与服务器或数据库相连，可离线工作10.当多个标签同时通过安全门时，具有很高的侦测率。11.设备采用全新全向扫描结构设 计，结合光电和物理结构实现通道内无盲区扫描，确保流通文献的安全系数，有效提高门禁系统的灵敏度。12.具备流量统计分析系统功能模块，可实时检测到在馆人数和借阅趋势分析，具备可视化界面。13.要求设备自身集成LED显示屏可显示进出馆人数或“欢迎光临”等字样。</w:t>
            </w:r>
            <w:r>
              <w:rPr>
                <w:rFonts w:hint="eastAsia" w:ascii="仿宋" w:hAnsi="仿宋" w:eastAsia="仿宋" w:cs="仿宋"/>
                <w:b/>
                <w:bCs/>
                <w:color w:val="000000"/>
                <w:kern w:val="0"/>
                <w:sz w:val="22"/>
                <w:szCs w:val="22"/>
              </w:rPr>
              <w:t>★</w:t>
            </w:r>
            <w:r>
              <w:rPr>
                <w:rFonts w:hint="eastAsia" w:ascii="仿宋" w:hAnsi="仿宋" w:eastAsia="仿宋" w:cs="仿宋"/>
                <w:sz w:val="22"/>
                <w:szCs w:val="22"/>
              </w:rPr>
              <w:t>14.工作频率：13.56MHz 15.阅读范围半径：≥450 mm   16.响应速度：≥5个标签/秒 17.通信接口：USB或RS232或网络接口18.单通道宽度≥100cm±3cm</w:t>
            </w:r>
          </w:p>
          <w:p>
            <w:pPr>
              <w:pStyle w:val="12"/>
              <w:widowControl/>
              <w:numPr>
                <w:ilvl w:val="0"/>
                <w:numId w:val="4"/>
              </w:numPr>
              <w:spacing w:before="210" w:after="210" w:line="293" w:lineRule="atLeast"/>
              <w:rPr>
                <w:rFonts w:ascii="仿宋" w:hAnsi="仿宋" w:eastAsia="仿宋" w:cs="仿宋"/>
                <w:sz w:val="22"/>
                <w:szCs w:val="22"/>
              </w:rPr>
            </w:pPr>
            <w:r>
              <w:rPr>
                <w:rFonts w:hint="eastAsia" w:ascii="仿宋" w:hAnsi="仿宋" w:eastAsia="仿宋" w:cs="仿宋"/>
                <w:sz w:val="22"/>
                <w:szCs w:val="22"/>
              </w:rPr>
              <w:t>工作电源：200-240V,50/60 Hz  20.操作温度： 20℃~ 50℃</w:t>
            </w:r>
          </w:p>
          <w:p>
            <w:pPr>
              <w:pStyle w:val="12"/>
              <w:widowControl/>
              <w:numPr>
                <w:ilvl w:val="0"/>
                <w:numId w:val="4"/>
              </w:numPr>
              <w:spacing w:before="210" w:after="210" w:line="293" w:lineRule="atLeast"/>
              <w:rPr>
                <w:rFonts w:ascii="仿宋" w:hAnsi="仿宋" w:eastAsia="仿宋" w:cs="仿宋"/>
                <w:color w:val="000000"/>
                <w:sz w:val="22"/>
                <w:szCs w:val="22"/>
              </w:rPr>
            </w:pPr>
            <w:r>
              <w:rPr>
                <w:rFonts w:hint="eastAsia" w:ascii="仿宋" w:hAnsi="仿宋" w:eastAsia="仿宋" w:cs="仿宋"/>
                <w:sz w:val="22"/>
                <w:szCs w:val="22"/>
              </w:rPr>
              <w:t>21.功率能耗：≤200W 22.外壳材料：钣金+玻璃23.停电保护措施：高速闪存设计，永不丢失，停电闭锁，钥匙开门。</w:t>
            </w:r>
          </w:p>
          <w:p>
            <w:pPr>
              <w:pStyle w:val="12"/>
              <w:widowControl/>
              <w:spacing w:before="210" w:after="210" w:line="293" w:lineRule="atLeast"/>
              <w:rPr>
                <w:rFonts w:ascii="仿宋" w:hAnsi="仿宋" w:eastAsia="仿宋" w:cs="仿宋"/>
                <w:color w:val="000000"/>
                <w:sz w:val="22"/>
                <w:szCs w:val="22"/>
              </w:rPr>
            </w:pPr>
            <w:r>
              <w:rPr>
                <w:rFonts w:hint="eastAsia" w:ascii="仿宋" w:hAnsi="仿宋" w:eastAsia="仿宋" w:cs="仿宋"/>
                <w:b/>
                <w:bCs/>
                <w:sz w:val="22"/>
                <w:szCs w:val="22"/>
              </w:rPr>
              <w:t>★24.提供加盖厂家公章的RFID安全门禁系统软件著作权证书复印件。</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3</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图书快速消毒机</w:t>
            </w:r>
          </w:p>
        </w:tc>
        <w:tc>
          <w:tcPr>
            <w:tcW w:w="6922" w:type="dxa"/>
            <w:vAlign w:val="center"/>
          </w:tcPr>
          <w:p>
            <w:pPr>
              <w:pStyle w:val="12"/>
              <w:widowControl/>
              <w:spacing w:before="210" w:after="210" w:line="293" w:lineRule="atLeast"/>
              <w:rPr>
                <w:rFonts w:ascii="仿宋" w:hAnsi="仿宋" w:eastAsia="仿宋" w:cs="仿宋"/>
                <w:sz w:val="22"/>
                <w:szCs w:val="22"/>
              </w:rPr>
            </w:pPr>
            <w:r>
              <w:rPr>
                <w:rFonts w:hint="eastAsia" w:ascii="仿宋" w:hAnsi="仿宋" w:eastAsia="仿宋" w:cs="仿宋"/>
                <w:color w:val="000000"/>
                <w:kern w:val="0"/>
                <w:sz w:val="22"/>
                <w:szCs w:val="22"/>
              </w:rPr>
              <w:t>门材质：钢化玻璃门；显示屏类型：智能屏（带温湿度显示）；臭氧发生量：200mg/h；电源：220V/50HZ；输入功率15W；时间：30-60min消毒（可调）+20min臭氧分解；控制方式：微电脑自动控制；柜体材质说明：1.1mm冷轧钢板，表面静电喷塑处理后有1.2mm厚。</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66"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4</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门禁系统配套设施</w:t>
            </w:r>
          </w:p>
        </w:tc>
        <w:tc>
          <w:tcPr>
            <w:tcW w:w="6922" w:type="dxa"/>
            <w:vAlign w:val="center"/>
          </w:tcPr>
          <w:p>
            <w:pPr>
              <w:pStyle w:val="12"/>
              <w:widowControl/>
              <w:spacing w:after="150" w:line="293" w:lineRule="atLeast"/>
              <w:rPr>
                <w:rFonts w:ascii="仿宋" w:hAnsi="仿宋" w:eastAsia="仿宋" w:cs="仿宋"/>
                <w:sz w:val="22"/>
                <w:szCs w:val="22"/>
              </w:rPr>
            </w:pPr>
            <w:bookmarkStart w:id="2" w:name="_Toc1251"/>
            <w:r>
              <w:rPr>
                <w:rFonts w:hint="eastAsia" w:ascii="仿宋" w:hAnsi="仿宋" w:eastAsia="仿宋" w:cs="仿宋"/>
                <w:color w:val="000000"/>
                <w:sz w:val="22"/>
                <w:szCs w:val="22"/>
              </w:rPr>
              <w:t>门禁联动控制系统是指门禁刷卡器，RFID门禁系统、玻璃自动门之间通过门禁控制器连接，联动控制的系统。通过这套系统，可实现图书馆的入馆认证，图书防盗，防尾随，可以实现书屋的24小时无人值守管理。</w:t>
            </w:r>
          </w:p>
          <w:p>
            <w:pPr>
              <w:rPr>
                <w:rFonts w:ascii="仿宋" w:hAnsi="仿宋" w:eastAsia="仿宋" w:cs="仿宋"/>
                <w:sz w:val="22"/>
                <w:szCs w:val="22"/>
              </w:rPr>
            </w:pPr>
            <w:r>
              <w:rPr>
                <w:rFonts w:hint="eastAsia" w:ascii="仿宋" w:hAnsi="仿宋" w:eastAsia="仿宋" w:cs="仿宋"/>
                <w:sz w:val="22"/>
                <w:szCs w:val="22"/>
              </w:rPr>
              <w:t>功能及技术参数：</w:t>
            </w:r>
            <w:bookmarkEnd w:id="2"/>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sz w:val="22"/>
                <w:szCs w:val="22"/>
              </w:rPr>
              <w:t>门</w:t>
            </w:r>
            <w:r>
              <w:rPr>
                <w:rFonts w:hint="eastAsia" w:ascii="仿宋" w:hAnsi="仿宋" w:eastAsia="仿宋" w:cs="仿宋"/>
                <w:color w:val="000000"/>
                <w:sz w:val="22"/>
                <w:szCs w:val="22"/>
              </w:rPr>
              <w:t>禁联动系统（包含门禁刷卡器）1.门禁系统通常为常闭状态，读者通过读者证或身份证刷卡，即能进出自助阅览室。</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2.门禁开关和RFID安全门系统之间的区域为安全区域，该区域必须有探测异常借阅情况的能力。</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3.门控系统必须能接受消防报警信号，在消防警报生效后，安全玻璃门必须为打开状态。</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4.如果有读者借阅违规情况，安全玻璃门将强制关闭，并同时有声光报警。</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5.进出门支持光电感应、主动按键及门禁刷卡等多种方式，以实际建设中采购方选定的方案实施；感应、主动按键及门禁刷卡等模式可根据采购方建设需求灵活切换开关门模式。</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6.安全门必须做到三维防盗，即读者举起图书也能识别。</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7.系统自带防冲突功能，即双向有人时，能够自动判断并根据实际情况，选择优先级。</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8.系统自带语音提示，语音内容根据需要可随时调整。</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9.系统能够自动判断刷一次卡的进门人数，并根据需要设置一次只能进入1人或一次可多人进入。 </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10.系统能够按照每月、每天或者按照自定义的时间段，生成进出馆人员的数量明细</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11.系统自带信息发布系统（不需要另外增加设备），实时发布阅览室的情况，比如：进入人数、在馆人数、借还数量、新书推荐、借阅排行等信息；</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12.与本地图书馆现有业务管理系统实现无缝对接。</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b/>
                <w:bCs/>
                <w:color w:val="000000"/>
                <w:sz w:val="22"/>
                <w:szCs w:val="22"/>
              </w:rPr>
              <w:t>门禁刷卡器</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1门禁刷卡器为集合型读卡设备，可识别读者证、身份证等多种识别方式。</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2.证件识别功能：要求设备支持识别居民第二代身份证、读者证，读者通过刷身份证、读者证后通过门禁系统；</w:t>
            </w:r>
          </w:p>
          <w:p>
            <w:pPr>
              <w:pStyle w:val="12"/>
              <w:widowControl/>
              <w:spacing w:after="150" w:line="293" w:lineRule="atLeast"/>
              <w:rPr>
                <w:rFonts w:ascii="仿宋" w:hAnsi="仿宋" w:eastAsia="仿宋" w:cs="仿宋"/>
                <w:color w:val="000000"/>
                <w:sz w:val="22"/>
                <w:szCs w:val="22"/>
              </w:rPr>
            </w:pPr>
            <w:r>
              <w:rPr>
                <w:rFonts w:hint="eastAsia" w:ascii="仿宋" w:hAnsi="仿宋" w:eastAsia="仿宋" w:cs="仿宋"/>
                <w:color w:val="000000"/>
                <w:sz w:val="22"/>
                <w:szCs w:val="22"/>
              </w:rPr>
              <w:t>3.门禁读卡器可以识别身份证刷卡，具备判断二代身份证真伪，判断身份证有效期的功能。刷卡时间不超过5S。</w:t>
            </w:r>
          </w:p>
          <w:p>
            <w:pPr>
              <w:pStyle w:val="12"/>
              <w:widowControl/>
              <w:spacing w:after="150" w:line="293" w:lineRule="atLeast"/>
              <w:rPr>
                <w:rFonts w:ascii="仿宋" w:hAnsi="仿宋" w:eastAsia="仿宋" w:cs="仿宋"/>
                <w:color w:val="000000"/>
                <w:kern w:val="0"/>
                <w:sz w:val="22"/>
                <w:szCs w:val="22"/>
              </w:rPr>
            </w:pPr>
            <w:r>
              <w:rPr>
                <w:rFonts w:hint="eastAsia" w:ascii="仿宋" w:hAnsi="仿宋" w:eastAsia="仿宋" w:cs="仿宋"/>
                <w:color w:val="000000"/>
                <w:sz w:val="22"/>
                <w:szCs w:val="22"/>
              </w:rPr>
              <w:t>4.与本地图书馆现有的管理系统无缝对接，根据现场进行嵌入安装或立式安装，安装方式需经过采购方认可。</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66"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5</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RFID电子标签</w:t>
            </w:r>
          </w:p>
        </w:tc>
        <w:tc>
          <w:tcPr>
            <w:tcW w:w="6922" w:type="dxa"/>
            <w:vAlign w:val="center"/>
          </w:tcPr>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技术参数：</w:t>
            </w:r>
          </w:p>
          <w:p>
            <w:pPr>
              <w:numPr>
                <w:ilvl w:val="0"/>
                <w:numId w:val="5"/>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工作频率：13.56MHz；</w:t>
            </w:r>
          </w:p>
          <w:p>
            <w:pPr>
              <w:numPr>
                <w:ilvl w:val="0"/>
                <w:numId w:val="5"/>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支持协议：ISO15693和ISO18000-3标准；</w:t>
            </w:r>
          </w:p>
          <w:p>
            <w:pPr>
              <w:numPr>
                <w:ilvl w:val="0"/>
                <w:numId w:val="5"/>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产品规格：50*50mm；</w:t>
            </w:r>
          </w:p>
          <w:p>
            <w:pPr>
              <w:numPr>
                <w:ilvl w:val="0"/>
                <w:numId w:val="5"/>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天线规格：45*45mm；</w:t>
            </w:r>
          </w:p>
          <w:p>
            <w:pPr>
              <w:numPr>
                <w:ilvl w:val="0"/>
                <w:numId w:val="5"/>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内存容量：≥1024 bits；</w:t>
            </w:r>
          </w:p>
          <w:p>
            <w:pPr>
              <w:numPr>
                <w:ilvl w:val="0"/>
                <w:numId w:val="5"/>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有效使用寿命：≥10 年；</w:t>
            </w:r>
          </w:p>
          <w:p>
            <w:pPr>
              <w:numPr>
                <w:ilvl w:val="0"/>
                <w:numId w:val="5"/>
              </w:numPr>
              <w:adjustRightInd w:val="0"/>
              <w:snapToGrid w:val="0"/>
              <w:spacing w:line="360" w:lineRule="auto"/>
              <w:rPr>
                <w:rFonts w:ascii="仿宋" w:hAnsi="仿宋" w:eastAsia="仿宋" w:cs="仿宋"/>
                <w:kern w:val="0"/>
                <w:sz w:val="22"/>
                <w:szCs w:val="22"/>
              </w:rPr>
            </w:pPr>
            <w:r>
              <w:rPr>
                <w:rFonts w:hint="eastAsia" w:ascii="仿宋" w:hAnsi="仿宋" w:eastAsia="仿宋" w:cs="仿宋"/>
                <w:color w:val="000000"/>
                <w:kern w:val="0"/>
                <w:sz w:val="22"/>
                <w:szCs w:val="22"/>
              </w:rPr>
              <w:t>★有效使用次数：≥10万次；（需提供产品检测报告复印件并加盖投标人公章）</w:t>
            </w:r>
            <w:r>
              <w:rPr>
                <w:rFonts w:hint="eastAsia" w:ascii="仿宋" w:hAnsi="仿宋" w:eastAsia="仿宋" w:cs="仿宋"/>
                <w:color w:val="000000"/>
                <w:kern w:val="0"/>
                <w:sz w:val="22"/>
                <w:szCs w:val="22"/>
              </w:rPr>
              <w:br w:type="textWrapping"/>
            </w:r>
            <w:r>
              <w:rPr>
                <w:rFonts w:hint="eastAsia" w:ascii="仿宋" w:hAnsi="仿宋" w:eastAsia="仿宋" w:cs="仿宋"/>
                <w:kern w:val="0"/>
                <w:sz w:val="22"/>
                <w:szCs w:val="22"/>
              </w:rPr>
              <w:t>功能参数：</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图书专用RFID标签是一种带有天线、存储器与控制系统的无源低电集成电路产品，可在其中的存储晶片中多次写入及读取图书、媒体资料的基本资料，用于图书和多媒体光盘资料的标签辨识，可以粘贴在一般图书上，用于图书和光盘资料的辨识。</w:t>
            </w:r>
          </w:p>
          <w:p>
            <w:pPr>
              <w:numPr>
                <w:ilvl w:val="0"/>
                <w:numId w:val="6"/>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标签中有存储器，存储在其中的资料可重复读、写；</w:t>
            </w:r>
          </w:p>
          <w:p>
            <w:pPr>
              <w:numPr>
                <w:ilvl w:val="0"/>
                <w:numId w:val="6"/>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标签可以非接触式的读取和写入，加快资源流通的处理手续；</w:t>
            </w:r>
          </w:p>
          <w:p>
            <w:pPr>
              <w:numPr>
                <w:ilvl w:val="0"/>
                <w:numId w:val="6"/>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标签具有一定的抗冲突性，能保证多个标签的同时可靠识别；</w:t>
            </w:r>
          </w:p>
          <w:p>
            <w:pPr>
              <w:numPr>
                <w:ilvl w:val="0"/>
                <w:numId w:val="6"/>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标签具有较高的安全性，有不可改写的唯一序列号（UID）供识别和加密，防止存储在其中的信息资料被随意读取或改写；</w:t>
            </w:r>
          </w:p>
          <w:p>
            <w:pPr>
              <w:numPr>
                <w:ilvl w:val="0"/>
                <w:numId w:val="6"/>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用户可自定义数据格式和内容，具有良好的数据扩展性；</w:t>
            </w:r>
          </w:p>
          <w:p>
            <w:pPr>
              <w:numPr>
                <w:ilvl w:val="0"/>
                <w:numId w:val="6"/>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标签的天线为铝或铜质天线，采用蚀刻法工艺制造；</w:t>
            </w:r>
          </w:p>
          <w:p>
            <w:pPr>
              <w:numPr>
                <w:ilvl w:val="0"/>
                <w:numId w:val="6"/>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标签固有频率误差率小于或等于±300K Hz范围；</w:t>
            </w:r>
          </w:p>
          <w:p>
            <w:pPr>
              <w:numPr>
                <w:ilvl w:val="0"/>
                <w:numId w:val="6"/>
              </w:num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可0.1s时间内读取存储在标签中的资料（实际工作环境，若以标签容量1024bits为标准计算，每种工序中标签的读取速度都能达到0.1s之内）；</w:t>
            </w:r>
          </w:p>
          <w:p>
            <w:pPr>
              <w:numPr>
                <w:ilvl w:val="0"/>
                <w:numId w:val="6"/>
              </w:numPr>
              <w:adjustRightInd w:val="0"/>
              <w:snapToGrid w:val="0"/>
              <w:spacing w:line="360" w:lineRule="auto"/>
              <w:rPr>
                <w:rFonts w:ascii="仿宋" w:hAnsi="仿宋" w:eastAsia="仿宋" w:cs="仿宋"/>
                <w:color w:val="000000"/>
                <w:kern w:val="0"/>
                <w:sz w:val="22"/>
                <w:szCs w:val="22"/>
              </w:rPr>
            </w:pPr>
            <w:r>
              <w:rPr>
                <w:rFonts w:hint="eastAsia" w:ascii="仿宋" w:hAnsi="仿宋" w:eastAsia="仿宋" w:cs="仿宋"/>
                <w:kern w:val="0"/>
                <w:sz w:val="22"/>
                <w:szCs w:val="22"/>
              </w:rPr>
              <w:t>标签自带单面粘性，须采用中性粘胶对图书及其它介质黏贴表面无损害，保证在标签质保期内（10年）不开胶脱落；</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lang w:val="en-US" w:eastAsia="zh-CN"/>
              </w:rPr>
              <w:t>15</w:t>
            </w:r>
            <w:r>
              <w:rPr>
                <w:rFonts w:hint="eastAsia" w:ascii="仿宋" w:hAnsi="仿宋" w:eastAsia="仿宋" w:cs="仿宋"/>
                <w:bCs/>
                <w:color w:val="000000"/>
                <w:kern w:val="0"/>
                <w:sz w:val="22"/>
                <w:szCs w:val="22"/>
              </w:rPr>
              <w:t>000</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6</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读者证</w:t>
            </w:r>
          </w:p>
        </w:tc>
        <w:tc>
          <w:tcPr>
            <w:tcW w:w="6922" w:type="dxa"/>
            <w:vAlign w:val="center"/>
          </w:tcPr>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1.工作频率：14.2-14.8MHZ</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2.支持协议：ISO/IEC14443标准</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3.工作温度：-20℃~50℃(湿度为90%)</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4.通信速率：106 KBPS；</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5.读写距离：10cm以内(与读写器有关)；</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6.规格尺寸：85.5*54MM。</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7.分为16个扇区，每个扇区为4块；</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8.每块16个字节,以块为存取单位；</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9.每个扇区有独立的密码及访问控制；</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10.每张卡有唯一序列号，为32位；</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11.具有防冲突机制，支持多卡操作；</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12.无电源，自带天线，内含加密控制逻辑和通讯逻辑电路；</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13.数据保存期为10年，可改写10万次，读无限次；</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kern w:val="0"/>
                <w:sz w:val="22"/>
                <w:szCs w:val="22"/>
              </w:rPr>
              <w:t>14，读者证标签上定制昌吉市与泉州元素的LOGO图案；</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5000</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7</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安防系统</w:t>
            </w:r>
          </w:p>
        </w:tc>
        <w:tc>
          <w:tcPr>
            <w:tcW w:w="6922" w:type="dxa"/>
            <w:vAlign w:val="center"/>
          </w:tcPr>
          <w:p>
            <w:pPr>
              <w:pStyle w:val="12"/>
              <w:widowControl/>
              <w:spacing w:before="210" w:after="210" w:line="293" w:lineRule="atLeast"/>
              <w:rPr>
                <w:rFonts w:ascii="仿宋" w:hAnsi="仿宋" w:eastAsia="仿宋" w:cs="仿宋"/>
                <w:sz w:val="22"/>
                <w:szCs w:val="22"/>
              </w:rPr>
            </w:pPr>
            <w:r>
              <w:rPr>
                <w:rFonts w:hint="eastAsia" w:ascii="仿宋" w:hAnsi="仿宋" w:eastAsia="仿宋" w:cs="仿宋"/>
                <w:kern w:val="0"/>
                <w:sz w:val="22"/>
                <w:szCs w:val="22"/>
              </w:rPr>
              <w:t>百姓书屋务必配备各种安防系统、例如监控、</w:t>
            </w:r>
            <w:r>
              <w:rPr>
                <w:rFonts w:hint="eastAsia" w:ascii="仿宋" w:hAnsi="仿宋" w:eastAsia="仿宋" w:cs="仿宋"/>
                <w:b/>
                <w:bCs/>
                <w:sz w:val="22"/>
                <w:szCs w:val="22"/>
              </w:rPr>
              <w:t>功能要求及技术指标</w:t>
            </w:r>
            <w:r>
              <w:rPr>
                <w:rFonts w:hint="eastAsia" w:ascii="仿宋" w:hAnsi="仿宋" w:eastAsia="仿宋" w:cs="仿宋"/>
                <w:sz w:val="22"/>
                <w:szCs w:val="22"/>
              </w:rPr>
              <w:t>：建设点包含至少8个红外半球摄像头，以实际建设场点合理的监控布设点位为准，支持手机实时监控。1.红外半球摄像机最大分辨率2560x1440。具有400万像素CMOS传感器。有20路取流路数能力，以满足更多用户同时在线访问摄像机视频。最低照度彩色：0.001lx，黑白：0.0001lx，灰度等级不小于11级。红外补光距离不小于30米。支持H.264、H.265、MJPEG视频编码格式，且具有HighProfile编码能力。信噪比不小于58dB。需具有电子防抖、ROI感兴趣区域、SVC可伸缩编码、自动增益、背光补偿、数字降噪、强光抑制、走廊模式、视频水印等功能。像机能够在-30~60摄氏度，湿度小于93%环境下稳定工作。设备与客户端之间用100米网线进行传输，数据包丢包率小于0.1%。需具有2路报警输入、2路报警输出、1个音频输入、1个音频输出接口，需支持MP2L2、AAC和PCM音频编码。不低于IP67防尘防水等级。需支持本地SD卡存储，最大支持128G，并支持存储卡可使用时长显示支持对存储卡进行读写锁定，锁定后的存储卡在移动终端需要密码才能访问。电源方式：POE供电 。如在室外场地需做好相应的防水措施。</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1.NVR数字存储服务器：</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支持萤石云服务</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可接驳符合ONVIF、RTSP标准及众多主流厂商的网络摄像机</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支持1200W高清网络视频的预览、存储与回放</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支持H.265、H.264编码前端自适应接入</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支持IPC集中管理，包括IPC参数配置、信息的导入/导出和升级等功能</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支持2个HDMI和2个VGA同时输出，其中HDMI 1支持4K高清分辨率输出</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NVR 4.0界面，支持同屏预览，支持文件管理与图形化的通道管理</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支持海康Smart IPC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支持即时回放功能，在预览画面下对指定通道的当前录像进行回放，并且不影响其他通道预览</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支持最大16路同步回放及多路同步倒放</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支持视频摘要回放</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支持标签定义、查询、回放录像文件</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支持重要录像文件加锁保护功能</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支持硬盘配额和硬盘盘组两种存储模式，可对不同通道分配不同的录像保存容量或周期</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支持8个SATA接口，1个eSATA盘库，可用于录像和备份</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2．存储专用硬盘：</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4TB/64MB(6Gb/秒 NCQ)/5900RPM/SATA3。</w:t>
            </w:r>
          </w:p>
          <w:p>
            <w:pPr>
              <w:pStyle w:val="12"/>
              <w:widowControl/>
              <w:spacing w:before="210" w:after="210" w:line="293" w:lineRule="atLeast"/>
              <w:rPr>
                <w:rFonts w:ascii="仿宋" w:hAnsi="仿宋" w:eastAsia="仿宋" w:cs="仿宋"/>
                <w:kern w:val="0"/>
                <w:sz w:val="22"/>
                <w:szCs w:val="22"/>
              </w:rPr>
            </w:pPr>
            <w:r>
              <w:rPr>
                <w:rFonts w:hint="eastAsia" w:ascii="仿宋" w:hAnsi="仿宋" w:eastAsia="仿宋" w:cs="仿宋"/>
                <w:kern w:val="0"/>
                <w:sz w:val="22"/>
                <w:szCs w:val="22"/>
              </w:rPr>
              <w:t>存储硬盘至少4块。</w:t>
            </w:r>
          </w:p>
          <w:p>
            <w:pPr>
              <w:pStyle w:val="12"/>
              <w:widowControl/>
              <w:spacing w:before="210" w:after="210" w:line="293" w:lineRule="atLeast"/>
              <w:rPr>
                <w:rFonts w:ascii="仿宋" w:hAnsi="仿宋" w:eastAsia="仿宋" w:cs="仿宋"/>
                <w:sz w:val="22"/>
                <w:szCs w:val="22"/>
              </w:rPr>
            </w:pPr>
            <w:r>
              <w:rPr>
                <w:rFonts w:hint="eastAsia" w:ascii="仿宋" w:hAnsi="仿宋" w:eastAsia="仿宋" w:cs="仿宋"/>
                <w:kern w:val="0"/>
                <w:sz w:val="22"/>
                <w:szCs w:val="22"/>
              </w:rPr>
              <w:t>根据公安要求，每个</w:t>
            </w:r>
            <w:r>
              <w:rPr>
                <w:rFonts w:hint="eastAsia" w:ascii="仿宋" w:hAnsi="仿宋" w:eastAsia="仿宋" w:cs="仿宋"/>
                <w:kern w:val="0"/>
                <w:sz w:val="22"/>
                <w:szCs w:val="22"/>
                <w:lang w:eastAsia="zh-CN"/>
              </w:rPr>
              <w:t>百姓书屋</w:t>
            </w:r>
            <w:r>
              <w:rPr>
                <w:rFonts w:hint="eastAsia" w:ascii="仿宋" w:hAnsi="仿宋" w:eastAsia="仿宋" w:cs="仿宋"/>
                <w:kern w:val="0"/>
                <w:sz w:val="22"/>
                <w:szCs w:val="22"/>
              </w:rPr>
              <w:t>监控设备接入公安网络，录像记录保存不少于90天。</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8</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馆员工作站一体机</w:t>
            </w:r>
          </w:p>
        </w:tc>
        <w:tc>
          <w:tcPr>
            <w:tcW w:w="6922" w:type="dxa"/>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技术参数：一体化馆员工作站是集成RFID读写装置、各种类型读者证卡或二代身份证识别装置、条形码识别装置于一体的设备，对RFID图书/档案标签进行编写、识别和流通状态处理，应用于标签转换以及图书人工借还环节。</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1.整机尺寸：长≥560，宽≥517，高≥400（mm）</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2. 整机规格：18.5寸及以上屏幕尺寸，支持多点触控，具有USB或RS232、RJ45，无线网络扩展功能；</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3.读卡速度：≥50张/秒；</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4.工作频率：13.56MHz；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5. 材质：一体化设计，ABS工程塑料，亚克力，钣金；</w:t>
            </w:r>
          </w:p>
          <w:p>
            <w:pPr>
              <w:widowControl/>
              <w:jc w:val="left"/>
              <w:textAlignment w:val="center"/>
              <w:rPr>
                <w:rFonts w:ascii="仿宋" w:hAnsi="仿宋" w:eastAsia="仿宋" w:cs="仿宋"/>
                <w:b/>
                <w:bCs/>
                <w:color w:val="000000"/>
                <w:kern w:val="0"/>
                <w:sz w:val="22"/>
                <w:szCs w:val="22"/>
              </w:rPr>
            </w:pPr>
            <w:r>
              <w:rPr>
                <w:rFonts w:hint="eastAsia" w:ascii="仿宋" w:hAnsi="仿宋" w:eastAsia="仿宋" w:cs="仿宋"/>
                <w:color w:val="000000"/>
                <w:kern w:val="0"/>
                <w:sz w:val="22"/>
                <w:szCs w:val="22"/>
              </w:rPr>
              <w:t>6. 可识别图书：多本（堆砌高度：≤250mm）；</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7. 天线板规格：长≥360mm，宽≥275mm，高≥15mm；</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8. 防冲突性：一次至少可有效识读8个RFID标签。</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9. ★读者证阅读器：具备RF读者证阅读模块，支持ISO14443A标准( 例如Mifare S50卡 )、ISO15693标准、ID卡（例如EM4100卡）；</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功能参数：</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1. ★ 支持RFID标签非接触式地进行阅读，有读取、写入、改写RFID标签的能力，允许流通资料的相关信息快速写入标签。</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2. ★ 多种工作模式：管理员界面可选配馆员模式、自助借还模式、借书模式、还书模式、查询模式等多种工作模式保证系统软件操作更便捷化；</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3.★图书管理：包含图书绑定、图书列表、借还标志位、标签读取以及馆藏地迁移；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4．图书绑定：具有条形码和标签的绑定，将图书信息上传后台，允许删除或导出的功能；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5.图书列表：可获取图书列表、删除指定图书、条件检索图书，支持查找和删除已经转换过的标签，可通过“条码”、“标签”、“作者”进行查找；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6.EAS防盗位读写：自动读取借还标志位(EAS)状态支持修改RFID标签安全位的开启和关闭；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7.标签读写：自动读取标签信息，支持检测和修改图书标签内相关信息以及核对标签转换是否正常；标签读写支持ISO28560规范</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8.馆藏地迁移：支持已绑定图书信息迁移到所选的馆藏地；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9.读者激活：系统读取读者证标签，扫描读者证号完成写标签选择馆藏地上传后台及完成读者激活，便可再设备进行借还操作；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10.读者列表：可获取读者列表、查看读者信息与借阅记录允许删除或导出指定读者；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11.借还操作：支持借书、还书、预约，允许查看读者借阅记录以及读者信息；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12.层架标创建：支持层架标创建、上传同步，创建新层架标并加入描述方便管控层架；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13.层架标列表：可获取层架标列表、编辑修改删除指定层架标信息；</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14.★系统设置：包括检索读卡器、图书管理系统、功能选配、设置组织、语言设置、帮助指南等多个设置；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15.检索读卡器：设备开启时若为连接读卡器，待连接后点击检索读卡器即可连接；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16.图书管理系统：设置图书馆管理系统的地址，点击浏览器打开可跳转至图书馆管理系统；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17.功能选配：控制导航栏功能的显示和隐藏；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18.设置组织：可随时切换所需操作的组织单位；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 xml:space="preserve">19.语言：支持中、英文切换；  </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20.★账号管理：允许用户修改昵称，绑定电话号码及邮箱，支持修改密码；</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21.★自助借还模式：具有查看读者信息，允许读者自助借还书刊、查询书刊详情馆藏位置、预借书刊、并可查看读者借阅记录的功能；</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22.借书模式：仅允许读者借阅书刊；</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23.★还书模式:仅允许读者还书操作,提示读者还书位置，方便规范管理，减少馆员工作量；</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24.查询模式：仅允许读者查询所属馆藏地的书刊位置、条码、书刊详情；</w:t>
            </w:r>
            <w:r>
              <w:rPr>
                <w:rFonts w:hint="eastAsia" w:ascii="仿宋" w:hAnsi="仿宋" w:eastAsia="仿宋" w:cs="仿宋"/>
                <w:color w:val="000000"/>
                <w:kern w:val="0"/>
                <w:sz w:val="22"/>
                <w:szCs w:val="22"/>
              </w:rPr>
              <w:br w:type="textWrapping"/>
            </w:r>
            <w:r>
              <w:rPr>
                <w:rFonts w:hint="eastAsia" w:ascii="仿宋" w:hAnsi="仿宋" w:eastAsia="仿宋" w:cs="仿宋"/>
                <w:b/>
                <w:bCs/>
                <w:color w:val="000000"/>
                <w:kern w:val="0"/>
                <w:sz w:val="22"/>
                <w:szCs w:val="22"/>
              </w:rPr>
              <w:t>以上带“★”参数需提供产品功能截图或检测报告复印件并加盖投标人公章，中标后原件备查。</w:t>
            </w:r>
          </w:p>
          <w:p>
            <w:pPr>
              <w:widowControl/>
              <w:jc w:val="left"/>
              <w:textAlignment w:val="center"/>
              <w:rPr>
                <w:rFonts w:ascii="仿宋" w:hAnsi="仿宋" w:eastAsia="仿宋" w:cs="仿宋"/>
                <w:color w:val="000000"/>
                <w:sz w:val="22"/>
                <w:szCs w:val="22"/>
              </w:rPr>
            </w:pPr>
            <w:r>
              <w:rPr>
                <w:rFonts w:hint="eastAsia" w:ascii="仿宋" w:hAnsi="仿宋" w:eastAsia="仿宋" w:cs="仿宋"/>
                <w:b/>
                <w:bCs/>
                <w:color w:val="000000"/>
                <w:kern w:val="0"/>
                <w:sz w:val="22"/>
                <w:szCs w:val="22"/>
              </w:rPr>
              <w:t>资质参数：</w:t>
            </w:r>
            <w:r>
              <w:rPr>
                <w:rFonts w:hint="eastAsia" w:ascii="仿宋" w:hAnsi="仿宋" w:eastAsia="仿宋" w:cs="仿宋"/>
                <w:color w:val="000000"/>
                <w:kern w:val="0"/>
                <w:sz w:val="22"/>
                <w:szCs w:val="22"/>
              </w:rPr>
              <w:br w:type="textWrapping"/>
            </w:r>
            <w:r>
              <w:rPr>
                <w:rFonts w:hint="eastAsia" w:ascii="仿宋" w:hAnsi="仿宋" w:eastAsia="仿宋" w:cs="仿宋"/>
                <w:b/>
                <w:bCs/>
                <w:color w:val="000000"/>
                <w:kern w:val="0"/>
                <w:sz w:val="22"/>
                <w:szCs w:val="22"/>
              </w:rPr>
              <w:t>★</w:t>
            </w:r>
            <w:r>
              <w:rPr>
                <w:rFonts w:hint="eastAsia" w:ascii="仿宋" w:hAnsi="仿宋" w:eastAsia="仿宋" w:cs="仿宋"/>
                <w:color w:val="000000"/>
                <w:kern w:val="0"/>
                <w:sz w:val="22"/>
                <w:szCs w:val="22"/>
              </w:rPr>
              <w:t>1.所投设备具备馆员工作站系统软件著作权登记证书；</w:t>
            </w:r>
            <w:r>
              <w:rPr>
                <w:rFonts w:hint="eastAsia" w:ascii="仿宋" w:hAnsi="仿宋" w:eastAsia="仿宋" w:cs="仿宋"/>
                <w:color w:val="000000"/>
                <w:kern w:val="0"/>
                <w:sz w:val="22"/>
                <w:szCs w:val="22"/>
              </w:rPr>
              <w:br w:type="textWrapping"/>
            </w:r>
            <w:r>
              <w:rPr>
                <w:rFonts w:hint="eastAsia" w:ascii="仿宋" w:hAnsi="仿宋" w:eastAsia="仿宋" w:cs="仿宋"/>
                <w:b/>
                <w:bCs/>
                <w:color w:val="000000"/>
                <w:kern w:val="0"/>
                <w:sz w:val="22"/>
                <w:szCs w:val="22"/>
              </w:rPr>
              <w:t>★</w:t>
            </w:r>
            <w:r>
              <w:rPr>
                <w:rFonts w:hint="eastAsia" w:ascii="仿宋" w:hAnsi="仿宋" w:eastAsia="仿宋" w:cs="仿宋"/>
                <w:color w:val="000000"/>
                <w:kern w:val="0"/>
                <w:sz w:val="22"/>
                <w:szCs w:val="22"/>
              </w:rPr>
              <w:t>2.所投设备具备省级以上软件检测报告；</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9</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电脑</w:t>
            </w:r>
          </w:p>
        </w:tc>
        <w:tc>
          <w:tcPr>
            <w:tcW w:w="6922" w:type="dxa"/>
            <w:vAlign w:val="center"/>
          </w:tcPr>
          <w:p>
            <w:pPr>
              <w:rPr>
                <w:rFonts w:ascii="仿宋" w:hAnsi="仿宋" w:eastAsia="仿宋" w:cs="仿宋"/>
                <w:kern w:val="0"/>
                <w:sz w:val="22"/>
                <w:szCs w:val="22"/>
              </w:rPr>
            </w:pPr>
            <w:r>
              <w:rPr>
                <w:rFonts w:hint="eastAsia" w:ascii="仿宋" w:hAnsi="仿宋" w:eastAsia="仿宋" w:cs="仿宋"/>
                <w:kern w:val="0"/>
                <w:sz w:val="22"/>
                <w:szCs w:val="22"/>
              </w:rPr>
              <w:t>电脑：CPU:酷睿I5-10400 ；内存 DDR4 8GB ；  存储：512GB Nvme SSD ；屏幕尺寸：≧15英寸；鼠标:无线鼠标。显卡:独立显卡 ；操作系统：windows10专业版 ；视频接口：VHA\HDMI/Type-c。</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10</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打印机</w:t>
            </w:r>
          </w:p>
        </w:tc>
        <w:tc>
          <w:tcPr>
            <w:tcW w:w="6922" w:type="dxa"/>
            <w:vAlign w:val="center"/>
          </w:tcPr>
          <w:p>
            <w:pPr>
              <w:adjustRightInd w:val="0"/>
              <w:snapToGrid w:val="0"/>
              <w:spacing w:line="360" w:lineRule="auto"/>
              <w:rPr>
                <w:rFonts w:ascii="仿宋" w:hAnsi="仿宋" w:eastAsia="仿宋" w:cs="仿宋"/>
                <w:kern w:val="0"/>
                <w:sz w:val="22"/>
                <w:szCs w:val="22"/>
              </w:rPr>
            </w:pPr>
            <w:r>
              <w:rPr>
                <w:rFonts w:hint="eastAsia" w:ascii="仿宋" w:hAnsi="仿宋" w:eastAsia="仿宋" w:cs="仿宋"/>
                <w:color w:val="000000"/>
                <w:sz w:val="22"/>
                <w:szCs w:val="22"/>
              </w:rPr>
              <w:t>打印机参数：鼓粉分离可加粉，防卡纸，实现打印复印功能，打印复印速度可实现30张/分钟。</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97"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11</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还书箱</w:t>
            </w:r>
          </w:p>
        </w:tc>
        <w:tc>
          <w:tcPr>
            <w:tcW w:w="6922" w:type="dxa"/>
            <w:vAlign w:val="center"/>
          </w:tcPr>
          <w:p>
            <w:pPr>
              <w:rPr>
                <w:rFonts w:ascii="仿宋" w:hAnsi="仿宋" w:eastAsia="仿宋" w:cs="仿宋"/>
                <w:b/>
                <w:bCs/>
                <w:sz w:val="22"/>
                <w:szCs w:val="22"/>
              </w:rPr>
            </w:pPr>
            <w:bookmarkStart w:id="3" w:name="_Toc27310"/>
            <w:r>
              <w:rPr>
                <w:rFonts w:hint="eastAsia" w:ascii="仿宋" w:hAnsi="仿宋" w:eastAsia="仿宋" w:cs="仿宋"/>
                <w:b/>
                <w:bCs/>
                <w:sz w:val="22"/>
                <w:szCs w:val="22"/>
              </w:rPr>
              <w:t>技术参数：</w:t>
            </w:r>
            <w:bookmarkEnd w:id="3"/>
          </w:p>
          <w:p>
            <w:pPr>
              <w:rPr>
                <w:rFonts w:ascii="仿宋" w:hAnsi="仿宋" w:eastAsia="仿宋" w:cs="仿宋"/>
                <w:kern w:val="0"/>
                <w:sz w:val="22"/>
                <w:szCs w:val="22"/>
              </w:rPr>
            </w:pPr>
            <w:r>
              <w:rPr>
                <w:rFonts w:hint="eastAsia" w:ascii="仿宋" w:hAnsi="仿宋" w:eastAsia="仿宋" w:cs="仿宋"/>
                <w:kern w:val="0"/>
                <w:sz w:val="22"/>
                <w:szCs w:val="22"/>
              </w:rPr>
              <w:t>材质：毛毯，超静音耐磨脚轮，质量好，不锈钢无缝拉手；</w:t>
            </w:r>
          </w:p>
          <w:p>
            <w:pPr>
              <w:rPr>
                <w:rFonts w:ascii="仿宋" w:hAnsi="仿宋" w:eastAsia="仿宋" w:cs="仿宋"/>
                <w:kern w:val="0"/>
                <w:sz w:val="22"/>
                <w:szCs w:val="22"/>
              </w:rPr>
            </w:pPr>
            <w:r>
              <w:rPr>
                <w:rFonts w:hint="eastAsia" w:ascii="仿宋" w:hAnsi="仿宋" w:eastAsia="仿宋" w:cs="仿宋"/>
                <w:kern w:val="0"/>
                <w:sz w:val="22"/>
                <w:szCs w:val="22"/>
              </w:rPr>
              <w:t>平台升降高度：≤450mm；</w:t>
            </w:r>
          </w:p>
          <w:p>
            <w:pPr>
              <w:rPr>
                <w:rFonts w:ascii="仿宋" w:hAnsi="仿宋" w:eastAsia="仿宋" w:cs="仿宋"/>
                <w:kern w:val="0"/>
                <w:sz w:val="22"/>
                <w:szCs w:val="22"/>
              </w:rPr>
            </w:pPr>
            <w:r>
              <w:rPr>
                <w:rFonts w:hint="eastAsia" w:ascii="仿宋" w:hAnsi="仿宋" w:eastAsia="仿宋" w:cs="仿宋"/>
                <w:kern w:val="0"/>
                <w:sz w:val="22"/>
                <w:szCs w:val="22"/>
              </w:rPr>
              <w:t>藏书量：≥150L（可放80-200册)；</w:t>
            </w:r>
          </w:p>
          <w:p>
            <w:pPr>
              <w:rPr>
                <w:rFonts w:ascii="仿宋" w:hAnsi="仿宋" w:eastAsia="仿宋" w:cs="仿宋"/>
                <w:kern w:val="0"/>
                <w:sz w:val="22"/>
                <w:szCs w:val="22"/>
              </w:rPr>
            </w:pPr>
            <w:r>
              <w:rPr>
                <w:rFonts w:hint="eastAsia" w:ascii="仿宋" w:hAnsi="仿宋" w:eastAsia="仿宋" w:cs="仿宋"/>
                <w:kern w:val="0"/>
                <w:sz w:val="22"/>
                <w:szCs w:val="22"/>
              </w:rPr>
              <w:t>材质工艺：型材+板材+丝印+纤维；</w:t>
            </w:r>
          </w:p>
          <w:p>
            <w:pPr>
              <w:rPr>
                <w:rFonts w:ascii="仿宋" w:hAnsi="仿宋" w:eastAsia="仿宋" w:cs="仿宋"/>
                <w:kern w:val="0"/>
                <w:sz w:val="22"/>
                <w:szCs w:val="22"/>
              </w:rPr>
            </w:pPr>
            <w:r>
              <w:rPr>
                <w:rFonts w:hint="eastAsia" w:ascii="仿宋" w:hAnsi="仿宋" w:eastAsia="仿宋" w:cs="仿宋"/>
                <w:kern w:val="0"/>
                <w:sz w:val="22"/>
                <w:szCs w:val="22"/>
              </w:rPr>
              <w:t>最大承重：≤200KG，升降托架有效最大承重：≤100KG，抗变形数：≥100000次；</w:t>
            </w:r>
          </w:p>
          <w:p>
            <w:pPr>
              <w:rPr>
                <w:rFonts w:ascii="仿宋" w:hAnsi="仿宋" w:eastAsia="仿宋" w:cs="仿宋"/>
                <w:kern w:val="0"/>
                <w:sz w:val="22"/>
                <w:szCs w:val="22"/>
              </w:rPr>
            </w:pPr>
            <w:r>
              <w:rPr>
                <w:rFonts w:hint="eastAsia" w:ascii="仿宋" w:hAnsi="仿宋" w:eastAsia="仿宋" w:cs="仿宋"/>
                <w:kern w:val="0"/>
                <w:sz w:val="22"/>
                <w:szCs w:val="22"/>
              </w:rPr>
              <w:t>设备尺寸：665*610*710（长*宽*高，不含手柄和轮子尺寸）；</w:t>
            </w:r>
          </w:p>
          <w:p>
            <w:pPr>
              <w:rPr>
                <w:rFonts w:ascii="仿宋" w:hAnsi="仿宋" w:eastAsia="仿宋" w:cs="仿宋"/>
                <w:b/>
                <w:bCs/>
                <w:kern w:val="0"/>
                <w:sz w:val="22"/>
                <w:szCs w:val="22"/>
              </w:rPr>
            </w:pPr>
            <w:bookmarkStart w:id="4" w:name="_Toc29352"/>
            <w:r>
              <w:rPr>
                <w:rFonts w:hint="eastAsia" w:ascii="仿宋" w:hAnsi="仿宋" w:eastAsia="仿宋" w:cs="仿宋"/>
                <w:b/>
                <w:bCs/>
                <w:kern w:val="0"/>
                <w:sz w:val="22"/>
                <w:szCs w:val="22"/>
              </w:rPr>
              <w:t>功能参数：</w:t>
            </w:r>
            <w:bookmarkEnd w:id="4"/>
          </w:p>
          <w:p>
            <w:pPr>
              <w:rPr>
                <w:rFonts w:ascii="仿宋" w:hAnsi="仿宋" w:eastAsia="仿宋" w:cs="仿宋"/>
                <w:kern w:val="0"/>
                <w:sz w:val="22"/>
                <w:szCs w:val="22"/>
              </w:rPr>
            </w:pPr>
            <w:r>
              <w:rPr>
                <w:rFonts w:hint="eastAsia" w:ascii="仿宋" w:hAnsi="仿宋" w:eastAsia="仿宋" w:cs="仿宋"/>
                <w:kern w:val="0"/>
                <w:sz w:val="22"/>
                <w:szCs w:val="22"/>
              </w:rPr>
              <w:t>与室内自助借还机配合使用，中转存放归还图书，是一种在图书重力作用下自行适度升降的还书</w:t>
            </w:r>
            <w:r>
              <w:rPr>
                <w:rFonts w:hint="eastAsia" w:ascii="仿宋" w:hAnsi="仿宋" w:eastAsia="仿宋" w:cs="仿宋"/>
                <w:sz w:val="22"/>
                <w:szCs w:val="22"/>
              </w:rPr>
              <w:t>箱。</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12</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消防设备</w:t>
            </w:r>
          </w:p>
        </w:tc>
        <w:tc>
          <w:tcPr>
            <w:tcW w:w="6922" w:type="dxa"/>
            <w:vAlign w:val="center"/>
          </w:tcPr>
          <w:p>
            <w:pPr>
              <w:numPr>
                <w:ilvl w:val="0"/>
                <w:numId w:val="7"/>
              </w:numPr>
              <w:adjustRightInd w:val="0"/>
              <w:snapToGrid w:val="0"/>
              <w:spacing w:line="360" w:lineRule="auto"/>
              <w:rPr>
                <w:rFonts w:ascii="仿宋" w:hAnsi="仿宋" w:eastAsia="仿宋" w:cs="仿宋"/>
                <w:sz w:val="22"/>
                <w:szCs w:val="22"/>
              </w:rPr>
            </w:pPr>
            <w:r>
              <w:rPr>
                <w:rFonts w:hint="eastAsia" w:ascii="仿宋" w:hAnsi="仿宋" w:eastAsia="仿宋" w:cs="仿宋"/>
                <w:sz w:val="22"/>
                <w:szCs w:val="22"/>
              </w:rPr>
              <w:t>根据采购方各个建设点的室内面积、布局情况，进行烟雾报警器的分布式安装</w:t>
            </w:r>
          </w:p>
          <w:p>
            <w:pPr>
              <w:adjustRightInd w:val="0"/>
              <w:snapToGrid w:val="0"/>
              <w:spacing w:line="360" w:lineRule="auto"/>
              <w:rPr>
                <w:rFonts w:ascii="仿宋" w:hAnsi="仿宋" w:eastAsia="仿宋" w:cs="仿宋"/>
                <w:kern w:val="0"/>
                <w:sz w:val="22"/>
                <w:szCs w:val="22"/>
              </w:rPr>
            </w:pPr>
            <w:r>
              <w:rPr>
                <w:rFonts w:hint="eastAsia" w:ascii="仿宋" w:hAnsi="仿宋" w:eastAsia="仿宋" w:cs="仿宋"/>
                <w:sz w:val="22"/>
                <w:szCs w:val="22"/>
              </w:rPr>
              <w:t>2.按照消防要求，配置相应数量的灭火器，并负责</w:t>
            </w:r>
            <w:r>
              <w:rPr>
                <w:rFonts w:hint="eastAsia" w:ascii="仿宋" w:hAnsi="仿宋" w:eastAsia="仿宋" w:cs="仿宋"/>
                <w:sz w:val="22"/>
                <w:szCs w:val="22"/>
                <w:lang w:val="en-US" w:eastAsia="zh-CN"/>
              </w:rPr>
              <w:t>3</w:t>
            </w:r>
            <w:r>
              <w:rPr>
                <w:rFonts w:hint="eastAsia" w:ascii="仿宋" w:hAnsi="仿宋" w:eastAsia="仿宋" w:cs="仿宋"/>
                <w:sz w:val="22"/>
                <w:szCs w:val="22"/>
              </w:rPr>
              <w:t>年灭火器的维护。</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13</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氛围营造</w:t>
            </w:r>
          </w:p>
        </w:tc>
        <w:tc>
          <w:tcPr>
            <w:tcW w:w="6922" w:type="dxa"/>
            <w:vAlign w:val="center"/>
          </w:tcPr>
          <w:p>
            <w:pPr>
              <w:rPr>
                <w:rFonts w:ascii="仿宋" w:hAnsi="仿宋" w:eastAsia="仿宋" w:cs="仿宋"/>
                <w:color w:val="000000"/>
                <w:kern w:val="0"/>
                <w:sz w:val="22"/>
                <w:szCs w:val="22"/>
              </w:rPr>
            </w:pPr>
            <w:r>
              <w:rPr>
                <w:rFonts w:hint="eastAsia" w:ascii="仿宋" w:hAnsi="仿宋" w:eastAsia="仿宋" w:cs="仿宋"/>
                <w:color w:val="000000"/>
                <w:kern w:val="0"/>
                <w:sz w:val="22"/>
                <w:szCs w:val="22"/>
              </w:rPr>
              <w:t>功能要求：</w:t>
            </w:r>
          </w:p>
          <w:p>
            <w:pPr>
              <w:numPr>
                <w:ilvl w:val="0"/>
                <w:numId w:val="8"/>
              </w:numPr>
              <w:rPr>
                <w:rFonts w:ascii="仿宋" w:hAnsi="仿宋" w:eastAsia="仿宋" w:cs="仿宋"/>
                <w:kern w:val="0"/>
                <w:sz w:val="22"/>
                <w:szCs w:val="22"/>
              </w:rPr>
            </w:pPr>
            <w:r>
              <w:rPr>
                <w:rFonts w:hint="eastAsia" w:ascii="仿宋" w:hAnsi="仿宋" w:eastAsia="仿宋" w:cs="仿宋"/>
                <w:color w:val="000000"/>
                <w:kern w:val="0"/>
                <w:sz w:val="22"/>
                <w:szCs w:val="22"/>
              </w:rPr>
              <w:t>每个百姓书屋房体内标配设备包括：监控、LED 灯、根据实际环境定制个性化书架、阅览桌椅、</w:t>
            </w:r>
            <w:r>
              <w:rPr>
                <w:rFonts w:hint="eastAsia" w:ascii="仿宋" w:hAnsi="仿宋" w:eastAsia="仿宋" w:cs="仿宋"/>
                <w:kern w:val="0"/>
                <w:sz w:val="22"/>
                <w:szCs w:val="22"/>
              </w:rPr>
              <w:t>自助设备、绿植、氛围打造。</w:t>
            </w:r>
          </w:p>
          <w:p>
            <w:pPr>
              <w:numPr>
                <w:ilvl w:val="0"/>
                <w:numId w:val="8"/>
              </w:numPr>
              <w:rPr>
                <w:rFonts w:ascii="仿宋" w:hAnsi="仿宋" w:eastAsia="仿宋" w:cs="仿宋"/>
                <w:color w:val="000000"/>
                <w:kern w:val="0"/>
                <w:sz w:val="22"/>
                <w:szCs w:val="22"/>
              </w:rPr>
            </w:pPr>
            <w:r>
              <w:rPr>
                <w:rFonts w:hint="eastAsia" w:ascii="仿宋" w:hAnsi="仿宋" w:eastAsia="仿宋" w:cs="仿宋"/>
                <w:color w:val="000000"/>
                <w:sz w:val="22"/>
                <w:szCs w:val="22"/>
              </w:rPr>
              <w:t>★</w:t>
            </w:r>
            <w:r>
              <w:rPr>
                <w:rFonts w:hint="eastAsia" w:ascii="仿宋" w:hAnsi="仿宋" w:eastAsia="仿宋" w:cs="仿宋"/>
                <w:kern w:val="0"/>
                <w:sz w:val="22"/>
                <w:szCs w:val="22"/>
              </w:rPr>
              <w:t>每个百姓书屋由采购方负责选址，并由中标方自行负责场地</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年的维护权，期间不再支付其他费用（含人员工资，软硬件设备维护，网络费</w:t>
            </w:r>
            <w:r>
              <w:rPr>
                <w:rFonts w:hint="eastAsia" w:ascii="仿宋" w:hAnsi="仿宋" w:eastAsia="仿宋" w:cs="仿宋"/>
                <w:kern w:val="0"/>
                <w:sz w:val="22"/>
                <w:szCs w:val="22"/>
                <w:lang w:eastAsia="zh-CN"/>
              </w:rPr>
              <w:t>、</w:t>
            </w:r>
            <w:r>
              <w:rPr>
                <w:rFonts w:hint="eastAsia" w:ascii="仿宋" w:hAnsi="仿宋" w:eastAsia="仿宋" w:cs="仿宋"/>
                <w:kern w:val="0"/>
                <w:sz w:val="22"/>
                <w:szCs w:val="22"/>
                <w:lang w:val="en-US" w:eastAsia="zh-CN"/>
              </w:rPr>
              <w:t>水电暖、运营费</w:t>
            </w:r>
            <w:r>
              <w:rPr>
                <w:rFonts w:hint="eastAsia" w:ascii="仿宋" w:hAnsi="仿宋" w:eastAsia="仿宋" w:cs="仿宋"/>
                <w:kern w:val="0"/>
                <w:sz w:val="22"/>
                <w:szCs w:val="22"/>
              </w:rPr>
              <w:t>等相关费用</w:t>
            </w:r>
            <w:r>
              <w:rPr>
                <w:rFonts w:hint="eastAsia" w:ascii="仿宋" w:hAnsi="仿宋" w:eastAsia="仿宋" w:cs="仿宋"/>
                <w:kern w:val="0"/>
                <w:sz w:val="22"/>
                <w:szCs w:val="22"/>
                <w:lang w:val="en-US" w:eastAsia="zh-CN"/>
              </w:rPr>
              <w:t>不再另行支付</w:t>
            </w:r>
            <w:r>
              <w:rPr>
                <w:rFonts w:hint="eastAsia" w:ascii="仿宋" w:hAnsi="仿宋" w:eastAsia="仿宋" w:cs="仿宋"/>
                <w:kern w:val="0"/>
                <w:sz w:val="22"/>
                <w:szCs w:val="22"/>
              </w:rPr>
              <w:t>）经采购方同意后，由中标方根据实际提供整体设计解决方案（不得高于预算控制价），方案需经采购方同意后方可实施。</w:t>
            </w:r>
          </w:p>
          <w:p>
            <w:pPr>
              <w:numPr>
                <w:ilvl w:val="0"/>
                <w:numId w:val="8"/>
              </w:numPr>
              <w:rPr>
                <w:rFonts w:ascii="仿宋" w:hAnsi="仿宋" w:eastAsia="仿宋" w:cs="仿宋"/>
                <w:color w:val="000000"/>
                <w:kern w:val="0"/>
                <w:sz w:val="22"/>
                <w:szCs w:val="22"/>
              </w:rPr>
            </w:pPr>
            <w:r>
              <w:rPr>
                <w:rFonts w:hint="eastAsia" w:ascii="仿宋" w:hAnsi="仿宋" w:eastAsia="仿宋" w:cs="仿宋"/>
                <w:kern w:val="0"/>
                <w:sz w:val="22"/>
                <w:szCs w:val="22"/>
              </w:rPr>
              <w:t>除整体设计解决方案外，需根据采购方要求，提供对应平面效果图、设计图不少于3种方案供采购方选择，根据效果图确定施工方案。</w:t>
            </w:r>
            <w:r>
              <w:rPr>
                <w:rFonts w:hint="eastAsia" w:ascii="仿宋" w:hAnsi="仿宋" w:eastAsia="仿宋" w:cs="仿宋"/>
                <w:b/>
                <w:bCs/>
                <w:kern w:val="0"/>
                <w:sz w:val="22"/>
                <w:szCs w:val="22"/>
              </w:rPr>
              <w:t>（需要投标方把设计图做进标书中）</w:t>
            </w:r>
          </w:p>
          <w:p>
            <w:pPr>
              <w:numPr>
                <w:ilvl w:val="0"/>
                <w:numId w:val="8"/>
              </w:numPr>
              <w:rPr>
                <w:rFonts w:ascii="仿宋" w:hAnsi="仿宋" w:eastAsia="仿宋" w:cs="仿宋"/>
                <w:color w:val="000000"/>
                <w:kern w:val="0"/>
                <w:sz w:val="22"/>
                <w:szCs w:val="22"/>
              </w:rPr>
            </w:pPr>
            <w:r>
              <w:rPr>
                <w:rFonts w:hint="eastAsia" w:ascii="仿宋" w:hAnsi="仿宋" w:eastAsia="仿宋" w:cs="仿宋"/>
                <w:kern w:val="0"/>
                <w:sz w:val="22"/>
                <w:szCs w:val="22"/>
              </w:rPr>
              <w:t>中标方提供7×24小时售后服务，应急服务不到位，采购方有权酌情扣除相应的质保金。</w:t>
            </w:r>
          </w:p>
          <w:p>
            <w:pPr>
              <w:numPr>
                <w:ilvl w:val="0"/>
                <w:numId w:val="8"/>
              </w:numPr>
              <w:rPr>
                <w:rFonts w:ascii="仿宋" w:hAnsi="仿宋" w:eastAsia="仿宋" w:cs="仿宋"/>
                <w:sz w:val="22"/>
                <w:szCs w:val="22"/>
              </w:rPr>
            </w:pPr>
            <w:r>
              <w:rPr>
                <w:rFonts w:hint="eastAsia" w:ascii="仿宋" w:hAnsi="仿宋" w:eastAsia="仿宋" w:cs="仿宋"/>
                <w:kern w:val="0"/>
                <w:sz w:val="22"/>
                <w:szCs w:val="22"/>
              </w:rPr>
              <w:t>中标后有能力提供《百姓书屋服务规范方案》（参考），并由招标方同意，中标方提供5名合同期内的</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年驻场人员，由市图书馆管理使用，协助百姓书屋正常运转，人员工资及待遇由中标方承担。</w:t>
            </w:r>
          </w:p>
          <w:p>
            <w:pPr>
              <w:numPr>
                <w:ilvl w:val="0"/>
                <w:numId w:val="8"/>
              </w:numPr>
              <w:rPr>
                <w:rFonts w:ascii="仿宋" w:hAnsi="仿宋" w:eastAsia="仿宋" w:cs="仿宋"/>
                <w:sz w:val="22"/>
                <w:szCs w:val="22"/>
              </w:rPr>
            </w:pPr>
            <w:r>
              <w:rPr>
                <w:rFonts w:hint="eastAsia" w:ascii="仿宋" w:hAnsi="仿宋" w:eastAsia="仿宋" w:cs="仿宋"/>
                <w:kern w:val="0"/>
                <w:sz w:val="22"/>
                <w:szCs w:val="22"/>
              </w:rPr>
              <w:t>提供3套统一标识logo设计方案、门头设计方案（含释义、效果图，</w:t>
            </w:r>
            <w:r>
              <w:rPr>
                <w:rFonts w:hint="eastAsia" w:ascii="仿宋" w:hAnsi="仿宋" w:eastAsia="仿宋" w:cs="仿宋"/>
                <w:b/>
                <w:bCs/>
                <w:kern w:val="0"/>
                <w:sz w:val="22"/>
                <w:szCs w:val="22"/>
              </w:rPr>
              <w:t>要体现泉州对口援疆城市元素</w:t>
            </w:r>
            <w:r>
              <w:rPr>
                <w:rFonts w:hint="eastAsia" w:ascii="仿宋" w:hAnsi="仿宋" w:eastAsia="仿宋" w:cs="仿宋"/>
                <w:kern w:val="0"/>
                <w:sz w:val="22"/>
                <w:szCs w:val="22"/>
              </w:rPr>
              <w:t>）供采购方选择后实施。</w:t>
            </w:r>
            <w:r>
              <w:rPr>
                <w:rFonts w:hint="eastAsia" w:ascii="仿宋" w:hAnsi="仿宋" w:eastAsia="仿宋" w:cs="仿宋"/>
                <w:b/>
                <w:bCs/>
                <w:kern w:val="0"/>
                <w:sz w:val="22"/>
                <w:szCs w:val="22"/>
              </w:rPr>
              <w:t>（需要投标方把设计图做进标书中）</w:t>
            </w:r>
          </w:p>
          <w:p>
            <w:pPr>
              <w:rPr>
                <w:rFonts w:ascii="仿宋" w:hAnsi="仿宋" w:eastAsia="仿宋" w:cs="仿宋"/>
                <w:color w:val="000000"/>
                <w:kern w:val="0"/>
                <w:sz w:val="22"/>
                <w:szCs w:val="22"/>
                <w:u w:val="single"/>
              </w:rPr>
            </w:pPr>
            <w:r>
              <w:rPr>
                <w:rFonts w:hint="eastAsia" w:ascii="仿宋" w:hAnsi="仿宋" w:eastAsia="仿宋" w:cs="仿宋"/>
                <w:kern w:val="0"/>
                <w:sz w:val="22"/>
                <w:szCs w:val="22"/>
              </w:rPr>
              <w:t>7</w:t>
            </w:r>
            <w:r>
              <w:rPr>
                <w:rFonts w:hint="eastAsia" w:ascii="仿宋" w:hAnsi="仿宋" w:eastAsia="仿宋" w:cs="仿宋"/>
                <w:color w:val="000000"/>
                <w:kern w:val="0"/>
                <w:sz w:val="22"/>
                <w:szCs w:val="22"/>
              </w:rPr>
              <w:t>、外观个性化：造型要和周围环境相协调，达到简洁明了</w:t>
            </w:r>
            <w:r>
              <w:rPr>
                <w:rFonts w:hint="eastAsia" w:ascii="仿宋" w:hAnsi="仿宋" w:eastAsia="仿宋" w:cs="仿宋"/>
                <w:b/>
                <w:bCs/>
                <w:color w:val="000000"/>
                <w:kern w:val="0"/>
                <w:sz w:val="22"/>
                <w:szCs w:val="22"/>
              </w:rPr>
              <w:t>。</w:t>
            </w:r>
            <w:r>
              <w:rPr>
                <w:rFonts w:hint="eastAsia" w:ascii="仿宋" w:hAnsi="仿宋" w:eastAsia="仿宋" w:cs="仿宋"/>
                <w:b/>
                <w:bCs/>
                <w:color w:val="000000"/>
                <w:kern w:val="0"/>
                <w:sz w:val="22"/>
                <w:szCs w:val="22"/>
              </w:rPr>
              <w:br w:type="textWrapping"/>
            </w:r>
            <w:r>
              <w:rPr>
                <w:rFonts w:hint="eastAsia" w:ascii="仿宋" w:hAnsi="仿宋" w:eastAsia="仿宋" w:cs="仿宋"/>
                <w:color w:val="000000"/>
                <w:kern w:val="0"/>
                <w:sz w:val="22"/>
                <w:szCs w:val="22"/>
              </w:rPr>
              <w:t>8、功能区域：根据不同百姓书屋选址实际情况和读者主体，划分功能区域并在效果图中反映出来。</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9、材料说明：使用的材料必须符合国家规定的防火、环保等级。</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10、美化环境需要，书房内有摆放绿植。</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11、牌匾发光字，面层为 5mm 透明耐力板，内置 3mm 耐力板，外框不锈钢扣边，可以发光。Logo 采用亚克力吸朔面板，内置 led 光源。</w:t>
            </w:r>
            <w:r>
              <w:rPr>
                <w:rFonts w:hint="eastAsia" w:ascii="仿宋" w:hAnsi="仿宋" w:eastAsia="仿宋" w:cs="仿宋"/>
                <w:color w:val="000000"/>
                <w:kern w:val="0"/>
                <w:sz w:val="22"/>
                <w:szCs w:val="22"/>
                <w:highlight w:val="yellow"/>
              </w:rPr>
              <w:br w:type="textWrapping"/>
            </w:r>
            <w:r>
              <w:rPr>
                <w:rFonts w:hint="eastAsia" w:ascii="仿宋" w:hAnsi="仿宋" w:eastAsia="仿宋" w:cs="仿宋"/>
                <w:color w:val="000000"/>
                <w:kern w:val="0"/>
                <w:sz w:val="22"/>
                <w:szCs w:val="22"/>
              </w:rPr>
              <w:t>12、根据不同百姓书屋选址实际情况进行防水处理。</w:t>
            </w:r>
          </w:p>
          <w:p>
            <w:pPr>
              <w:rPr>
                <w:rFonts w:ascii="仿宋" w:hAnsi="仿宋" w:eastAsia="仿宋" w:cs="仿宋"/>
                <w:sz w:val="22"/>
                <w:szCs w:val="22"/>
              </w:rPr>
            </w:pPr>
            <w:r>
              <w:rPr>
                <w:rFonts w:hint="eastAsia" w:ascii="仿宋" w:hAnsi="仿宋" w:eastAsia="仿宋" w:cs="仿宋"/>
                <w:color w:val="000000"/>
                <w:kern w:val="0"/>
                <w:sz w:val="22"/>
                <w:szCs w:val="22"/>
              </w:rPr>
              <w:t>13、结构必须进行防腐处理。</w:t>
            </w:r>
          </w:p>
          <w:p>
            <w:pPr>
              <w:pStyle w:val="2"/>
              <w:rPr>
                <w:rFonts w:ascii="仿宋" w:hAnsi="仿宋" w:eastAsia="仿宋" w:cs="仿宋"/>
                <w:color w:val="000000"/>
                <w:kern w:val="0"/>
                <w:sz w:val="22"/>
                <w:szCs w:val="22"/>
              </w:rPr>
            </w:pPr>
            <w:r>
              <w:rPr>
                <w:rFonts w:hint="eastAsia" w:ascii="仿宋" w:hAnsi="仿宋" w:eastAsia="仿宋" w:cs="仿宋"/>
                <w:color w:val="000000"/>
                <w:kern w:val="0"/>
                <w:sz w:val="22"/>
                <w:szCs w:val="22"/>
              </w:rPr>
              <w:t>14、根据书屋的实际选址情况，经采购方同意对每一个百姓书屋进行不同风格的室内外环境打造。</w:t>
            </w:r>
          </w:p>
          <w:p>
            <w:pPr>
              <w:adjustRightInd w:val="0"/>
              <w:snapToGrid w:val="0"/>
              <w:spacing w:line="360" w:lineRule="auto"/>
              <w:rPr>
                <w:rFonts w:ascii="仿宋" w:hAnsi="仿宋" w:eastAsia="仿宋" w:cs="仿宋"/>
                <w:color w:val="000000"/>
                <w:kern w:val="0"/>
                <w:sz w:val="22"/>
                <w:szCs w:val="22"/>
              </w:rPr>
            </w:pPr>
            <w:r>
              <w:rPr>
                <w:rFonts w:hint="eastAsia" w:ascii="仿宋" w:hAnsi="仿宋" w:eastAsia="仿宋" w:cs="仿宋"/>
                <w:color w:val="000000"/>
                <w:kern w:val="0"/>
                <w:sz w:val="22"/>
                <w:szCs w:val="22"/>
              </w:rPr>
              <w:t>15、项目实施时，提供具体的项目实施方案，尺寸规格样式等可根据实际建设、环境要求及使用方需求进行定制</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服务要求：投标人提供设计效果图，效果图需装订在投标文件中。投标人必须到现场勘探，踏勘期间发生的意外自负，产生的有关前期费用由投标人自理。2个点的位置分别在</w:t>
            </w:r>
            <w:r>
              <w:rPr>
                <w:rFonts w:hint="eastAsia" w:ascii="仿宋" w:hAnsi="仿宋" w:eastAsia="仿宋" w:cs="仿宋"/>
                <w:color w:val="000000"/>
                <w:kern w:val="0"/>
                <w:sz w:val="22"/>
                <w:szCs w:val="22"/>
                <w:lang w:val="en-US" w:eastAsia="zh-CN"/>
              </w:rPr>
              <w:t>中山路街道</w:t>
            </w:r>
            <w:r>
              <w:rPr>
                <w:rFonts w:hint="eastAsia" w:ascii="仿宋" w:hAnsi="仿宋" w:eastAsia="仿宋" w:cs="仿宋"/>
                <w:color w:val="000000"/>
                <w:kern w:val="0"/>
                <w:sz w:val="22"/>
                <w:szCs w:val="22"/>
              </w:rPr>
              <w:t>天山社区（碧水锦苑小区）枫叶广场阅读点</w:t>
            </w:r>
            <w:r>
              <w:rPr>
                <w:rFonts w:hint="eastAsia" w:ascii="仿宋" w:hAnsi="仿宋" w:eastAsia="仿宋" w:cs="仿宋"/>
                <w:color w:val="000000"/>
                <w:kern w:val="0"/>
                <w:sz w:val="22"/>
                <w:szCs w:val="22"/>
                <w:lang w:val="en-US" w:eastAsia="zh-CN"/>
              </w:rPr>
              <w:t>2</w:t>
            </w:r>
            <w:r>
              <w:rPr>
                <w:rFonts w:hint="eastAsia" w:ascii="仿宋" w:hAnsi="仿宋" w:eastAsia="仿宋" w:cs="仿宋"/>
                <w:color w:val="000000"/>
                <w:kern w:val="0"/>
                <w:sz w:val="22"/>
                <w:szCs w:val="22"/>
              </w:rPr>
              <w:t>00平方米；</w:t>
            </w:r>
            <w:r>
              <w:rPr>
                <w:rFonts w:hint="eastAsia" w:ascii="仿宋" w:hAnsi="仿宋" w:eastAsia="仿宋" w:cs="仿宋"/>
                <w:color w:val="000000"/>
                <w:kern w:val="0"/>
                <w:sz w:val="22"/>
                <w:szCs w:val="22"/>
                <w:lang w:val="en-US" w:eastAsia="zh-CN"/>
              </w:rPr>
              <w:t>建国路街道晶彩城社区</w:t>
            </w:r>
            <w:r>
              <w:rPr>
                <w:rFonts w:hint="eastAsia" w:ascii="仿宋" w:hAnsi="仿宋" w:eastAsia="仿宋" w:cs="仿宋"/>
                <w:color w:val="000000"/>
                <w:kern w:val="0"/>
                <w:sz w:val="22"/>
                <w:szCs w:val="22"/>
              </w:rPr>
              <w:t>阅读点</w:t>
            </w:r>
            <w:r>
              <w:rPr>
                <w:rFonts w:hint="eastAsia" w:ascii="仿宋" w:hAnsi="仿宋" w:eastAsia="仿宋" w:cs="仿宋"/>
                <w:color w:val="000000"/>
                <w:kern w:val="0"/>
                <w:sz w:val="22"/>
                <w:szCs w:val="22"/>
                <w:lang w:val="en-US" w:eastAsia="zh-CN"/>
              </w:rPr>
              <w:t>1</w:t>
            </w:r>
            <w:r>
              <w:rPr>
                <w:rFonts w:hint="eastAsia" w:ascii="仿宋" w:hAnsi="仿宋" w:eastAsia="仿宋" w:cs="仿宋"/>
                <w:color w:val="000000"/>
                <w:kern w:val="0"/>
                <w:sz w:val="22"/>
                <w:szCs w:val="22"/>
              </w:rPr>
              <w:t>00平方米（二</w:t>
            </w:r>
            <w:r>
              <w:rPr>
                <w:rFonts w:hint="eastAsia" w:ascii="仿宋" w:hAnsi="仿宋" w:eastAsia="仿宋" w:cs="仿宋"/>
                <w:color w:val="000000"/>
                <w:kern w:val="0"/>
                <w:sz w:val="22"/>
                <w:szCs w:val="22"/>
                <w:lang w:eastAsia="zh-CN"/>
              </w:rPr>
              <w:t>楼</w:t>
            </w:r>
            <w:r>
              <w:rPr>
                <w:rFonts w:hint="eastAsia" w:ascii="仿宋" w:hAnsi="仿宋" w:eastAsia="仿宋" w:cs="仿宋"/>
                <w:color w:val="000000"/>
                <w:kern w:val="0"/>
                <w:sz w:val="22"/>
                <w:szCs w:val="22"/>
              </w:rPr>
              <w:t>）；</w:t>
            </w:r>
          </w:p>
          <w:p>
            <w:pPr>
              <w:adjustRightInd w:val="0"/>
              <w:snapToGrid w:val="0"/>
              <w:spacing w:line="360" w:lineRule="auto"/>
              <w:rPr>
                <w:rFonts w:ascii="仿宋" w:hAnsi="仿宋" w:eastAsia="仿宋" w:cs="仿宋"/>
                <w:sz w:val="22"/>
                <w:szCs w:val="22"/>
              </w:rPr>
            </w:pP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14</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社会化运营服务</w:t>
            </w:r>
          </w:p>
        </w:tc>
        <w:tc>
          <w:tcPr>
            <w:tcW w:w="6922" w:type="dxa"/>
            <w:vAlign w:val="center"/>
          </w:tcPr>
          <w:p>
            <w:pPr>
              <w:adjustRightInd w:val="0"/>
              <w:snapToGrid w:val="0"/>
              <w:spacing w:line="360" w:lineRule="auto"/>
              <w:rPr>
                <w:rFonts w:ascii="仿宋" w:hAnsi="仿宋" w:eastAsia="仿宋" w:cs="仿宋"/>
                <w:sz w:val="22"/>
                <w:szCs w:val="22"/>
              </w:rPr>
            </w:pPr>
            <w:r>
              <w:rPr>
                <w:rFonts w:hint="eastAsia" w:ascii="仿宋" w:hAnsi="仿宋" w:eastAsia="仿宋" w:cs="仿宋"/>
                <w:sz w:val="22"/>
                <w:szCs w:val="22"/>
              </w:rPr>
              <w:t>为确保项目顺利运行，中标方要求按照下列标准重点执行，招标方不再增加任何费用，否则视为违约。</w:t>
            </w:r>
          </w:p>
          <w:p>
            <w:pPr>
              <w:numPr>
                <w:ilvl w:val="0"/>
                <w:numId w:val="9"/>
              </w:numPr>
              <w:adjustRightInd w:val="0"/>
              <w:snapToGrid w:val="0"/>
              <w:spacing w:line="360" w:lineRule="auto"/>
              <w:rPr>
                <w:rFonts w:ascii="仿宋" w:hAnsi="仿宋" w:eastAsia="仿宋" w:cs="仿宋"/>
                <w:sz w:val="22"/>
                <w:szCs w:val="22"/>
              </w:rPr>
            </w:pPr>
            <w:r>
              <w:rPr>
                <w:rFonts w:hint="eastAsia" w:ascii="仿宋" w:hAnsi="仿宋" w:eastAsia="仿宋" w:cs="仿宋"/>
                <w:sz w:val="22"/>
                <w:szCs w:val="22"/>
              </w:rPr>
              <w:t>运营时间：</w:t>
            </w:r>
            <w:r>
              <w:rPr>
                <w:rFonts w:hint="eastAsia" w:ascii="仿宋" w:hAnsi="仿宋" w:eastAsia="仿宋" w:cs="仿宋"/>
                <w:sz w:val="22"/>
                <w:szCs w:val="22"/>
                <w:lang w:val="en-US" w:eastAsia="zh-CN"/>
              </w:rPr>
              <w:t>3</w:t>
            </w:r>
            <w:r>
              <w:rPr>
                <w:rFonts w:hint="eastAsia" w:ascii="仿宋" w:hAnsi="仿宋" w:eastAsia="仿宋" w:cs="仿宋"/>
                <w:sz w:val="22"/>
                <w:szCs w:val="22"/>
              </w:rPr>
              <w:t>年（从验收合格之日起计算）；</w:t>
            </w:r>
          </w:p>
          <w:p>
            <w:pPr>
              <w:numPr>
                <w:ilvl w:val="0"/>
                <w:numId w:val="9"/>
              </w:numPr>
              <w:adjustRightInd w:val="0"/>
              <w:snapToGrid w:val="0"/>
              <w:spacing w:line="360" w:lineRule="auto"/>
              <w:rPr>
                <w:rFonts w:ascii="仿宋" w:hAnsi="仿宋" w:eastAsia="仿宋" w:cs="仿宋"/>
                <w:sz w:val="22"/>
                <w:szCs w:val="22"/>
              </w:rPr>
            </w:pPr>
            <w:r>
              <w:rPr>
                <w:rFonts w:hint="eastAsia" w:ascii="仿宋" w:hAnsi="仿宋" w:eastAsia="仿宋" w:cs="仿宋"/>
                <w:sz w:val="22"/>
                <w:szCs w:val="22"/>
              </w:rPr>
              <w:t>总人数配置：不得低于5人；</w:t>
            </w:r>
            <w:r>
              <w:rPr>
                <w:rFonts w:hint="eastAsia" w:ascii="仿宋" w:hAnsi="仿宋" w:eastAsia="仿宋" w:cs="仿宋"/>
                <w:b/>
                <w:bCs/>
                <w:sz w:val="22"/>
                <w:szCs w:val="22"/>
              </w:rPr>
              <w:t>★（标书中做出承诺书）</w:t>
            </w:r>
          </w:p>
          <w:p>
            <w:pPr>
              <w:pStyle w:val="4"/>
              <w:jc w:val="both"/>
              <w:rPr>
                <w:rFonts w:ascii="仿宋" w:hAnsi="仿宋" w:eastAsia="仿宋" w:cs="仿宋"/>
                <w:sz w:val="22"/>
                <w:szCs w:val="22"/>
              </w:rPr>
            </w:pPr>
            <w:r>
              <w:rPr>
                <w:rFonts w:hint="eastAsia" w:ascii="仿宋" w:hAnsi="仿宋" w:eastAsia="仿宋" w:cs="仿宋"/>
                <w:sz w:val="22"/>
                <w:szCs w:val="22"/>
              </w:rPr>
              <w:t>3、工资待遇：原则上不低于当地公布的上一年度在岗职工平均工资标准；要求全员缴纳社保；4、</w:t>
            </w:r>
            <w:r>
              <w:rPr>
                <w:rFonts w:hint="eastAsia" w:ascii="仿宋" w:hAnsi="仿宋" w:eastAsia="仿宋" w:cs="仿宋"/>
                <w:b/>
                <w:bCs/>
                <w:sz w:val="22"/>
                <w:szCs w:val="22"/>
              </w:rPr>
              <w:t>★</w:t>
            </w:r>
            <w:r>
              <w:rPr>
                <w:rFonts w:hint="eastAsia" w:ascii="仿宋" w:hAnsi="仿宋" w:eastAsia="仿宋" w:cs="仿宋"/>
                <w:sz w:val="22"/>
                <w:szCs w:val="22"/>
              </w:rPr>
              <w:t>每个百姓书屋要求每月举办活动场次不低于4-6次；每场活动必须包含活动方案、文字总结（照片、视频等佐证）且活动方案需上报主管部门备案，作为上级主管部门进行考核的重要依据；</w:t>
            </w:r>
            <w:r>
              <w:rPr>
                <w:rFonts w:hint="eastAsia" w:ascii="仿宋" w:hAnsi="仿宋" w:eastAsia="仿宋" w:cs="仿宋"/>
                <w:b/>
                <w:bCs/>
                <w:sz w:val="22"/>
                <w:szCs w:val="22"/>
              </w:rPr>
              <w:t>（标书中做出承诺书）</w:t>
            </w:r>
          </w:p>
          <w:p>
            <w:pPr>
              <w:spacing w:line="360" w:lineRule="exact"/>
              <w:rPr>
                <w:rFonts w:ascii="仿宋" w:hAnsi="仿宋" w:eastAsia="仿宋" w:cs="仿宋"/>
                <w:b/>
                <w:bCs/>
                <w:sz w:val="22"/>
                <w:szCs w:val="22"/>
              </w:rPr>
            </w:pPr>
            <w:r>
              <w:rPr>
                <w:rFonts w:hint="eastAsia" w:ascii="仿宋" w:hAnsi="仿宋" w:eastAsia="仿宋" w:cs="仿宋"/>
                <w:b/>
                <w:bCs/>
                <w:sz w:val="22"/>
                <w:szCs w:val="22"/>
              </w:rPr>
              <w:t>（一）服务范围及内容</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1、日常管理和运行服务</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百姓书屋财产和安全管理；档案材料收集整理、工作目标任务的管理；免费开放基本借阅、参考咨询服务、读者服务、店内安全卫生等环境管理和维护以及专业服务等全部服务性工作。</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2、图书馆服务宣传推广</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宣传和推广</w:t>
            </w:r>
            <w:r>
              <w:rPr>
                <w:rFonts w:hint="eastAsia" w:ascii="仿宋" w:hAnsi="仿宋" w:eastAsia="仿宋" w:cs="仿宋"/>
                <w:sz w:val="22"/>
                <w:szCs w:val="22"/>
                <w:lang w:eastAsia="zh-CN"/>
              </w:rPr>
              <w:t>昌吉市文旅局</w:t>
            </w:r>
            <w:r>
              <w:rPr>
                <w:rFonts w:hint="eastAsia" w:ascii="仿宋" w:hAnsi="仿宋" w:eastAsia="仿宋" w:cs="仿宋"/>
                <w:sz w:val="22"/>
                <w:szCs w:val="22"/>
              </w:rPr>
              <w:t>泉州援疆·百姓书屋服务，扩大图书馆知晓率和认知度。开展与读者之间的互动交流活动；发布信息，完成对外宣传及各项信息目标任务。</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3、策划组织开展特色服务活动</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开展讲座、培训、展览、演讲、沙龙等社会教育活动和全民阅读推广活动。同时，针对残疾人、进城务工人员、未成年人和老年人等特殊群体开展各种服务活动。完成年度目标任务，每年每个百姓书屋举办活动不少于4次。</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4、品牌建设</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创造泉州文化品牌，打造品牌活动，完成品牌建设，提高图书馆的社会关注度与支持。</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5、运行模式示范点，作为今后推广运行的样板。</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6、员工培训、业务辅导</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对馆员进行服务意识的培训和考核；招纳优秀人才并进行培训教育、考评考核和录用；鼓励要求员工参与图书馆相关技术职称评定；竞聘上岗，完成组织机构的建立。</w:t>
            </w:r>
          </w:p>
          <w:p>
            <w:pPr>
              <w:widowControl/>
              <w:spacing w:before="75" w:after="75" w:line="360" w:lineRule="exact"/>
              <w:ind w:firstLine="221" w:firstLineChars="100"/>
              <w:jc w:val="left"/>
              <w:rPr>
                <w:rFonts w:ascii="仿宋" w:hAnsi="仿宋" w:eastAsia="仿宋" w:cs="仿宋"/>
                <w:b/>
                <w:kern w:val="0"/>
                <w:sz w:val="22"/>
                <w:szCs w:val="22"/>
              </w:rPr>
            </w:pPr>
            <w:r>
              <w:rPr>
                <w:rFonts w:hint="eastAsia" w:ascii="仿宋" w:hAnsi="仿宋" w:eastAsia="仿宋" w:cs="仿宋"/>
                <w:b/>
                <w:kern w:val="0"/>
                <w:sz w:val="22"/>
                <w:szCs w:val="22"/>
              </w:rPr>
              <w:t>（二）技术和服务要求</w:t>
            </w:r>
          </w:p>
          <w:p>
            <w:pPr>
              <w:spacing w:line="360" w:lineRule="exact"/>
              <w:rPr>
                <w:rFonts w:ascii="仿宋" w:hAnsi="仿宋" w:eastAsia="仿宋" w:cs="仿宋"/>
                <w:sz w:val="22"/>
                <w:szCs w:val="22"/>
              </w:rPr>
            </w:pPr>
            <w:r>
              <w:rPr>
                <w:rFonts w:hint="eastAsia" w:ascii="仿宋" w:hAnsi="仿宋" w:eastAsia="仿宋" w:cs="仿宋"/>
                <w:sz w:val="22"/>
                <w:szCs w:val="22"/>
              </w:rPr>
              <w:t xml:space="preserve">    1、日常管理和运行服务</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1.1.1、每周开放时间不低于 60 个小时。开放时间为 10:00-22:00根据秋冬两季时间进行具体安排。每周一闭馆(员工学习、培训、图书整理等)。</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 xml:space="preserve"> 1.1.2 读者可在开放时间内办理借阅卡:借阅图书、借阅期刊;查阅信息；网上阅读；工作人员需要在相关馆员工作云平台完成图书借书还书过程，还回图书要求放入自助还书箱，至少配置1个，为了防止图书偷盗行为，可设防专业的门禁系统。</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1.1.3</w:t>
            </w:r>
            <w:r>
              <w:rPr>
                <w:rFonts w:hint="eastAsia" w:ascii="仿宋" w:hAnsi="仿宋" w:eastAsia="仿宋" w:cs="仿宋"/>
                <w:sz w:val="22"/>
                <w:szCs w:val="22"/>
                <w:lang w:eastAsia="zh-CN"/>
              </w:rPr>
              <w:t>百姓书屋</w:t>
            </w:r>
            <w:r>
              <w:rPr>
                <w:rFonts w:hint="eastAsia" w:ascii="仿宋" w:hAnsi="仿宋" w:eastAsia="仿宋" w:cs="仿宋"/>
                <w:sz w:val="22"/>
                <w:szCs w:val="22"/>
              </w:rPr>
              <w:t>财产和安全管理；档案材料收集整理、工作目标任务管理；免费开放基本借阅、参考咨询服务、读者服务、店内安全卫生等环境管理和维护等专业服务性工作。</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2、图书</w:t>
            </w:r>
            <w:r>
              <w:rPr>
                <w:rFonts w:hint="eastAsia" w:ascii="仿宋" w:hAnsi="仿宋" w:eastAsia="仿宋" w:cs="仿宋"/>
                <w:b/>
                <w:bCs/>
                <w:sz w:val="22"/>
                <w:szCs w:val="22"/>
              </w:rPr>
              <w:t>采编</w:t>
            </w:r>
            <w:r>
              <w:rPr>
                <w:rFonts w:hint="eastAsia" w:ascii="仿宋" w:hAnsi="仿宋" w:eastAsia="仿宋" w:cs="仿宋"/>
                <w:sz w:val="22"/>
                <w:szCs w:val="22"/>
              </w:rPr>
              <w:t>服务工作:</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2.1、认真按照图书馆要求，执行百姓书屋的采编工作流程规定。</w:t>
            </w:r>
            <w:r>
              <w:rPr>
                <w:rFonts w:hint="eastAsia" w:ascii="仿宋" w:hAnsi="仿宋" w:eastAsia="仿宋" w:cs="仿宋"/>
                <w:b/>
                <w:bCs/>
                <w:sz w:val="22"/>
                <w:szCs w:val="22"/>
              </w:rPr>
              <w:t>图书的采编、加工要求做到规范、准确。</w:t>
            </w:r>
            <w:r>
              <w:rPr>
                <w:rFonts w:hint="eastAsia" w:ascii="仿宋" w:hAnsi="仿宋" w:eastAsia="仿宋" w:cs="仿宋"/>
                <w:sz w:val="22"/>
                <w:szCs w:val="22"/>
              </w:rPr>
              <w:t>应及时加工(</w:t>
            </w:r>
            <w:r>
              <w:rPr>
                <w:rFonts w:hint="eastAsia" w:ascii="仿宋" w:hAnsi="仿宋" w:eastAsia="仿宋" w:cs="仿宋"/>
                <w:b/>
                <w:bCs/>
                <w:sz w:val="22"/>
                <w:szCs w:val="22"/>
              </w:rPr>
              <w:t>盖馆藏章、粘贴条形码及书标、RFID 芯片</w:t>
            </w:r>
            <w:r>
              <w:rPr>
                <w:rFonts w:hint="eastAsia" w:ascii="仿宋" w:hAnsi="仿宋" w:eastAsia="仿宋" w:cs="仿宋"/>
                <w:sz w:val="22"/>
                <w:szCs w:val="22"/>
              </w:rPr>
              <w:t>),完成典藏分配工作后,应及时移交各部门上架、借阅,并办好交接手续2.4 做好书刊总括帐、个别图书注销登记账册。</w:t>
            </w:r>
            <w:r>
              <w:rPr>
                <w:rFonts w:hint="eastAsia" w:ascii="仿宋" w:hAnsi="仿宋" w:eastAsia="仿宋" w:cs="仿宋"/>
                <w:b/>
                <w:bCs/>
                <w:sz w:val="22"/>
                <w:szCs w:val="22"/>
              </w:rPr>
              <w:t>保证图书及时更新及替换</w:t>
            </w:r>
            <w:r>
              <w:rPr>
                <w:rFonts w:hint="eastAsia" w:ascii="仿宋" w:hAnsi="仿宋" w:eastAsia="仿宋" w:cs="仿宋"/>
                <w:sz w:val="22"/>
                <w:szCs w:val="22"/>
              </w:rPr>
              <w:t>。坚决杜绝盗版、盗印以及内容不健康的图书、视听资料、数字图书等流入百姓书屋。</w:t>
            </w:r>
            <w:r>
              <w:rPr>
                <w:rFonts w:hint="eastAsia" w:ascii="仿宋" w:hAnsi="仿宋" w:eastAsia="仿宋" w:cs="仿宋"/>
                <w:b/>
                <w:bCs/>
                <w:sz w:val="22"/>
                <w:szCs w:val="22"/>
              </w:rPr>
              <w:t>（</w:t>
            </w:r>
            <w:r>
              <w:rPr>
                <w:rFonts w:hint="eastAsia" w:ascii="仿宋" w:hAnsi="仿宋" w:eastAsia="仿宋" w:cs="仿宋"/>
                <w:b/>
                <w:bCs/>
                <w:sz w:val="22"/>
                <w:szCs w:val="22"/>
                <w:lang w:eastAsia="zh-CN"/>
              </w:rPr>
              <w:t>百姓书屋</w:t>
            </w:r>
            <w:r>
              <w:rPr>
                <w:rFonts w:hint="eastAsia" w:ascii="仿宋" w:hAnsi="仿宋" w:eastAsia="仿宋" w:cs="仿宋"/>
                <w:b/>
                <w:bCs/>
                <w:sz w:val="22"/>
                <w:szCs w:val="22"/>
              </w:rPr>
              <w:t>所有图书编目必须严格执行昌吉市图书馆编目规则，图书条码号段必须</w:t>
            </w:r>
            <w:r>
              <w:rPr>
                <w:rFonts w:hint="eastAsia" w:ascii="仿宋" w:hAnsi="仿宋" w:eastAsia="仿宋" w:cs="仿宋"/>
                <w:b/>
                <w:bCs/>
                <w:sz w:val="22"/>
                <w:szCs w:val="22"/>
                <w:u w:val="dotted"/>
              </w:rPr>
              <w:t>严格按照</w:t>
            </w:r>
            <w:r>
              <w:rPr>
                <w:rFonts w:hint="eastAsia" w:ascii="仿宋" w:hAnsi="仿宋" w:eastAsia="仿宋" w:cs="仿宋"/>
                <w:b/>
                <w:bCs/>
                <w:sz w:val="22"/>
                <w:szCs w:val="22"/>
              </w:rPr>
              <w:t>昌吉市图书馆现有号段，以实现通借通还要求）</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 xml:space="preserve"> 3、图书管理服务工作(包含少儿阅览室)</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 xml:space="preserve"> 图书上架服务要求</w:t>
            </w:r>
          </w:p>
          <w:p>
            <w:pPr>
              <w:spacing w:line="360" w:lineRule="exact"/>
              <w:rPr>
                <w:rFonts w:ascii="仿宋" w:hAnsi="仿宋" w:eastAsia="仿宋" w:cs="仿宋"/>
                <w:sz w:val="22"/>
                <w:szCs w:val="22"/>
              </w:rPr>
            </w:pPr>
            <w:r>
              <w:rPr>
                <w:rFonts w:hint="eastAsia" w:ascii="仿宋" w:hAnsi="仿宋" w:eastAsia="仿宋" w:cs="仿宋"/>
                <w:sz w:val="22"/>
                <w:szCs w:val="22"/>
              </w:rPr>
              <w:t xml:space="preserve">    ①各类图书、期刊、报纸的日常收集、整理、上架工作做到及时有序,确保</w:t>
            </w:r>
          </w:p>
          <w:p>
            <w:pPr>
              <w:spacing w:line="360" w:lineRule="exact"/>
              <w:rPr>
                <w:rFonts w:ascii="仿宋" w:hAnsi="仿宋" w:eastAsia="仿宋" w:cs="仿宋"/>
                <w:sz w:val="22"/>
                <w:szCs w:val="22"/>
              </w:rPr>
            </w:pPr>
            <w:r>
              <w:rPr>
                <w:rFonts w:hint="eastAsia" w:ascii="仿宋" w:hAnsi="仿宋" w:eastAsia="仿宋" w:cs="仿宋"/>
                <w:sz w:val="22"/>
                <w:szCs w:val="22"/>
              </w:rPr>
              <w:t>阅览区域环境整洁美观。</w:t>
            </w:r>
          </w:p>
          <w:p>
            <w:pPr>
              <w:spacing w:line="360" w:lineRule="exact"/>
              <w:rPr>
                <w:rFonts w:ascii="仿宋" w:hAnsi="仿宋" w:eastAsia="仿宋" w:cs="仿宋"/>
                <w:sz w:val="22"/>
                <w:szCs w:val="22"/>
              </w:rPr>
            </w:pPr>
            <w:r>
              <w:rPr>
                <w:rFonts w:hint="eastAsia" w:ascii="仿宋" w:hAnsi="仿宋" w:eastAsia="仿宋" w:cs="仿宋"/>
                <w:sz w:val="22"/>
                <w:szCs w:val="22"/>
              </w:rPr>
              <w:t xml:space="preserve">    ②由于图书馆读者量周末多平时少的情况,上架工作给予缓冲时间,上周周</w:t>
            </w:r>
          </w:p>
          <w:p>
            <w:pPr>
              <w:spacing w:line="360" w:lineRule="exact"/>
              <w:rPr>
                <w:rFonts w:ascii="仿宋" w:hAnsi="仿宋" w:eastAsia="仿宋" w:cs="仿宋"/>
                <w:sz w:val="22"/>
                <w:szCs w:val="22"/>
              </w:rPr>
            </w:pPr>
            <w:r>
              <w:rPr>
                <w:rFonts w:hint="eastAsia" w:ascii="仿宋" w:hAnsi="仿宋" w:eastAsia="仿宋" w:cs="仿宋"/>
                <w:sz w:val="22"/>
                <w:szCs w:val="22"/>
              </w:rPr>
              <w:t>末归还的图书须在第二周周三前全部上完;要求做到各架位图书上方无搁置图书,书立右侧无搁置图书,书脊与书架外沿持平。</w:t>
            </w:r>
          </w:p>
          <w:p>
            <w:pPr>
              <w:spacing w:line="360" w:lineRule="exact"/>
              <w:rPr>
                <w:rFonts w:ascii="仿宋" w:hAnsi="仿宋" w:eastAsia="仿宋" w:cs="仿宋"/>
                <w:sz w:val="22"/>
                <w:szCs w:val="22"/>
              </w:rPr>
            </w:pPr>
            <w:r>
              <w:rPr>
                <w:rFonts w:hint="eastAsia" w:ascii="仿宋" w:hAnsi="仿宋" w:eastAsia="仿宋" w:cs="仿宋"/>
                <w:sz w:val="22"/>
                <w:szCs w:val="22"/>
              </w:rPr>
              <w:t>4、对口援疆城市的文化交流交往工作。</w:t>
            </w:r>
          </w:p>
          <w:p>
            <w:pPr>
              <w:spacing w:line="360" w:lineRule="exact"/>
              <w:ind w:firstLine="480"/>
              <w:rPr>
                <w:rFonts w:ascii="仿宋" w:hAnsi="仿宋" w:eastAsia="仿宋" w:cs="仿宋"/>
                <w:sz w:val="22"/>
                <w:szCs w:val="22"/>
              </w:rPr>
            </w:pPr>
            <w:r>
              <w:rPr>
                <w:rFonts w:hint="eastAsia" w:ascii="仿宋" w:hAnsi="仿宋" w:eastAsia="仿宋" w:cs="仿宋"/>
                <w:b/>
                <w:bCs/>
                <w:sz w:val="22"/>
                <w:szCs w:val="22"/>
              </w:rPr>
              <w:t>4</w:t>
            </w:r>
            <w:r>
              <w:rPr>
                <w:rFonts w:hint="eastAsia" w:ascii="仿宋" w:hAnsi="仿宋" w:eastAsia="仿宋" w:cs="仿宋"/>
                <w:sz w:val="22"/>
                <w:szCs w:val="22"/>
              </w:rPr>
              <w:t>.1充分发挥对口援疆城市优势，借助书屋平台，开展文化交流交往活动，邀请泉州市专家学者与昌吉市互相开展学术交流访问；</w:t>
            </w:r>
          </w:p>
          <w:p>
            <w:pPr>
              <w:spacing w:line="360" w:lineRule="exact"/>
              <w:ind w:firstLine="480"/>
              <w:rPr>
                <w:rFonts w:ascii="仿宋" w:hAnsi="仿宋" w:eastAsia="仿宋" w:cs="仿宋"/>
                <w:sz w:val="22"/>
                <w:szCs w:val="22"/>
              </w:rPr>
            </w:pPr>
            <w:r>
              <w:rPr>
                <w:rFonts w:hint="eastAsia" w:ascii="仿宋" w:hAnsi="仿宋" w:eastAsia="仿宋" w:cs="仿宋"/>
                <w:b/>
                <w:bCs/>
                <w:sz w:val="22"/>
                <w:szCs w:val="22"/>
              </w:rPr>
              <w:t>4</w:t>
            </w:r>
            <w:r>
              <w:rPr>
                <w:rFonts w:hint="eastAsia" w:ascii="仿宋" w:hAnsi="仿宋" w:eastAsia="仿宋" w:cs="仿宋"/>
                <w:sz w:val="22"/>
                <w:szCs w:val="22"/>
              </w:rPr>
              <w:t>.2开辟有泉州文化元素专栏，推广泉州的品牌文化；</w:t>
            </w:r>
          </w:p>
          <w:p>
            <w:pPr>
              <w:spacing w:line="360" w:lineRule="exact"/>
              <w:ind w:firstLine="480"/>
              <w:rPr>
                <w:rFonts w:ascii="仿宋" w:hAnsi="仿宋" w:eastAsia="仿宋" w:cs="仿宋"/>
                <w:sz w:val="22"/>
                <w:szCs w:val="22"/>
              </w:rPr>
            </w:pPr>
            <w:r>
              <w:rPr>
                <w:rFonts w:hint="eastAsia" w:ascii="仿宋" w:hAnsi="仿宋" w:eastAsia="仿宋" w:cs="仿宋"/>
                <w:b/>
                <w:bCs/>
                <w:sz w:val="22"/>
                <w:szCs w:val="22"/>
              </w:rPr>
              <w:t>4</w:t>
            </w:r>
            <w:r>
              <w:rPr>
                <w:rFonts w:hint="eastAsia" w:ascii="仿宋" w:hAnsi="仿宋" w:eastAsia="仿宋" w:cs="仿宋"/>
                <w:sz w:val="22"/>
                <w:szCs w:val="22"/>
              </w:rPr>
              <w:t>.3对接对口泉州援疆指挥部，挖掘优势文化资源，为援疆百姓书屋发展做好服务，促进泉昌两地文化交流交往交融。7.1专门针对泉州援疆书屋开发的微信小程序，可以在小程序上实现图书查询、预借、新书推荐、扫码借阅、电子图书阅读、订购、精彩评论、借阅排行、附近援疆书屋查询、新闻资讯、馆藏活动等</w:t>
            </w:r>
          </w:p>
          <w:p>
            <w:pPr>
              <w:spacing w:line="360" w:lineRule="exact"/>
              <w:ind w:firstLine="480"/>
              <w:rPr>
                <w:rFonts w:ascii="仿宋" w:hAnsi="仿宋" w:eastAsia="仿宋" w:cs="仿宋"/>
                <w:sz w:val="22"/>
                <w:szCs w:val="22"/>
              </w:rPr>
            </w:pPr>
            <w:r>
              <w:rPr>
                <w:rFonts w:hint="eastAsia" w:ascii="仿宋" w:hAnsi="仿宋" w:eastAsia="仿宋" w:cs="仿宋"/>
                <w:b/>
                <w:bCs/>
                <w:sz w:val="22"/>
                <w:szCs w:val="22"/>
              </w:rPr>
              <w:t>★</w:t>
            </w:r>
            <w:r>
              <w:rPr>
                <w:rFonts w:hint="eastAsia" w:ascii="仿宋" w:hAnsi="仿宋" w:eastAsia="仿宋" w:cs="仿宋"/>
                <w:sz w:val="22"/>
                <w:szCs w:val="22"/>
              </w:rPr>
              <w:t>5、兼容现有的本地图书馆管理系统，设备管理系统，一卡通管理系统，门禁系统等；实现通借通还无缝链接。</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6、年度考核量化标准</w:t>
            </w:r>
          </w:p>
          <w:p>
            <w:pPr>
              <w:spacing w:line="360" w:lineRule="exact"/>
              <w:ind w:left="210" w:firstLine="220" w:firstLineChars="100"/>
              <w:rPr>
                <w:rFonts w:ascii="仿宋" w:hAnsi="仿宋" w:eastAsia="仿宋" w:cs="仿宋"/>
                <w:sz w:val="22"/>
                <w:szCs w:val="22"/>
              </w:rPr>
            </w:pPr>
            <w:r>
              <w:rPr>
                <w:rFonts w:hint="eastAsia" w:ascii="仿宋" w:hAnsi="仿宋" w:eastAsia="仿宋" w:cs="仿宋"/>
                <w:sz w:val="22"/>
                <w:szCs w:val="22"/>
              </w:rPr>
              <w:t>（1）年图书不低于外借量5000册/人次；年到馆读者人次不少于5000 /人次；</w:t>
            </w:r>
          </w:p>
          <w:p>
            <w:pPr>
              <w:spacing w:line="360" w:lineRule="exact"/>
              <w:ind w:left="210" w:firstLine="220" w:firstLineChars="100"/>
              <w:rPr>
                <w:rFonts w:ascii="仿宋" w:hAnsi="仿宋" w:eastAsia="仿宋" w:cs="仿宋"/>
                <w:sz w:val="22"/>
                <w:szCs w:val="22"/>
              </w:rPr>
            </w:pPr>
            <w:r>
              <w:rPr>
                <w:rFonts w:hint="eastAsia" w:ascii="仿宋" w:hAnsi="仿宋" w:eastAsia="仿宋" w:cs="仿宋"/>
                <w:sz w:val="22"/>
                <w:szCs w:val="22"/>
              </w:rPr>
              <w:t>（2）每月新增持证读者数量不低于30人，年总持证读者数量不低于3000人；</w:t>
            </w:r>
          </w:p>
          <w:p>
            <w:pPr>
              <w:spacing w:line="360" w:lineRule="exact"/>
              <w:ind w:left="210" w:firstLine="220" w:firstLineChars="100"/>
              <w:rPr>
                <w:rFonts w:ascii="仿宋" w:hAnsi="仿宋" w:eastAsia="仿宋" w:cs="仿宋"/>
                <w:sz w:val="22"/>
                <w:szCs w:val="22"/>
                <w:highlight w:val="yellow"/>
              </w:rPr>
            </w:pPr>
            <w:r>
              <w:rPr>
                <w:rFonts w:hint="eastAsia" w:ascii="仿宋" w:hAnsi="仿宋" w:eastAsia="仿宋" w:cs="仿宋"/>
                <w:sz w:val="22"/>
                <w:szCs w:val="22"/>
              </w:rPr>
              <w:t>（3）年新增图书册数（以开展有捐赠资格的机构进行图书捐赠为主，每年不低于10万码洋或</w:t>
            </w:r>
            <w:r>
              <w:rPr>
                <w:rFonts w:hint="eastAsia" w:ascii="仿宋" w:hAnsi="仿宋" w:eastAsia="仿宋" w:cs="仿宋"/>
                <w:sz w:val="22"/>
                <w:szCs w:val="22"/>
                <w:lang w:val="en-US" w:eastAsia="zh-CN"/>
              </w:rPr>
              <w:t>3</w:t>
            </w:r>
            <w:r>
              <w:rPr>
                <w:rFonts w:hint="eastAsia" w:ascii="仿宋" w:hAnsi="仿宋" w:eastAsia="仿宋" w:cs="仿宋"/>
                <w:sz w:val="22"/>
                <w:szCs w:val="22"/>
              </w:rPr>
              <w:t>年内总捐赠数量不得低于50万码洋，招标方不额外增加采购经费）；</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（4）开馆时间每周不少于60小时，确保节假日公休日有开放时间；</w:t>
            </w:r>
          </w:p>
          <w:p>
            <w:pPr>
              <w:spacing w:line="360" w:lineRule="exact"/>
              <w:ind w:left="210" w:firstLine="220" w:firstLineChars="100"/>
              <w:rPr>
                <w:rFonts w:ascii="仿宋" w:hAnsi="仿宋" w:eastAsia="仿宋" w:cs="仿宋"/>
                <w:sz w:val="22"/>
                <w:szCs w:val="22"/>
              </w:rPr>
            </w:pPr>
            <w:r>
              <w:rPr>
                <w:rFonts w:hint="eastAsia" w:ascii="仿宋" w:hAnsi="仿宋" w:eastAsia="仿宋" w:cs="仿宋"/>
                <w:sz w:val="22"/>
                <w:szCs w:val="22"/>
              </w:rPr>
              <w:t>（5）读者满意率高于85%；</w:t>
            </w:r>
          </w:p>
          <w:p>
            <w:pPr>
              <w:spacing w:line="360" w:lineRule="exact"/>
              <w:ind w:left="210" w:firstLine="220" w:firstLineChars="100"/>
              <w:rPr>
                <w:rFonts w:ascii="仿宋" w:hAnsi="仿宋" w:eastAsia="仿宋" w:cs="仿宋"/>
                <w:sz w:val="22"/>
                <w:szCs w:val="22"/>
              </w:rPr>
            </w:pPr>
            <w:r>
              <w:rPr>
                <w:rFonts w:hint="eastAsia" w:ascii="仿宋" w:hAnsi="仿宋" w:eastAsia="仿宋" w:cs="仿宋"/>
                <w:sz w:val="22"/>
                <w:szCs w:val="22"/>
              </w:rPr>
              <w:t>（6）参照《第六次全国县（区）级图书馆评估标准》选择性考核，对于符合评估标准的，应达到要求，不具备评估标准的，不予考核（如经营面积）</w:t>
            </w:r>
          </w:p>
          <w:p>
            <w:pPr>
              <w:spacing w:line="360" w:lineRule="exact"/>
              <w:rPr>
                <w:rFonts w:ascii="仿宋" w:hAnsi="仿宋" w:eastAsia="仿宋" w:cs="仿宋"/>
                <w:sz w:val="22"/>
                <w:szCs w:val="22"/>
              </w:rPr>
            </w:pPr>
            <w:r>
              <w:rPr>
                <w:rFonts w:hint="eastAsia" w:ascii="仿宋" w:hAnsi="仿宋" w:eastAsia="仿宋" w:cs="仿宋"/>
                <w:sz w:val="22"/>
                <w:szCs w:val="22"/>
              </w:rPr>
              <w:t xml:space="preserve">   （7）配合市图书馆各种讲座、展览、培训、阅读推广活动、全年策划方案并配合执行。</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7、员工培训、业务辅导</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协助培训乡镇街道分馆人员，招募志愿者，对员工进行服务意识的培训和考核；招纳优秀人才并进行培训教育、考评考核和录用；鼓励要求员工参与图书馆相关技术职称评定；竞聘上岗，完成组织机构的建立。</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8、活动策划（提交活动方案，活动方案上交相关领导审核）</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9、参与评先创优等活动。</w:t>
            </w:r>
          </w:p>
          <w:p>
            <w:pPr>
              <w:widowControl/>
              <w:spacing w:before="75" w:after="75" w:line="360" w:lineRule="exact"/>
              <w:jc w:val="left"/>
              <w:rPr>
                <w:rFonts w:ascii="仿宋" w:hAnsi="仿宋" w:eastAsia="仿宋" w:cs="仿宋"/>
                <w:b/>
                <w:kern w:val="0"/>
                <w:sz w:val="22"/>
                <w:szCs w:val="22"/>
              </w:rPr>
            </w:pPr>
            <w:r>
              <w:rPr>
                <w:rFonts w:hint="eastAsia" w:ascii="仿宋" w:hAnsi="仿宋" w:eastAsia="仿宋" w:cs="仿宋"/>
                <w:b/>
                <w:kern w:val="0"/>
                <w:sz w:val="22"/>
                <w:szCs w:val="22"/>
              </w:rPr>
              <w:t>（三）区域要求：</w:t>
            </w:r>
          </w:p>
          <w:p>
            <w:pPr>
              <w:widowControl/>
              <w:spacing w:before="75" w:after="75" w:line="360" w:lineRule="exact"/>
              <w:ind w:firstLine="442" w:firstLineChars="200"/>
              <w:jc w:val="left"/>
              <w:rPr>
                <w:rFonts w:ascii="仿宋" w:hAnsi="仿宋" w:eastAsia="仿宋" w:cs="仿宋"/>
                <w:b/>
                <w:bCs/>
                <w:kern w:val="0"/>
                <w:sz w:val="22"/>
                <w:szCs w:val="22"/>
              </w:rPr>
            </w:pPr>
            <w:r>
              <w:rPr>
                <w:rFonts w:hint="eastAsia" w:ascii="仿宋" w:hAnsi="仿宋" w:eastAsia="仿宋" w:cs="仿宋"/>
                <w:b/>
                <w:bCs/>
                <w:sz w:val="22"/>
                <w:szCs w:val="22"/>
              </w:rPr>
              <w:t>机构设置及服务人群:百姓书屋设有公共服务区、成人阅览室、少儿阅览室、公共阅览区、地方文献库、咖啡书吧等区域布置应该符合相关区域风格，包括书架、沙发，板凳，窗帘，隔间布置等要求与整体氛围一致。</w:t>
            </w:r>
          </w:p>
          <w:p>
            <w:pPr>
              <w:spacing w:line="360" w:lineRule="exact"/>
              <w:rPr>
                <w:rFonts w:ascii="仿宋" w:hAnsi="仿宋" w:eastAsia="仿宋" w:cs="仿宋"/>
                <w:b/>
                <w:kern w:val="0"/>
                <w:sz w:val="22"/>
                <w:szCs w:val="22"/>
              </w:rPr>
            </w:pPr>
            <w:r>
              <w:rPr>
                <w:rFonts w:hint="eastAsia" w:ascii="仿宋" w:hAnsi="仿宋" w:eastAsia="仿宋" w:cs="仿宋"/>
                <w:b/>
                <w:bCs/>
                <w:sz w:val="22"/>
                <w:szCs w:val="22"/>
              </w:rPr>
              <w:t xml:space="preserve">    </w:t>
            </w:r>
            <w:r>
              <w:rPr>
                <w:rFonts w:hint="eastAsia" w:ascii="仿宋" w:hAnsi="仿宋" w:eastAsia="仿宋" w:cs="仿宋"/>
                <w:b/>
                <w:kern w:val="0"/>
                <w:sz w:val="22"/>
                <w:szCs w:val="22"/>
              </w:rPr>
              <w:t>（四）人员配置</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1、总体要求</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人员配备要求：拟投入本项目人员数量5人；人员任用要求:政审合格，形体无明显缺陷，外貌端正，优先聘请参与过“国家级公共文化服务体系示范区”及区级公共图书馆一级馆评估创建工作经验的专业人员；其中本科学历人员不少于2人；大专以上学历的员工不少于60%。根据需求进行岗位配置，至少包括技术服务部、读者服务部、财务部、主管、活动策划人员等。</w:t>
            </w:r>
          </w:p>
          <w:p>
            <w:pPr>
              <w:spacing w:line="360" w:lineRule="exact"/>
              <w:ind w:firstLine="442" w:firstLineChars="200"/>
              <w:rPr>
                <w:rFonts w:ascii="仿宋" w:hAnsi="仿宋" w:eastAsia="仿宋" w:cs="仿宋"/>
                <w:b/>
                <w:bCs/>
                <w:sz w:val="22"/>
                <w:szCs w:val="22"/>
              </w:rPr>
            </w:pPr>
            <w:r>
              <w:rPr>
                <w:rFonts w:hint="eastAsia" w:ascii="仿宋" w:hAnsi="仿宋" w:eastAsia="仿宋" w:cs="仿宋"/>
                <w:b/>
                <w:bCs/>
                <w:sz w:val="22"/>
                <w:szCs w:val="22"/>
              </w:rPr>
              <w:t>（五）管理与考核办法</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在采购人需求约定的服务范围、服务内容、质量标准和管理目标不变的情况下。中标人必须保持人数5人不得自行裁减人数，否则减少人员的费用对中标人进行处罚，并按每少1人扣除中标人违约金1000元的标准进行处罚；若中标人裁减人员达到外包服务总人数的10%，采购人有权按裁减人数同比例处罚，并按每少1人处罚中标人违约金1000元的标准进行处罚；中标人年裁减人员达到服务外包总人数的20%，采购人有权按裁减人数同比例进行处罚，并按每少1人处罚中标人违约金1000元的标准进行处罚，以上人员调整不含采购人要求调整人员。</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b.中标人年服务人员调整人数达到总人数的10%（不含采购人要求调整的人员,若有不可控力因素造成人员变动,必须提供书面说明），采购人有权按调整人数同比例处罚1000元；年服务人员调整人数达到总人数的20%（不含采购人要求调整的人员），采购人有权按调整人数同比处罚1000元。</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（四）考核方法</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采用不定期的日常检查（占40%）与现场抽查（占60%）相结合、采购人考核与服务对象考核相结合的模式，依据事实，客观评价。</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（五）考核结果</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月考核满分为100分，符合承诺标准，考核得分85分以上（含85分）的为合格。85分至70分按1000元标准处罚。具体办法如下：</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（1）月考核合格；</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（2）月考核不合格（得分85分以下），则按上述标准给予处罚；</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（3）月度考核不合格（得分70分以下），采购人将责令中标人限期整改和书面上报具体整改措施，给予2000元处罚。</w:t>
            </w:r>
          </w:p>
          <w:p>
            <w:pPr>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（4）当中标人连续二季度出现月考核得分85以下的情形时，视为中标人已经构成违约，采购人有权单方面终止合同.</w:t>
            </w:r>
          </w:p>
          <w:p>
            <w:pPr>
              <w:pStyle w:val="8"/>
              <w:rPr>
                <w:rFonts w:ascii="仿宋" w:hAnsi="仿宋" w:eastAsia="仿宋" w:cs="仿宋"/>
                <w:sz w:val="22"/>
                <w:szCs w:val="22"/>
              </w:rPr>
            </w:pPr>
          </w:p>
        </w:tc>
        <w:tc>
          <w:tcPr>
            <w:tcW w:w="676" w:type="dxa"/>
            <w:vAlign w:val="center"/>
          </w:tcPr>
          <w:p>
            <w:pPr>
              <w:widowControl/>
              <w:jc w:val="center"/>
              <w:textAlignment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lang w:val="en-US" w:eastAsia="zh-CN"/>
              </w:rPr>
              <w:t>3</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15</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图书</w:t>
            </w:r>
          </w:p>
        </w:tc>
        <w:tc>
          <w:tcPr>
            <w:tcW w:w="6922" w:type="dxa"/>
            <w:vAlign w:val="center"/>
          </w:tcPr>
          <w:p>
            <w:pPr>
              <w:pStyle w:val="8"/>
              <w:rPr>
                <w:rFonts w:ascii="仿宋" w:hAnsi="仿宋" w:eastAsia="仿宋" w:cs="仿宋"/>
                <w:sz w:val="22"/>
                <w:szCs w:val="22"/>
              </w:rPr>
            </w:pPr>
            <w:r>
              <w:rPr>
                <w:rFonts w:hint="eastAsia" w:ascii="仿宋" w:hAnsi="仿宋" w:eastAsia="仿宋" w:cs="仿宋"/>
                <w:sz w:val="22"/>
                <w:szCs w:val="22"/>
              </w:rPr>
              <w:t>1、提供近</w:t>
            </w:r>
            <w:r>
              <w:rPr>
                <w:rFonts w:hint="eastAsia" w:ascii="仿宋" w:hAnsi="仿宋" w:eastAsia="仿宋" w:cs="仿宋"/>
                <w:sz w:val="22"/>
                <w:szCs w:val="22"/>
                <w:lang w:val="en-US" w:eastAsia="zh-CN"/>
              </w:rPr>
              <w:t>3</w:t>
            </w:r>
            <w:r>
              <w:rPr>
                <w:rFonts w:hint="eastAsia" w:ascii="仿宋" w:hAnsi="仿宋" w:eastAsia="仿宋" w:cs="仿宋"/>
                <w:sz w:val="22"/>
                <w:szCs w:val="22"/>
              </w:rPr>
              <w:t>年来不少于5万册的图书目录并符合相关审读要求，且保证每本图书都是正版；2、所采购图书必须以采购方提供目录为主进行采购；3、本次所购图书编目加工，人员加工、耗材均由中标方负责；4、投标人需明确投标折扣率5、包含盲文图书</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15000</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16</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color w:val="000000"/>
                <w:kern w:val="0"/>
                <w:sz w:val="22"/>
                <w:szCs w:val="22"/>
              </w:rPr>
              <w:t>配备儿童电子阅读区</w:t>
            </w:r>
          </w:p>
        </w:tc>
        <w:tc>
          <w:tcPr>
            <w:tcW w:w="6922" w:type="dxa"/>
            <w:vAlign w:val="center"/>
          </w:tcPr>
          <w:p>
            <w:pPr>
              <w:widowControl/>
              <w:jc w:val="left"/>
              <w:textAlignment w:val="center"/>
              <w:rPr>
                <w:rFonts w:ascii="仿宋" w:hAnsi="仿宋" w:eastAsia="仿宋" w:cs="仿宋"/>
                <w:sz w:val="22"/>
                <w:szCs w:val="22"/>
              </w:rPr>
            </w:pPr>
            <w:r>
              <w:rPr>
                <w:rFonts w:hint="eastAsia" w:ascii="仿宋" w:hAnsi="仿宋" w:eastAsia="仿宋" w:cs="仿宋"/>
                <w:color w:val="000000"/>
                <w:sz w:val="22"/>
                <w:szCs w:val="22"/>
              </w:rPr>
              <w:t>儿童专用有声电子绘本学习、类纸护眼产品。</w:t>
            </w:r>
            <w:r>
              <w:rPr>
                <w:rFonts w:hint="eastAsia" w:ascii="仿宋" w:hAnsi="仿宋" w:eastAsia="仿宋" w:cs="仿宋"/>
                <w:color w:val="000000"/>
                <w:kern w:val="0"/>
                <w:sz w:val="22"/>
                <w:szCs w:val="22"/>
              </w:rPr>
              <w:t>CPU 八核·主频2GHz  屏幕：10.5寸  16：10  1920*1200  雾化触控  运存/储存   4G/32G   电池  7500mAh(可持续8小时以上）操作系统：Android  9.0  无频闪和低蓝光认证，功能：手写，发音，电子书（书单见附件）；动画书交互式阅读+游戏闯关式学英语素材：中文绘本，1-5年级英语闯关模式；要求无频闪，防炫光，无损伽马技术。</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5</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17</w:t>
            </w:r>
          </w:p>
        </w:tc>
        <w:tc>
          <w:tcPr>
            <w:tcW w:w="2153"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color w:val="000000"/>
                <w:kern w:val="0"/>
                <w:sz w:val="22"/>
                <w:szCs w:val="22"/>
              </w:rPr>
              <w:t>电子智慧画屏</w:t>
            </w:r>
          </w:p>
        </w:tc>
        <w:tc>
          <w:tcPr>
            <w:tcW w:w="6922" w:type="dxa"/>
            <w:vAlign w:val="center"/>
          </w:tcPr>
          <w:p>
            <w:pPr>
              <w:widowControl/>
              <w:jc w:val="left"/>
              <w:textAlignment w:val="center"/>
              <w:rPr>
                <w:rFonts w:ascii="仿宋" w:hAnsi="仿宋" w:eastAsia="仿宋" w:cs="仿宋"/>
                <w:sz w:val="22"/>
                <w:szCs w:val="22"/>
              </w:rPr>
            </w:pPr>
            <w:r>
              <w:rPr>
                <w:rFonts w:hint="eastAsia" w:ascii="仿宋" w:hAnsi="仿宋" w:eastAsia="仿宋" w:cs="仿宋"/>
                <w:color w:val="000000"/>
                <w:sz w:val="22"/>
                <w:szCs w:val="22"/>
              </w:rPr>
              <w:t>595*386*46，TUV爱眼认证，可壁挂，便携显示屏，可上传照片与视频，定时开关机，横竖屏切换，一键无线投屏、多屏互动、等功能</w:t>
            </w:r>
          </w:p>
        </w:tc>
        <w:tc>
          <w:tcPr>
            <w:tcW w:w="676"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2</w:t>
            </w:r>
          </w:p>
        </w:tc>
        <w:tc>
          <w:tcPr>
            <w:tcW w:w="548" w:type="dxa"/>
            <w:vAlign w:val="center"/>
          </w:tcPr>
          <w:p>
            <w:pPr>
              <w:widowControl/>
              <w:jc w:val="center"/>
              <w:textAlignment w:val="center"/>
              <w:rPr>
                <w:rFonts w:ascii="仿宋" w:hAnsi="仿宋" w:eastAsia="仿宋" w:cs="仿宋"/>
                <w:bCs/>
                <w:color w:val="000000"/>
                <w:kern w:val="0"/>
                <w:sz w:val="22"/>
                <w:szCs w:val="22"/>
              </w:rPr>
            </w:pPr>
            <w:r>
              <w:rPr>
                <w:rFonts w:hint="eastAsia" w:ascii="仿宋" w:hAnsi="仿宋" w:eastAsia="仿宋" w:cs="仿宋"/>
                <w:bCs/>
                <w:color w:val="000000"/>
                <w:kern w:val="0"/>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39" w:type="dxa"/>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18</w:t>
            </w:r>
          </w:p>
        </w:tc>
        <w:tc>
          <w:tcPr>
            <w:tcW w:w="2153" w:type="dxa"/>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无线网覆盖</w:t>
            </w:r>
          </w:p>
        </w:tc>
        <w:tc>
          <w:tcPr>
            <w:tcW w:w="6922" w:type="dxa"/>
          </w:tcPr>
          <w:p>
            <w:pPr>
              <w:pStyle w:val="12"/>
              <w:widowControl/>
              <w:spacing w:after="150" w:line="220" w:lineRule="atLeast"/>
              <w:rPr>
                <w:rFonts w:ascii="仿宋" w:hAnsi="仿宋" w:eastAsia="仿宋" w:cs="仿宋"/>
                <w:sz w:val="22"/>
                <w:szCs w:val="22"/>
              </w:rPr>
            </w:pPr>
            <w:r>
              <w:rPr>
                <w:rFonts w:hint="eastAsia" w:ascii="仿宋" w:hAnsi="仿宋" w:eastAsia="仿宋" w:cs="仿宋"/>
                <w:color w:val="000000"/>
                <w:kern w:val="0"/>
                <w:sz w:val="22"/>
                <w:szCs w:val="22"/>
              </w:rPr>
              <w:t>百姓书屋2个点实现无线网络WIFI全覆盖</w:t>
            </w:r>
          </w:p>
        </w:tc>
        <w:tc>
          <w:tcPr>
            <w:tcW w:w="676" w:type="dxa"/>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548" w:type="dxa"/>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点</w:t>
            </w:r>
          </w:p>
        </w:tc>
      </w:tr>
    </w:tbl>
    <w:p>
      <w:pPr>
        <w:pStyle w:val="8"/>
        <w:rPr>
          <w:rFonts w:ascii="仿宋" w:hAnsi="仿宋" w:eastAsia="仿宋" w:cs="仿宋"/>
        </w:rPr>
      </w:pPr>
    </w:p>
    <w:p>
      <w:pPr>
        <w:pStyle w:val="8"/>
        <w:rPr>
          <w:rFonts w:ascii="仿宋" w:hAnsi="仿宋" w:eastAsia="仿宋" w:cs="仿宋"/>
        </w:rPr>
      </w:pPr>
    </w:p>
    <w:tbl>
      <w:tblPr>
        <w:tblStyle w:val="15"/>
        <w:tblW w:w="9040" w:type="dxa"/>
        <w:tblInd w:w="0" w:type="dxa"/>
        <w:shd w:val="clear" w:color="auto" w:fill="auto"/>
        <w:tblLayout w:type="fixed"/>
        <w:tblCellMar>
          <w:top w:w="0" w:type="dxa"/>
          <w:left w:w="0" w:type="dxa"/>
          <w:bottom w:w="0" w:type="dxa"/>
          <w:right w:w="0" w:type="dxa"/>
        </w:tblCellMar>
      </w:tblPr>
      <w:tblGrid>
        <w:gridCol w:w="772"/>
        <w:gridCol w:w="2876"/>
        <w:gridCol w:w="1294"/>
        <w:gridCol w:w="1294"/>
        <w:gridCol w:w="2804"/>
      </w:tblGrid>
      <w:tr>
        <w:tblPrEx>
          <w:shd w:val="clear" w:color="auto" w:fill="auto"/>
          <w:tblLayout w:type="fixed"/>
          <w:tblCellMar>
            <w:top w:w="0" w:type="dxa"/>
            <w:left w:w="0" w:type="dxa"/>
            <w:bottom w:w="0" w:type="dxa"/>
            <w:right w:w="0" w:type="dxa"/>
          </w:tblCellMar>
        </w:tblPrEx>
        <w:trPr>
          <w:trHeight w:val="945" w:hRule="atLeast"/>
        </w:trPr>
        <w:tc>
          <w:tcPr>
            <w:tcW w:w="904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40"/>
                <w:szCs w:val="40"/>
                <w:u w:val="none"/>
              </w:rPr>
            </w:pPr>
            <w:r>
              <w:rPr>
                <w:rFonts w:hint="eastAsia" w:ascii="仿宋" w:hAnsi="仿宋" w:eastAsia="仿宋" w:cs="仿宋"/>
                <w:b/>
                <w:i w:val="0"/>
                <w:color w:val="000000"/>
                <w:kern w:val="0"/>
                <w:sz w:val="40"/>
                <w:szCs w:val="40"/>
                <w:u w:val="none"/>
                <w:lang w:val="en-US" w:eastAsia="zh-CN" w:bidi="ar"/>
              </w:rPr>
              <w:t>2021年昌吉市文旅局泉州援疆·百姓书屋项目清单</w:t>
            </w:r>
          </w:p>
        </w:tc>
      </w:tr>
      <w:tr>
        <w:tblPrEx>
          <w:shd w:val="clear" w:color="auto" w:fill="auto"/>
          <w:tblLayout w:type="fixed"/>
          <w:tblCellMar>
            <w:top w:w="0" w:type="dxa"/>
            <w:left w:w="0" w:type="dxa"/>
            <w:bottom w:w="0" w:type="dxa"/>
            <w:right w:w="0" w:type="dxa"/>
          </w:tblCellMar>
        </w:tblPrEx>
        <w:trPr>
          <w:trHeight w:val="66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rPr>
            </w:pPr>
            <w:r>
              <w:rPr>
                <w:rFonts w:hint="default" w:ascii="仿宋" w:hAnsi="仿宋" w:eastAsia="仿宋" w:cs="仿宋"/>
                <w:color w:val="000000"/>
                <w:kern w:val="0"/>
                <w:sz w:val="22"/>
                <w:szCs w:val="22"/>
                <w:lang w:val="en-US" w:eastAsia="zh-CN"/>
              </w:rPr>
              <w:t>分类</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rPr>
            </w:pPr>
            <w:r>
              <w:rPr>
                <w:rFonts w:hint="default" w:ascii="仿宋" w:hAnsi="仿宋" w:eastAsia="仿宋" w:cs="仿宋"/>
                <w:color w:val="000000"/>
                <w:kern w:val="0"/>
                <w:sz w:val="22"/>
                <w:szCs w:val="22"/>
                <w:lang w:val="en-US" w:eastAsia="zh-CN"/>
              </w:rPr>
              <w:t>名称</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rPr>
            </w:pPr>
            <w:r>
              <w:rPr>
                <w:rFonts w:hint="default" w:ascii="仿宋" w:hAnsi="仿宋" w:eastAsia="仿宋" w:cs="仿宋"/>
                <w:color w:val="000000"/>
                <w:kern w:val="0"/>
                <w:sz w:val="22"/>
                <w:szCs w:val="22"/>
                <w:lang w:val="en-US" w:eastAsia="zh-CN"/>
              </w:rPr>
              <w:t>数量</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rPr>
            </w:pPr>
            <w:r>
              <w:rPr>
                <w:rFonts w:hint="default" w:ascii="仿宋" w:hAnsi="仿宋" w:eastAsia="仿宋" w:cs="仿宋"/>
                <w:color w:val="000000"/>
                <w:kern w:val="0"/>
                <w:sz w:val="22"/>
                <w:szCs w:val="22"/>
                <w:lang w:val="en-US" w:eastAsia="zh-CN"/>
              </w:rPr>
              <w:t>单位</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rPr>
            </w:pPr>
            <w:r>
              <w:rPr>
                <w:rFonts w:hint="default" w:ascii="仿宋" w:hAnsi="仿宋" w:eastAsia="仿宋" w:cs="仿宋"/>
                <w:color w:val="000000"/>
                <w:kern w:val="0"/>
                <w:sz w:val="22"/>
                <w:szCs w:val="22"/>
                <w:lang w:val="en-US" w:eastAsia="zh-CN"/>
              </w:rPr>
              <w:t>备注</w:t>
            </w:r>
          </w:p>
        </w:tc>
      </w:tr>
      <w:tr>
        <w:tblPrEx>
          <w:shd w:val="clear" w:color="auto" w:fill="auto"/>
          <w:tblLayout w:type="fixed"/>
          <w:tblCellMar>
            <w:top w:w="0" w:type="dxa"/>
            <w:left w:w="0" w:type="dxa"/>
            <w:bottom w:w="0" w:type="dxa"/>
            <w:right w:w="0" w:type="dxa"/>
          </w:tblCellMar>
        </w:tblPrEx>
        <w:trPr>
          <w:trHeight w:val="762" w:hRule="atLeast"/>
        </w:trPr>
        <w:tc>
          <w:tcPr>
            <w:tcW w:w="772" w:type="dxa"/>
            <w:vMerge w:val="restart"/>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rPr>
            </w:pPr>
            <w:r>
              <w:rPr>
                <w:rFonts w:hint="default" w:ascii="仿宋" w:hAnsi="仿宋" w:eastAsia="仿宋" w:cs="仿宋"/>
                <w:color w:val="000000"/>
                <w:kern w:val="0"/>
                <w:sz w:val="22"/>
                <w:szCs w:val="22"/>
                <w:lang w:val="en-US" w:eastAsia="zh-CN"/>
              </w:rPr>
              <w:t>自助借还配套设施</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default" w:ascii="仿宋" w:hAnsi="仿宋" w:eastAsia="仿宋" w:cs="仿宋"/>
                <w:color w:val="000000"/>
                <w:kern w:val="0"/>
                <w:sz w:val="22"/>
                <w:szCs w:val="22"/>
              </w:rPr>
            </w:pPr>
            <w:r>
              <w:rPr>
                <w:rFonts w:hint="default" w:ascii="仿宋" w:hAnsi="仿宋" w:eastAsia="仿宋" w:cs="仿宋"/>
                <w:color w:val="000000"/>
                <w:kern w:val="0"/>
                <w:sz w:val="22"/>
                <w:szCs w:val="22"/>
                <w:lang w:val="en-US" w:eastAsia="zh-CN"/>
              </w:rPr>
              <w:t>自助借还办证一体机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rPr>
            </w:pPr>
            <w:r>
              <w:rPr>
                <w:rFonts w:hint="default" w:ascii="仿宋" w:hAnsi="仿宋" w:eastAsia="仿宋" w:cs="仿宋"/>
                <w:color w:val="000000"/>
                <w:kern w:val="0"/>
                <w:sz w:val="22"/>
                <w:szCs w:val="22"/>
                <w:lang w:val="en-US" w:eastAsia="zh-CN"/>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rPr>
            </w:pPr>
            <w:r>
              <w:rPr>
                <w:rFonts w:hint="default" w:ascii="仿宋" w:hAnsi="仿宋" w:eastAsia="仿宋" w:cs="仿宋"/>
                <w:color w:val="000000"/>
                <w:kern w:val="0"/>
                <w:sz w:val="22"/>
                <w:szCs w:val="22"/>
                <w:lang w:val="en-US" w:eastAsia="zh-CN"/>
              </w:rPr>
              <w:t>台</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rPr>
            </w:pPr>
          </w:p>
        </w:tc>
      </w:tr>
      <w:tr>
        <w:tblPrEx>
          <w:shd w:val="clear" w:color="auto" w:fill="auto"/>
          <w:tblLayout w:type="fixed"/>
          <w:tblCellMar>
            <w:top w:w="0" w:type="dxa"/>
            <w:left w:w="0" w:type="dxa"/>
            <w:bottom w:w="0" w:type="dxa"/>
            <w:right w:w="0" w:type="dxa"/>
          </w:tblCellMar>
        </w:tblPrEx>
        <w:trPr>
          <w:trHeight w:val="522"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RFID安全门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套</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522"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图书快速消毒机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台</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522"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门禁系统</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套</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522"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RFID标签</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15000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张</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522"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读者证</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5000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张</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522"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安防系统</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套</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522"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馆员工作站一体机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台</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522"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电脑</w:t>
            </w:r>
          </w:p>
        </w:tc>
        <w:tc>
          <w:tcPr>
            <w:tcW w:w="1294"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台</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522"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打印机</w:t>
            </w:r>
          </w:p>
        </w:tc>
        <w:tc>
          <w:tcPr>
            <w:tcW w:w="1294"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台</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522"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还书箱</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个</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600"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消防设备包括灭火器、独立烟感</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套</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43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5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小计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1480" w:hRule="atLeast"/>
        </w:trPr>
        <w:tc>
          <w:tcPr>
            <w:tcW w:w="772" w:type="dxa"/>
            <w:vMerge w:val="restart"/>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氛围营造</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天山社区（碧水锦苑小区）枫叶广场阅读点300平方米</w:t>
            </w:r>
            <w:r>
              <w:rPr>
                <w:rFonts w:hint="eastAsia" w:ascii="仿宋" w:hAnsi="仿宋" w:eastAsia="仿宋" w:cs="仿宋"/>
                <w:color w:val="000000"/>
                <w:kern w:val="0"/>
                <w:sz w:val="22"/>
                <w:szCs w:val="22"/>
                <w:lang w:val="en-US" w:eastAsia="zh-CN" w:bidi="ar-SA"/>
              </w:rPr>
              <w:t>，</w:t>
            </w:r>
            <w:r>
              <w:rPr>
                <w:rFonts w:hint="default" w:ascii="仿宋" w:hAnsi="仿宋" w:eastAsia="仿宋" w:cs="仿宋"/>
                <w:color w:val="000000"/>
                <w:kern w:val="0"/>
                <w:sz w:val="22"/>
                <w:szCs w:val="22"/>
                <w:lang w:val="en-US" w:eastAsia="zh-CN" w:bidi="ar-SA"/>
              </w:rPr>
              <w:br w:type="textWrapping"/>
            </w:r>
            <w:r>
              <w:rPr>
                <w:rFonts w:hint="default" w:ascii="仿宋" w:hAnsi="仿宋" w:eastAsia="仿宋" w:cs="仿宋"/>
                <w:color w:val="000000"/>
                <w:kern w:val="0"/>
                <w:sz w:val="22"/>
                <w:szCs w:val="22"/>
                <w:lang w:val="en-US" w:eastAsia="zh-CN" w:bidi="ar-SA"/>
              </w:rPr>
              <w:t>根据实际环境定制个性化书架、阅读桌椅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座</w:t>
            </w:r>
          </w:p>
        </w:tc>
        <w:tc>
          <w:tcPr>
            <w:tcW w:w="2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含氛围营造设计费、平面设计、装饰装潢、监理费等</w:t>
            </w:r>
          </w:p>
        </w:tc>
      </w:tr>
      <w:tr>
        <w:tblPrEx>
          <w:shd w:val="clear" w:color="auto" w:fill="auto"/>
          <w:tblLayout w:type="fixed"/>
          <w:tblCellMar>
            <w:top w:w="0" w:type="dxa"/>
            <w:left w:w="0" w:type="dxa"/>
            <w:bottom w:w="0" w:type="dxa"/>
            <w:right w:w="0" w:type="dxa"/>
          </w:tblCellMar>
        </w:tblPrEx>
        <w:trPr>
          <w:trHeight w:val="1155"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建国路街道晶彩城社区阅读点100平方米</w:t>
            </w:r>
            <w:r>
              <w:rPr>
                <w:rFonts w:hint="eastAsia" w:ascii="仿宋" w:hAnsi="仿宋" w:eastAsia="仿宋" w:cs="仿宋"/>
                <w:color w:val="000000"/>
                <w:kern w:val="0"/>
                <w:sz w:val="22"/>
                <w:szCs w:val="22"/>
                <w:lang w:val="en-US" w:eastAsia="zh-CN" w:bidi="ar-SA"/>
              </w:rPr>
              <w:t>，</w:t>
            </w:r>
            <w:r>
              <w:rPr>
                <w:rFonts w:hint="default" w:ascii="仿宋" w:hAnsi="仿宋" w:eastAsia="仿宋" w:cs="仿宋"/>
                <w:color w:val="000000"/>
                <w:kern w:val="0"/>
                <w:sz w:val="22"/>
                <w:szCs w:val="22"/>
                <w:lang w:val="en-US" w:eastAsia="zh-CN" w:bidi="ar-SA"/>
              </w:rPr>
              <w:t>根据实际环境定制个性化书架、阅读桌椅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座</w:t>
            </w:r>
          </w:p>
        </w:tc>
        <w:tc>
          <w:tcPr>
            <w:tcW w:w="2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1057" w:hRule="atLeast"/>
        </w:trPr>
        <w:tc>
          <w:tcPr>
            <w:tcW w:w="772" w:type="dxa"/>
            <w:tcBorders>
              <w:top w:val="single" w:color="000000" w:sz="4" w:space="0"/>
              <w:left w:val="single" w:color="000000" w:sz="4" w:space="0"/>
              <w:bottom w:val="single" w:color="000000" w:sz="4" w:space="0"/>
              <w:right w:val="single" w:color="7F7F7F"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br w:type="textWrapping"/>
            </w:r>
            <w:r>
              <w:rPr>
                <w:rFonts w:hint="default" w:ascii="仿宋" w:hAnsi="仿宋" w:eastAsia="仿宋" w:cs="仿宋"/>
                <w:color w:val="000000"/>
                <w:kern w:val="0"/>
                <w:sz w:val="22"/>
                <w:szCs w:val="22"/>
                <w:lang w:val="en-US" w:eastAsia="zh-CN" w:bidi="ar-SA"/>
              </w:rPr>
              <w:t>社会化服务</w:t>
            </w:r>
          </w:p>
        </w:tc>
        <w:tc>
          <w:tcPr>
            <w:tcW w:w="2876" w:type="dxa"/>
            <w:tcBorders>
              <w:top w:val="single" w:color="000000" w:sz="4" w:space="0"/>
              <w:left w:val="single" w:color="000000" w:sz="4" w:space="0"/>
              <w:bottom w:val="single" w:color="000000" w:sz="4" w:space="0"/>
              <w:right w:val="single" w:color="7F7F7F"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br w:type="textWrapping"/>
            </w:r>
            <w:r>
              <w:rPr>
                <w:rFonts w:hint="default" w:ascii="仿宋" w:hAnsi="仿宋" w:eastAsia="仿宋" w:cs="仿宋"/>
                <w:color w:val="000000"/>
                <w:kern w:val="0"/>
                <w:sz w:val="22"/>
                <w:szCs w:val="22"/>
                <w:lang w:val="en-US" w:eastAsia="zh-CN" w:bidi="ar-SA"/>
              </w:rPr>
              <w:t>社会化服务（人员工资、维护维修等）</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3</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年</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655" w:hRule="atLeast"/>
        </w:trPr>
        <w:tc>
          <w:tcPr>
            <w:tcW w:w="772" w:type="dxa"/>
            <w:tcBorders>
              <w:top w:val="single" w:color="000000" w:sz="4" w:space="0"/>
              <w:left w:val="single" w:color="000000" w:sz="4" w:space="0"/>
              <w:bottom w:val="single" w:color="000000" w:sz="4" w:space="0"/>
              <w:right w:val="single" w:color="7F7F7F" w:sz="4" w:space="0"/>
            </w:tcBorders>
            <w:shd w:val="clear" w:color="auto" w:fill="auto"/>
            <w:tcMar>
              <w:top w:w="15" w:type="dxa"/>
              <w:left w:w="15" w:type="dxa"/>
              <w:right w:w="15" w:type="dxa"/>
            </w:tcMar>
            <w:vAlign w:val="top"/>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br w:type="textWrapping"/>
            </w:r>
            <w:r>
              <w:rPr>
                <w:rFonts w:hint="default" w:ascii="仿宋" w:hAnsi="仿宋" w:eastAsia="仿宋" w:cs="仿宋"/>
                <w:color w:val="000000"/>
                <w:kern w:val="0"/>
                <w:sz w:val="22"/>
                <w:szCs w:val="22"/>
                <w:lang w:val="en-US" w:eastAsia="zh-CN" w:bidi="ar-SA"/>
              </w:rPr>
              <w:t>图书</w:t>
            </w:r>
          </w:p>
        </w:tc>
        <w:tc>
          <w:tcPr>
            <w:tcW w:w="2876" w:type="dxa"/>
            <w:tcBorders>
              <w:top w:val="single" w:color="000000" w:sz="4" w:space="0"/>
              <w:left w:val="single" w:color="7F7F7F"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一批纸质书、一批数字资源及无障碍阅读图书</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15000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册</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报折扣率，图书为2016年之后出版的图书</w:t>
            </w:r>
          </w:p>
        </w:tc>
      </w:tr>
      <w:tr>
        <w:tblPrEx>
          <w:shd w:val="clear" w:color="auto" w:fill="auto"/>
          <w:tblLayout w:type="fixed"/>
          <w:tblCellMar>
            <w:top w:w="0" w:type="dxa"/>
            <w:left w:w="0" w:type="dxa"/>
            <w:bottom w:w="0" w:type="dxa"/>
            <w:right w:w="0" w:type="dxa"/>
          </w:tblCellMar>
        </w:tblPrEx>
        <w:trPr>
          <w:trHeight w:val="635" w:hRule="atLeast"/>
        </w:trPr>
        <w:tc>
          <w:tcPr>
            <w:tcW w:w="772" w:type="dxa"/>
            <w:vMerge w:val="restart"/>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top"/>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 xml:space="preserve">               电子设备</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儿童电子阅读机</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5</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台</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635" w:hRule="atLeast"/>
        </w:trPr>
        <w:tc>
          <w:tcPr>
            <w:tcW w:w="772" w:type="dxa"/>
            <w:vMerge w:val="continue"/>
            <w:tcBorders>
              <w:top w:val="single" w:color="000000" w:sz="4" w:space="0"/>
              <w:left w:val="single" w:color="000000" w:sz="4" w:space="0"/>
              <w:bottom w:val="single" w:color="7F7F7F" w:sz="4" w:space="0"/>
              <w:right w:val="single" w:color="000000" w:sz="4" w:space="0"/>
            </w:tcBorders>
            <w:shd w:val="clear" w:color="auto" w:fill="auto"/>
            <w:tcMar>
              <w:top w:w="15" w:type="dxa"/>
              <w:left w:w="15" w:type="dxa"/>
              <w:right w:w="15" w:type="dxa"/>
            </w:tcMar>
            <w:vAlign w:val="top"/>
          </w:tcPr>
          <w:p>
            <w:pPr>
              <w:jc w:val="center"/>
              <w:rPr>
                <w:rFonts w:hint="default" w:ascii="仿宋" w:hAnsi="仿宋" w:eastAsia="仿宋" w:cs="仿宋"/>
                <w:color w:val="000000"/>
                <w:kern w:val="0"/>
                <w:sz w:val="22"/>
                <w:szCs w:val="22"/>
                <w:lang w:val="en-US" w:eastAsia="zh-CN" w:bidi="ar-SA"/>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电子智慧画屏</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台</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0"/>
                <w:sz w:val="22"/>
                <w:szCs w:val="22"/>
                <w:lang w:val="en-US" w:eastAsia="zh-CN" w:bidi="ar-SA"/>
              </w:rPr>
            </w:pPr>
          </w:p>
        </w:tc>
      </w:tr>
      <w:tr>
        <w:tblPrEx>
          <w:shd w:val="clear" w:color="auto" w:fill="auto"/>
          <w:tblLayout w:type="fixed"/>
          <w:tblCellMar>
            <w:top w:w="0" w:type="dxa"/>
            <w:left w:w="0" w:type="dxa"/>
            <w:bottom w:w="0" w:type="dxa"/>
            <w:right w:w="0" w:type="dxa"/>
          </w:tblCellMar>
        </w:tblPrEx>
        <w:trPr>
          <w:trHeight w:val="8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无线网覆盖</w:t>
            </w:r>
          </w:p>
        </w:tc>
        <w:tc>
          <w:tcPr>
            <w:tcW w:w="2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无线网覆盖</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点</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color w:val="000000"/>
                <w:kern w:val="0"/>
                <w:sz w:val="22"/>
                <w:szCs w:val="22"/>
                <w:lang w:val="en-US" w:eastAsia="zh-CN" w:bidi="ar-SA"/>
              </w:rPr>
            </w:pPr>
            <w:r>
              <w:rPr>
                <w:rFonts w:hint="default" w:ascii="仿宋" w:hAnsi="仿宋" w:eastAsia="仿宋" w:cs="仿宋"/>
                <w:color w:val="000000"/>
                <w:kern w:val="0"/>
                <w:sz w:val="22"/>
                <w:szCs w:val="22"/>
                <w:lang w:val="en-US" w:eastAsia="zh-CN" w:bidi="ar-SA"/>
              </w:rPr>
              <w:t>3年</w:t>
            </w:r>
          </w:p>
        </w:tc>
      </w:tr>
    </w:tbl>
    <w:p>
      <w:pPr>
        <w:pStyle w:val="8"/>
        <w:rPr>
          <w:rFonts w:ascii="仿宋" w:hAnsi="仿宋" w:eastAsia="仿宋" w:cs="仿宋"/>
        </w:rPr>
      </w:pPr>
    </w:p>
    <w:p>
      <w:pPr>
        <w:pStyle w:val="8"/>
        <w:sectPr>
          <w:pgSz w:w="11906" w:h="16838"/>
          <w:pgMar w:top="1440" w:right="1800" w:bottom="1440" w:left="1800" w:header="851" w:footer="992" w:gutter="0"/>
          <w:cols w:space="425" w:num="1"/>
          <w:docGrid w:type="lines" w:linePitch="312" w:charSpace="0"/>
        </w:sectPr>
      </w:pPr>
    </w:p>
    <w:p>
      <w:pPr>
        <w:pStyle w:val="8"/>
        <w:sectPr>
          <w:pgSz w:w="11906" w:h="16838"/>
          <w:pgMar w:top="1440" w:right="1800" w:bottom="1440" w:left="1800" w:header="851" w:footer="992" w:gutter="0"/>
          <w:cols w:space="425" w:num="1"/>
          <w:docGrid w:type="lines" w:linePitch="312" w:charSpace="0"/>
        </w:sectPr>
      </w:pPr>
      <w:r>
        <w:rPr>
          <w:rFonts w:ascii="仿宋" w:hAnsi="仿宋" w:eastAsia="仿宋" w:cs="宋体"/>
        </w:rPr>
        <w:drawing>
          <wp:anchor distT="0" distB="0" distL="114300" distR="114300" simplePos="0" relativeHeight="251659264" behindDoc="1" locked="0" layoutInCell="1" allowOverlap="1">
            <wp:simplePos x="0" y="0"/>
            <wp:positionH relativeFrom="column">
              <wp:posOffset>24765</wp:posOffset>
            </wp:positionH>
            <wp:positionV relativeFrom="page">
              <wp:posOffset>1550670</wp:posOffset>
            </wp:positionV>
            <wp:extent cx="5107305" cy="7034530"/>
            <wp:effectExtent l="0" t="0" r="13335" b="6350"/>
            <wp:wrapNone/>
            <wp:docPr id="1" name="图片 1" descr="学习机书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习机书单"/>
                    <pic:cNvPicPr>
                      <a:picLocks noChangeAspect="1"/>
                    </pic:cNvPicPr>
                  </pic:nvPicPr>
                  <pic:blipFill>
                    <a:blip r:embed="rId4" cstate="print"/>
                    <a:stretch>
                      <a:fillRect/>
                    </a:stretch>
                  </pic:blipFill>
                  <pic:spPr>
                    <a:xfrm>
                      <a:off x="0" y="0"/>
                      <a:ext cx="5107305" cy="7034530"/>
                    </a:xfrm>
                    <a:prstGeom prst="rect">
                      <a:avLst/>
                    </a:prstGeom>
                  </pic:spPr>
                </pic:pic>
              </a:graphicData>
            </a:graphic>
          </wp:anchor>
        </w:drawing>
      </w:r>
      <w:r>
        <w:rPr>
          <w:rFonts w:hint="eastAsia"/>
        </w:rPr>
        <w:t>儿童电子阅读器书单目录：</w:t>
      </w:r>
    </w:p>
    <w:p>
      <w:pPr>
        <w:rPr>
          <w:rFonts w:ascii="楷体_GB2312" w:eastAsia="楷体_GB2312"/>
          <w:b/>
          <w:sz w:val="48"/>
          <w:szCs w:val="48"/>
        </w:rPr>
      </w:pPr>
      <w:r>
        <w:rPr>
          <w:rFonts w:hint="eastAsia" w:ascii="楷体_GB2312" w:eastAsia="楷体_GB2312"/>
          <w:b/>
          <w:sz w:val="48"/>
          <w:szCs w:val="48"/>
        </w:rPr>
        <w:t>第四部分 合同主要条款和格式合同（样本）</w:t>
      </w:r>
    </w:p>
    <w:p>
      <w:pPr>
        <w:jc w:val="center"/>
        <w:rPr>
          <w:rFonts w:ascii="仿宋_GB2312" w:hAnsi="仿宋_GB2312" w:eastAsia="仿宋_GB2312" w:cs="仿宋_GB2312"/>
          <w:sz w:val="32"/>
          <w:szCs w:val="32"/>
        </w:rPr>
      </w:pPr>
      <w:r>
        <w:rPr>
          <w:rFonts w:hint="eastAsia" w:ascii="仿宋_GB2312" w:hAnsi="仿宋_GB2312" w:eastAsia="仿宋_GB2312" w:cs="仿宋_GB2312"/>
          <w:b/>
          <w:bCs/>
          <w:sz w:val="44"/>
          <w:szCs w:val="44"/>
        </w:rPr>
        <w:t>设备采购合同</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购货单位：（以下简称甲方）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供货单位：（以下简称乙方）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为了确保双方的权利和义务，根据（中华人民共和国合同法）的有关规定，经甲乙双方充分协商，特订立本合同，共同遵守执行。　　　　　　　    </w:t>
      </w:r>
    </w:p>
    <w:p>
      <w:pPr>
        <w:pStyle w:val="19"/>
        <w:numPr>
          <w:ilvl w:val="0"/>
          <w:numId w:val="10"/>
        </w:numPr>
        <w:spacing w:line="540" w:lineRule="exact"/>
        <w:ind w:firstLine="6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甲方向乙方采购材料，采购所需材料设备品种、规格、数量、单价、商标 、生产厂家、计量单位等详见附表。</w:t>
      </w:r>
    </w:p>
    <w:p>
      <w:pPr>
        <w:pStyle w:val="19"/>
        <w:numPr>
          <w:ilvl w:val="0"/>
          <w:numId w:val="0"/>
        </w:numPr>
        <w:spacing w:line="540" w:lineRule="exact"/>
        <w:rPr>
          <w:rFonts w:ascii="仿宋_GB2312" w:hAnsi="仿宋_GB2312" w:eastAsia="仿宋_GB2312" w:cs="仿宋_GB2312"/>
          <w:kern w:val="2"/>
          <w:sz w:val="32"/>
          <w:szCs w:val="32"/>
        </w:rPr>
      </w:pPr>
    </w:p>
    <w:p>
      <w:pPr>
        <w:pStyle w:val="19"/>
        <w:numPr>
          <w:ilvl w:val="0"/>
          <w:numId w:val="10"/>
        </w:numPr>
        <w:spacing w:line="540" w:lineRule="exact"/>
        <w:ind w:left="0" w:leftChars="0" w:firstLine="600" w:firstLineChars="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合同总价款小写人民币：       大写人民币：</w:t>
      </w:r>
    </w:p>
    <w:p>
      <w:pPr>
        <w:pStyle w:val="19"/>
        <w:numPr>
          <w:ilvl w:val="0"/>
          <w:numId w:val="0"/>
        </w:numPr>
        <w:spacing w:line="540" w:lineRule="exact"/>
        <w:ind w:left="600" w:leftChars="0"/>
        <w:rPr>
          <w:rFonts w:hint="eastAsia" w:ascii="仿宋_GB2312" w:hAnsi="仿宋_GB2312" w:eastAsia="仿宋_GB2312" w:cs="仿宋_GB2312"/>
          <w:kern w:val="2"/>
          <w:sz w:val="32"/>
          <w:szCs w:val="32"/>
        </w:rPr>
      </w:pPr>
    </w:p>
    <w:p>
      <w:pPr>
        <w:numPr>
          <w:ilvl w:val="0"/>
          <w:numId w:val="10"/>
        </w:numPr>
        <w:tabs>
          <w:tab w:val="left" w:pos="6300"/>
        </w:tabs>
        <w:snapToGrid w:val="0"/>
        <w:spacing w:line="560" w:lineRule="exact"/>
        <w:ind w:left="0" w:leftChars="0" w:firstLine="600" w:firstLineChars="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付款方式：待工程验收合格，中标单位递交齐全的结算审核资料，且经双方审核结算完成后支付合同价款的97%；质量保证金额为3%的合同款，质量保证金扣留1年，质保期结束无问题后一次性付清。</w:t>
      </w:r>
    </w:p>
    <w:p>
      <w:pPr>
        <w:pStyle w:val="2"/>
        <w:numPr>
          <w:ilvl w:val="0"/>
          <w:numId w:val="0"/>
        </w:numPr>
        <w:ind w:left="600" w:leftChars="0"/>
      </w:pPr>
    </w:p>
    <w:p>
      <w:pPr>
        <w:numPr>
          <w:ilvl w:val="0"/>
          <w:numId w:val="10"/>
        </w:numPr>
        <w:spacing w:line="540" w:lineRule="exact"/>
        <w:ind w:left="0" w:leftChars="0" w:firstLine="60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验收办法：  </w:t>
      </w:r>
    </w:p>
    <w:p>
      <w:pPr>
        <w:numPr>
          <w:ilvl w:val="0"/>
          <w:numId w:val="0"/>
        </w:numPr>
        <w:spacing w:line="540" w:lineRule="exact"/>
        <w:ind w:left="600" w:left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19"/>
        <w:numPr>
          <w:ilvl w:val="0"/>
          <w:numId w:val="10"/>
        </w:numPr>
        <w:spacing w:line="540" w:lineRule="exact"/>
        <w:ind w:left="0" w:leftChars="0" w:firstLine="600" w:firstLineChars="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结算方式：按照甲方出据的“质量验收报告”。</w:t>
      </w:r>
    </w:p>
    <w:p>
      <w:pPr>
        <w:pStyle w:val="19"/>
        <w:numPr>
          <w:ilvl w:val="0"/>
          <w:numId w:val="0"/>
        </w:numPr>
        <w:spacing w:line="540" w:lineRule="exact"/>
        <w:ind w:left="600" w:leftChars="0"/>
        <w:rPr>
          <w:rFonts w:hint="eastAsia" w:ascii="仿宋_GB2312" w:hAnsi="仿宋_GB2312" w:eastAsia="仿宋_GB2312" w:cs="仿宋_GB2312"/>
          <w:kern w:val="2"/>
          <w:sz w:val="32"/>
          <w:szCs w:val="32"/>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六、产品的质量标准：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国家标准执行；无国家标准而有部颁标准的，按部颁标准执行；无国家和部颁标准的，按企业标准执行；没有上述标准的，但需方有特殊要求的，按甲乙双方在合同中商定的技术条件、样品或补充的技术要求执行。</w:t>
      </w:r>
    </w:p>
    <w:p>
      <w:pPr>
        <w:pStyle w:val="2"/>
      </w:pPr>
    </w:p>
    <w:p>
      <w:pPr>
        <w:spacing w:line="540" w:lineRule="exact"/>
        <w:ind w:left="420" w:leftChars="20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七、验收方法：</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1.乙方应当出具货物的合格证书、出厂检测报告，检测机构出具的检测报告原件，乙方未能提供上述资料的，甲方有权拒收。</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２．甲方应当在货物交接时对货物的品种、商标、规格型号、数量、外观包装、质保期当场查验核实，并将验收情况在发货单上记录签字。对货物有异议的，甲方有权当场拒收。甲方也可在收到货物后向乙方提出书面异议，经双方核实确属乙方责任的，甲方有权退货。</w:t>
      </w:r>
    </w:p>
    <w:p>
      <w:pPr>
        <w:pStyle w:val="2"/>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八、双方的义务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1.甲方义务：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(1)甲方应当提前就送货的具体时间、地点及收货人等情况与乙方进行确认，并提供必要的协助。</w:t>
      </w:r>
    </w:p>
    <w:p>
      <w:pPr>
        <w:spacing w:line="540" w:lineRule="exact"/>
        <w:ind w:left="596" w:leftChars="284"/>
        <w:rPr>
          <w:rFonts w:ascii="仿宋_GB2312" w:hAnsi="仿宋_GB2312" w:eastAsia="仿宋_GB2312" w:cs="仿宋_GB2312"/>
          <w:sz w:val="32"/>
          <w:szCs w:val="32"/>
        </w:rPr>
      </w:pPr>
      <w:r>
        <w:rPr>
          <w:rFonts w:hint="eastAsia" w:ascii="仿宋_GB2312" w:hAnsi="仿宋_GB2312" w:eastAsia="仿宋_GB2312" w:cs="仿宋_GB2312"/>
          <w:sz w:val="32"/>
          <w:szCs w:val="32"/>
        </w:rPr>
        <w:t>(２)甲方应当按照乙方提示的方法，对货物妥善保管、搬运、使用。</w:t>
      </w:r>
    </w:p>
    <w:p>
      <w:pPr>
        <w:spacing w:line="540" w:lineRule="exact"/>
        <w:ind w:left="596" w:leftChars="284"/>
        <w:rPr>
          <w:rFonts w:ascii="仿宋_GB2312" w:hAnsi="仿宋_GB2312" w:eastAsia="仿宋_GB2312" w:cs="仿宋_GB2312"/>
          <w:sz w:val="32"/>
          <w:szCs w:val="32"/>
        </w:rPr>
      </w:pPr>
      <w:r>
        <w:rPr>
          <w:rFonts w:hint="eastAsia" w:ascii="仿宋_GB2312" w:hAnsi="仿宋_GB2312" w:eastAsia="仿宋_GB2312" w:cs="仿宋_GB2312"/>
          <w:sz w:val="32"/>
          <w:szCs w:val="32"/>
        </w:rPr>
        <w:t>2.乙方义务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(1)乙方应当按照甲方通知保质保量按时供货。</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(2)乙方应当对货物的保管及使用方法进行技术交底,若不进行技术交底造成的损失由乙方承担。</w:t>
      </w:r>
    </w:p>
    <w:p>
      <w:pPr>
        <w:pStyle w:val="2"/>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 乙方的违约责任</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应认真履行合同，并按照合同金额的3%向甲方交纳合同履约金。乙方不能按甲方要求按时交货的，每拖延供货期一天，每天扣除1000元作为违约金，逾期超过15天的甲方有权解除合同，并由甲方因此所受的损失费用。</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２．甲方在使用过程中发现乙方所提供的材料有质量缺陷的，以书面形式向乙方提出异议，乙方在３个工作日予以确认，并赔偿甲方因返工或工期延误造成的损失。</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３．乙方所交产品品种、规格、质量不符合合同规定的，由乙方负责包换并承担退货而发生的费用。</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４．乙方因产品包装不符合合同规定，必须返修或重新包装的，乙方应负责返修或重新包装，并承担支付的费用。因包装不符合规定造成货物损坏或丢失的，乙方应当负责赔偿。</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十、不可抗力</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甲乙双方的任何一方由于不可抗力的原因不能履行合同时，应及时向对方通报不能履行或不能完全履行的理由，在取得有关单位证明以后，允许延期履行。</w:t>
      </w:r>
    </w:p>
    <w:p>
      <w:pPr>
        <w:pStyle w:val="2"/>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 其它</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解决合同纠纷的方式：凡因履行本合同所发生的或与本合同有关的一切争议，甲、乙双方应通过友好协商解决；如果协商不能解决，应向昌吉市法院提起诉讼，</w:t>
      </w:r>
      <w:r>
        <w:fldChar w:fldCharType="begin"/>
      </w:r>
      <w:r>
        <w:instrText xml:space="preserve"> HYPERLINK "http://www.66law.cn/topics/ssf/" </w:instrText>
      </w:r>
      <w:r>
        <w:fldChar w:fldCharType="separate"/>
      </w:r>
      <w:r>
        <w:rPr>
          <w:rFonts w:hint="eastAsia" w:ascii="仿宋_GB2312" w:hAnsi="仿宋_GB2312" w:eastAsia="仿宋_GB2312" w:cs="仿宋_GB2312"/>
          <w:sz w:val="32"/>
          <w:szCs w:val="32"/>
        </w:rPr>
        <w:t>诉讼费</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用和胜诉方的</w:t>
      </w:r>
      <w:r>
        <w:fldChar w:fldCharType="begin"/>
      </w:r>
      <w:r>
        <w:instrText xml:space="preserve"> HYPERLINK "http://www.66law.cn/special/2012lssfbz/" </w:instrText>
      </w:r>
      <w:r>
        <w:fldChar w:fldCharType="separate"/>
      </w:r>
      <w:r>
        <w:rPr>
          <w:rFonts w:hint="eastAsia" w:ascii="仿宋_GB2312" w:hAnsi="仿宋_GB2312" w:eastAsia="仿宋_GB2312" w:cs="仿宋_GB2312"/>
          <w:sz w:val="32"/>
          <w:szCs w:val="32"/>
        </w:rPr>
        <w:t>律师费</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用应由败诉方承担。</w:t>
      </w:r>
    </w:p>
    <w:p>
      <w:pPr>
        <w:pStyle w:val="2"/>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2.本合同自签订之日起生效，合同执行期内，甲乙双方均不得随意变更或</w:t>
      </w:r>
      <w:r>
        <w:fldChar w:fldCharType="begin"/>
      </w:r>
      <w:r>
        <w:instrText xml:space="preserve"> HYPERLINK "http://www.66law.cn/topic2010/解除合同/" </w:instrText>
      </w:r>
      <w:r>
        <w:fldChar w:fldCharType="separate"/>
      </w:r>
      <w:r>
        <w:rPr>
          <w:rFonts w:hint="eastAsia" w:ascii="仿宋_GB2312" w:hAnsi="仿宋_GB2312" w:eastAsia="仿宋_GB2312" w:cs="仿宋_GB2312"/>
          <w:sz w:val="32"/>
          <w:szCs w:val="32"/>
        </w:rPr>
        <w:t>解除合同</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。合同如有未尽事宜，须经双方共同协商，做出补充规定，补充规定与本合同具有同等效力。本合同正本一式陆份，甲方执肆份，乙方执贰份。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甲  方（签章）                      乙  方（签章）</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                          法人代表：</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                        委托代理人：</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地    址：                          地    址：</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银行账号：                          银行账号：</w:t>
      </w:r>
    </w:p>
    <w:p>
      <w:pPr>
        <w:ind w:left="7200" w:hanging="7200" w:hangingChars="2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开户行：                            开户行： </w:t>
      </w:r>
    </w:p>
    <w:p>
      <w:pPr>
        <w:ind w:left="7200" w:hanging="7200" w:hangingChars="2250"/>
        <w:jc w:val="left"/>
        <w:rPr>
          <w:rFonts w:ascii="仿宋_GB2312" w:hAnsi="仿宋_GB2312" w:eastAsia="仿宋_GB2312" w:cs="仿宋_GB2312"/>
          <w:sz w:val="32"/>
          <w:szCs w:val="32"/>
        </w:rPr>
      </w:pPr>
    </w:p>
    <w:p>
      <w:pPr>
        <w:widowControl/>
        <w:ind w:firstLine="640" w:firstLineChars="200"/>
        <w:jc w:val="left"/>
        <w:rPr>
          <w:rFonts w:ascii="仿宋" w:hAnsi="仿宋" w:eastAsia="仿宋"/>
          <w:b/>
          <w:sz w:val="44"/>
          <w:szCs w:val="44"/>
        </w:rPr>
      </w:pPr>
      <w:r>
        <w:rPr>
          <w:rFonts w:hint="eastAsia" w:ascii="仿宋_GB2312" w:hAnsi="仿宋_GB2312" w:eastAsia="仿宋_GB2312" w:cs="仿宋_GB2312"/>
          <w:sz w:val="32"/>
          <w:szCs w:val="32"/>
        </w:rPr>
        <w:t>年  月  日                          年  月  日</w:t>
      </w:r>
    </w:p>
    <w:p>
      <w:pPr>
        <w:tabs>
          <w:tab w:val="left" w:pos="6300"/>
        </w:tabs>
        <w:snapToGrid w:val="0"/>
        <w:spacing w:line="560" w:lineRule="exact"/>
        <w:ind w:firstLine="2209" w:firstLineChars="500"/>
        <w:outlineLvl w:val="0"/>
        <w:rPr>
          <w:rFonts w:ascii="仿宋" w:hAnsi="仿宋" w:eastAsia="仿宋"/>
          <w:b/>
          <w:sz w:val="44"/>
          <w:szCs w:val="44"/>
        </w:rPr>
      </w:pPr>
      <w:r>
        <w:rPr>
          <w:rFonts w:hint="eastAsia" w:ascii="仿宋" w:hAnsi="仿宋" w:eastAsia="仿宋"/>
          <w:b/>
          <w:sz w:val="44"/>
          <w:szCs w:val="44"/>
        </w:rPr>
        <w:br w:type="page"/>
      </w:r>
      <w:r>
        <w:rPr>
          <w:rFonts w:hint="eastAsia" w:ascii="仿宋" w:hAnsi="仿宋" w:eastAsia="仿宋"/>
          <w:b/>
          <w:sz w:val="44"/>
          <w:szCs w:val="44"/>
        </w:rPr>
        <w:t>第五部分  投标文件格式</w:t>
      </w: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表一</w:t>
      </w:r>
    </w:p>
    <w:p>
      <w:pPr>
        <w:pStyle w:val="20"/>
        <w:snapToGrid w:val="0"/>
        <w:spacing w:line="560" w:lineRule="exact"/>
        <w:jc w:val="center"/>
        <w:rPr>
          <w:rFonts w:ascii="仿宋" w:hAnsi="仿宋" w:eastAsia="仿宋"/>
          <w:color w:val="auto"/>
          <w:sz w:val="32"/>
          <w:szCs w:val="32"/>
        </w:rPr>
      </w:pPr>
      <w:r>
        <w:rPr>
          <w:rFonts w:hint="eastAsia" w:ascii="仿宋" w:hAnsi="仿宋" w:eastAsia="仿宋"/>
          <w:b/>
          <w:bCs/>
          <w:color w:val="auto"/>
          <w:sz w:val="32"/>
          <w:szCs w:val="32"/>
        </w:rPr>
        <w:t>开标一览表</w:t>
      </w:r>
    </w:p>
    <w:tbl>
      <w:tblPr>
        <w:tblStyle w:val="15"/>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644" w:type="dxa"/>
          </w:tcPr>
          <w:p>
            <w:pPr>
              <w:pStyle w:val="20"/>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投标人</w:t>
            </w:r>
          </w:p>
        </w:tc>
        <w:tc>
          <w:tcPr>
            <w:tcW w:w="4247" w:type="dxa"/>
          </w:tcPr>
          <w:p>
            <w:pPr>
              <w:pStyle w:val="20"/>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644" w:type="dxa"/>
          </w:tcPr>
          <w:p>
            <w:pPr>
              <w:pStyle w:val="20"/>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总报价（大写 ）</w:t>
            </w:r>
          </w:p>
        </w:tc>
        <w:tc>
          <w:tcPr>
            <w:tcW w:w="4247" w:type="dxa"/>
          </w:tcPr>
          <w:p>
            <w:pPr>
              <w:pStyle w:val="20"/>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644" w:type="dxa"/>
          </w:tcPr>
          <w:p>
            <w:pPr>
              <w:pStyle w:val="20"/>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总报价（小写 ）</w:t>
            </w:r>
          </w:p>
        </w:tc>
        <w:tc>
          <w:tcPr>
            <w:tcW w:w="4247" w:type="dxa"/>
          </w:tcPr>
          <w:p>
            <w:pPr>
              <w:pStyle w:val="20"/>
              <w:snapToGrid w:val="0"/>
              <w:spacing w:line="560" w:lineRule="exact"/>
              <w:jc w:val="center"/>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644" w:type="dxa"/>
          </w:tcPr>
          <w:p>
            <w:pPr>
              <w:pStyle w:val="20"/>
              <w:snapToGrid w:val="0"/>
              <w:spacing w:line="560" w:lineRule="exact"/>
              <w:jc w:val="center"/>
              <w:rPr>
                <w:rFonts w:ascii="仿宋" w:hAnsi="仿宋" w:eastAsia="仿宋"/>
                <w:color w:val="auto"/>
                <w:sz w:val="32"/>
                <w:szCs w:val="32"/>
              </w:rPr>
            </w:pPr>
            <w:r>
              <w:rPr>
                <w:rFonts w:hint="eastAsia" w:ascii="仿宋" w:hAnsi="仿宋" w:eastAsia="仿宋"/>
                <w:color w:val="auto"/>
                <w:sz w:val="32"/>
                <w:szCs w:val="32"/>
              </w:rPr>
              <w:t>备注</w:t>
            </w:r>
          </w:p>
        </w:tc>
        <w:tc>
          <w:tcPr>
            <w:tcW w:w="4247" w:type="dxa"/>
          </w:tcPr>
          <w:p>
            <w:pPr>
              <w:pStyle w:val="20"/>
              <w:snapToGrid w:val="0"/>
              <w:spacing w:line="560" w:lineRule="exact"/>
              <w:jc w:val="center"/>
              <w:rPr>
                <w:rFonts w:ascii="仿宋" w:hAnsi="仿宋" w:eastAsia="仿宋"/>
                <w:color w:val="auto"/>
                <w:sz w:val="32"/>
                <w:szCs w:val="32"/>
              </w:rPr>
            </w:pPr>
          </w:p>
        </w:tc>
      </w:tr>
    </w:tbl>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    我方将严格按招投标法及招标文件的要求参加本次公开招标，并理解你方以综合评分法确定中标结果，且对中标结果也没有解释义务。如我方为中标候选人，在接到你方发出的中标通知书五个工作日内，按中标通知书、招标文件和本投标文件的约定与采购单位签订合同，并履行规定的一切责任和义务。</w:t>
      </w: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    我方如出现以下行为之一者，你方有权不予退还我方针对此项目交纳的投标保证金。</w:t>
      </w:r>
    </w:p>
    <w:p>
      <w:pPr>
        <w:tabs>
          <w:tab w:val="left" w:pos="6300"/>
        </w:tabs>
        <w:snapToGrid w:val="0"/>
        <w:spacing w:line="400" w:lineRule="exact"/>
        <w:outlineLvl w:val="0"/>
        <w:rPr>
          <w:rFonts w:ascii="仿宋" w:hAnsi="仿宋" w:eastAsia="仿宋" w:cs="仿宋_GB2312"/>
          <w:sz w:val="32"/>
          <w:szCs w:val="32"/>
        </w:rPr>
      </w:pPr>
      <w:r>
        <w:rPr>
          <w:rFonts w:hint="eastAsia" w:ascii="仿宋" w:hAnsi="仿宋" w:eastAsia="仿宋"/>
          <w:sz w:val="32"/>
          <w:szCs w:val="32"/>
        </w:rPr>
        <w:t xml:space="preserve">    </w:t>
      </w:r>
      <w:r>
        <w:rPr>
          <w:rFonts w:hint="eastAsia" w:ascii="仿宋" w:hAnsi="仿宋" w:eastAsia="仿宋" w:cs="仿宋_GB2312"/>
          <w:sz w:val="32"/>
          <w:szCs w:val="32"/>
        </w:rPr>
        <w:t>1、交纳保证金后无故不参加投标。</w:t>
      </w:r>
    </w:p>
    <w:p>
      <w:pPr>
        <w:tabs>
          <w:tab w:val="left" w:pos="6300"/>
        </w:tabs>
        <w:snapToGrid w:val="0"/>
        <w:spacing w:line="400" w:lineRule="exact"/>
        <w:outlineLvl w:val="0"/>
        <w:rPr>
          <w:rFonts w:ascii="仿宋" w:hAnsi="仿宋" w:eastAsia="仿宋" w:cs="仿宋_GB2312"/>
          <w:sz w:val="32"/>
          <w:szCs w:val="32"/>
        </w:rPr>
      </w:pPr>
      <w:r>
        <w:rPr>
          <w:rFonts w:hint="eastAsia" w:ascii="仿宋" w:hAnsi="仿宋" w:eastAsia="仿宋" w:cs="仿宋_GB2312"/>
          <w:sz w:val="32"/>
          <w:szCs w:val="32"/>
        </w:rPr>
        <w:t xml:space="preserve">    2、在招标过程中，未经招标人同意的情况下，我方代表人中途离场。</w:t>
      </w:r>
    </w:p>
    <w:p>
      <w:pPr>
        <w:tabs>
          <w:tab w:val="left" w:pos="6300"/>
        </w:tabs>
        <w:snapToGrid w:val="0"/>
        <w:spacing w:line="400" w:lineRule="exact"/>
        <w:jc w:val="left"/>
        <w:outlineLvl w:val="0"/>
        <w:rPr>
          <w:rFonts w:ascii="仿宋" w:hAnsi="仿宋" w:eastAsia="仿宋" w:cs="仿宋_GB2312"/>
          <w:sz w:val="32"/>
          <w:szCs w:val="32"/>
        </w:rPr>
      </w:pPr>
      <w:r>
        <w:rPr>
          <w:rFonts w:hint="eastAsia" w:ascii="仿宋" w:hAnsi="仿宋" w:eastAsia="仿宋" w:cs="仿宋_GB2312"/>
          <w:sz w:val="32"/>
          <w:szCs w:val="32"/>
        </w:rPr>
        <w:t xml:space="preserve">    3、被通知中标后，我方不按规定的时间或拒绝按中标状态签订合同（即不按中标时招标人的要求及我方的承诺签订合同）。     </w:t>
      </w:r>
    </w:p>
    <w:p>
      <w:pPr>
        <w:tabs>
          <w:tab w:val="center" w:pos="4422"/>
        </w:tabs>
        <w:snapToGrid w:val="0"/>
        <w:spacing w:line="400" w:lineRule="exact"/>
        <w:ind w:firstLine="640" w:firstLineChars="200"/>
        <w:outlineLvl w:val="0"/>
        <w:rPr>
          <w:rFonts w:ascii="仿宋" w:hAnsi="仿宋" w:eastAsia="仿宋"/>
          <w:sz w:val="32"/>
          <w:szCs w:val="32"/>
        </w:rPr>
      </w:pPr>
      <w:r>
        <w:rPr>
          <w:rFonts w:hint="eastAsia" w:ascii="仿宋" w:hAnsi="仿宋" w:eastAsia="仿宋" w:cs="仿宋_GB2312"/>
          <w:sz w:val="32"/>
          <w:szCs w:val="32"/>
        </w:rPr>
        <w:t>4、与其他投标人串通或发生其他影响招标公平竞争的行为。</w:t>
      </w: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投标人（盖公章）：             </w:t>
      </w:r>
      <w:r>
        <w:rPr>
          <w:rFonts w:hint="eastAsia" w:ascii="仿宋_GB2312" w:hAnsi="仿宋" w:eastAsia="仿宋_GB2312"/>
          <w:bCs/>
          <w:sz w:val="32"/>
          <w:szCs w:val="32"/>
        </w:rPr>
        <w:t xml:space="preserve"> 法定代表人</w:t>
      </w:r>
      <w:r>
        <w:rPr>
          <w:rFonts w:hint="eastAsia" w:ascii="仿宋" w:hAnsi="仿宋" w:eastAsia="仿宋"/>
          <w:sz w:val="32"/>
          <w:szCs w:val="32"/>
        </w:rPr>
        <w:t>（签字或加盖印鉴）：</w:t>
      </w:r>
    </w:p>
    <w:p>
      <w:pPr>
        <w:tabs>
          <w:tab w:val="left" w:pos="6300"/>
        </w:tabs>
        <w:snapToGrid w:val="0"/>
        <w:spacing w:line="400" w:lineRule="exact"/>
        <w:outlineLvl w:val="0"/>
        <w:rPr>
          <w:rFonts w:ascii="仿宋" w:hAnsi="仿宋" w:eastAsia="仿宋"/>
          <w:sz w:val="32"/>
          <w:szCs w:val="32"/>
        </w:rPr>
      </w:pP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联系人：                      联系地址：     </w:t>
      </w:r>
    </w:p>
    <w:p>
      <w:pPr>
        <w:tabs>
          <w:tab w:val="left" w:pos="6300"/>
        </w:tabs>
        <w:snapToGrid w:val="0"/>
        <w:spacing w:line="400" w:lineRule="exact"/>
        <w:outlineLvl w:val="0"/>
        <w:rPr>
          <w:rFonts w:ascii="仿宋" w:hAnsi="仿宋" w:eastAsia="仿宋"/>
          <w:sz w:val="32"/>
          <w:szCs w:val="32"/>
        </w:rPr>
      </w:pP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电话：                        邮编：</w:t>
      </w: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  </w:t>
      </w:r>
    </w:p>
    <w:p>
      <w:pPr>
        <w:tabs>
          <w:tab w:val="left" w:pos="6300"/>
        </w:tabs>
        <w:snapToGrid w:val="0"/>
        <w:spacing w:line="400" w:lineRule="exact"/>
        <w:outlineLvl w:val="0"/>
        <w:rPr>
          <w:rFonts w:ascii="仿宋" w:hAnsi="仿宋" w:eastAsia="仿宋"/>
          <w:b/>
          <w:sz w:val="32"/>
          <w:szCs w:val="32"/>
        </w:rPr>
      </w:pPr>
      <w:r>
        <w:rPr>
          <w:rFonts w:hint="eastAsia" w:ascii="仿宋" w:hAnsi="仿宋" w:eastAsia="仿宋"/>
          <w:sz w:val="32"/>
          <w:szCs w:val="32"/>
        </w:rPr>
        <w:t xml:space="preserve">                                   年     月     日</w:t>
      </w:r>
    </w:p>
    <w:p>
      <w:pPr>
        <w:spacing w:line="560" w:lineRule="exact"/>
        <w:rPr>
          <w:rFonts w:ascii="仿宋" w:hAnsi="仿宋" w:eastAsia="仿宋"/>
          <w:b/>
          <w:bCs/>
          <w:color w:val="000000"/>
          <w:sz w:val="32"/>
          <w:szCs w:val="32"/>
        </w:rPr>
      </w:pPr>
      <w:r>
        <w:rPr>
          <w:rFonts w:hint="eastAsia" w:ascii="仿宋" w:hAnsi="仿宋" w:eastAsia="仿宋"/>
          <w:b/>
          <w:sz w:val="32"/>
          <w:szCs w:val="32"/>
        </w:rPr>
        <w:br w:type="page"/>
      </w:r>
      <w:r>
        <w:rPr>
          <w:rFonts w:hint="eastAsia" w:ascii="仿宋" w:hAnsi="仿宋" w:eastAsia="仿宋"/>
          <w:b/>
          <w:bCs/>
          <w:color w:val="000000"/>
          <w:sz w:val="32"/>
          <w:szCs w:val="32"/>
        </w:rPr>
        <w:t>表二：</w:t>
      </w:r>
    </w:p>
    <w:p>
      <w:pPr>
        <w:spacing w:line="560" w:lineRule="exact"/>
        <w:ind w:firstLine="3855" w:firstLineChars="1200"/>
        <w:rPr>
          <w:rFonts w:ascii="仿宋" w:hAnsi="仿宋" w:eastAsia="仿宋"/>
          <w:b/>
          <w:bCs/>
          <w:color w:val="000000"/>
          <w:sz w:val="32"/>
          <w:szCs w:val="32"/>
        </w:rPr>
      </w:pPr>
      <w:r>
        <w:rPr>
          <w:rFonts w:hint="eastAsia" w:ascii="仿宋" w:hAnsi="仿宋" w:eastAsia="仿宋"/>
          <w:b/>
          <w:bCs/>
          <w:color w:val="000000"/>
          <w:sz w:val="32"/>
          <w:szCs w:val="32"/>
        </w:rPr>
        <w:t>报价明细表</w:t>
      </w:r>
    </w:p>
    <w:p>
      <w:pPr>
        <w:pStyle w:val="21"/>
      </w:pPr>
    </w:p>
    <w:tbl>
      <w:tblPr>
        <w:tblStyle w:val="15"/>
        <w:tblW w:w="87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081"/>
        <w:gridCol w:w="1134"/>
        <w:gridCol w:w="1134"/>
        <w:gridCol w:w="992"/>
        <w:gridCol w:w="1134"/>
        <w:gridCol w:w="992"/>
      </w:tblGrid>
      <w:tr>
        <w:tblPrEx>
          <w:tblLayout w:type="fixed"/>
          <w:tblCellMar>
            <w:top w:w="0" w:type="dxa"/>
            <w:left w:w="108" w:type="dxa"/>
            <w:bottom w:w="0" w:type="dxa"/>
            <w:right w:w="108" w:type="dxa"/>
          </w:tblCellMar>
        </w:tblPrEx>
        <w:trPr>
          <w:trHeight w:val="354" w:hRule="atLeast"/>
          <w:jc w:val="center"/>
        </w:trPr>
        <w:tc>
          <w:tcPr>
            <w:tcW w:w="851" w:type="dxa"/>
          </w:tcPr>
          <w:p>
            <w:pPr>
              <w:tabs>
                <w:tab w:val="left" w:pos="6300"/>
              </w:tabs>
              <w:snapToGrid w:val="0"/>
              <w:jc w:val="center"/>
              <w:outlineLvl w:val="0"/>
              <w:rPr>
                <w:b/>
                <w:color w:val="000000"/>
              </w:rPr>
            </w:pPr>
            <w:r>
              <w:rPr>
                <w:rFonts w:hint="eastAsia"/>
                <w:b/>
                <w:color w:val="000000"/>
              </w:rPr>
              <w:t>序号</w:t>
            </w:r>
          </w:p>
        </w:tc>
        <w:tc>
          <w:tcPr>
            <w:tcW w:w="1417" w:type="dxa"/>
          </w:tcPr>
          <w:p>
            <w:pPr>
              <w:tabs>
                <w:tab w:val="left" w:pos="6300"/>
              </w:tabs>
              <w:snapToGrid w:val="0"/>
              <w:jc w:val="center"/>
              <w:outlineLvl w:val="0"/>
              <w:rPr>
                <w:b/>
                <w:color w:val="000000"/>
              </w:rPr>
            </w:pPr>
            <w:r>
              <w:rPr>
                <w:rFonts w:hint="eastAsia"/>
                <w:b/>
                <w:color w:val="000000"/>
              </w:rPr>
              <w:t>产品描述</w:t>
            </w:r>
          </w:p>
        </w:tc>
        <w:tc>
          <w:tcPr>
            <w:tcW w:w="1081" w:type="dxa"/>
          </w:tcPr>
          <w:p>
            <w:pPr>
              <w:tabs>
                <w:tab w:val="left" w:pos="6300"/>
              </w:tabs>
              <w:snapToGrid w:val="0"/>
              <w:jc w:val="center"/>
              <w:outlineLvl w:val="0"/>
              <w:rPr>
                <w:b/>
                <w:color w:val="000000"/>
              </w:rPr>
            </w:pPr>
            <w:r>
              <w:rPr>
                <w:rFonts w:hint="eastAsia"/>
                <w:b/>
              </w:rPr>
              <w:t>品牌型号</w:t>
            </w:r>
          </w:p>
        </w:tc>
        <w:tc>
          <w:tcPr>
            <w:tcW w:w="1134" w:type="dxa"/>
          </w:tcPr>
          <w:p>
            <w:pPr>
              <w:tabs>
                <w:tab w:val="left" w:pos="6300"/>
              </w:tabs>
              <w:snapToGrid w:val="0"/>
              <w:jc w:val="center"/>
              <w:outlineLvl w:val="0"/>
              <w:rPr>
                <w:b/>
              </w:rPr>
            </w:pPr>
            <w:r>
              <w:rPr>
                <w:rFonts w:hint="eastAsia"/>
                <w:b/>
              </w:rPr>
              <w:t>单位</w:t>
            </w:r>
          </w:p>
        </w:tc>
        <w:tc>
          <w:tcPr>
            <w:tcW w:w="1134" w:type="dxa"/>
          </w:tcPr>
          <w:p>
            <w:pPr>
              <w:tabs>
                <w:tab w:val="left" w:pos="6300"/>
              </w:tabs>
              <w:snapToGrid w:val="0"/>
              <w:jc w:val="center"/>
              <w:outlineLvl w:val="0"/>
              <w:rPr>
                <w:b/>
              </w:rPr>
            </w:pPr>
            <w:r>
              <w:rPr>
                <w:rFonts w:hint="eastAsia"/>
                <w:b/>
              </w:rPr>
              <w:t>数量</w:t>
            </w:r>
          </w:p>
        </w:tc>
        <w:tc>
          <w:tcPr>
            <w:tcW w:w="992" w:type="dxa"/>
          </w:tcPr>
          <w:p>
            <w:pPr>
              <w:tabs>
                <w:tab w:val="left" w:pos="6300"/>
              </w:tabs>
              <w:snapToGrid w:val="0"/>
              <w:jc w:val="center"/>
              <w:outlineLvl w:val="0"/>
              <w:rPr>
                <w:b/>
              </w:rPr>
            </w:pPr>
            <w:r>
              <w:rPr>
                <w:rFonts w:hint="eastAsia"/>
                <w:b/>
              </w:rPr>
              <w:t>单价</w:t>
            </w:r>
          </w:p>
        </w:tc>
        <w:tc>
          <w:tcPr>
            <w:tcW w:w="1134" w:type="dxa"/>
          </w:tcPr>
          <w:p>
            <w:pPr>
              <w:tabs>
                <w:tab w:val="left" w:pos="6300"/>
              </w:tabs>
              <w:snapToGrid w:val="0"/>
              <w:jc w:val="center"/>
              <w:outlineLvl w:val="0"/>
              <w:rPr>
                <w:b/>
              </w:rPr>
            </w:pPr>
            <w:r>
              <w:rPr>
                <w:rFonts w:hint="eastAsia"/>
                <w:b/>
              </w:rPr>
              <w:t>总价</w:t>
            </w:r>
          </w:p>
        </w:tc>
        <w:tc>
          <w:tcPr>
            <w:tcW w:w="992" w:type="dxa"/>
          </w:tcPr>
          <w:p>
            <w:pPr>
              <w:tabs>
                <w:tab w:val="left" w:pos="6300"/>
              </w:tabs>
              <w:snapToGrid w:val="0"/>
              <w:jc w:val="center"/>
              <w:outlineLvl w:val="0"/>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851" w:type="dxa"/>
          </w:tcPr>
          <w:p>
            <w:pPr>
              <w:tabs>
                <w:tab w:val="left" w:pos="6300"/>
              </w:tabs>
              <w:snapToGrid w:val="0"/>
              <w:ind w:firstLine="480"/>
              <w:jc w:val="center"/>
              <w:outlineLvl w:val="0"/>
              <w:rPr>
                <w:color w:val="000000"/>
              </w:rPr>
            </w:pPr>
          </w:p>
        </w:tc>
        <w:tc>
          <w:tcPr>
            <w:tcW w:w="1417" w:type="dxa"/>
          </w:tcPr>
          <w:p>
            <w:pPr>
              <w:tabs>
                <w:tab w:val="left" w:pos="6300"/>
              </w:tabs>
              <w:snapToGrid w:val="0"/>
              <w:ind w:firstLine="482"/>
              <w:jc w:val="center"/>
              <w:outlineLvl w:val="0"/>
              <w:rPr>
                <w:b/>
                <w:color w:val="000000"/>
              </w:rPr>
            </w:pPr>
          </w:p>
        </w:tc>
        <w:tc>
          <w:tcPr>
            <w:tcW w:w="1081" w:type="dxa"/>
          </w:tcPr>
          <w:p>
            <w:pPr>
              <w:tabs>
                <w:tab w:val="left" w:pos="6300"/>
              </w:tabs>
              <w:snapToGrid w:val="0"/>
              <w:ind w:firstLine="482"/>
              <w:jc w:val="center"/>
              <w:outlineLvl w:val="0"/>
              <w:rPr>
                <w:b/>
                <w:color w:val="000000"/>
              </w:rPr>
            </w:pPr>
          </w:p>
        </w:tc>
        <w:tc>
          <w:tcPr>
            <w:tcW w:w="1134" w:type="dxa"/>
          </w:tcPr>
          <w:p>
            <w:pPr>
              <w:tabs>
                <w:tab w:val="left" w:pos="6300"/>
              </w:tabs>
              <w:snapToGrid w:val="0"/>
              <w:ind w:firstLine="482"/>
              <w:jc w:val="center"/>
              <w:outlineLvl w:val="0"/>
              <w:rPr>
                <w:b/>
                <w:color w:val="000000"/>
              </w:rPr>
            </w:pPr>
          </w:p>
        </w:tc>
        <w:tc>
          <w:tcPr>
            <w:tcW w:w="1134" w:type="dxa"/>
          </w:tcPr>
          <w:p>
            <w:pPr>
              <w:tabs>
                <w:tab w:val="left" w:pos="6300"/>
              </w:tabs>
              <w:snapToGrid w:val="0"/>
              <w:ind w:firstLine="482"/>
              <w:jc w:val="center"/>
              <w:outlineLvl w:val="0"/>
              <w:rPr>
                <w:b/>
                <w:color w:val="000000"/>
              </w:rPr>
            </w:pPr>
          </w:p>
        </w:tc>
        <w:tc>
          <w:tcPr>
            <w:tcW w:w="992" w:type="dxa"/>
          </w:tcPr>
          <w:p>
            <w:pPr>
              <w:tabs>
                <w:tab w:val="left" w:pos="6300"/>
              </w:tabs>
              <w:snapToGrid w:val="0"/>
              <w:ind w:firstLine="482"/>
              <w:jc w:val="center"/>
              <w:outlineLvl w:val="0"/>
              <w:rPr>
                <w:b/>
                <w:color w:val="000000"/>
              </w:rPr>
            </w:pPr>
          </w:p>
        </w:tc>
        <w:tc>
          <w:tcPr>
            <w:tcW w:w="1134" w:type="dxa"/>
          </w:tcPr>
          <w:p>
            <w:pPr>
              <w:tabs>
                <w:tab w:val="left" w:pos="6300"/>
              </w:tabs>
              <w:snapToGrid w:val="0"/>
              <w:ind w:firstLine="482"/>
              <w:jc w:val="center"/>
              <w:outlineLvl w:val="0"/>
              <w:rPr>
                <w:b/>
                <w:color w:val="000000"/>
              </w:rPr>
            </w:pPr>
          </w:p>
        </w:tc>
        <w:tc>
          <w:tcPr>
            <w:tcW w:w="992" w:type="dxa"/>
          </w:tcPr>
          <w:p>
            <w:pPr>
              <w:tabs>
                <w:tab w:val="left" w:pos="6300"/>
              </w:tabs>
              <w:snapToGrid w:val="0"/>
              <w:ind w:firstLine="482"/>
              <w:jc w:val="center"/>
              <w:outlineLvl w:val="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jc w:val="center"/>
        </w:trPr>
        <w:tc>
          <w:tcPr>
            <w:tcW w:w="851" w:type="dxa"/>
          </w:tcPr>
          <w:p>
            <w:pPr>
              <w:tabs>
                <w:tab w:val="left" w:pos="6300"/>
              </w:tabs>
              <w:snapToGrid w:val="0"/>
              <w:outlineLvl w:val="0"/>
              <w:rPr>
                <w:color w:val="000000"/>
              </w:rPr>
            </w:pPr>
          </w:p>
        </w:tc>
        <w:tc>
          <w:tcPr>
            <w:tcW w:w="1417" w:type="dxa"/>
          </w:tcPr>
          <w:p>
            <w:pPr>
              <w:tabs>
                <w:tab w:val="left" w:pos="6300"/>
              </w:tabs>
              <w:snapToGrid w:val="0"/>
              <w:ind w:firstLine="480"/>
              <w:jc w:val="center"/>
              <w:outlineLvl w:val="0"/>
              <w:rPr>
                <w:color w:val="000000"/>
              </w:rPr>
            </w:pPr>
          </w:p>
        </w:tc>
        <w:tc>
          <w:tcPr>
            <w:tcW w:w="1081"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851" w:type="dxa"/>
          </w:tcPr>
          <w:p>
            <w:pPr>
              <w:tabs>
                <w:tab w:val="left" w:pos="6300"/>
              </w:tabs>
              <w:snapToGrid w:val="0"/>
              <w:outlineLvl w:val="0"/>
              <w:rPr>
                <w:color w:val="000000"/>
              </w:rPr>
            </w:pPr>
          </w:p>
        </w:tc>
        <w:tc>
          <w:tcPr>
            <w:tcW w:w="1417" w:type="dxa"/>
          </w:tcPr>
          <w:p>
            <w:pPr>
              <w:tabs>
                <w:tab w:val="left" w:pos="6300"/>
              </w:tabs>
              <w:snapToGrid w:val="0"/>
              <w:ind w:firstLine="480"/>
              <w:jc w:val="center"/>
              <w:outlineLvl w:val="0"/>
              <w:rPr>
                <w:color w:val="000000"/>
              </w:rPr>
            </w:pPr>
          </w:p>
        </w:tc>
        <w:tc>
          <w:tcPr>
            <w:tcW w:w="1081"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jc w:val="center"/>
        </w:trPr>
        <w:tc>
          <w:tcPr>
            <w:tcW w:w="851" w:type="dxa"/>
          </w:tcPr>
          <w:p>
            <w:pPr>
              <w:tabs>
                <w:tab w:val="left" w:pos="6300"/>
              </w:tabs>
              <w:snapToGrid w:val="0"/>
              <w:outlineLvl w:val="0"/>
              <w:rPr>
                <w:color w:val="000000"/>
              </w:rPr>
            </w:pPr>
          </w:p>
        </w:tc>
        <w:tc>
          <w:tcPr>
            <w:tcW w:w="1417" w:type="dxa"/>
          </w:tcPr>
          <w:p>
            <w:pPr>
              <w:tabs>
                <w:tab w:val="left" w:pos="6300"/>
              </w:tabs>
              <w:snapToGrid w:val="0"/>
              <w:ind w:firstLine="480"/>
              <w:jc w:val="center"/>
              <w:outlineLvl w:val="0"/>
              <w:rPr>
                <w:color w:val="000000"/>
              </w:rPr>
            </w:pPr>
          </w:p>
        </w:tc>
        <w:tc>
          <w:tcPr>
            <w:tcW w:w="1081"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jc w:val="center"/>
        </w:trPr>
        <w:tc>
          <w:tcPr>
            <w:tcW w:w="851" w:type="dxa"/>
          </w:tcPr>
          <w:p>
            <w:pPr>
              <w:tabs>
                <w:tab w:val="left" w:pos="6300"/>
              </w:tabs>
              <w:snapToGrid w:val="0"/>
              <w:outlineLvl w:val="0"/>
              <w:rPr>
                <w:color w:val="000000"/>
              </w:rPr>
            </w:pPr>
          </w:p>
        </w:tc>
        <w:tc>
          <w:tcPr>
            <w:tcW w:w="1417" w:type="dxa"/>
          </w:tcPr>
          <w:p>
            <w:pPr>
              <w:tabs>
                <w:tab w:val="left" w:pos="6300"/>
              </w:tabs>
              <w:snapToGrid w:val="0"/>
              <w:ind w:firstLine="480"/>
              <w:jc w:val="center"/>
              <w:outlineLvl w:val="0"/>
              <w:rPr>
                <w:color w:val="000000"/>
              </w:rPr>
            </w:pPr>
          </w:p>
        </w:tc>
        <w:tc>
          <w:tcPr>
            <w:tcW w:w="1081"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c>
          <w:tcPr>
            <w:tcW w:w="1134" w:type="dxa"/>
          </w:tcPr>
          <w:p>
            <w:pPr>
              <w:tabs>
                <w:tab w:val="left" w:pos="6300"/>
              </w:tabs>
              <w:snapToGrid w:val="0"/>
              <w:ind w:firstLine="480"/>
              <w:jc w:val="center"/>
              <w:outlineLvl w:val="0"/>
              <w:rPr>
                <w:color w:val="000000"/>
              </w:rPr>
            </w:pPr>
          </w:p>
        </w:tc>
        <w:tc>
          <w:tcPr>
            <w:tcW w:w="992" w:type="dxa"/>
          </w:tcPr>
          <w:p>
            <w:pPr>
              <w:tabs>
                <w:tab w:val="left" w:pos="6300"/>
              </w:tabs>
              <w:snapToGrid w:val="0"/>
              <w:ind w:firstLine="480"/>
              <w:jc w:val="center"/>
              <w:outlineLvl w:val="0"/>
              <w:rPr>
                <w:color w:val="000000"/>
              </w:rPr>
            </w:pPr>
          </w:p>
        </w:tc>
      </w:tr>
    </w:tbl>
    <w:p>
      <w:pPr>
        <w:pStyle w:val="2"/>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投标人（盖章）：               法定代表人（签字或加盖印鉴）：</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pStyle w:val="2"/>
        <w:rPr>
          <w:rFonts w:ascii="仿宋" w:hAnsi="仿宋" w:eastAsia="仿宋"/>
          <w:bCs/>
          <w:sz w:val="32"/>
          <w:szCs w:val="32"/>
        </w:rPr>
      </w:pPr>
    </w:p>
    <w:p>
      <w:pPr>
        <w:pStyle w:val="2"/>
        <w:rPr>
          <w:rFonts w:ascii="仿宋" w:hAnsi="仿宋" w:eastAsia="仿宋"/>
          <w:bCs/>
          <w:sz w:val="32"/>
          <w:szCs w:val="32"/>
        </w:rPr>
      </w:pPr>
    </w:p>
    <w:p>
      <w:pPr>
        <w:tabs>
          <w:tab w:val="left" w:pos="6300"/>
        </w:tabs>
        <w:snapToGrid w:val="0"/>
        <w:spacing w:line="520" w:lineRule="exact"/>
        <w:outlineLvl w:val="0"/>
        <w:rPr>
          <w:rFonts w:ascii="仿宋" w:hAnsi="仿宋" w:eastAsia="仿宋"/>
          <w:b/>
          <w:sz w:val="32"/>
          <w:szCs w:val="32"/>
        </w:rPr>
      </w:pPr>
    </w:p>
    <w:p>
      <w:pPr>
        <w:tabs>
          <w:tab w:val="left" w:pos="6300"/>
        </w:tabs>
        <w:snapToGrid w:val="0"/>
        <w:spacing w:line="520" w:lineRule="exact"/>
        <w:outlineLvl w:val="0"/>
        <w:rPr>
          <w:rFonts w:ascii="仿宋" w:hAnsi="仿宋" w:eastAsia="仿宋"/>
          <w:b/>
          <w:sz w:val="32"/>
          <w:szCs w:val="32"/>
        </w:rPr>
      </w:pPr>
    </w:p>
    <w:p>
      <w:pPr>
        <w:tabs>
          <w:tab w:val="left" w:pos="6300"/>
        </w:tabs>
        <w:snapToGrid w:val="0"/>
        <w:spacing w:line="520" w:lineRule="exact"/>
        <w:outlineLvl w:val="0"/>
        <w:rPr>
          <w:rFonts w:ascii="仿宋" w:hAnsi="仿宋" w:eastAsia="仿宋"/>
          <w:b/>
          <w:sz w:val="32"/>
          <w:szCs w:val="32"/>
        </w:rPr>
      </w:pPr>
    </w:p>
    <w:p>
      <w:pPr>
        <w:tabs>
          <w:tab w:val="left" w:pos="6300"/>
        </w:tabs>
        <w:snapToGrid w:val="0"/>
        <w:spacing w:line="520" w:lineRule="exact"/>
        <w:outlineLvl w:val="0"/>
        <w:rPr>
          <w:rFonts w:ascii="仿宋" w:hAnsi="仿宋" w:eastAsia="仿宋"/>
          <w:b/>
          <w:sz w:val="32"/>
          <w:szCs w:val="32"/>
        </w:rPr>
      </w:pPr>
    </w:p>
    <w:p>
      <w:pPr>
        <w:tabs>
          <w:tab w:val="left" w:pos="6300"/>
        </w:tabs>
        <w:snapToGrid w:val="0"/>
        <w:spacing w:line="520" w:lineRule="exact"/>
        <w:outlineLvl w:val="0"/>
        <w:rPr>
          <w:rFonts w:ascii="仿宋" w:hAnsi="仿宋" w:eastAsia="仿宋"/>
          <w:b/>
          <w:sz w:val="32"/>
          <w:szCs w:val="32"/>
        </w:rPr>
      </w:pPr>
    </w:p>
    <w:p>
      <w:pPr>
        <w:tabs>
          <w:tab w:val="left" w:pos="6300"/>
        </w:tabs>
        <w:snapToGrid w:val="0"/>
        <w:spacing w:line="520" w:lineRule="exact"/>
        <w:outlineLvl w:val="0"/>
        <w:rPr>
          <w:rFonts w:ascii="仿宋" w:hAnsi="仿宋" w:eastAsia="仿宋"/>
          <w:b/>
          <w:sz w:val="32"/>
          <w:szCs w:val="32"/>
        </w:rPr>
      </w:pPr>
      <w:r>
        <w:rPr>
          <w:rFonts w:hint="eastAsia" w:ascii="仿宋" w:hAnsi="仿宋" w:eastAsia="仿宋"/>
          <w:b/>
          <w:sz w:val="32"/>
          <w:szCs w:val="32"/>
        </w:rPr>
        <w:t>表三</w:t>
      </w:r>
      <w:r>
        <w:rPr>
          <w:rFonts w:ascii="仿宋" w:hAnsi="仿宋" w:eastAsia="仿宋"/>
          <w:b/>
          <w:sz w:val="32"/>
          <w:szCs w:val="32"/>
        </w:rPr>
        <w:t>:</w:t>
      </w:r>
    </w:p>
    <w:p>
      <w:pPr>
        <w:tabs>
          <w:tab w:val="left" w:pos="6300"/>
        </w:tabs>
        <w:snapToGrid w:val="0"/>
        <w:spacing w:line="520" w:lineRule="exact"/>
        <w:jc w:val="center"/>
        <w:outlineLvl w:val="0"/>
        <w:rPr>
          <w:rFonts w:ascii="仿宋" w:hAnsi="仿宋" w:eastAsia="仿宋"/>
          <w:sz w:val="44"/>
          <w:szCs w:val="44"/>
        </w:rPr>
      </w:pPr>
      <w:r>
        <w:rPr>
          <w:rFonts w:hint="eastAsia" w:ascii="仿宋" w:hAnsi="仿宋" w:eastAsia="仿宋"/>
          <w:b/>
          <w:bCs/>
          <w:sz w:val="44"/>
          <w:szCs w:val="44"/>
        </w:rPr>
        <w:t>授权委托书</w:t>
      </w:r>
    </w:p>
    <w:p>
      <w:pPr>
        <w:tabs>
          <w:tab w:val="left" w:pos="6300"/>
        </w:tabs>
        <w:snapToGrid w:val="0"/>
        <w:spacing w:line="520" w:lineRule="exact"/>
        <w:jc w:val="left"/>
        <w:outlineLvl w:val="0"/>
        <w:rPr>
          <w:rFonts w:ascii="仿宋" w:hAnsi="仿宋" w:eastAsia="仿宋"/>
          <w:sz w:val="32"/>
          <w:szCs w:val="32"/>
        </w:rPr>
      </w:pPr>
    </w:p>
    <w:p>
      <w:pPr>
        <w:tabs>
          <w:tab w:val="left" w:pos="6300"/>
        </w:tabs>
        <w:snapToGrid w:val="0"/>
        <w:spacing w:line="520" w:lineRule="exact"/>
        <w:jc w:val="left"/>
        <w:outlineLvl w:val="0"/>
        <w:rPr>
          <w:rFonts w:ascii="仿宋" w:hAnsi="仿宋" w:eastAsia="仿宋"/>
          <w:sz w:val="32"/>
          <w:szCs w:val="32"/>
        </w:rPr>
      </w:pPr>
      <w:r>
        <w:rPr>
          <w:rFonts w:hint="eastAsia" w:ascii="仿宋" w:hAnsi="仿宋" w:eastAsia="仿宋"/>
          <w:sz w:val="32"/>
          <w:szCs w:val="32"/>
        </w:rPr>
        <w:t>授权单位：</w:t>
      </w:r>
      <w:r>
        <w:rPr>
          <w:rFonts w:hint="eastAsia" w:ascii="仿宋" w:hAnsi="仿宋" w:eastAsia="仿宋"/>
          <w:sz w:val="32"/>
          <w:szCs w:val="32"/>
          <w:u w:val="single"/>
        </w:rPr>
        <w:t xml:space="preserve">                           </w:t>
      </w:r>
      <w:r>
        <w:rPr>
          <w:rFonts w:hint="eastAsia" w:ascii="仿宋" w:hAnsi="仿宋" w:eastAsia="仿宋"/>
          <w:sz w:val="32"/>
          <w:szCs w:val="32"/>
        </w:rPr>
        <w:t>（投标人全称）</w:t>
      </w:r>
    </w:p>
    <w:p>
      <w:pPr>
        <w:tabs>
          <w:tab w:val="left" w:pos="6300"/>
        </w:tabs>
        <w:snapToGrid w:val="0"/>
        <w:spacing w:line="520" w:lineRule="exact"/>
        <w:rPr>
          <w:rFonts w:ascii="仿宋" w:hAnsi="仿宋" w:eastAsia="仿宋"/>
          <w:sz w:val="32"/>
          <w:szCs w:val="32"/>
        </w:rPr>
      </w:pPr>
      <w:r>
        <w:rPr>
          <w:rFonts w:hint="eastAsia" w:ascii="仿宋" w:hAnsi="仿宋" w:eastAsia="仿宋"/>
          <w:sz w:val="32"/>
          <w:szCs w:val="32"/>
        </w:rPr>
        <w:t>公司地址：</w:t>
      </w:r>
      <w:r>
        <w:rPr>
          <w:rFonts w:hint="eastAsia" w:ascii="仿宋" w:hAnsi="仿宋" w:eastAsia="仿宋"/>
          <w:sz w:val="32"/>
          <w:szCs w:val="32"/>
          <w:u w:val="single"/>
        </w:rPr>
        <w:t xml:space="preserve">                           </w:t>
      </w:r>
    </w:p>
    <w:p>
      <w:pPr>
        <w:tabs>
          <w:tab w:val="left" w:pos="6300"/>
        </w:tabs>
        <w:snapToGrid w:val="0"/>
        <w:spacing w:line="520" w:lineRule="exact"/>
        <w:rPr>
          <w:rFonts w:ascii="仿宋" w:hAnsi="仿宋" w:eastAsia="仿宋"/>
          <w:sz w:val="32"/>
          <w:szCs w:val="32"/>
        </w:rPr>
      </w:pPr>
      <w:r>
        <w:rPr>
          <w:rFonts w:hint="eastAsia" w:ascii="仿宋_GB2312" w:hAnsi="仿宋" w:eastAsia="仿宋_GB2312"/>
          <w:bCs/>
          <w:sz w:val="32"/>
          <w:szCs w:val="32"/>
        </w:rPr>
        <w:t>法定代表人</w:t>
      </w:r>
      <w:r>
        <w:rPr>
          <w:rFonts w:hint="eastAsia" w:ascii="仿宋" w:hAnsi="仿宋" w:eastAsia="仿宋"/>
          <w:sz w:val="32"/>
          <w:szCs w:val="32"/>
        </w:rPr>
        <w:t>：</w:t>
      </w:r>
      <w:r>
        <w:rPr>
          <w:rFonts w:hint="eastAsia" w:ascii="仿宋" w:hAnsi="仿宋" w:eastAsia="仿宋"/>
          <w:sz w:val="32"/>
          <w:szCs w:val="32"/>
          <w:u w:val="single"/>
        </w:rPr>
        <w:t xml:space="preserve">            </w:t>
      </w:r>
      <w:r>
        <w:rPr>
          <w:rFonts w:hint="eastAsia" w:ascii="仿宋" w:hAnsi="仿宋" w:eastAsia="仿宋"/>
          <w:sz w:val="32"/>
          <w:szCs w:val="32"/>
        </w:rPr>
        <w:t>手机号码：</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20" w:lineRule="exact"/>
        <w:rPr>
          <w:rFonts w:ascii="仿宋" w:hAnsi="仿宋" w:eastAsia="仿宋"/>
          <w:sz w:val="32"/>
          <w:szCs w:val="32"/>
          <w:u w:val="single"/>
        </w:rPr>
      </w:pPr>
      <w:r>
        <w:rPr>
          <w:rFonts w:hint="eastAsia" w:ascii="仿宋" w:hAnsi="仿宋" w:eastAsia="仿宋"/>
          <w:sz w:val="32"/>
          <w:szCs w:val="32"/>
        </w:rPr>
        <w:t>被授权人：</w:t>
      </w:r>
      <w:r>
        <w:rPr>
          <w:rFonts w:hint="eastAsia" w:ascii="仿宋" w:hAnsi="仿宋" w:eastAsia="仿宋"/>
          <w:sz w:val="32"/>
          <w:szCs w:val="32"/>
          <w:u w:val="single"/>
        </w:rPr>
        <w:t xml:space="preserve">            </w:t>
      </w:r>
      <w:r>
        <w:rPr>
          <w:rFonts w:hint="eastAsia" w:ascii="仿宋" w:hAnsi="仿宋" w:eastAsia="仿宋"/>
          <w:sz w:val="32"/>
          <w:szCs w:val="32"/>
        </w:rPr>
        <w:t>手机号码：</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20" w:lineRule="exact"/>
        <w:rPr>
          <w:rFonts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 xml:space="preserve">                             </w:t>
      </w:r>
    </w:p>
    <w:p>
      <w:pPr>
        <w:tabs>
          <w:tab w:val="left" w:pos="6300"/>
        </w:tabs>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授权单位现授权被授权人为本公司合法代理人，以本公司的名义全权参与本次政府采购活动，签署相关合同及其他相关法律文书，并有权办理与该项目相关</w:t>
      </w:r>
      <w:r>
        <w:rPr>
          <w:rFonts w:hint="eastAsia" w:ascii="仿宋" w:hAnsi="仿宋" w:eastAsia="仿宋" w:cs="宋体"/>
          <w:sz w:val="32"/>
          <w:szCs w:val="32"/>
        </w:rPr>
        <w:t>的其他所有事宜</w:t>
      </w:r>
      <w:r>
        <w:rPr>
          <w:rFonts w:hint="eastAsia" w:ascii="仿宋" w:hAnsi="仿宋" w:eastAsia="仿宋"/>
          <w:sz w:val="32"/>
          <w:szCs w:val="32"/>
        </w:rPr>
        <w:t xml:space="preserve">。 </w:t>
      </w:r>
    </w:p>
    <w:p>
      <w:pPr>
        <w:tabs>
          <w:tab w:val="left" w:pos="6300"/>
        </w:tabs>
        <w:snapToGrid w:val="0"/>
        <w:spacing w:line="520" w:lineRule="exact"/>
        <w:ind w:firstLine="555"/>
        <w:rPr>
          <w:rFonts w:ascii="仿宋" w:hAnsi="仿宋" w:eastAsia="仿宋"/>
          <w:sz w:val="32"/>
          <w:szCs w:val="32"/>
        </w:rPr>
      </w:pPr>
      <w:r>
        <w:rPr>
          <w:rFonts w:hint="eastAsia" w:ascii="仿宋" w:hAnsi="仿宋" w:eastAsia="仿宋"/>
          <w:sz w:val="32"/>
          <w:szCs w:val="32"/>
        </w:rPr>
        <w:t>委托期限至上述事项全部办理完毕为止，受托人无转委托权。</w:t>
      </w:r>
    </w:p>
    <w:p>
      <w:pPr>
        <w:tabs>
          <w:tab w:val="left" w:pos="6300"/>
        </w:tabs>
        <w:snapToGrid w:val="0"/>
        <w:spacing w:line="520" w:lineRule="exact"/>
        <w:ind w:firstLine="555"/>
        <w:rPr>
          <w:rFonts w:ascii="仿宋" w:hAnsi="仿宋" w:eastAsia="仿宋"/>
          <w:sz w:val="32"/>
          <w:szCs w:val="32"/>
        </w:rPr>
      </w:pPr>
      <w:r>
        <w:rPr>
          <w:rFonts w:hint="eastAsia" w:ascii="仿宋" w:hAnsi="仿宋" w:eastAsia="仿宋"/>
          <w:sz w:val="32"/>
          <w:szCs w:val="32"/>
        </w:rPr>
        <w:t>受托人在办理上述事项过程中所实施的民事法律行为及签署的法律文书，授权单位均予以认可。</w:t>
      </w:r>
    </w:p>
    <w:p>
      <w:pPr>
        <w:tabs>
          <w:tab w:val="left" w:pos="6300"/>
        </w:tabs>
        <w:snapToGrid w:val="0"/>
        <w:spacing w:line="560" w:lineRule="exact"/>
        <w:jc w:val="left"/>
        <w:outlineLvl w:val="0"/>
        <w:rPr>
          <w:rFonts w:ascii="仿宋" w:hAnsi="仿宋" w:eastAsia="仿宋"/>
          <w:b/>
          <w:sz w:val="32"/>
          <w:szCs w:val="32"/>
        </w:rPr>
      </w:pPr>
    </w:p>
    <w:p>
      <w:pPr>
        <w:spacing w:line="560" w:lineRule="exact"/>
        <w:ind w:firstLine="480" w:firstLineChars="150"/>
        <w:rPr>
          <w:rFonts w:ascii="仿宋" w:hAnsi="仿宋" w:eastAsia="仿宋"/>
          <w:sz w:val="32"/>
          <w:szCs w:val="32"/>
        </w:rPr>
      </w:pPr>
      <w:r>
        <w:rPr>
          <w:rFonts w:hint="eastAsia" w:ascii="仿宋" w:hAnsi="仿宋" w:eastAsia="仿宋"/>
          <w:sz w:val="32"/>
          <w:szCs w:val="32"/>
        </w:rPr>
        <w:t xml:space="preserve">投标人：           </w:t>
      </w:r>
      <w:r>
        <w:rPr>
          <w:rFonts w:hint="eastAsia" w:ascii="仿宋_GB2312" w:hAnsi="仿宋" w:eastAsia="仿宋_GB2312"/>
          <w:bCs/>
          <w:sz w:val="32"/>
          <w:szCs w:val="32"/>
        </w:rPr>
        <w:t xml:space="preserve"> 法定代表人</w:t>
      </w:r>
      <w:r>
        <w:rPr>
          <w:rFonts w:hint="eastAsia" w:ascii="仿宋" w:hAnsi="仿宋" w:eastAsia="仿宋"/>
          <w:sz w:val="32"/>
          <w:szCs w:val="32"/>
        </w:rPr>
        <w:t>：</w:t>
      </w:r>
      <w:r>
        <w:rPr>
          <w:rFonts w:ascii="仿宋" w:hAnsi="仿宋" w:eastAsia="仿宋"/>
          <w:sz w:val="32"/>
          <w:szCs w:val="32"/>
        </w:rPr>
        <w:t xml:space="preserve"> </w:t>
      </w:r>
    </w:p>
    <w:p>
      <w:pPr>
        <w:spacing w:line="560" w:lineRule="exact"/>
        <w:ind w:firstLine="160" w:firstLineChars="50"/>
        <w:rPr>
          <w:rFonts w:ascii="仿宋" w:hAnsi="仿宋" w:eastAsia="仿宋"/>
          <w:sz w:val="32"/>
          <w:szCs w:val="32"/>
        </w:rPr>
      </w:pPr>
      <w:r>
        <w:rPr>
          <w:rFonts w:hint="eastAsia" w:ascii="仿宋" w:hAnsi="仿宋" w:eastAsia="仿宋"/>
          <w:sz w:val="32"/>
          <w:szCs w:val="32"/>
        </w:rPr>
        <w:t xml:space="preserve">（盖公章）          （签字或加盖印鉴）  </w:t>
      </w:r>
    </w:p>
    <w:p>
      <w:pPr>
        <w:pStyle w:val="6"/>
      </w:pPr>
    </w:p>
    <w:tbl>
      <w:tblPr>
        <w:tblStyle w:val="15"/>
        <w:tblpPr w:leftFromText="180" w:rightFromText="180" w:vertAnchor="text" w:horzAnchor="page" w:tblpX="1467" w:tblpY="263"/>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0"/>
        <w:gridCol w:w="4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trPr>
        <w:tc>
          <w:tcPr>
            <w:tcW w:w="4570" w:type="dxa"/>
          </w:tcPr>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授权人（</w:t>
            </w:r>
            <w:r>
              <w:rPr>
                <w:rFonts w:hint="eastAsia" w:ascii="仿宋_GB2312" w:hAnsi="仿宋" w:eastAsia="仿宋_GB2312"/>
                <w:bCs/>
                <w:sz w:val="32"/>
                <w:szCs w:val="32"/>
              </w:rPr>
              <w:t xml:space="preserve"> 法定代表人</w:t>
            </w:r>
            <w:r>
              <w:rPr>
                <w:rFonts w:hint="eastAsia" w:ascii="仿宋" w:hAnsi="仿宋" w:eastAsia="仿宋" w:cs="仿宋_GB2312"/>
                <w:bCs/>
                <w:sz w:val="32"/>
                <w:szCs w:val="32"/>
              </w:rPr>
              <w:t>）身份证复印件</w:t>
            </w:r>
          </w:p>
        </w:tc>
        <w:tc>
          <w:tcPr>
            <w:tcW w:w="4570" w:type="dxa"/>
          </w:tcPr>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被授权人身份证复印件</w:t>
            </w:r>
          </w:p>
        </w:tc>
      </w:tr>
    </w:tbl>
    <w:p>
      <w:pPr>
        <w:spacing w:line="520" w:lineRule="exact"/>
        <w:rPr>
          <w:rFonts w:ascii="仿宋" w:hAnsi="仿宋" w:eastAsia="仿宋"/>
          <w:b/>
          <w:sz w:val="32"/>
          <w:szCs w:val="32"/>
        </w:rPr>
      </w:pPr>
      <w:r>
        <w:rPr>
          <w:rFonts w:hint="eastAsia" w:ascii="仿宋" w:hAnsi="仿宋" w:eastAsia="仿宋"/>
          <w:b/>
          <w:bCs/>
          <w:kern w:val="44"/>
          <w:sz w:val="32"/>
          <w:szCs w:val="32"/>
        </w:rPr>
        <w:t xml:space="preserve">   </w:t>
      </w:r>
      <w:r>
        <w:rPr>
          <w:rFonts w:eastAsia="仿宋"/>
          <w:bCs/>
          <w:kern w:val="44"/>
          <w:sz w:val="32"/>
          <w:szCs w:val="32"/>
        </w:rPr>
        <w:t xml:space="preserve"> </w:t>
      </w:r>
      <w:r>
        <w:rPr>
          <w:rFonts w:ascii="仿宋" w:hAnsi="仿宋" w:eastAsia="仿宋"/>
          <w:b/>
          <w:sz w:val="32"/>
          <w:szCs w:val="32"/>
        </w:rPr>
        <w:t xml:space="preserve">   </w:t>
      </w:r>
    </w:p>
    <w:p>
      <w:pPr>
        <w:tabs>
          <w:tab w:val="left" w:pos="6300"/>
        </w:tabs>
        <w:snapToGrid w:val="0"/>
        <w:spacing w:line="560" w:lineRule="exact"/>
        <w:outlineLvl w:val="0"/>
        <w:rPr>
          <w:rFonts w:ascii="仿宋" w:hAnsi="仿宋" w:eastAsia="仿宋"/>
          <w:b/>
          <w:sz w:val="32"/>
          <w:szCs w:val="32"/>
        </w:rPr>
      </w:pPr>
      <w:r>
        <w:rPr>
          <w:rFonts w:ascii="仿宋" w:hAnsi="仿宋" w:eastAsia="仿宋"/>
          <w:b/>
          <w:sz w:val="32"/>
          <w:szCs w:val="32"/>
        </w:rPr>
        <w:t xml:space="preserve">                                      年 </w:t>
      </w:r>
      <w:r>
        <w:rPr>
          <w:rFonts w:hint="eastAsia" w:ascii="仿宋" w:hAnsi="仿宋" w:eastAsia="仿宋"/>
          <w:b/>
          <w:sz w:val="32"/>
          <w:szCs w:val="32"/>
        </w:rPr>
        <w:t xml:space="preserve">  </w:t>
      </w:r>
      <w:r>
        <w:rPr>
          <w:rFonts w:ascii="仿宋" w:hAnsi="仿宋" w:eastAsia="仿宋"/>
          <w:b/>
          <w:sz w:val="32"/>
          <w:szCs w:val="32"/>
        </w:rPr>
        <w:t xml:space="preserve">月 </w:t>
      </w:r>
      <w:r>
        <w:rPr>
          <w:rFonts w:hint="eastAsia" w:ascii="仿宋" w:hAnsi="仿宋" w:eastAsia="仿宋"/>
          <w:b/>
          <w:sz w:val="32"/>
          <w:szCs w:val="32"/>
        </w:rPr>
        <w:t xml:space="preserve">  </w:t>
      </w:r>
      <w:r>
        <w:rPr>
          <w:rFonts w:ascii="仿宋" w:hAnsi="仿宋" w:eastAsia="仿宋"/>
          <w:b/>
          <w:sz w:val="32"/>
          <w:szCs w:val="32"/>
        </w:rPr>
        <w:t>日</w:t>
      </w:r>
    </w:p>
    <w:p>
      <w:pPr>
        <w:tabs>
          <w:tab w:val="left" w:pos="6300"/>
        </w:tabs>
        <w:snapToGrid w:val="0"/>
        <w:spacing w:line="56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表三（2）:</w:t>
      </w:r>
    </w:p>
    <w:p>
      <w:pPr>
        <w:rPr>
          <w:rFonts w:ascii="宋体" w:hAnsi="宋体"/>
          <w:sz w:val="44"/>
          <w:szCs w:val="44"/>
        </w:rPr>
      </w:pPr>
    </w:p>
    <w:p>
      <w:pPr>
        <w:jc w:val="center"/>
        <w:rPr>
          <w:rFonts w:ascii="宋体" w:hAnsi="宋体"/>
          <w:sz w:val="44"/>
          <w:szCs w:val="44"/>
        </w:rPr>
      </w:pPr>
      <w:r>
        <w:rPr>
          <w:rFonts w:hint="eastAsia" w:ascii="宋体" w:hAnsi="宋体"/>
          <w:sz w:val="44"/>
          <w:szCs w:val="44"/>
        </w:rPr>
        <w:t xml:space="preserve"> 法定代表人身份证明书</w:t>
      </w:r>
    </w:p>
    <w:p>
      <w:pPr>
        <w:ind w:firstLine="1280" w:firstLineChars="400"/>
        <w:rPr>
          <w:rFonts w:ascii="宋体" w:hAnsi="宋体"/>
          <w:sz w:val="32"/>
          <w:szCs w:val="32"/>
        </w:rPr>
      </w:pPr>
    </w:p>
    <w:p>
      <w:pPr>
        <w:ind w:firstLine="1280" w:firstLineChars="400"/>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兹证明XXX（性别 ，公民身份号码为：XXXXXXXXXXXXXXXXXXXXX）系我公司法定代表人。</w:t>
      </w: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jc w:val="center"/>
        <w:rPr>
          <w:rFonts w:ascii="宋体" w:hAnsi="宋体"/>
          <w:sz w:val="32"/>
          <w:szCs w:val="32"/>
        </w:rPr>
      </w:pPr>
      <w:r>
        <w:rPr>
          <w:rFonts w:hint="eastAsia" w:ascii="宋体" w:hAnsi="宋体"/>
          <w:sz w:val="32"/>
          <w:szCs w:val="32"/>
        </w:rPr>
        <w:t xml:space="preserve">                             XXXXXXXXXXX公司</w:t>
      </w:r>
    </w:p>
    <w:p>
      <w:pPr>
        <w:ind w:right="640"/>
        <w:jc w:val="right"/>
        <w:rPr>
          <w:rFonts w:ascii="宋体" w:hAnsi="宋体"/>
          <w:sz w:val="32"/>
          <w:szCs w:val="32"/>
        </w:rPr>
      </w:pPr>
      <w:r>
        <w:rPr>
          <w:rFonts w:hint="eastAsia" w:ascii="宋体" w:hAnsi="宋体"/>
          <w:sz w:val="32"/>
          <w:szCs w:val="32"/>
        </w:rPr>
        <w:t>年    月    日</w:t>
      </w: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备注：若法人参与本项目，则填写本表，不填写</w:t>
      </w:r>
      <w:r>
        <w:rPr>
          <w:rFonts w:hint="eastAsia" w:ascii="仿宋_GB2312" w:hAnsi="仿宋_GB2312" w:eastAsia="仿宋_GB2312" w:cs="仿宋_GB2312"/>
          <w:b/>
          <w:sz w:val="32"/>
          <w:szCs w:val="32"/>
        </w:rPr>
        <w:t>表二（1）</w:t>
      </w:r>
      <w:r>
        <w:rPr>
          <w:rFonts w:hint="eastAsia" w:ascii="仿宋" w:hAnsi="仿宋" w:eastAsia="仿宋"/>
          <w:b/>
          <w:sz w:val="32"/>
          <w:szCs w:val="32"/>
        </w:rPr>
        <w:t>。</w:t>
      </w:r>
    </w:p>
    <w:p>
      <w:pPr>
        <w:spacing w:line="560" w:lineRule="exact"/>
        <w:rPr>
          <w:rFonts w:ascii="仿宋" w:hAnsi="仿宋" w:eastAsia="仿宋"/>
          <w:b/>
          <w:sz w:val="32"/>
          <w:szCs w:val="32"/>
        </w:rPr>
      </w:pPr>
      <w:r>
        <w:rPr>
          <w:rFonts w:hint="eastAsia" w:ascii="仿宋" w:hAnsi="仿宋" w:eastAsia="仿宋"/>
          <w:b/>
          <w:sz w:val="32"/>
          <w:szCs w:val="32"/>
        </w:rPr>
        <w:t>表四：</w:t>
      </w:r>
    </w:p>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b/>
          <w:bCs/>
          <w:sz w:val="44"/>
          <w:szCs w:val="44"/>
        </w:rPr>
        <w:t>反商业贿赂承诺书</w:t>
      </w:r>
    </w:p>
    <w:p>
      <w:pPr>
        <w:tabs>
          <w:tab w:val="left" w:pos="6300"/>
        </w:tabs>
        <w:snapToGrid w:val="0"/>
        <w:spacing w:line="560" w:lineRule="exact"/>
        <w:jc w:val="left"/>
        <w:outlineLvl w:val="0"/>
        <w:rPr>
          <w:rFonts w:ascii="仿宋" w:hAnsi="仿宋" w:eastAsia="仿宋"/>
          <w:sz w:val="32"/>
          <w:szCs w:val="32"/>
        </w:rPr>
      </w:pP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昌吉市政府采购中心：</w:t>
      </w: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 xml:space="preserve">    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 xml:space="preserve">    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 xml:space="preserve">    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 xml:space="preserve"> </w:t>
      </w: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 xml:space="preserve">                投标单位（投标人）：</w:t>
      </w: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 xml:space="preserve">                </w:t>
      </w:r>
      <w:r>
        <w:rPr>
          <w:rFonts w:hint="eastAsia" w:ascii="仿宋_GB2312" w:hAnsi="仿宋" w:eastAsia="仿宋_GB2312"/>
          <w:bCs/>
          <w:sz w:val="32"/>
          <w:szCs w:val="32"/>
        </w:rPr>
        <w:t xml:space="preserve"> 法定代表人</w:t>
      </w:r>
      <w:r>
        <w:rPr>
          <w:rFonts w:hint="eastAsia" w:ascii="仿宋" w:hAnsi="仿宋" w:eastAsia="仿宋"/>
          <w:sz w:val="32"/>
          <w:szCs w:val="32"/>
        </w:rPr>
        <w:t>：</w:t>
      </w: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 xml:space="preserve">                                   年     月     日</w:t>
      </w: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pStyle w:val="2"/>
      </w:pPr>
      <w:r>
        <w:rPr>
          <w:rFonts w:hint="eastAsia"/>
        </w:rPr>
        <w:br w:type="textWrapping"/>
      </w:r>
    </w:p>
    <w:p>
      <w:pPr>
        <w:pStyle w:val="2"/>
      </w:pPr>
    </w:p>
    <w:p>
      <w:pPr>
        <w:tabs>
          <w:tab w:val="left" w:pos="6300"/>
        </w:tabs>
        <w:snapToGrid w:val="0"/>
        <w:spacing w:line="560" w:lineRule="exact"/>
        <w:jc w:val="left"/>
        <w:outlineLvl w:val="0"/>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表五：</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商务规格偏离表</w:t>
      </w:r>
    </w:p>
    <w:tbl>
      <w:tblPr>
        <w:tblStyle w:val="15"/>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项目</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技术要求</w:t>
            </w:r>
          </w:p>
        </w:tc>
        <w:tc>
          <w:tcPr>
            <w:tcW w:w="1860" w:type="dxa"/>
          </w:tcPr>
          <w:p>
            <w:pPr>
              <w:tabs>
                <w:tab w:val="left" w:pos="6300"/>
              </w:tabs>
              <w:snapToGrid w:val="0"/>
              <w:spacing w:line="560" w:lineRule="exact"/>
              <w:jc w:val="center"/>
              <w:outlineLvl w:val="0"/>
              <w:rPr>
                <w:rFonts w:ascii="仿宋" w:hAnsi="仿宋" w:eastAsia="仿宋"/>
                <w:b/>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sz w:val="32"/>
                <w:szCs w:val="32"/>
              </w:rPr>
            </w:pPr>
            <w:r>
              <w:rPr>
                <w:rFonts w:hint="eastAsia" w:ascii="仿宋" w:hAnsi="仿宋" w:eastAsia="仿宋"/>
                <w:sz w:val="32"/>
                <w:szCs w:val="32"/>
              </w:rPr>
              <w:t>正/负偏离/响应</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供货期限</w:t>
            </w:r>
          </w:p>
        </w:tc>
        <w:tc>
          <w:tcPr>
            <w:tcW w:w="1860" w:type="dxa"/>
          </w:tcPr>
          <w:p>
            <w:pPr>
              <w:tabs>
                <w:tab w:val="left" w:pos="6300"/>
              </w:tabs>
              <w:snapToGrid w:val="0"/>
              <w:spacing w:line="560" w:lineRule="exact"/>
              <w:jc w:val="left"/>
              <w:outlineLvl w:val="0"/>
              <w:rPr>
                <w:rFonts w:ascii="仿宋" w:hAnsi="仿宋" w:eastAsia="仿宋"/>
                <w:b/>
                <w:sz w:val="32"/>
                <w:szCs w:val="32"/>
              </w:rPr>
            </w:pPr>
          </w:p>
        </w:tc>
        <w:tc>
          <w:tcPr>
            <w:tcW w:w="1860" w:type="dxa"/>
          </w:tcPr>
          <w:p>
            <w:pPr>
              <w:tabs>
                <w:tab w:val="left" w:pos="6300"/>
              </w:tabs>
              <w:snapToGrid w:val="0"/>
              <w:spacing w:line="560" w:lineRule="exact"/>
              <w:jc w:val="left"/>
              <w:outlineLvl w:val="0"/>
              <w:rPr>
                <w:rFonts w:ascii="仿宋" w:hAnsi="仿宋" w:eastAsia="仿宋"/>
                <w:b/>
                <w:sz w:val="32"/>
                <w:szCs w:val="32"/>
              </w:rPr>
            </w:pPr>
          </w:p>
        </w:tc>
        <w:tc>
          <w:tcPr>
            <w:tcW w:w="1861" w:type="dxa"/>
          </w:tcPr>
          <w:p>
            <w:pPr>
              <w:tabs>
                <w:tab w:val="left" w:pos="6300"/>
              </w:tabs>
              <w:snapToGrid w:val="0"/>
              <w:spacing w:line="560" w:lineRule="exact"/>
              <w:jc w:val="left"/>
              <w:outlineLvl w:val="0"/>
              <w:rPr>
                <w:rFonts w:ascii="仿宋" w:hAnsi="仿宋" w:eastAsia="仿宋"/>
                <w:b/>
                <w:sz w:val="32"/>
                <w:szCs w:val="32"/>
              </w:rPr>
            </w:pPr>
          </w:p>
        </w:tc>
        <w:tc>
          <w:tcPr>
            <w:tcW w:w="1860" w:type="dxa"/>
          </w:tcPr>
          <w:p>
            <w:pPr>
              <w:tabs>
                <w:tab w:val="left" w:pos="6300"/>
              </w:tabs>
              <w:snapToGrid w:val="0"/>
              <w:spacing w:line="560" w:lineRule="exact"/>
              <w:jc w:val="left"/>
              <w:outlineLvl w:val="0"/>
              <w:rPr>
                <w:rFonts w:ascii="仿宋" w:hAnsi="仿宋" w:eastAsia="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供货地点</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付款方式</w:t>
            </w:r>
          </w:p>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left"/>
              <w:outlineLvl w:val="0"/>
              <w:rPr>
                <w:rFonts w:ascii="仿宋" w:hAnsi="仿宋" w:eastAsia="仿宋"/>
                <w:sz w:val="32"/>
                <w:szCs w:val="32"/>
              </w:rPr>
            </w:pPr>
          </w:p>
        </w:tc>
        <w:tc>
          <w:tcPr>
            <w:tcW w:w="1860" w:type="dxa"/>
          </w:tcPr>
          <w:p>
            <w:pPr>
              <w:tabs>
                <w:tab w:val="left" w:pos="6300"/>
              </w:tabs>
              <w:snapToGrid w:val="0"/>
              <w:spacing w:line="560" w:lineRule="exact"/>
              <w:jc w:val="left"/>
              <w:outlineLvl w:val="0"/>
              <w:rPr>
                <w:rFonts w:ascii="仿宋" w:hAnsi="仿宋" w:eastAsia="仿宋"/>
                <w:sz w:val="32"/>
                <w:szCs w:val="32"/>
              </w:rPr>
            </w:pPr>
          </w:p>
        </w:tc>
        <w:tc>
          <w:tcPr>
            <w:tcW w:w="1861" w:type="dxa"/>
          </w:tcPr>
          <w:p>
            <w:pPr>
              <w:tabs>
                <w:tab w:val="left" w:pos="6300"/>
              </w:tabs>
              <w:snapToGrid w:val="0"/>
              <w:spacing w:line="560" w:lineRule="exact"/>
              <w:jc w:val="left"/>
              <w:outlineLvl w:val="0"/>
              <w:rPr>
                <w:rFonts w:ascii="仿宋" w:hAnsi="仿宋" w:eastAsia="仿宋"/>
                <w:sz w:val="32"/>
                <w:szCs w:val="32"/>
              </w:rPr>
            </w:pPr>
          </w:p>
        </w:tc>
        <w:tc>
          <w:tcPr>
            <w:tcW w:w="1860" w:type="dxa"/>
          </w:tcPr>
          <w:p>
            <w:pPr>
              <w:tabs>
                <w:tab w:val="left" w:pos="6300"/>
              </w:tabs>
              <w:snapToGrid w:val="0"/>
              <w:spacing w:line="560" w:lineRule="exact"/>
              <w:jc w:val="left"/>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质保期</w:t>
            </w:r>
          </w:p>
        </w:tc>
        <w:tc>
          <w:tcPr>
            <w:tcW w:w="1860" w:type="dxa"/>
          </w:tcPr>
          <w:p>
            <w:pPr>
              <w:tabs>
                <w:tab w:val="left" w:pos="6300"/>
              </w:tabs>
              <w:snapToGrid w:val="0"/>
              <w:spacing w:line="560" w:lineRule="exact"/>
              <w:jc w:val="left"/>
              <w:outlineLvl w:val="0"/>
              <w:rPr>
                <w:rFonts w:ascii="仿宋" w:hAnsi="仿宋" w:eastAsia="仿宋"/>
                <w:sz w:val="32"/>
                <w:szCs w:val="32"/>
              </w:rPr>
            </w:pPr>
          </w:p>
        </w:tc>
        <w:tc>
          <w:tcPr>
            <w:tcW w:w="1860" w:type="dxa"/>
          </w:tcPr>
          <w:p>
            <w:pPr>
              <w:tabs>
                <w:tab w:val="left" w:pos="6300"/>
              </w:tabs>
              <w:snapToGrid w:val="0"/>
              <w:spacing w:line="560" w:lineRule="exact"/>
              <w:jc w:val="left"/>
              <w:outlineLvl w:val="0"/>
              <w:rPr>
                <w:rFonts w:ascii="仿宋" w:hAnsi="仿宋" w:eastAsia="仿宋"/>
                <w:sz w:val="32"/>
                <w:szCs w:val="32"/>
              </w:rPr>
            </w:pPr>
          </w:p>
        </w:tc>
        <w:tc>
          <w:tcPr>
            <w:tcW w:w="1861" w:type="dxa"/>
          </w:tcPr>
          <w:p>
            <w:pPr>
              <w:tabs>
                <w:tab w:val="left" w:pos="6300"/>
              </w:tabs>
              <w:snapToGrid w:val="0"/>
              <w:spacing w:line="560" w:lineRule="exact"/>
              <w:jc w:val="left"/>
              <w:outlineLvl w:val="0"/>
              <w:rPr>
                <w:rFonts w:ascii="仿宋" w:hAnsi="仿宋" w:eastAsia="仿宋"/>
                <w:sz w:val="32"/>
                <w:szCs w:val="32"/>
              </w:rPr>
            </w:pPr>
          </w:p>
        </w:tc>
        <w:tc>
          <w:tcPr>
            <w:tcW w:w="1860" w:type="dxa"/>
          </w:tcPr>
          <w:p>
            <w:pPr>
              <w:tabs>
                <w:tab w:val="left" w:pos="6300"/>
              </w:tabs>
              <w:snapToGrid w:val="0"/>
              <w:spacing w:line="560" w:lineRule="exact"/>
              <w:jc w:val="left"/>
              <w:outlineLvl w:val="0"/>
              <w:rPr>
                <w:rFonts w:ascii="仿宋" w:hAnsi="仿宋" w:eastAsia="仿宋"/>
                <w:sz w:val="32"/>
                <w:szCs w:val="32"/>
              </w:rPr>
            </w:pPr>
          </w:p>
        </w:tc>
      </w:tr>
    </w:tbl>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投标人（盖章）：          </w:t>
      </w:r>
      <w:r>
        <w:rPr>
          <w:rFonts w:hint="eastAsia" w:ascii="仿宋_GB2312" w:hAnsi="仿宋" w:eastAsia="仿宋_GB2312"/>
          <w:bCs/>
          <w:sz w:val="32"/>
          <w:szCs w:val="32"/>
        </w:rPr>
        <w:t>法定代表人</w:t>
      </w:r>
      <w:r>
        <w:rPr>
          <w:rFonts w:hint="eastAsia" w:ascii="仿宋" w:hAnsi="仿宋" w:eastAsia="仿宋"/>
          <w:bCs/>
          <w:sz w:val="32"/>
          <w:szCs w:val="32"/>
        </w:rPr>
        <w:t>（签字或加盖印鉴）：</w:t>
      </w:r>
    </w:p>
    <w:p>
      <w:pPr>
        <w:tabs>
          <w:tab w:val="left" w:pos="6300"/>
        </w:tabs>
        <w:snapToGrid w:val="0"/>
        <w:spacing w:line="560" w:lineRule="exact"/>
        <w:outlineLvl w:val="0"/>
        <w:rPr>
          <w:rFonts w:hint="eastAsia" w:ascii="仿宋" w:hAnsi="仿宋" w:eastAsia="仿宋"/>
          <w:bCs/>
          <w:sz w:val="32"/>
          <w:szCs w:val="32"/>
        </w:rPr>
      </w:pPr>
      <w:r>
        <w:rPr>
          <w:rFonts w:hint="eastAsia" w:ascii="仿宋" w:hAnsi="仿宋" w:eastAsia="仿宋"/>
          <w:bCs/>
          <w:sz w:val="32"/>
          <w:szCs w:val="32"/>
        </w:rPr>
        <w:t xml:space="preserve">                                </w:t>
      </w:r>
    </w:p>
    <w:p>
      <w:pPr>
        <w:tabs>
          <w:tab w:val="left" w:pos="6300"/>
        </w:tabs>
        <w:snapToGrid w:val="0"/>
        <w:spacing w:line="560" w:lineRule="exact"/>
        <w:ind w:firstLine="5440" w:firstLineChars="1700"/>
        <w:outlineLvl w:val="0"/>
        <w:rPr>
          <w:rFonts w:ascii="仿宋" w:hAnsi="仿宋" w:eastAsia="仿宋"/>
          <w:b/>
          <w:sz w:val="32"/>
          <w:szCs w:val="32"/>
        </w:rPr>
      </w:pPr>
      <w:r>
        <w:rPr>
          <w:rFonts w:hint="eastAsia" w:ascii="仿宋" w:hAnsi="仿宋" w:eastAsia="仿宋"/>
          <w:bCs/>
          <w:sz w:val="32"/>
          <w:szCs w:val="32"/>
        </w:rPr>
        <w:t xml:space="preserve">年  </w:t>
      </w:r>
      <w:r>
        <w:rPr>
          <w:rFonts w:hint="eastAsia" w:ascii="仿宋" w:hAnsi="仿宋" w:eastAsia="仿宋"/>
          <w:bCs/>
          <w:sz w:val="32"/>
          <w:szCs w:val="32"/>
          <w:lang w:val="en-US" w:eastAsia="zh-CN"/>
        </w:rPr>
        <w:t xml:space="preserve"> </w:t>
      </w:r>
      <w:r>
        <w:rPr>
          <w:rFonts w:hint="eastAsia" w:ascii="仿宋" w:hAnsi="仿宋" w:eastAsia="仿宋"/>
          <w:bCs/>
          <w:sz w:val="32"/>
          <w:szCs w:val="32"/>
        </w:rPr>
        <w:t xml:space="preserve"> </w:t>
      </w:r>
      <w:r>
        <w:rPr>
          <w:rFonts w:hint="eastAsia" w:ascii="仿宋" w:hAnsi="仿宋" w:eastAsia="仿宋"/>
          <w:bCs/>
          <w:sz w:val="32"/>
          <w:szCs w:val="32"/>
          <w:lang w:val="en-US" w:eastAsia="zh-CN"/>
        </w:rPr>
        <w:t xml:space="preserve"> </w:t>
      </w:r>
      <w:r>
        <w:rPr>
          <w:rFonts w:hint="eastAsia" w:ascii="仿宋" w:hAnsi="仿宋" w:eastAsia="仿宋"/>
          <w:bCs/>
          <w:sz w:val="32"/>
          <w:szCs w:val="32"/>
        </w:rPr>
        <w:t xml:space="preserve"> 月   </w:t>
      </w:r>
      <w:r>
        <w:rPr>
          <w:rFonts w:hint="eastAsia" w:ascii="仿宋" w:hAnsi="仿宋" w:eastAsia="仿宋"/>
          <w:bCs/>
          <w:sz w:val="32"/>
          <w:szCs w:val="32"/>
          <w:lang w:val="en-US" w:eastAsia="zh-CN"/>
        </w:rPr>
        <w:t xml:space="preserve"> </w:t>
      </w:r>
      <w:r>
        <w:rPr>
          <w:rFonts w:hint="eastAsia" w:ascii="仿宋" w:hAnsi="仿宋" w:eastAsia="仿宋"/>
          <w:bCs/>
          <w:sz w:val="32"/>
          <w:szCs w:val="32"/>
        </w:rPr>
        <w:t xml:space="preserve"> 日</w:t>
      </w: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表六：</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投标人业绩情况表</w:t>
      </w:r>
    </w:p>
    <w:p>
      <w:pPr>
        <w:tabs>
          <w:tab w:val="left" w:pos="6300"/>
        </w:tabs>
        <w:snapToGrid w:val="0"/>
        <w:spacing w:line="560" w:lineRule="exact"/>
        <w:jc w:val="center"/>
        <w:outlineLvl w:val="0"/>
        <w:rPr>
          <w:rFonts w:ascii="仿宋" w:hAnsi="仿宋" w:eastAsia="仿宋"/>
          <w:sz w:val="32"/>
          <w:szCs w:val="32"/>
        </w:rPr>
      </w:pPr>
    </w:p>
    <w:tbl>
      <w:tblPr>
        <w:tblStyle w:val="1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1744"/>
        <w:gridCol w:w="1440"/>
        <w:gridCol w:w="956"/>
        <w:gridCol w:w="1080"/>
        <w:gridCol w:w="1260"/>
      </w:tblGrid>
      <w:tr>
        <w:tblPrEx>
          <w:tblLayout w:type="fixed"/>
          <w:tblCellMar>
            <w:top w:w="0" w:type="dxa"/>
            <w:left w:w="108" w:type="dxa"/>
            <w:bottom w:w="0" w:type="dxa"/>
            <w:right w:w="108" w:type="dxa"/>
          </w:tblCellMar>
        </w:tblPrEx>
        <w:tc>
          <w:tcPr>
            <w:tcW w:w="648" w:type="dxa"/>
          </w:tcPr>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序号</w:t>
            </w:r>
          </w:p>
        </w:tc>
        <w:tc>
          <w:tcPr>
            <w:tcW w:w="1800" w:type="dxa"/>
          </w:tcPr>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服务单位</w:t>
            </w:r>
          </w:p>
        </w:tc>
        <w:tc>
          <w:tcPr>
            <w:tcW w:w="1744" w:type="dxa"/>
          </w:tcPr>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项目名称</w:t>
            </w:r>
          </w:p>
        </w:tc>
        <w:tc>
          <w:tcPr>
            <w:tcW w:w="1440" w:type="dxa"/>
          </w:tcPr>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合同金额</w:t>
            </w:r>
          </w:p>
        </w:tc>
        <w:tc>
          <w:tcPr>
            <w:tcW w:w="956" w:type="dxa"/>
          </w:tcPr>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数量</w:t>
            </w:r>
          </w:p>
        </w:tc>
        <w:tc>
          <w:tcPr>
            <w:tcW w:w="1080" w:type="dxa"/>
          </w:tcPr>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单位联系人</w:t>
            </w:r>
          </w:p>
        </w:tc>
        <w:tc>
          <w:tcPr>
            <w:tcW w:w="1260" w:type="dxa"/>
          </w:tcPr>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单位联系电话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tc>
        <w:tc>
          <w:tcPr>
            <w:tcW w:w="1800" w:type="dxa"/>
          </w:tcPr>
          <w:p>
            <w:pPr>
              <w:tabs>
                <w:tab w:val="left" w:pos="6300"/>
              </w:tabs>
              <w:snapToGrid w:val="0"/>
              <w:spacing w:line="560" w:lineRule="exact"/>
              <w:outlineLvl w:val="0"/>
              <w:rPr>
                <w:rFonts w:ascii="仿宋" w:hAnsi="仿宋" w:eastAsia="仿宋"/>
                <w:sz w:val="32"/>
                <w:szCs w:val="32"/>
              </w:rPr>
            </w:pPr>
          </w:p>
        </w:tc>
        <w:tc>
          <w:tcPr>
            <w:tcW w:w="1744" w:type="dxa"/>
          </w:tcPr>
          <w:p>
            <w:pPr>
              <w:tabs>
                <w:tab w:val="left" w:pos="6300"/>
              </w:tabs>
              <w:snapToGrid w:val="0"/>
              <w:spacing w:line="560" w:lineRule="exact"/>
              <w:outlineLvl w:val="0"/>
              <w:rPr>
                <w:rFonts w:ascii="仿宋" w:hAnsi="仿宋" w:eastAsia="仿宋"/>
                <w:sz w:val="32"/>
                <w:szCs w:val="32"/>
              </w:rPr>
            </w:pPr>
          </w:p>
        </w:tc>
        <w:tc>
          <w:tcPr>
            <w:tcW w:w="1440" w:type="dxa"/>
          </w:tcPr>
          <w:p>
            <w:pPr>
              <w:tabs>
                <w:tab w:val="left" w:pos="6300"/>
              </w:tabs>
              <w:snapToGrid w:val="0"/>
              <w:spacing w:line="560" w:lineRule="exact"/>
              <w:outlineLvl w:val="0"/>
              <w:rPr>
                <w:rFonts w:ascii="仿宋" w:hAnsi="仿宋" w:eastAsia="仿宋"/>
                <w:sz w:val="32"/>
                <w:szCs w:val="32"/>
              </w:rPr>
            </w:pPr>
          </w:p>
        </w:tc>
        <w:tc>
          <w:tcPr>
            <w:tcW w:w="956" w:type="dxa"/>
          </w:tcPr>
          <w:p>
            <w:pPr>
              <w:tabs>
                <w:tab w:val="left" w:pos="6300"/>
              </w:tabs>
              <w:snapToGrid w:val="0"/>
              <w:spacing w:line="560" w:lineRule="exact"/>
              <w:outlineLvl w:val="0"/>
              <w:rPr>
                <w:rFonts w:ascii="仿宋" w:hAnsi="仿宋" w:eastAsia="仿宋"/>
                <w:sz w:val="32"/>
                <w:szCs w:val="32"/>
              </w:rPr>
            </w:pPr>
          </w:p>
        </w:tc>
        <w:tc>
          <w:tcPr>
            <w:tcW w:w="1080" w:type="dxa"/>
          </w:tcPr>
          <w:p>
            <w:pPr>
              <w:tabs>
                <w:tab w:val="left" w:pos="6300"/>
              </w:tabs>
              <w:snapToGrid w:val="0"/>
              <w:spacing w:line="560" w:lineRule="exact"/>
              <w:outlineLvl w:val="0"/>
              <w:rPr>
                <w:rFonts w:ascii="仿宋" w:hAnsi="仿宋" w:eastAsia="仿宋"/>
                <w:sz w:val="32"/>
                <w:szCs w:val="32"/>
              </w:rPr>
            </w:pPr>
          </w:p>
        </w:tc>
        <w:tc>
          <w:tcPr>
            <w:tcW w:w="1260" w:type="dxa"/>
          </w:tcPr>
          <w:p>
            <w:pPr>
              <w:tabs>
                <w:tab w:val="left" w:pos="6300"/>
              </w:tabs>
              <w:snapToGrid w:val="0"/>
              <w:spacing w:line="560" w:lineRule="exact"/>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tc>
        <w:tc>
          <w:tcPr>
            <w:tcW w:w="1800" w:type="dxa"/>
          </w:tcPr>
          <w:p>
            <w:pPr>
              <w:tabs>
                <w:tab w:val="left" w:pos="6300"/>
              </w:tabs>
              <w:snapToGrid w:val="0"/>
              <w:spacing w:line="560" w:lineRule="exact"/>
              <w:outlineLvl w:val="0"/>
              <w:rPr>
                <w:rFonts w:ascii="仿宋" w:hAnsi="仿宋" w:eastAsia="仿宋"/>
                <w:sz w:val="32"/>
                <w:szCs w:val="32"/>
              </w:rPr>
            </w:pPr>
          </w:p>
        </w:tc>
        <w:tc>
          <w:tcPr>
            <w:tcW w:w="1744" w:type="dxa"/>
          </w:tcPr>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tc>
        <w:tc>
          <w:tcPr>
            <w:tcW w:w="1440" w:type="dxa"/>
          </w:tcPr>
          <w:p>
            <w:pPr>
              <w:tabs>
                <w:tab w:val="left" w:pos="6300"/>
              </w:tabs>
              <w:snapToGrid w:val="0"/>
              <w:spacing w:line="560" w:lineRule="exact"/>
              <w:outlineLvl w:val="0"/>
              <w:rPr>
                <w:rFonts w:ascii="仿宋" w:hAnsi="仿宋" w:eastAsia="仿宋"/>
                <w:sz w:val="32"/>
                <w:szCs w:val="32"/>
              </w:rPr>
            </w:pPr>
          </w:p>
        </w:tc>
        <w:tc>
          <w:tcPr>
            <w:tcW w:w="956" w:type="dxa"/>
          </w:tcPr>
          <w:p>
            <w:pPr>
              <w:tabs>
                <w:tab w:val="left" w:pos="6300"/>
              </w:tabs>
              <w:snapToGrid w:val="0"/>
              <w:spacing w:line="560" w:lineRule="exact"/>
              <w:outlineLvl w:val="0"/>
              <w:rPr>
                <w:rFonts w:ascii="仿宋" w:hAnsi="仿宋" w:eastAsia="仿宋"/>
                <w:sz w:val="32"/>
                <w:szCs w:val="32"/>
              </w:rPr>
            </w:pPr>
          </w:p>
        </w:tc>
        <w:tc>
          <w:tcPr>
            <w:tcW w:w="1080" w:type="dxa"/>
          </w:tcPr>
          <w:p>
            <w:pPr>
              <w:tabs>
                <w:tab w:val="left" w:pos="6300"/>
              </w:tabs>
              <w:snapToGrid w:val="0"/>
              <w:spacing w:line="560" w:lineRule="exact"/>
              <w:outlineLvl w:val="0"/>
              <w:rPr>
                <w:rFonts w:ascii="仿宋" w:hAnsi="仿宋" w:eastAsia="仿宋"/>
                <w:sz w:val="32"/>
                <w:szCs w:val="32"/>
              </w:rPr>
            </w:pPr>
          </w:p>
        </w:tc>
        <w:tc>
          <w:tcPr>
            <w:tcW w:w="1260" w:type="dxa"/>
          </w:tcPr>
          <w:p>
            <w:pPr>
              <w:tabs>
                <w:tab w:val="left" w:pos="6300"/>
              </w:tabs>
              <w:snapToGrid w:val="0"/>
              <w:spacing w:line="560" w:lineRule="exact"/>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tc>
        <w:tc>
          <w:tcPr>
            <w:tcW w:w="1800" w:type="dxa"/>
          </w:tcPr>
          <w:p>
            <w:pPr>
              <w:tabs>
                <w:tab w:val="left" w:pos="6300"/>
              </w:tabs>
              <w:snapToGrid w:val="0"/>
              <w:spacing w:line="560" w:lineRule="exact"/>
              <w:outlineLvl w:val="0"/>
              <w:rPr>
                <w:rFonts w:ascii="仿宋" w:hAnsi="仿宋" w:eastAsia="仿宋"/>
                <w:sz w:val="32"/>
                <w:szCs w:val="32"/>
              </w:rPr>
            </w:pPr>
          </w:p>
        </w:tc>
        <w:tc>
          <w:tcPr>
            <w:tcW w:w="1744" w:type="dxa"/>
          </w:tcPr>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tc>
        <w:tc>
          <w:tcPr>
            <w:tcW w:w="1440" w:type="dxa"/>
          </w:tcPr>
          <w:p>
            <w:pPr>
              <w:tabs>
                <w:tab w:val="left" w:pos="6300"/>
              </w:tabs>
              <w:snapToGrid w:val="0"/>
              <w:spacing w:line="560" w:lineRule="exact"/>
              <w:outlineLvl w:val="0"/>
              <w:rPr>
                <w:rFonts w:ascii="仿宋" w:hAnsi="仿宋" w:eastAsia="仿宋"/>
                <w:sz w:val="32"/>
                <w:szCs w:val="32"/>
              </w:rPr>
            </w:pPr>
          </w:p>
        </w:tc>
        <w:tc>
          <w:tcPr>
            <w:tcW w:w="956" w:type="dxa"/>
          </w:tcPr>
          <w:p>
            <w:pPr>
              <w:tabs>
                <w:tab w:val="left" w:pos="6300"/>
              </w:tabs>
              <w:snapToGrid w:val="0"/>
              <w:spacing w:line="560" w:lineRule="exact"/>
              <w:outlineLvl w:val="0"/>
              <w:rPr>
                <w:rFonts w:ascii="仿宋" w:hAnsi="仿宋" w:eastAsia="仿宋"/>
                <w:sz w:val="32"/>
                <w:szCs w:val="32"/>
              </w:rPr>
            </w:pPr>
          </w:p>
        </w:tc>
        <w:tc>
          <w:tcPr>
            <w:tcW w:w="1080" w:type="dxa"/>
          </w:tcPr>
          <w:p>
            <w:pPr>
              <w:tabs>
                <w:tab w:val="left" w:pos="6300"/>
              </w:tabs>
              <w:snapToGrid w:val="0"/>
              <w:spacing w:line="560" w:lineRule="exact"/>
              <w:outlineLvl w:val="0"/>
              <w:rPr>
                <w:rFonts w:ascii="仿宋" w:hAnsi="仿宋" w:eastAsia="仿宋"/>
                <w:sz w:val="32"/>
                <w:szCs w:val="32"/>
              </w:rPr>
            </w:pPr>
          </w:p>
        </w:tc>
        <w:tc>
          <w:tcPr>
            <w:tcW w:w="1260" w:type="dxa"/>
          </w:tcPr>
          <w:p>
            <w:pPr>
              <w:tabs>
                <w:tab w:val="left" w:pos="6300"/>
              </w:tabs>
              <w:snapToGrid w:val="0"/>
              <w:spacing w:line="560" w:lineRule="exact"/>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tc>
        <w:tc>
          <w:tcPr>
            <w:tcW w:w="1800" w:type="dxa"/>
          </w:tcPr>
          <w:p>
            <w:pPr>
              <w:tabs>
                <w:tab w:val="left" w:pos="6300"/>
              </w:tabs>
              <w:snapToGrid w:val="0"/>
              <w:spacing w:line="560" w:lineRule="exact"/>
              <w:outlineLvl w:val="0"/>
              <w:rPr>
                <w:rFonts w:ascii="仿宋" w:hAnsi="仿宋" w:eastAsia="仿宋"/>
                <w:sz w:val="32"/>
                <w:szCs w:val="32"/>
              </w:rPr>
            </w:pPr>
          </w:p>
        </w:tc>
        <w:tc>
          <w:tcPr>
            <w:tcW w:w="1744" w:type="dxa"/>
          </w:tcPr>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tc>
        <w:tc>
          <w:tcPr>
            <w:tcW w:w="1440" w:type="dxa"/>
          </w:tcPr>
          <w:p>
            <w:pPr>
              <w:tabs>
                <w:tab w:val="left" w:pos="6300"/>
              </w:tabs>
              <w:snapToGrid w:val="0"/>
              <w:spacing w:line="560" w:lineRule="exact"/>
              <w:outlineLvl w:val="0"/>
              <w:rPr>
                <w:rFonts w:ascii="仿宋" w:hAnsi="仿宋" w:eastAsia="仿宋"/>
                <w:sz w:val="32"/>
                <w:szCs w:val="32"/>
              </w:rPr>
            </w:pPr>
          </w:p>
        </w:tc>
        <w:tc>
          <w:tcPr>
            <w:tcW w:w="956" w:type="dxa"/>
          </w:tcPr>
          <w:p>
            <w:pPr>
              <w:tabs>
                <w:tab w:val="left" w:pos="6300"/>
              </w:tabs>
              <w:snapToGrid w:val="0"/>
              <w:spacing w:line="560" w:lineRule="exact"/>
              <w:outlineLvl w:val="0"/>
              <w:rPr>
                <w:rFonts w:ascii="仿宋" w:hAnsi="仿宋" w:eastAsia="仿宋"/>
                <w:sz w:val="32"/>
                <w:szCs w:val="32"/>
              </w:rPr>
            </w:pPr>
          </w:p>
        </w:tc>
        <w:tc>
          <w:tcPr>
            <w:tcW w:w="1080" w:type="dxa"/>
          </w:tcPr>
          <w:p>
            <w:pPr>
              <w:tabs>
                <w:tab w:val="left" w:pos="6300"/>
              </w:tabs>
              <w:snapToGrid w:val="0"/>
              <w:spacing w:line="560" w:lineRule="exact"/>
              <w:outlineLvl w:val="0"/>
              <w:rPr>
                <w:rFonts w:ascii="仿宋" w:hAnsi="仿宋" w:eastAsia="仿宋"/>
                <w:sz w:val="32"/>
                <w:szCs w:val="32"/>
              </w:rPr>
            </w:pPr>
          </w:p>
        </w:tc>
        <w:tc>
          <w:tcPr>
            <w:tcW w:w="1260" w:type="dxa"/>
          </w:tcPr>
          <w:p>
            <w:pPr>
              <w:tabs>
                <w:tab w:val="left" w:pos="6300"/>
              </w:tabs>
              <w:snapToGrid w:val="0"/>
              <w:spacing w:line="560" w:lineRule="exact"/>
              <w:outlineLvl w:val="0"/>
              <w:rPr>
                <w:rFonts w:ascii="仿宋" w:hAnsi="仿宋" w:eastAsia="仿宋"/>
                <w:sz w:val="32"/>
                <w:szCs w:val="32"/>
              </w:rPr>
            </w:pPr>
          </w:p>
        </w:tc>
      </w:tr>
    </w:tbl>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投标人（盖章）：               </w:t>
      </w:r>
      <w:r>
        <w:rPr>
          <w:rFonts w:hint="eastAsia" w:ascii="仿宋_GB2312" w:hAnsi="仿宋" w:eastAsia="仿宋_GB2312"/>
          <w:bCs/>
          <w:sz w:val="32"/>
          <w:szCs w:val="32"/>
        </w:rPr>
        <w:t>法定代表人</w:t>
      </w:r>
      <w:r>
        <w:rPr>
          <w:rFonts w:hint="eastAsia" w:ascii="仿宋" w:hAnsi="仿宋" w:eastAsia="仿宋"/>
          <w:bCs/>
          <w:sz w:val="32"/>
          <w:szCs w:val="32"/>
        </w:rPr>
        <w:t>（签字或加盖印鉴）：</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tabs>
          <w:tab w:val="left" w:pos="6300"/>
        </w:tabs>
        <w:snapToGrid w:val="0"/>
        <w:spacing w:line="560" w:lineRule="exact"/>
        <w:outlineLvl w:val="0"/>
        <w:rPr>
          <w:rFonts w:ascii="仿宋" w:hAnsi="仿宋" w:eastAsia="仿宋"/>
          <w:b/>
          <w:bCs/>
          <w:color w:val="000000"/>
          <w:sz w:val="32"/>
          <w:szCs w:val="32"/>
        </w:rPr>
      </w:pPr>
      <w:r>
        <w:rPr>
          <w:rFonts w:hint="eastAsia" w:ascii="仿宋" w:hAnsi="仿宋" w:eastAsia="仿宋"/>
          <w:sz w:val="32"/>
          <w:szCs w:val="32"/>
        </w:rPr>
        <w:t>备注：按照业绩情况表提供相对应的提供类似项目的成交（中标）通知书或中标合同。</w:t>
      </w:r>
    </w:p>
    <w:p>
      <w:pPr>
        <w:spacing w:line="560" w:lineRule="exact"/>
        <w:rPr>
          <w:rFonts w:ascii="仿宋" w:hAnsi="仿宋" w:eastAsia="仿宋"/>
          <w:b/>
          <w:bCs/>
          <w:color w:val="000000"/>
          <w:sz w:val="32"/>
          <w:szCs w:val="32"/>
        </w:rPr>
      </w:pPr>
      <w:r>
        <w:rPr>
          <w:rFonts w:hint="eastAsia" w:ascii="仿宋" w:hAnsi="仿宋" w:eastAsia="仿宋"/>
          <w:b/>
          <w:bCs/>
          <w:color w:val="000000"/>
          <w:sz w:val="32"/>
          <w:szCs w:val="32"/>
        </w:rPr>
        <w:t>表七：</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技术规格偏离表</w:t>
      </w:r>
    </w:p>
    <w:p>
      <w:pPr>
        <w:tabs>
          <w:tab w:val="left" w:pos="6300"/>
        </w:tabs>
        <w:snapToGrid w:val="0"/>
        <w:spacing w:line="560" w:lineRule="exact"/>
        <w:jc w:val="center"/>
        <w:outlineLvl w:val="0"/>
        <w:rPr>
          <w:rFonts w:ascii="仿宋" w:hAnsi="仿宋" w:eastAsia="仿宋"/>
          <w:b/>
          <w:color w:val="000000"/>
          <w:sz w:val="32"/>
          <w:szCs w:val="32"/>
        </w:rPr>
      </w:pPr>
    </w:p>
    <w:tbl>
      <w:tblPr>
        <w:tblStyle w:val="15"/>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项目</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招标参数</w:t>
            </w:r>
          </w:p>
        </w:tc>
        <w:tc>
          <w:tcPr>
            <w:tcW w:w="1860"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正/负偏离/响应</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产品名称</w:t>
            </w:r>
          </w:p>
        </w:tc>
        <w:tc>
          <w:tcPr>
            <w:tcW w:w="1860" w:type="dxa"/>
          </w:tcPr>
          <w:p>
            <w:pPr>
              <w:numPr>
                <w:ilvl w:val="0"/>
                <w:numId w:val="11"/>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11"/>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11"/>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tc>
        <w:tc>
          <w:tcPr>
            <w:tcW w:w="1860" w:type="dxa"/>
          </w:tcPr>
          <w:p>
            <w:pPr>
              <w:numPr>
                <w:ilvl w:val="0"/>
                <w:numId w:val="12"/>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12"/>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12"/>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tc>
        <w:tc>
          <w:tcPr>
            <w:tcW w:w="1861" w:type="dxa"/>
          </w:tcPr>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sz w:val="32"/>
                <w:szCs w:val="32"/>
              </w:rPr>
              <w:t>正/负/响应</w:t>
            </w:r>
          </w:p>
        </w:tc>
        <w:tc>
          <w:tcPr>
            <w:tcW w:w="1860" w:type="dxa"/>
          </w:tcPr>
          <w:p>
            <w:pPr>
              <w:tabs>
                <w:tab w:val="left" w:pos="6300"/>
              </w:tabs>
              <w:snapToGrid w:val="0"/>
              <w:spacing w:line="560" w:lineRule="exact"/>
              <w:jc w:val="left"/>
              <w:outlineLvl w:val="0"/>
              <w:rPr>
                <w:rFonts w:ascii="仿宋" w:hAnsi="仿宋" w:eastAsia="仿宋"/>
                <w:b/>
                <w:color w:val="000000"/>
                <w:sz w:val="22"/>
                <w:szCs w:val="22"/>
              </w:rPr>
            </w:pPr>
            <w:r>
              <w:rPr>
                <w:rFonts w:hint="eastAsia" w:ascii="仿宋" w:hAnsi="仿宋" w:eastAsia="仿宋"/>
                <w:b/>
                <w:color w:val="000000"/>
                <w:sz w:val="22"/>
                <w:szCs w:val="22"/>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1"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bl>
    <w:p>
      <w:pPr>
        <w:pStyle w:val="2"/>
        <w:rPr>
          <w:rFonts w:ascii="仿宋" w:hAnsi="仿宋" w:eastAsia="仿宋"/>
          <w:bCs/>
          <w:color w:val="auto"/>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投标人（盖章）：         </w:t>
      </w:r>
      <w:r>
        <w:rPr>
          <w:rFonts w:hint="eastAsia" w:ascii="仿宋_GB2312" w:hAnsi="仿宋" w:eastAsia="仿宋_GB2312"/>
          <w:bCs/>
          <w:sz w:val="32"/>
          <w:szCs w:val="32"/>
        </w:rPr>
        <w:t>法定代表人</w:t>
      </w:r>
      <w:r>
        <w:rPr>
          <w:rFonts w:hint="eastAsia" w:ascii="仿宋" w:hAnsi="仿宋" w:eastAsia="仿宋"/>
          <w:bCs/>
          <w:sz w:val="32"/>
          <w:szCs w:val="32"/>
        </w:rPr>
        <w:t>（签字或加盖印鉴）：</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pStyle w:val="2"/>
        <w:rPr>
          <w:rFonts w:ascii="仿宋" w:hAnsi="仿宋" w:eastAsia="仿宋"/>
          <w:bCs/>
          <w:color w:val="auto"/>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
          <w:bCs/>
          <w:color w:val="000000"/>
          <w:sz w:val="32"/>
          <w:szCs w:val="32"/>
        </w:rPr>
        <w:br w:type="page"/>
      </w:r>
      <w:r>
        <w:rPr>
          <w:rFonts w:hint="eastAsia" w:ascii="仿宋" w:hAnsi="仿宋" w:eastAsia="仿宋"/>
          <w:bCs/>
          <w:sz w:val="32"/>
          <w:szCs w:val="32"/>
        </w:rPr>
        <w:t>(附件1)</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jc w:val="center"/>
        <w:outlineLvl w:val="0"/>
        <w:rPr>
          <w:rFonts w:ascii="仿宋" w:hAnsi="仿宋" w:eastAsia="仿宋"/>
          <w:bCs/>
          <w:sz w:val="32"/>
          <w:szCs w:val="32"/>
        </w:rPr>
      </w:pPr>
      <w:r>
        <w:rPr>
          <w:rFonts w:hint="eastAsia" w:ascii="仿宋" w:hAnsi="仿宋" w:eastAsia="仿宋"/>
          <w:b/>
          <w:sz w:val="44"/>
          <w:szCs w:val="44"/>
        </w:rPr>
        <w:t>无违法记录证明</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昌吉市政府采购中心：</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我公司郑重承诺，在参加本次政府采购活动前三年内，在经营活动中没有重大违法记录。</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投标单位（投标人）：</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w:t>
      </w:r>
      <w:r>
        <w:rPr>
          <w:rFonts w:hint="eastAsia" w:ascii="仿宋_GB2312" w:hAnsi="仿宋" w:eastAsia="仿宋_GB2312"/>
          <w:bCs/>
          <w:sz w:val="32"/>
          <w:szCs w:val="32"/>
        </w:rPr>
        <w:t>法定代表人</w:t>
      </w:r>
      <w:r>
        <w:rPr>
          <w:rFonts w:hint="eastAsia" w:ascii="仿宋" w:hAnsi="仿宋" w:eastAsia="仿宋"/>
          <w:bCs/>
          <w:sz w:val="32"/>
          <w:szCs w:val="32"/>
        </w:rPr>
        <w:t>：</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pStyle w:val="2"/>
        <w:rPr>
          <w:rFonts w:ascii="仿宋" w:hAnsi="仿宋" w:eastAsia="仿宋"/>
          <w:bCs/>
          <w:color w:val="auto"/>
          <w:sz w:val="32"/>
          <w:szCs w:val="32"/>
        </w:rPr>
      </w:pPr>
    </w:p>
    <w:p>
      <w:pPr>
        <w:pStyle w:val="2"/>
        <w:rPr>
          <w:rFonts w:ascii="仿宋" w:hAnsi="仿宋" w:eastAsia="仿宋"/>
          <w:bCs/>
          <w:color w:val="auto"/>
          <w:sz w:val="32"/>
          <w:szCs w:val="32"/>
        </w:rPr>
      </w:pPr>
    </w:p>
    <w:p>
      <w:pPr>
        <w:tabs>
          <w:tab w:val="left" w:pos="6300"/>
        </w:tabs>
        <w:snapToGrid w:val="0"/>
        <w:spacing w:line="560" w:lineRule="exact"/>
        <w:outlineLvl w:val="0"/>
        <w:rPr>
          <w:rFonts w:ascii="仿宋" w:hAnsi="仿宋" w:eastAsia="仿宋"/>
          <w:bCs/>
          <w:sz w:val="32"/>
          <w:szCs w:val="32"/>
        </w:rPr>
      </w:pPr>
    </w:p>
    <w:p>
      <w:pPr>
        <w:pStyle w:val="2"/>
        <w:rPr>
          <w:rFonts w:ascii="仿宋" w:hAnsi="仿宋" w:eastAsia="仿宋"/>
          <w:bCs/>
          <w:color w:val="auto"/>
          <w:sz w:val="32"/>
          <w:szCs w:val="32"/>
        </w:rPr>
      </w:pPr>
    </w:p>
    <w:p>
      <w:pPr>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(附件2)</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声   明  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昌吉市政府采购中心：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我公司已收到并阅读采购文件，在完全理解该项目的采购质量技术要求、商务条件以及其他内容后，决定参与此次采购活动，并作出如下声明：</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1、我公司具有独立承担民事责任的能力；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2、我公司具有良好的商业信誉和健全的财务会计制度；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3、我公司具有履行采购项目所必需的设备和专业技术能力；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4、我公司严格按照法律规定缴纳税金和社会保障资金；</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5、我公司保证提供的所有资料及相关证明文件均真实、准确；</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6、我公司保证所投货物品牌型号、投标文件及相关资料的合法性，且均未侵犯他人的知识产权。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7、我公司保证使用了他人的专利、专有技术、涉及的费用由其自行承担。</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投标单位（供应商）：</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法定代表人：</w:t>
      </w:r>
    </w:p>
    <w:p>
      <w:pPr>
        <w:tabs>
          <w:tab w:val="left" w:pos="6300"/>
        </w:tabs>
        <w:snapToGrid w:val="0"/>
        <w:spacing w:line="560" w:lineRule="exact"/>
        <w:outlineLvl w:val="0"/>
      </w:pPr>
      <w:r>
        <w:rPr>
          <w:rFonts w:hint="eastAsia" w:ascii="仿宋_GB2312" w:hAnsi="仿宋" w:eastAsia="仿宋_GB2312"/>
          <w:bCs/>
          <w:sz w:val="32"/>
          <w:szCs w:val="32"/>
        </w:rPr>
        <w:t xml:space="preserve">                                 年     月     日</w:t>
      </w:r>
    </w:p>
    <w:p>
      <w:pPr>
        <w:pStyle w:val="8"/>
        <w:rPr>
          <w:rFonts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00" w:usb3="00000000" w:csb0="0004009F" w:csb1="DFD7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DAB5A"/>
    <w:multiLevelType w:val="singleLevel"/>
    <w:tmpl w:val="887DAB5A"/>
    <w:lvl w:ilvl="0" w:tentative="0">
      <w:start w:val="1"/>
      <w:numFmt w:val="decimal"/>
      <w:suff w:val="nothing"/>
      <w:lvlText w:val="%1、"/>
      <w:lvlJc w:val="left"/>
    </w:lvl>
  </w:abstractNum>
  <w:abstractNum w:abstractNumId="1">
    <w:nsid w:val="8D1B1111"/>
    <w:multiLevelType w:val="singleLevel"/>
    <w:tmpl w:val="8D1B1111"/>
    <w:lvl w:ilvl="0" w:tentative="0">
      <w:start w:val="1"/>
      <w:numFmt w:val="decimal"/>
      <w:suff w:val="nothing"/>
      <w:lvlText w:val="%1、"/>
      <w:lvlJc w:val="left"/>
    </w:lvl>
  </w:abstractNum>
  <w:abstractNum w:abstractNumId="2">
    <w:nsid w:val="C9755AD0"/>
    <w:multiLevelType w:val="singleLevel"/>
    <w:tmpl w:val="C9755AD0"/>
    <w:lvl w:ilvl="0" w:tentative="0">
      <w:start w:val="1"/>
      <w:numFmt w:val="chineseCounting"/>
      <w:suff w:val="space"/>
      <w:lvlText w:val="第%1部分"/>
      <w:lvlJc w:val="left"/>
      <w:pPr>
        <w:ind w:left="2520"/>
      </w:pPr>
      <w:rPr>
        <w:rFonts w:hint="eastAsia"/>
      </w:rPr>
    </w:lvl>
  </w:abstractNum>
  <w:abstractNum w:abstractNumId="3">
    <w:nsid w:val="CB6B54D7"/>
    <w:multiLevelType w:val="singleLevel"/>
    <w:tmpl w:val="CB6B54D7"/>
    <w:lvl w:ilvl="0" w:tentative="0">
      <w:start w:val="19"/>
      <w:numFmt w:val="decimal"/>
      <w:lvlText w:val="%1."/>
      <w:lvlJc w:val="left"/>
      <w:pPr>
        <w:tabs>
          <w:tab w:val="left" w:pos="312"/>
        </w:tabs>
      </w:pPr>
    </w:lvl>
  </w:abstractNum>
  <w:abstractNum w:abstractNumId="4">
    <w:nsid w:val="D61C75AF"/>
    <w:multiLevelType w:val="singleLevel"/>
    <w:tmpl w:val="D61C75AF"/>
    <w:lvl w:ilvl="0" w:tentative="0">
      <w:start w:val="1"/>
      <w:numFmt w:val="decimal"/>
      <w:lvlText w:val="%1."/>
      <w:lvlJc w:val="left"/>
      <w:pPr>
        <w:ind w:left="425" w:hanging="425"/>
      </w:pPr>
      <w:rPr>
        <w:rFonts w:hint="default"/>
      </w:rPr>
    </w:lvl>
  </w:abstractNum>
  <w:abstractNum w:abstractNumId="5">
    <w:nsid w:val="27298ED1"/>
    <w:multiLevelType w:val="singleLevel"/>
    <w:tmpl w:val="27298ED1"/>
    <w:lvl w:ilvl="0" w:tentative="0">
      <w:start w:val="1"/>
      <w:numFmt w:val="decimal"/>
      <w:lvlText w:val="%1."/>
      <w:lvlJc w:val="left"/>
      <w:pPr>
        <w:tabs>
          <w:tab w:val="left" w:pos="312"/>
        </w:tabs>
      </w:pPr>
    </w:lvl>
  </w:abstractNum>
  <w:abstractNum w:abstractNumId="6">
    <w:nsid w:val="462ED4C1"/>
    <w:multiLevelType w:val="singleLevel"/>
    <w:tmpl w:val="462ED4C1"/>
    <w:lvl w:ilvl="0" w:tentative="0">
      <w:start w:val="1"/>
      <w:numFmt w:val="decimal"/>
      <w:lvlText w:val="%1."/>
      <w:lvlJc w:val="left"/>
      <w:pPr>
        <w:tabs>
          <w:tab w:val="left" w:pos="312"/>
        </w:tabs>
      </w:pPr>
    </w:lvl>
  </w:abstractNum>
  <w:abstractNum w:abstractNumId="7">
    <w:nsid w:val="4EABDB27"/>
    <w:multiLevelType w:val="singleLevel"/>
    <w:tmpl w:val="4EABDB27"/>
    <w:lvl w:ilvl="0" w:tentative="0">
      <w:start w:val="2"/>
      <w:numFmt w:val="decimal"/>
      <w:suff w:val="nothing"/>
      <w:lvlText w:val="%1、"/>
      <w:lvlJc w:val="left"/>
    </w:lvl>
  </w:abstractNum>
  <w:abstractNum w:abstractNumId="8">
    <w:nsid w:val="53AA8B66"/>
    <w:multiLevelType w:val="singleLevel"/>
    <w:tmpl w:val="53AA8B66"/>
    <w:lvl w:ilvl="0" w:tentative="0">
      <w:start w:val="1"/>
      <w:numFmt w:val="chineseCounting"/>
      <w:suff w:val="nothing"/>
      <w:lvlText w:val="%1、"/>
      <w:lvlJc w:val="left"/>
    </w:lvl>
  </w:abstractNum>
  <w:abstractNum w:abstractNumId="9">
    <w:nsid w:val="59528241"/>
    <w:multiLevelType w:val="singleLevel"/>
    <w:tmpl w:val="59528241"/>
    <w:lvl w:ilvl="0" w:tentative="0">
      <w:start w:val="1"/>
      <w:numFmt w:val="decimal"/>
      <w:suff w:val="nothing"/>
      <w:lvlText w:val="%1."/>
      <w:lvlJc w:val="left"/>
    </w:lvl>
  </w:abstractNum>
  <w:abstractNum w:abstractNumId="10">
    <w:nsid w:val="5952826A"/>
    <w:multiLevelType w:val="singleLevel"/>
    <w:tmpl w:val="5952826A"/>
    <w:lvl w:ilvl="0" w:tentative="0">
      <w:start w:val="1"/>
      <w:numFmt w:val="decimal"/>
      <w:suff w:val="nothing"/>
      <w:lvlText w:val="%1."/>
      <w:lvlJc w:val="left"/>
    </w:lvl>
  </w:abstractNum>
  <w:abstractNum w:abstractNumId="11">
    <w:nsid w:val="6F9F6E0A"/>
    <w:multiLevelType w:val="singleLevel"/>
    <w:tmpl w:val="6F9F6E0A"/>
    <w:lvl w:ilvl="0" w:tentative="0">
      <w:start w:val="1"/>
      <w:numFmt w:val="decimal"/>
      <w:lvlText w:val="%1."/>
      <w:lvlJc w:val="left"/>
      <w:pPr>
        <w:ind w:left="425" w:hanging="425"/>
      </w:pPr>
      <w:rPr>
        <w:rFonts w:hint="default"/>
      </w:rPr>
    </w:lvl>
  </w:abstractNum>
  <w:num w:numId="1">
    <w:abstractNumId w:val="2"/>
  </w:num>
  <w:num w:numId="2">
    <w:abstractNumId w:val="7"/>
  </w:num>
  <w:num w:numId="3">
    <w:abstractNumId w:val="5"/>
  </w:num>
  <w:num w:numId="4">
    <w:abstractNumId w:val="3"/>
  </w:num>
  <w:num w:numId="5">
    <w:abstractNumId w:val="11"/>
  </w:num>
  <w:num w:numId="6">
    <w:abstractNumId w:val="4"/>
  </w:num>
  <w:num w:numId="7">
    <w:abstractNumId w:val="6"/>
  </w:num>
  <w:num w:numId="8">
    <w:abstractNumId w:val="1"/>
  </w:num>
  <w:num w:numId="9">
    <w:abstractNumId w:val="0"/>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17B41A9"/>
    <w:rsid w:val="001A320A"/>
    <w:rsid w:val="00444541"/>
    <w:rsid w:val="00D55CAC"/>
    <w:rsid w:val="027E6472"/>
    <w:rsid w:val="02A83F7F"/>
    <w:rsid w:val="03333C25"/>
    <w:rsid w:val="07A946E5"/>
    <w:rsid w:val="0A9260E6"/>
    <w:rsid w:val="0B0856D5"/>
    <w:rsid w:val="0E211D00"/>
    <w:rsid w:val="0FC426DE"/>
    <w:rsid w:val="0FC552F5"/>
    <w:rsid w:val="11531D1B"/>
    <w:rsid w:val="11607119"/>
    <w:rsid w:val="11A77023"/>
    <w:rsid w:val="11F06550"/>
    <w:rsid w:val="12924EFD"/>
    <w:rsid w:val="132A5189"/>
    <w:rsid w:val="13F94BA6"/>
    <w:rsid w:val="13FE02B1"/>
    <w:rsid w:val="15534416"/>
    <w:rsid w:val="183E0246"/>
    <w:rsid w:val="186B7AA2"/>
    <w:rsid w:val="1913008F"/>
    <w:rsid w:val="19DD51E0"/>
    <w:rsid w:val="1A321E5F"/>
    <w:rsid w:val="1BCC7644"/>
    <w:rsid w:val="1E6F71BC"/>
    <w:rsid w:val="1F68523C"/>
    <w:rsid w:val="1F7571CC"/>
    <w:rsid w:val="20BB69A8"/>
    <w:rsid w:val="20E31154"/>
    <w:rsid w:val="217B41A9"/>
    <w:rsid w:val="22190D81"/>
    <w:rsid w:val="238C12B6"/>
    <w:rsid w:val="24AF1767"/>
    <w:rsid w:val="24CA337C"/>
    <w:rsid w:val="25B671C2"/>
    <w:rsid w:val="26290B8D"/>
    <w:rsid w:val="29BB2B70"/>
    <w:rsid w:val="2AF95A90"/>
    <w:rsid w:val="30D213AD"/>
    <w:rsid w:val="31A5394C"/>
    <w:rsid w:val="32EC005B"/>
    <w:rsid w:val="34040BE1"/>
    <w:rsid w:val="34BE71EC"/>
    <w:rsid w:val="377A5B37"/>
    <w:rsid w:val="397F1E07"/>
    <w:rsid w:val="39966ECA"/>
    <w:rsid w:val="39E769E6"/>
    <w:rsid w:val="3B0F0B16"/>
    <w:rsid w:val="3F1230AC"/>
    <w:rsid w:val="40E90AE5"/>
    <w:rsid w:val="412F13FB"/>
    <w:rsid w:val="42FD43FF"/>
    <w:rsid w:val="43244BCF"/>
    <w:rsid w:val="46B42F81"/>
    <w:rsid w:val="497903F9"/>
    <w:rsid w:val="4B1D056D"/>
    <w:rsid w:val="4BAD1665"/>
    <w:rsid w:val="4CFF6BC2"/>
    <w:rsid w:val="4E1C6EF8"/>
    <w:rsid w:val="4E7A5591"/>
    <w:rsid w:val="4FB330CB"/>
    <w:rsid w:val="4FB6467A"/>
    <w:rsid w:val="500C00C9"/>
    <w:rsid w:val="512B0764"/>
    <w:rsid w:val="51674025"/>
    <w:rsid w:val="53BD78CC"/>
    <w:rsid w:val="53E8131E"/>
    <w:rsid w:val="572F1FBE"/>
    <w:rsid w:val="58BA7CD8"/>
    <w:rsid w:val="5BE93DB1"/>
    <w:rsid w:val="5FC21A7C"/>
    <w:rsid w:val="61D91A2A"/>
    <w:rsid w:val="641540C8"/>
    <w:rsid w:val="662B6792"/>
    <w:rsid w:val="662E6223"/>
    <w:rsid w:val="67E57226"/>
    <w:rsid w:val="6872235F"/>
    <w:rsid w:val="6A750C63"/>
    <w:rsid w:val="6ABE6DF2"/>
    <w:rsid w:val="6B7E4B77"/>
    <w:rsid w:val="6BE91D3B"/>
    <w:rsid w:val="6C252A7F"/>
    <w:rsid w:val="70504A61"/>
    <w:rsid w:val="71F576F9"/>
    <w:rsid w:val="72731DC7"/>
    <w:rsid w:val="73FB5A1C"/>
    <w:rsid w:val="7D75518C"/>
    <w:rsid w:val="7E8D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qFormat/>
    <w:uiPriority w:val="0"/>
    <w:pPr>
      <w:spacing w:line="0" w:lineRule="atLeast"/>
      <w:jc w:val="center"/>
      <w:outlineLvl w:val="1"/>
    </w:pPr>
    <w:rPr>
      <w:rFonts w:ascii="Times New Roman" w:hAnsi="Times New Roman"/>
      <w:sz w:val="28"/>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宋体" w:hAnsi="宋体"/>
      <w:color w:val="0000FF"/>
      <w:sz w:val="24"/>
    </w:rPr>
  </w:style>
  <w:style w:type="paragraph" w:styleId="5">
    <w:name w:val="Normal Indent"/>
    <w:basedOn w:val="1"/>
    <w:qFormat/>
    <w:uiPriority w:val="0"/>
    <w:pPr>
      <w:ind w:firstLine="420" w:firstLineChars="200"/>
    </w:pPr>
  </w:style>
  <w:style w:type="paragraph" w:styleId="6">
    <w:name w:val="toa heading"/>
    <w:basedOn w:val="1"/>
    <w:next w:val="1"/>
    <w:qFormat/>
    <w:uiPriority w:val="99"/>
    <w:pPr>
      <w:spacing w:before="120"/>
    </w:pPr>
    <w:rPr>
      <w:rFonts w:ascii="Cambria" w:hAnsi="Cambria"/>
      <w:sz w:val="24"/>
    </w:rPr>
  </w:style>
  <w:style w:type="paragraph" w:styleId="7">
    <w:name w:val="Body Text Indent"/>
    <w:basedOn w:val="1"/>
    <w:next w:val="8"/>
    <w:unhideWhenUsed/>
    <w:qFormat/>
    <w:uiPriority w:val="0"/>
    <w:pPr>
      <w:spacing w:after="120"/>
      <w:ind w:left="420" w:leftChars="200"/>
    </w:pPr>
  </w:style>
  <w:style w:type="paragraph" w:customStyle="1" w:styleId="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jc w:val="left"/>
    </w:pPr>
    <w:rPr>
      <w:sz w:val="18"/>
      <w:szCs w:val="18"/>
    </w:rPr>
  </w:style>
  <w:style w:type="paragraph" w:styleId="12">
    <w:name w:val="Normal (Web)"/>
    <w:basedOn w:val="1"/>
    <w:qFormat/>
    <w:uiPriority w:val="0"/>
    <w:rPr>
      <w:sz w:val="24"/>
    </w:rPr>
  </w:style>
  <w:style w:type="character" w:styleId="14">
    <w:name w:val="page number"/>
    <w:basedOn w:val="13"/>
    <w:qFormat/>
    <w:uiPriority w:val="0"/>
  </w:style>
  <w:style w:type="paragraph" w:customStyle="1" w:styleId="16">
    <w:name w:val="Default Text"/>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 w:type="paragraph" w:styleId="17">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8">
    <w:name w:val="表格"/>
    <w:basedOn w:val="1"/>
    <w:qFormat/>
    <w:uiPriority w:val="0"/>
    <w:pPr>
      <w:jc w:val="center"/>
      <w:textAlignment w:val="center"/>
    </w:pPr>
    <w:rPr>
      <w:rFonts w:ascii="华文细黑" w:hAnsi="华文细黑"/>
      <w:kern w:val="0"/>
      <w:szCs w:val="20"/>
    </w:rPr>
  </w:style>
  <w:style w:type="paragraph" w:customStyle="1" w:styleId="19">
    <w:name w:val="p0"/>
    <w:basedOn w:val="1"/>
    <w:qFormat/>
    <w:uiPriority w:val="0"/>
    <w:pPr>
      <w:widowControl/>
    </w:pPr>
    <w:rPr>
      <w:rFonts w:eastAsia="宋体" w:cs="宋体"/>
      <w:kern w:val="0"/>
      <w:szCs w:val="21"/>
    </w:rPr>
  </w:style>
  <w:style w:type="paragraph" w:customStyle="1" w:styleId="20">
    <w:name w:val="缺省文本"/>
    <w:qFormat/>
    <w:uiPriority w:val="0"/>
    <w:pPr>
      <w:widowControl w:val="0"/>
      <w:autoSpaceDE w:val="0"/>
      <w:autoSpaceDN w:val="0"/>
      <w:adjustRightInd w:val="0"/>
    </w:pPr>
    <w:rPr>
      <w:rFonts w:ascii="Calibri" w:hAnsi="Calibri" w:eastAsia="微软雅黑" w:cs="Times New Roman"/>
      <w:color w:val="000000"/>
      <w:szCs w:val="24"/>
      <w:lang w:val="en-US" w:eastAsia="zh-CN" w:bidi="ar-SA"/>
    </w:rPr>
  </w:style>
  <w:style w:type="paragraph" w:customStyle="1" w:styleId="21">
    <w:name w:val="正文正"/>
    <w:basedOn w:val="1"/>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60C20-FDC3-4FE2-9DC6-EA7F3B5F1C24}">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3900</Words>
  <Characters>22234</Characters>
  <Lines>185</Lines>
  <Paragraphs>52</Paragraphs>
  <TotalTime>10</TotalTime>
  <ScaleCrop>false</ScaleCrop>
  <LinksUpToDate>false</LinksUpToDate>
  <CharactersWithSpaces>26082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2021-10-17T04:09:00Z</dcterms:created>
  <dc:creator>德与善</dc:creator>
  <cp:lastModifiedBy>1</cp:lastModifiedBy>
  <cp:lastPrinted>2021-10-20T14:36:00Z</cp:lastPrinted>
  <dcterms:modified xsi:type="dcterms:W3CDTF">2021-10-25T05:17:48Z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5D6C5AA0889A4397AA7705462CE9422B</vt:lpwstr>
  </property>
</Properties>
</file>