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kern w:val="0"/>
          <w:sz w:val="44"/>
          <w:szCs w:val="44"/>
        </w:rPr>
      </w:pPr>
    </w:p>
    <w:p>
      <w:pPr>
        <w:jc w:val="center"/>
        <w:rPr>
          <w:rFonts w:hint="eastAsia" w:ascii="仿宋" w:hAnsi="仿宋" w:eastAsia="仿宋" w:cs="仿宋"/>
          <w:b/>
          <w:color w:val="000000"/>
          <w:sz w:val="30"/>
          <w:szCs w:val="30"/>
          <w:lang w:eastAsia="zh-CN"/>
        </w:rPr>
      </w:pPr>
      <w:r>
        <w:rPr>
          <w:rFonts w:hint="eastAsia" w:ascii="仿宋" w:hAnsi="仿宋" w:eastAsia="仿宋" w:cs="仿宋"/>
          <w:b/>
          <w:color w:val="000000"/>
          <w:sz w:val="30"/>
          <w:szCs w:val="30"/>
          <w:lang w:eastAsia="zh-CN"/>
        </w:rPr>
        <w:t>墨玉县引洪闸除险加固工程（自动化）</w:t>
      </w:r>
    </w:p>
    <w:p>
      <w:pPr>
        <w:jc w:val="center"/>
        <w:rPr>
          <w:rFonts w:hint="eastAsia" w:ascii="仿宋" w:hAnsi="仿宋" w:eastAsia="仿宋" w:cs="仿宋"/>
          <w:b/>
          <w:color w:val="000000"/>
          <w:sz w:val="30"/>
          <w:szCs w:val="30"/>
        </w:rPr>
      </w:pPr>
    </w:p>
    <w:p>
      <w:pPr>
        <w:jc w:val="center"/>
        <w:rPr>
          <w:rFonts w:ascii="仿宋" w:hAnsi="仿宋" w:eastAsia="仿宋" w:cs="仿宋"/>
          <w:b/>
          <w:color w:val="000000"/>
          <w:sz w:val="30"/>
          <w:szCs w:val="30"/>
        </w:rPr>
      </w:pPr>
      <w:r>
        <w:rPr>
          <w:rFonts w:hint="eastAsia" w:ascii="仿宋" w:hAnsi="仿宋" w:eastAsia="仿宋" w:cs="仿宋"/>
          <w:b/>
          <w:color w:val="000000"/>
          <w:sz w:val="30"/>
          <w:szCs w:val="30"/>
        </w:rPr>
        <w:t>（项目编</w:t>
      </w:r>
      <w:r>
        <w:rPr>
          <w:rFonts w:hint="eastAsia" w:ascii="仿宋" w:hAnsi="仿宋" w:eastAsia="仿宋" w:cs="仿宋"/>
          <w:b/>
          <w:color w:val="000000"/>
          <w:sz w:val="30"/>
          <w:szCs w:val="30"/>
          <w:highlight w:val="none"/>
        </w:rPr>
        <w:t>号：</w:t>
      </w:r>
      <w:r>
        <w:rPr>
          <w:rFonts w:hint="eastAsia" w:ascii="仿宋" w:hAnsi="仿宋" w:eastAsia="仿宋" w:cs="仿宋"/>
          <w:b/>
          <w:color w:val="000000"/>
          <w:sz w:val="30"/>
          <w:szCs w:val="30"/>
          <w:highlight w:val="red"/>
          <w:lang w:eastAsia="zh-CN"/>
        </w:rPr>
        <w:t>XJJJN-HTCG-2021/143</w:t>
      </w:r>
      <w:r>
        <w:rPr>
          <w:rFonts w:hint="eastAsia" w:ascii="仿宋" w:hAnsi="仿宋" w:eastAsia="仿宋" w:cs="仿宋"/>
          <w:b/>
          <w:color w:val="000000"/>
          <w:sz w:val="30"/>
          <w:szCs w:val="30"/>
          <w:highlight w:val="none"/>
        </w:rPr>
        <w:t>）</w:t>
      </w:r>
    </w:p>
    <w:p>
      <w:pPr>
        <w:pStyle w:val="2"/>
        <w:rPr>
          <w:rFonts w:ascii="仿宋" w:hAnsi="仿宋" w:eastAsia="仿宋" w:cs="仿宋"/>
        </w:rPr>
      </w:pPr>
    </w:p>
    <w:p>
      <w:pPr>
        <w:rPr>
          <w:rFonts w:ascii="仿宋" w:hAnsi="仿宋" w:eastAsia="仿宋" w:cs="仿宋"/>
          <w:b/>
          <w:color w:val="000000"/>
          <w:sz w:val="30"/>
          <w:szCs w:val="30"/>
        </w:rPr>
      </w:pPr>
    </w:p>
    <w:p>
      <w:pPr>
        <w:rPr>
          <w:rFonts w:ascii="仿宋" w:hAnsi="仿宋" w:eastAsia="仿宋" w:cs="仿宋"/>
          <w:b/>
          <w:color w:val="000000"/>
          <w:sz w:val="30"/>
          <w:szCs w:val="30"/>
        </w:rPr>
      </w:pPr>
    </w:p>
    <w:p>
      <w:pPr>
        <w:jc w:val="center"/>
        <w:rPr>
          <w:rFonts w:ascii="仿宋" w:hAnsi="仿宋" w:eastAsia="仿宋" w:cs="仿宋"/>
          <w:b/>
          <w:color w:val="000000"/>
          <w:sz w:val="110"/>
          <w:szCs w:val="110"/>
        </w:rPr>
      </w:pPr>
    </w:p>
    <w:p>
      <w:pPr>
        <w:jc w:val="center"/>
        <w:rPr>
          <w:rFonts w:ascii="仿宋" w:hAnsi="仿宋" w:eastAsia="仿宋" w:cs="仿宋"/>
          <w:b/>
          <w:color w:val="000000"/>
          <w:sz w:val="110"/>
          <w:szCs w:val="110"/>
        </w:rPr>
      </w:pPr>
      <w:r>
        <w:rPr>
          <w:rFonts w:hint="eastAsia" w:ascii="仿宋" w:hAnsi="仿宋" w:eastAsia="仿宋" w:cs="仿宋"/>
          <w:b/>
          <w:color w:val="000000"/>
          <w:sz w:val="110"/>
          <w:szCs w:val="110"/>
        </w:rPr>
        <w:t>竞争性谈判文件</w:t>
      </w:r>
    </w:p>
    <w:p>
      <w:pPr>
        <w:pStyle w:val="2"/>
        <w:rPr>
          <w:rFonts w:ascii="仿宋" w:hAnsi="仿宋" w:eastAsia="仿宋" w:cs="仿宋"/>
        </w:rPr>
      </w:pPr>
    </w:p>
    <w:p>
      <w:pPr>
        <w:jc w:val="center"/>
        <w:rPr>
          <w:rFonts w:ascii="仿宋" w:hAnsi="仿宋" w:eastAsia="仿宋" w:cs="仿宋"/>
          <w:b/>
          <w:color w:val="000000"/>
          <w:sz w:val="52"/>
          <w:szCs w:val="52"/>
        </w:rPr>
      </w:pPr>
    </w:p>
    <w:p>
      <w:pPr>
        <w:pStyle w:val="2"/>
        <w:rPr>
          <w:rFonts w:ascii="仿宋" w:hAnsi="仿宋" w:eastAsia="仿宋" w:cs="仿宋"/>
          <w:b/>
          <w:color w:val="000000"/>
          <w:sz w:val="52"/>
          <w:szCs w:val="52"/>
        </w:rPr>
      </w:pPr>
      <w:r>
        <w:rPr>
          <w:rFonts w:hint="eastAsia" w:ascii="仿宋" w:hAnsi="仿宋" w:eastAsia="仿宋" w:cs="仿宋"/>
          <w:b/>
          <w:color w:val="000000"/>
          <w:sz w:val="52"/>
          <w:szCs w:val="52"/>
          <w:lang w:val="en-US" w:eastAsia="zh-CN"/>
        </w:rPr>
        <w:t xml:space="preserve"> </w:t>
      </w:r>
    </w:p>
    <w:p>
      <w:pPr>
        <w:pStyle w:val="2"/>
        <w:ind w:left="0" w:leftChars="0" w:firstLine="0" w:firstLineChars="0"/>
        <w:rPr>
          <w:rFonts w:ascii="仿宋" w:hAnsi="仿宋" w:eastAsia="仿宋" w:cs="仿宋"/>
          <w:b/>
          <w:color w:val="000000"/>
          <w:sz w:val="52"/>
          <w:szCs w:val="52"/>
        </w:rPr>
      </w:pPr>
    </w:p>
    <w:p>
      <w:pPr>
        <w:autoSpaceDE w:val="0"/>
        <w:autoSpaceDN w:val="0"/>
        <w:spacing w:line="400" w:lineRule="exact"/>
        <w:jc w:val="left"/>
        <w:rPr>
          <w:rFonts w:ascii="仿宋" w:hAnsi="仿宋" w:eastAsia="仿宋" w:cs="仿宋"/>
          <w:b/>
          <w:color w:val="000000" w:themeColor="text1"/>
          <w:sz w:val="28"/>
          <w:szCs w:val="28"/>
          <w:lang w:val="zh-CN"/>
        </w:rPr>
      </w:pPr>
    </w:p>
    <w:p>
      <w:pPr>
        <w:autoSpaceDE w:val="0"/>
        <w:autoSpaceDN w:val="0"/>
        <w:spacing w:line="400" w:lineRule="exact"/>
        <w:ind w:firstLine="843" w:firstLineChars="300"/>
        <w:jc w:val="left"/>
        <w:rPr>
          <w:rFonts w:hint="eastAsia" w:ascii="仿宋" w:hAnsi="仿宋" w:eastAsia="仿宋" w:cs="仿宋"/>
          <w:b/>
          <w:bCs/>
          <w:color w:val="000000" w:themeColor="text1"/>
          <w:spacing w:val="-18"/>
          <w:sz w:val="28"/>
          <w:szCs w:val="28"/>
          <w:lang w:val="zh-CN"/>
        </w:rPr>
      </w:pPr>
      <w:r>
        <w:rPr>
          <w:rFonts w:hint="eastAsia" w:ascii="仿宋" w:hAnsi="仿宋" w:eastAsia="仿宋" w:cs="仿宋"/>
          <w:b/>
          <w:color w:val="000000" w:themeColor="text1"/>
          <w:sz w:val="28"/>
          <w:szCs w:val="28"/>
          <w:lang w:val="zh-CN"/>
        </w:rPr>
        <w:t>采购单位：</w:t>
      </w:r>
      <w:r>
        <w:rPr>
          <w:rFonts w:hint="eastAsia" w:ascii="仿宋" w:hAnsi="仿宋" w:eastAsia="仿宋" w:cs="仿宋"/>
          <w:b/>
          <w:bCs/>
          <w:color w:val="000000" w:themeColor="text1"/>
          <w:sz w:val="28"/>
          <w:szCs w:val="28"/>
          <w:u w:val="single"/>
          <w:lang w:val="zh-CN"/>
        </w:rPr>
        <w:t xml:space="preserve">墨玉县水管总站 </w:t>
      </w:r>
      <w:r>
        <w:rPr>
          <w:rFonts w:hint="eastAsia" w:ascii="仿宋" w:hAnsi="仿宋" w:eastAsia="仿宋" w:cs="仿宋"/>
          <w:b/>
          <w:bCs/>
          <w:color w:val="000000" w:themeColor="text1"/>
          <w:sz w:val="28"/>
          <w:szCs w:val="28"/>
          <w:u w:val="single"/>
        </w:rPr>
        <w:t xml:space="preserve"> </w:t>
      </w:r>
      <w:r>
        <w:rPr>
          <w:rFonts w:hint="eastAsia" w:ascii="仿宋" w:hAnsi="仿宋" w:eastAsia="仿宋" w:cs="仿宋"/>
          <w:b/>
          <w:bCs/>
          <w:color w:val="000000" w:themeColor="text1"/>
          <w:spacing w:val="-18"/>
          <w:sz w:val="28"/>
          <w:szCs w:val="28"/>
          <w:lang w:val="zh-CN"/>
        </w:rPr>
        <w:t>（盖单位章）</w:t>
      </w:r>
    </w:p>
    <w:p>
      <w:pPr>
        <w:pStyle w:val="16"/>
        <w:rPr>
          <w:rFonts w:hint="eastAsia" w:ascii="仿宋" w:hAnsi="仿宋" w:eastAsia="仿宋" w:cs="仿宋"/>
          <w:b/>
          <w:bCs/>
          <w:color w:val="000000" w:themeColor="text1"/>
          <w:spacing w:val="-18"/>
          <w:sz w:val="28"/>
          <w:szCs w:val="28"/>
          <w:lang w:val="zh-CN"/>
        </w:rPr>
      </w:pPr>
    </w:p>
    <w:p>
      <w:pPr>
        <w:pStyle w:val="16"/>
        <w:rPr>
          <w:rFonts w:hint="eastAsia" w:ascii="仿宋" w:hAnsi="仿宋" w:eastAsia="仿宋" w:cs="仿宋"/>
          <w:b/>
          <w:bCs/>
          <w:color w:val="000000" w:themeColor="text1"/>
          <w:spacing w:val="-18"/>
          <w:sz w:val="28"/>
          <w:szCs w:val="28"/>
          <w:lang w:val="zh-CN"/>
        </w:rPr>
      </w:pPr>
    </w:p>
    <w:p>
      <w:pPr>
        <w:pStyle w:val="16"/>
        <w:rPr>
          <w:rFonts w:hint="eastAsia" w:ascii="仿宋" w:hAnsi="仿宋" w:eastAsia="仿宋" w:cs="仿宋"/>
          <w:b/>
          <w:bCs/>
          <w:color w:val="000000" w:themeColor="text1"/>
          <w:spacing w:val="-18"/>
          <w:sz w:val="28"/>
          <w:szCs w:val="28"/>
          <w:lang w:val="zh-CN"/>
        </w:rPr>
      </w:pPr>
    </w:p>
    <w:p>
      <w:pPr>
        <w:autoSpaceDE w:val="0"/>
        <w:autoSpaceDN w:val="0"/>
        <w:jc w:val="left"/>
        <w:rPr>
          <w:rFonts w:ascii="仿宋" w:hAnsi="仿宋" w:eastAsia="仿宋" w:cs="仿宋"/>
          <w:b/>
          <w:color w:val="000000" w:themeColor="text1"/>
          <w:sz w:val="28"/>
          <w:szCs w:val="28"/>
          <w:lang w:val="zh-CN"/>
        </w:rPr>
      </w:pPr>
    </w:p>
    <w:p>
      <w:pPr>
        <w:autoSpaceDE w:val="0"/>
        <w:autoSpaceDN w:val="0"/>
        <w:ind w:firstLine="843" w:firstLineChars="300"/>
        <w:rPr>
          <w:rFonts w:ascii="仿宋" w:hAnsi="仿宋" w:eastAsia="仿宋" w:cs="仿宋"/>
          <w:b/>
          <w:bCs/>
          <w:color w:val="000000" w:themeColor="text1"/>
          <w:spacing w:val="-18"/>
          <w:sz w:val="28"/>
          <w:szCs w:val="28"/>
          <w:lang w:val="zh-CN"/>
        </w:rPr>
      </w:pPr>
      <w:r>
        <w:rPr>
          <w:rFonts w:hint="eastAsia" w:ascii="仿宋" w:hAnsi="仿宋" w:eastAsia="仿宋" w:cs="仿宋"/>
          <w:b/>
          <w:color w:val="000000" w:themeColor="text1"/>
          <w:sz w:val="28"/>
          <w:szCs w:val="28"/>
          <w:lang w:val="zh-CN"/>
        </w:rPr>
        <w:t>代理机构</w:t>
      </w:r>
      <w:r>
        <w:rPr>
          <w:rFonts w:hint="eastAsia" w:ascii="仿宋" w:hAnsi="仿宋" w:eastAsia="仿宋" w:cs="仿宋"/>
          <w:b/>
          <w:bCs/>
          <w:color w:val="000000" w:themeColor="text1"/>
          <w:sz w:val="28"/>
          <w:szCs w:val="28"/>
          <w:lang w:val="zh-CN"/>
        </w:rPr>
        <w:t>：</w:t>
      </w:r>
      <w:r>
        <w:rPr>
          <w:rFonts w:hint="eastAsia" w:ascii="仿宋" w:hAnsi="仿宋" w:eastAsia="仿宋" w:cs="仿宋"/>
          <w:b/>
          <w:bCs/>
          <w:color w:val="000000" w:themeColor="text1"/>
          <w:sz w:val="28"/>
          <w:szCs w:val="28"/>
          <w:u w:val="single"/>
        </w:rPr>
        <w:t>新疆金玖恩项目管理咨询有限公司</w:t>
      </w:r>
      <w:r>
        <w:rPr>
          <w:rFonts w:hint="eastAsia" w:ascii="仿宋" w:hAnsi="仿宋" w:eastAsia="仿宋" w:cs="仿宋"/>
          <w:b/>
          <w:bCs/>
          <w:color w:val="000000" w:themeColor="text1"/>
          <w:spacing w:val="-18"/>
          <w:sz w:val="28"/>
          <w:szCs w:val="28"/>
          <w:lang w:val="zh-CN"/>
        </w:rPr>
        <w:t>（盖单位章）</w:t>
      </w:r>
    </w:p>
    <w:p>
      <w:pPr>
        <w:pStyle w:val="2"/>
        <w:rPr>
          <w:rFonts w:ascii="仿宋" w:hAnsi="仿宋" w:eastAsia="仿宋" w:cs="仿宋"/>
          <w:b/>
          <w:bCs/>
          <w:color w:val="000000" w:themeColor="text1"/>
          <w:spacing w:val="-18"/>
          <w:sz w:val="28"/>
          <w:szCs w:val="28"/>
          <w:lang w:val="zh-CN"/>
        </w:rPr>
      </w:pPr>
    </w:p>
    <w:p>
      <w:pPr>
        <w:pStyle w:val="2"/>
        <w:rPr>
          <w:rFonts w:ascii="仿宋" w:hAnsi="仿宋" w:eastAsia="仿宋" w:cs="仿宋"/>
          <w:b/>
          <w:bCs/>
          <w:color w:val="000000" w:themeColor="text1"/>
          <w:spacing w:val="-18"/>
          <w:sz w:val="28"/>
          <w:szCs w:val="28"/>
          <w:lang w:val="zh-CN"/>
        </w:rPr>
      </w:pPr>
    </w:p>
    <w:p>
      <w:pPr>
        <w:spacing w:line="360" w:lineRule="auto"/>
        <w:jc w:val="center"/>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t>新疆·</w:t>
      </w:r>
      <w:r>
        <w:rPr>
          <w:rFonts w:hint="eastAsia" w:ascii="仿宋" w:hAnsi="仿宋" w:eastAsia="仿宋" w:cs="仿宋"/>
          <w:b/>
          <w:color w:val="000000"/>
          <w:sz w:val="32"/>
          <w:szCs w:val="32"/>
          <w:lang w:eastAsia="zh-CN"/>
        </w:rPr>
        <w:t>和田</w:t>
      </w:r>
    </w:p>
    <w:p>
      <w:pPr>
        <w:spacing w:line="360" w:lineRule="auto"/>
        <w:jc w:val="center"/>
        <w:rPr>
          <w:rFonts w:ascii="仿宋" w:hAnsi="仿宋" w:eastAsia="仿宋" w:cs="仿宋"/>
          <w:b/>
          <w:color w:val="000000"/>
          <w:sz w:val="32"/>
          <w:szCs w:val="32"/>
        </w:rPr>
      </w:pPr>
      <w:r>
        <w:rPr>
          <w:rFonts w:hint="eastAsia" w:ascii="仿宋" w:hAnsi="仿宋" w:eastAsia="仿宋" w:cs="仿宋"/>
          <w:b/>
          <w:bCs/>
          <w:color w:val="000000"/>
          <w:sz w:val="32"/>
          <w:szCs w:val="32"/>
          <w:lang w:val="zh-CN"/>
        </w:rPr>
        <w:t>二</w:t>
      </w:r>
      <w:r>
        <w:rPr>
          <w:rFonts w:hint="eastAsia" w:ascii="仿宋" w:hAnsi="仿宋" w:eastAsia="仿宋" w:cs="仿宋"/>
          <w:b/>
          <w:bCs/>
          <w:color w:val="000000"/>
          <w:sz w:val="32"/>
          <w:szCs w:val="32"/>
        </w:rPr>
        <w:t>O</w:t>
      </w:r>
      <w:r>
        <w:rPr>
          <w:rFonts w:hint="eastAsia" w:ascii="仿宋" w:hAnsi="仿宋" w:eastAsia="仿宋" w:cs="仿宋"/>
          <w:b/>
          <w:bCs/>
          <w:color w:val="000000"/>
          <w:sz w:val="32"/>
          <w:szCs w:val="32"/>
          <w:lang w:val="en-US" w:eastAsia="zh-CN"/>
        </w:rPr>
        <w:t>二一</w:t>
      </w:r>
      <w:r>
        <w:rPr>
          <w:rFonts w:hint="eastAsia" w:ascii="仿宋" w:hAnsi="仿宋" w:eastAsia="仿宋" w:cs="仿宋"/>
          <w:b/>
          <w:bCs/>
          <w:color w:val="000000"/>
          <w:sz w:val="32"/>
          <w:szCs w:val="32"/>
          <w:lang w:val="zh-CN"/>
        </w:rPr>
        <w:t>年</w:t>
      </w:r>
      <w:r>
        <w:rPr>
          <w:rFonts w:hint="eastAsia" w:ascii="仿宋" w:hAnsi="仿宋" w:eastAsia="仿宋" w:cs="仿宋"/>
          <w:b/>
          <w:bCs/>
          <w:color w:val="000000"/>
          <w:sz w:val="32"/>
          <w:szCs w:val="32"/>
          <w:lang w:val="en-US" w:eastAsia="zh-CN"/>
        </w:rPr>
        <w:t>十一</w:t>
      </w:r>
      <w:r>
        <w:rPr>
          <w:rFonts w:hint="eastAsia" w:ascii="仿宋" w:hAnsi="仿宋" w:eastAsia="仿宋" w:cs="仿宋"/>
          <w:b/>
          <w:bCs/>
          <w:color w:val="000000"/>
          <w:sz w:val="32"/>
          <w:szCs w:val="32"/>
          <w:lang w:val="zh-CN"/>
        </w:rPr>
        <w:t>月</w:t>
      </w:r>
    </w:p>
    <w:p>
      <w:pPr>
        <w:pStyle w:val="4"/>
        <w:spacing w:line="360" w:lineRule="exact"/>
        <w:rPr>
          <w:rFonts w:ascii="仿宋" w:hAnsi="仿宋" w:eastAsia="仿宋" w:cs="仿宋"/>
          <w:bCs/>
          <w:color w:val="000000"/>
          <w:sz w:val="36"/>
        </w:rPr>
        <w:sectPr>
          <w:headerReference r:id="rId4" w:type="first"/>
          <w:headerReference r:id="rId3" w:type="default"/>
          <w:footerReference r:id="rId5" w:type="default"/>
          <w:type w:val="nextColumn"/>
          <w:pgSz w:w="11907" w:h="16840"/>
          <w:pgMar w:top="1276" w:right="1134" w:bottom="1276" w:left="1134" w:header="851" w:footer="851" w:gutter="0"/>
          <w:pgNumType w:start="1" w:chapStyle="1"/>
          <w:cols w:space="720" w:num="1"/>
        </w:sectPr>
      </w:pPr>
      <w:bookmarkStart w:id="0" w:name="_Toc405824236"/>
      <w:bookmarkStart w:id="1" w:name="_Toc406749967"/>
      <w:bookmarkStart w:id="2" w:name="_Toc217446030"/>
      <w:bookmarkStart w:id="3" w:name="_Toc183682338"/>
    </w:p>
    <w:p>
      <w:pPr>
        <w:pStyle w:val="4"/>
        <w:spacing w:line="360" w:lineRule="exact"/>
        <w:rPr>
          <w:rFonts w:hint="eastAsia" w:ascii="仿宋" w:hAnsi="仿宋" w:eastAsia="仿宋" w:cs="仿宋"/>
          <w:b w:val="0"/>
          <w:bCs/>
          <w:color w:val="000000"/>
          <w:kern w:val="2"/>
          <w:sz w:val="36"/>
          <w:lang w:val="en-US" w:eastAsia="zh-CN" w:bidi="ar-SA"/>
        </w:rPr>
      </w:pPr>
      <w:bookmarkStart w:id="4" w:name="_Toc24413"/>
      <w:bookmarkStart w:id="5" w:name="_Toc25686"/>
      <w:bookmarkStart w:id="6" w:name="_Toc31570"/>
      <w:bookmarkStart w:id="7" w:name="_Toc16234"/>
      <w:r>
        <w:rPr>
          <w:rFonts w:hint="eastAsia" w:ascii="仿宋" w:hAnsi="仿宋" w:eastAsia="仿宋" w:cs="仿宋"/>
        </w:rPr>
        <w:t>目    录</w:t>
      </w:r>
      <w:bookmarkEnd w:id="0"/>
      <w:bookmarkEnd w:id="1"/>
      <w:bookmarkEnd w:id="4"/>
      <w:bookmarkEnd w:id="5"/>
      <w:bookmarkEnd w:id="6"/>
      <w:bookmarkEnd w:id="7"/>
      <w:r>
        <w:rPr>
          <w:rFonts w:hint="eastAsia" w:ascii="仿宋" w:hAnsi="仿宋" w:eastAsia="仿宋" w:cs="仿宋"/>
          <w:b w:val="0"/>
          <w:bCs/>
          <w:color w:val="000000"/>
          <w:sz w:val="36"/>
        </w:rPr>
        <w:fldChar w:fldCharType="begin"/>
      </w:r>
      <w:r>
        <w:rPr>
          <w:rFonts w:hint="eastAsia" w:ascii="仿宋" w:hAnsi="仿宋" w:eastAsia="仿宋" w:cs="仿宋"/>
          <w:b w:val="0"/>
          <w:bCs/>
          <w:color w:val="000000"/>
          <w:sz w:val="36"/>
        </w:rPr>
        <w:instrText xml:space="preserve"> TOC \o "1-3" \h \z \u </w:instrText>
      </w:r>
      <w:r>
        <w:rPr>
          <w:rFonts w:hint="eastAsia" w:ascii="仿宋" w:hAnsi="仿宋" w:eastAsia="仿宋" w:cs="仿宋"/>
          <w:b w:val="0"/>
          <w:bCs/>
          <w:color w:val="000000"/>
          <w:sz w:val="36"/>
        </w:rPr>
        <w:fldChar w:fldCharType="separate"/>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_Toc19144 </w:instrText>
      </w:r>
      <w:r>
        <w:rPr>
          <w:rFonts w:hint="eastAsia" w:ascii="仿宋" w:hAnsi="仿宋" w:eastAsia="仿宋" w:cs="仿宋"/>
          <w:bCs/>
        </w:rPr>
        <w:fldChar w:fldCharType="separate"/>
      </w:r>
      <w:r>
        <w:rPr>
          <w:rFonts w:hint="eastAsia" w:ascii="仿宋" w:hAnsi="仿宋" w:eastAsia="仿宋" w:cs="仿宋"/>
        </w:rPr>
        <w:t>第一章 竞争性谈判公告</w:t>
      </w:r>
      <w:r>
        <w:tab/>
      </w:r>
      <w:r>
        <w:fldChar w:fldCharType="begin"/>
      </w:r>
      <w:r>
        <w:instrText xml:space="preserve"> PAGEREF _Toc19144 </w:instrText>
      </w:r>
      <w:r>
        <w:fldChar w:fldCharType="separate"/>
      </w:r>
      <w:r>
        <w:t>1</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_Toc21379 </w:instrText>
      </w:r>
      <w:r>
        <w:rPr>
          <w:rFonts w:hint="eastAsia" w:ascii="仿宋" w:hAnsi="仿宋" w:eastAsia="仿宋" w:cs="仿宋"/>
          <w:bCs/>
        </w:rPr>
        <w:fldChar w:fldCharType="separate"/>
      </w:r>
      <w:r>
        <w:rPr>
          <w:rFonts w:hint="eastAsia" w:ascii="仿宋" w:hAnsi="仿宋" w:eastAsia="仿宋" w:cs="仿宋"/>
        </w:rPr>
        <w:t>第二章 投标人须知</w:t>
      </w:r>
      <w:r>
        <w:tab/>
      </w:r>
      <w:r>
        <w:fldChar w:fldCharType="begin"/>
      </w:r>
      <w:r>
        <w:instrText xml:space="preserve"> PAGEREF _Toc21379 </w:instrText>
      </w:r>
      <w:r>
        <w:fldChar w:fldCharType="separate"/>
      </w:r>
      <w:r>
        <w:t>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_Toc25471 </w:instrText>
      </w:r>
      <w:r>
        <w:rPr>
          <w:rFonts w:hint="eastAsia" w:ascii="仿宋" w:hAnsi="仿宋" w:eastAsia="仿宋" w:cs="仿宋"/>
          <w:bCs/>
        </w:rPr>
        <w:fldChar w:fldCharType="separate"/>
      </w:r>
      <w:r>
        <w:rPr>
          <w:rFonts w:hint="eastAsia" w:ascii="仿宋" w:hAnsi="仿宋" w:eastAsia="仿宋" w:cs="仿宋"/>
        </w:rPr>
        <w:t>投标人须知前附表</w:t>
      </w:r>
      <w:r>
        <w:tab/>
      </w:r>
      <w:r>
        <w:fldChar w:fldCharType="begin"/>
      </w:r>
      <w:r>
        <w:instrText xml:space="preserve"> PAGEREF _Toc25471 </w:instrText>
      </w:r>
      <w:r>
        <w:fldChar w:fldCharType="separate"/>
      </w:r>
      <w:r>
        <w:t>4</w:t>
      </w:r>
      <w:r>
        <w:fldChar w:fldCharType="end"/>
      </w:r>
      <w:r>
        <w:rPr>
          <w:rFonts w:hint="eastAsia" w:ascii="仿宋" w:hAnsi="仿宋" w:eastAsia="仿宋" w:cs="仿宋"/>
          <w:bCs/>
          <w:color w:val="000000"/>
        </w:rPr>
        <w:fldChar w:fldCharType="end"/>
      </w:r>
    </w:p>
    <w:p>
      <w:pPr>
        <w:pStyle w:val="19"/>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ind w:left="0" w:leftChars="0" w:firstLine="420" w:firstLineChars="200"/>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_Toc29935 </w:instrText>
      </w:r>
      <w:r>
        <w:rPr>
          <w:rFonts w:hint="eastAsia" w:ascii="仿宋" w:hAnsi="仿宋" w:eastAsia="仿宋" w:cs="仿宋"/>
          <w:bCs/>
        </w:rPr>
        <w:fldChar w:fldCharType="separate"/>
      </w:r>
      <w:r>
        <w:rPr>
          <w:rFonts w:hint="eastAsia" w:ascii="仿宋" w:hAnsi="仿宋" w:eastAsia="仿宋" w:cs="仿宋"/>
        </w:rPr>
        <w:t>一、总则</w:t>
      </w:r>
      <w:r>
        <w:tab/>
      </w:r>
      <w:r>
        <w:fldChar w:fldCharType="begin"/>
      </w:r>
      <w:r>
        <w:instrText xml:space="preserve"> PAGEREF _Toc29935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_Toc31912 </w:instrText>
      </w:r>
      <w:r>
        <w:rPr>
          <w:rFonts w:hint="eastAsia" w:ascii="仿宋" w:hAnsi="仿宋" w:eastAsia="仿宋" w:cs="仿宋"/>
          <w:bCs/>
        </w:rPr>
        <w:fldChar w:fldCharType="separate"/>
      </w:r>
      <w:r>
        <w:rPr>
          <w:rFonts w:hint="eastAsia" w:ascii="仿宋" w:hAnsi="仿宋" w:eastAsia="仿宋" w:cs="仿宋"/>
        </w:rPr>
        <w:t>二、竞争性谈判文件</w:t>
      </w:r>
      <w:r>
        <w:tab/>
      </w:r>
      <w:r>
        <w:fldChar w:fldCharType="begin"/>
      </w:r>
      <w:r>
        <w:instrText xml:space="preserve"> PAGEREF _Toc31912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_Toc28880 </w:instrText>
      </w:r>
      <w:r>
        <w:rPr>
          <w:rFonts w:hint="eastAsia" w:ascii="仿宋" w:hAnsi="仿宋" w:eastAsia="仿宋" w:cs="仿宋"/>
          <w:bCs/>
        </w:rPr>
        <w:fldChar w:fldCharType="separate"/>
      </w:r>
      <w:r>
        <w:rPr>
          <w:rFonts w:hint="eastAsia" w:ascii="仿宋" w:hAnsi="仿宋" w:eastAsia="仿宋" w:cs="仿宋"/>
        </w:rPr>
        <w:t>三、投标文件</w:t>
      </w:r>
      <w:r>
        <w:tab/>
      </w:r>
      <w:r>
        <w:fldChar w:fldCharType="begin"/>
      </w:r>
      <w:r>
        <w:instrText xml:space="preserve"> PAGEREF _Toc28880 </w:instrText>
      </w:r>
      <w:r>
        <w:fldChar w:fldCharType="separate"/>
      </w:r>
      <w:r>
        <w:t>10</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_Toc29706 </w:instrText>
      </w:r>
      <w:r>
        <w:rPr>
          <w:rFonts w:hint="eastAsia" w:ascii="仿宋" w:hAnsi="仿宋" w:eastAsia="仿宋" w:cs="仿宋"/>
          <w:bCs/>
        </w:rPr>
        <w:fldChar w:fldCharType="separate"/>
      </w:r>
      <w:r>
        <w:rPr>
          <w:rFonts w:hint="eastAsia" w:ascii="仿宋" w:hAnsi="仿宋" w:eastAsia="仿宋" w:cs="仿宋"/>
        </w:rPr>
        <w:t>四、开标和评标</w:t>
      </w:r>
      <w:r>
        <w:tab/>
      </w:r>
      <w:r>
        <w:fldChar w:fldCharType="begin"/>
      </w:r>
      <w:r>
        <w:instrText xml:space="preserve"> PAGEREF _Toc29706 </w:instrText>
      </w:r>
      <w:r>
        <w:fldChar w:fldCharType="separate"/>
      </w:r>
      <w:r>
        <w:t>13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_Toc1590 </w:instrText>
      </w:r>
      <w:r>
        <w:rPr>
          <w:rFonts w:hint="eastAsia" w:ascii="仿宋" w:hAnsi="仿宋" w:eastAsia="仿宋" w:cs="仿宋"/>
          <w:bCs/>
        </w:rPr>
        <w:fldChar w:fldCharType="separate"/>
      </w:r>
      <w:r>
        <w:rPr>
          <w:rFonts w:hint="eastAsia" w:ascii="仿宋" w:hAnsi="仿宋" w:eastAsia="仿宋" w:cs="仿宋"/>
        </w:rPr>
        <w:t>五、定标</w:t>
      </w:r>
      <w:r>
        <w:tab/>
      </w:r>
      <w:r>
        <w:fldChar w:fldCharType="begin"/>
      </w:r>
      <w:r>
        <w:instrText xml:space="preserve"> PAGEREF _Toc1590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_Toc2902 </w:instrText>
      </w:r>
      <w:r>
        <w:rPr>
          <w:rFonts w:hint="eastAsia" w:ascii="仿宋" w:hAnsi="仿宋" w:eastAsia="仿宋" w:cs="仿宋"/>
          <w:bCs/>
        </w:rPr>
        <w:fldChar w:fldCharType="separate"/>
      </w:r>
      <w:r>
        <w:rPr>
          <w:rFonts w:hint="eastAsia" w:ascii="仿宋" w:hAnsi="仿宋" w:eastAsia="仿宋" w:cs="仿宋"/>
        </w:rPr>
        <w:t>六、签订及履行合同和验收</w:t>
      </w:r>
      <w:r>
        <w:tab/>
      </w:r>
      <w:r>
        <w:fldChar w:fldCharType="begin"/>
      </w:r>
      <w:r>
        <w:instrText xml:space="preserve"> PAGEREF _Toc2902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_Toc23425 </w:instrText>
      </w:r>
      <w:r>
        <w:rPr>
          <w:rFonts w:hint="eastAsia" w:ascii="仿宋" w:hAnsi="仿宋" w:eastAsia="仿宋" w:cs="仿宋"/>
          <w:bCs/>
        </w:rPr>
        <w:fldChar w:fldCharType="separate"/>
      </w:r>
      <w:r>
        <w:rPr>
          <w:rFonts w:hint="eastAsia" w:ascii="仿宋" w:hAnsi="仿宋" w:eastAsia="仿宋" w:cs="仿宋"/>
        </w:rPr>
        <w:t>七、废标</w:t>
      </w:r>
      <w:r>
        <w:tab/>
      </w:r>
      <w:r>
        <w:fldChar w:fldCharType="begin"/>
      </w:r>
      <w:r>
        <w:instrText xml:space="preserve"> PAGEREF _Toc23425 </w:instrText>
      </w:r>
      <w:r>
        <w:fldChar w:fldCharType="separate"/>
      </w:r>
      <w:r>
        <w:t>16</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_Toc21775 </w:instrText>
      </w:r>
      <w:r>
        <w:rPr>
          <w:rFonts w:hint="eastAsia" w:ascii="仿宋" w:hAnsi="仿宋" w:eastAsia="仿宋" w:cs="仿宋"/>
          <w:bCs/>
        </w:rPr>
        <w:fldChar w:fldCharType="separate"/>
      </w:r>
      <w:r>
        <w:rPr>
          <w:rFonts w:hint="eastAsia" w:ascii="仿宋" w:hAnsi="仿宋" w:eastAsia="仿宋" w:cs="仿宋"/>
        </w:rPr>
        <w:t>八、投标纪律要求</w:t>
      </w:r>
      <w:r>
        <w:tab/>
      </w:r>
      <w:r>
        <w:fldChar w:fldCharType="begin"/>
      </w:r>
      <w:r>
        <w:instrText xml:space="preserve"> PAGEREF _Toc21775 </w:instrText>
      </w:r>
      <w:r>
        <w:fldChar w:fldCharType="separate"/>
      </w:r>
      <w:r>
        <w:t>17</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_Toc20514 </w:instrText>
      </w:r>
      <w:r>
        <w:rPr>
          <w:rFonts w:hint="eastAsia" w:ascii="仿宋" w:hAnsi="仿宋" w:eastAsia="仿宋" w:cs="仿宋"/>
          <w:bCs/>
        </w:rPr>
        <w:fldChar w:fldCharType="separate"/>
      </w:r>
      <w:r>
        <w:rPr>
          <w:rFonts w:hint="eastAsia" w:ascii="仿宋" w:hAnsi="仿宋" w:eastAsia="仿宋" w:cs="仿宋"/>
          <w:lang w:eastAsia="zh-CN"/>
        </w:rPr>
        <w:t>九</w:t>
      </w:r>
      <w:r>
        <w:rPr>
          <w:rFonts w:hint="eastAsia" w:ascii="仿宋" w:hAnsi="仿宋" w:eastAsia="仿宋" w:cs="仿宋"/>
        </w:rPr>
        <w:t>、质疑和投诉</w:t>
      </w:r>
      <w:r>
        <w:tab/>
      </w:r>
      <w:r>
        <w:fldChar w:fldCharType="begin"/>
      </w:r>
      <w:r>
        <w:instrText xml:space="preserve"> PAGEREF _Toc20514 </w:instrText>
      </w:r>
      <w:r>
        <w:fldChar w:fldCharType="separate"/>
      </w:r>
      <w:r>
        <w:t>17</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_Toc30177 </w:instrText>
      </w:r>
      <w:r>
        <w:rPr>
          <w:rFonts w:hint="eastAsia" w:ascii="仿宋" w:hAnsi="仿宋" w:eastAsia="仿宋" w:cs="仿宋"/>
          <w:bCs/>
        </w:rPr>
        <w:fldChar w:fldCharType="separate"/>
      </w:r>
      <w:r>
        <w:rPr>
          <w:rFonts w:hint="eastAsia" w:ascii="仿宋" w:hAnsi="仿宋" w:eastAsia="仿宋" w:cs="仿宋"/>
        </w:rPr>
        <w:t>第三章 投标文件格式</w:t>
      </w:r>
      <w:r>
        <w:tab/>
      </w:r>
      <w:r>
        <w:fldChar w:fldCharType="begin"/>
      </w:r>
      <w:r>
        <w:instrText xml:space="preserve"> PAGEREF _Toc30177 </w:instrText>
      </w:r>
      <w:r>
        <w:fldChar w:fldCharType="separate"/>
      </w:r>
      <w:r>
        <w:t>18</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_Toc5425 </w:instrText>
      </w:r>
      <w:r>
        <w:rPr>
          <w:rFonts w:hint="eastAsia" w:ascii="仿宋" w:hAnsi="仿宋" w:eastAsia="仿宋" w:cs="仿宋"/>
          <w:szCs w:val="22"/>
        </w:rPr>
        <w:fldChar w:fldCharType="separate"/>
      </w:r>
      <w:r>
        <w:rPr>
          <w:rFonts w:hint="eastAsia" w:ascii="仿宋" w:hAnsi="仿宋" w:eastAsia="仿宋" w:cs="仿宋"/>
          <w:szCs w:val="22"/>
        </w:rPr>
        <w:t>二、谈判函</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_Toc5425 </w:instrText>
      </w:r>
      <w:r>
        <w:rPr>
          <w:rFonts w:hint="eastAsia" w:ascii="仿宋" w:hAnsi="仿宋" w:eastAsia="仿宋" w:cs="仿宋"/>
          <w:szCs w:val="22"/>
        </w:rPr>
        <w:fldChar w:fldCharType="separate"/>
      </w:r>
      <w:r>
        <w:rPr>
          <w:rFonts w:hint="eastAsia" w:ascii="仿宋" w:hAnsi="仿宋" w:eastAsia="仿宋" w:cs="仿宋"/>
          <w:szCs w:val="22"/>
        </w:rPr>
        <w:t>21</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_Toc17739 </w:instrText>
      </w:r>
      <w:r>
        <w:rPr>
          <w:rFonts w:hint="eastAsia" w:ascii="仿宋" w:hAnsi="仿宋" w:eastAsia="仿宋" w:cs="仿宋"/>
          <w:szCs w:val="22"/>
        </w:rPr>
        <w:fldChar w:fldCharType="separate"/>
      </w:r>
      <w:r>
        <w:rPr>
          <w:rFonts w:hint="eastAsia" w:ascii="仿宋" w:hAnsi="仿宋" w:eastAsia="仿宋" w:cs="仿宋"/>
          <w:szCs w:val="22"/>
        </w:rPr>
        <w:t>三、保证金</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_Toc17739 </w:instrText>
      </w:r>
      <w:r>
        <w:rPr>
          <w:rFonts w:hint="eastAsia" w:ascii="仿宋" w:hAnsi="仿宋" w:eastAsia="仿宋" w:cs="仿宋"/>
          <w:szCs w:val="22"/>
        </w:rPr>
        <w:fldChar w:fldCharType="separate"/>
      </w:r>
      <w:r>
        <w:rPr>
          <w:rFonts w:hint="eastAsia" w:ascii="仿宋" w:hAnsi="仿宋" w:eastAsia="仿宋" w:cs="仿宋"/>
          <w:szCs w:val="22"/>
        </w:rPr>
        <w:t>25</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_Toc3020 </w:instrText>
      </w:r>
      <w:r>
        <w:rPr>
          <w:rFonts w:hint="eastAsia" w:ascii="仿宋" w:hAnsi="仿宋" w:eastAsia="仿宋" w:cs="仿宋"/>
          <w:szCs w:val="22"/>
        </w:rPr>
        <w:fldChar w:fldCharType="separate"/>
      </w:r>
      <w:r>
        <w:rPr>
          <w:rFonts w:hint="eastAsia" w:ascii="仿宋" w:hAnsi="仿宋" w:eastAsia="仿宋" w:cs="仿宋"/>
          <w:szCs w:val="22"/>
        </w:rPr>
        <w:t>四、报价一览表</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_Toc3020 </w:instrText>
      </w:r>
      <w:r>
        <w:rPr>
          <w:rFonts w:hint="eastAsia" w:ascii="仿宋" w:hAnsi="仿宋" w:eastAsia="仿宋" w:cs="仿宋"/>
          <w:szCs w:val="22"/>
        </w:rPr>
        <w:fldChar w:fldCharType="separate"/>
      </w:r>
      <w:r>
        <w:rPr>
          <w:rFonts w:hint="eastAsia" w:ascii="仿宋" w:hAnsi="仿宋" w:eastAsia="仿宋" w:cs="仿宋"/>
          <w:szCs w:val="22"/>
        </w:rPr>
        <w:t>26</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_Toc28943 </w:instrText>
      </w:r>
      <w:r>
        <w:rPr>
          <w:rFonts w:hint="eastAsia" w:ascii="仿宋" w:hAnsi="仿宋" w:eastAsia="仿宋" w:cs="仿宋"/>
          <w:szCs w:val="22"/>
        </w:rPr>
        <w:fldChar w:fldCharType="separate"/>
      </w:r>
      <w:r>
        <w:rPr>
          <w:rFonts w:hint="eastAsia" w:ascii="仿宋" w:hAnsi="仿宋" w:eastAsia="仿宋" w:cs="仿宋"/>
          <w:szCs w:val="22"/>
        </w:rPr>
        <w:t>五、供应商基本情况</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_Toc28943 </w:instrText>
      </w:r>
      <w:r>
        <w:rPr>
          <w:rFonts w:hint="eastAsia" w:ascii="仿宋" w:hAnsi="仿宋" w:eastAsia="仿宋" w:cs="仿宋"/>
          <w:szCs w:val="22"/>
        </w:rPr>
        <w:fldChar w:fldCharType="separate"/>
      </w:r>
      <w:r>
        <w:rPr>
          <w:rFonts w:hint="eastAsia" w:ascii="仿宋" w:hAnsi="仿宋" w:eastAsia="仿宋" w:cs="仿宋"/>
          <w:szCs w:val="22"/>
        </w:rPr>
        <w:t>29</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_Toc8032 </w:instrText>
      </w:r>
      <w:r>
        <w:rPr>
          <w:rFonts w:hint="eastAsia" w:ascii="仿宋" w:hAnsi="仿宋" w:eastAsia="仿宋" w:cs="仿宋"/>
          <w:szCs w:val="22"/>
        </w:rPr>
        <w:fldChar w:fldCharType="separate"/>
      </w:r>
      <w:r>
        <w:rPr>
          <w:rFonts w:hint="eastAsia" w:ascii="仿宋" w:hAnsi="仿宋" w:eastAsia="仿宋" w:cs="仿宋"/>
          <w:szCs w:val="22"/>
          <w:lang w:eastAsia="zh-CN"/>
        </w:rPr>
        <w:t>六、供应商资格审查材料</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_Toc8032 </w:instrText>
      </w:r>
      <w:r>
        <w:rPr>
          <w:rFonts w:hint="eastAsia" w:ascii="仿宋" w:hAnsi="仿宋" w:eastAsia="仿宋" w:cs="仿宋"/>
          <w:szCs w:val="22"/>
        </w:rPr>
        <w:fldChar w:fldCharType="separate"/>
      </w:r>
      <w:r>
        <w:rPr>
          <w:rFonts w:hint="eastAsia" w:ascii="仿宋" w:hAnsi="仿宋" w:eastAsia="仿宋" w:cs="仿宋"/>
          <w:szCs w:val="22"/>
        </w:rPr>
        <w:t>34</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_Toc17226 </w:instrText>
      </w:r>
      <w:r>
        <w:rPr>
          <w:rFonts w:hint="eastAsia" w:ascii="仿宋" w:hAnsi="仿宋" w:eastAsia="仿宋" w:cs="仿宋"/>
          <w:bCs/>
        </w:rPr>
        <w:fldChar w:fldCharType="separate"/>
      </w:r>
      <w:r>
        <w:rPr>
          <w:rFonts w:hint="eastAsia" w:ascii="宋体" w:hAnsi="宋体"/>
          <w:szCs w:val="28"/>
        </w:rPr>
        <w:t>七</w:t>
      </w:r>
      <w:r>
        <w:rPr>
          <w:rFonts w:hint="eastAsia" w:ascii="仿宋" w:hAnsi="仿宋" w:eastAsia="仿宋" w:cs="仿宋"/>
          <w:szCs w:val="22"/>
          <w:lang w:eastAsia="zh-CN"/>
        </w:rPr>
        <w:t>、设计实施方案</w:t>
      </w:r>
      <w:r>
        <w:tab/>
      </w:r>
      <w:r>
        <w:fldChar w:fldCharType="begin"/>
      </w:r>
      <w:r>
        <w:instrText xml:space="preserve"> PAGEREF _Toc17226 </w:instrText>
      </w:r>
      <w:r>
        <w:fldChar w:fldCharType="separate"/>
      </w:r>
      <w:r>
        <w:t>34</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_Toc13939 </w:instrText>
      </w:r>
      <w:r>
        <w:rPr>
          <w:rFonts w:hint="eastAsia" w:ascii="仿宋" w:hAnsi="仿宋" w:eastAsia="仿宋" w:cs="仿宋"/>
          <w:bCs/>
        </w:rPr>
        <w:fldChar w:fldCharType="separate"/>
      </w:r>
      <w:r>
        <w:rPr>
          <w:rFonts w:hint="eastAsia" w:ascii="宋体" w:hAnsi="宋体"/>
          <w:szCs w:val="28"/>
        </w:rPr>
        <w:t>八、供应商认为需要提供的其它资料</w:t>
      </w:r>
      <w:r>
        <w:tab/>
      </w:r>
      <w:r>
        <w:fldChar w:fldCharType="begin"/>
      </w:r>
      <w:r>
        <w:instrText xml:space="preserve"> PAGEREF _Toc13939 </w:instrText>
      </w:r>
      <w:r>
        <w:fldChar w:fldCharType="separate"/>
      </w:r>
      <w:r>
        <w:t>35</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_Toc16380 </w:instrText>
      </w:r>
      <w:r>
        <w:rPr>
          <w:rFonts w:hint="eastAsia" w:ascii="仿宋" w:hAnsi="仿宋" w:eastAsia="仿宋" w:cs="仿宋"/>
          <w:bCs/>
        </w:rPr>
        <w:fldChar w:fldCharType="separate"/>
      </w:r>
      <w:r>
        <w:rPr>
          <w:rFonts w:hint="eastAsia"/>
        </w:rPr>
        <w:t xml:space="preserve">第四章 </w:t>
      </w:r>
      <w:r>
        <w:rPr>
          <w:rFonts w:hint="eastAsia" w:ascii="仿宋" w:hAnsi="仿宋" w:eastAsia="仿宋" w:cs="仿宋"/>
        </w:rPr>
        <w:t>采购技术</w:t>
      </w:r>
      <w:r>
        <w:rPr>
          <w:rFonts w:hint="eastAsia" w:ascii="仿宋" w:hAnsi="仿宋" w:eastAsia="仿宋" w:cs="仿宋"/>
          <w:lang w:eastAsia="zh-CN"/>
        </w:rPr>
        <w:t>要求</w:t>
      </w:r>
      <w:r>
        <w:tab/>
      </w:r>
      <w:r>
        <w:fldChar w:fldCharType="begin"/>
      </w:r>
      <w:r>
        <w:instrText xml:space="preserve"> PAGEREF _Toc16380 </w:instrText>
      </w:r>
      <w:r>
        <w:fldChar w:fldCharType="separate"/>
      </w:r>
      <w:r>
        <w:t>36</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_Toc1235 </w:instrText>
      </w:r>
      <w:r>
        <w:rPr>
          <w:rFonts w:hint="eastAsia" w:ascii="仿宋" w:hAnsi="仿宋" w:eastAsia="仿宋" w:cs="仿宋"/>
          <w:bCs/>
        </w:rPr>
        <w:fldChar w:fldCharType="separate"/>
      </w:r>
      <w:r>
        <w:rPr>
          <w:rFonts w:hint="eastAsia" w:ascii="仿宋" w:hAnsi="仿宋" w:eastAsia="仿宋" w:cs="仿宋"/>
        </w:rPr>
        <w:t>第六章 评标办法</w:t>
      </w:r>
      <w:r>
        <w:tab/>
      </w:r>
      <w:r>
        <w:fldChar w:fldCharType="begin"/>
      </w:r>
      <w:r>
        <w:instrText xml:space="preserve"> PAGEREF _Toc1235 </w:instrText>
      </w:r>
      <w:r>
        <w:fldChar w:fldCharType="separate"/>
      </w:r>
      <w:r>
        <w:t>38</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_Toc15659 </w:instrText>
      </w:r>
      <w:r>
        <w:rPr>
          <w:rFonts w:hint="eastAsia" w:ascii="仿宋" w:hAnsi="仿宋" w:eastAsia="仿宋" w:cs="仿宋"/>
          <w:bCs/>
        </w:rPr>
        <w:fldChar w:fldCharType="separate"/>
      </w:r>
      <w:r>
        <w:rPr>
          <w:rFonts w:hint="eastAsia"/>
        </w:rPr>
        <w:t xml:space="preserve">第七章 </w:t>
      </w:r>
      <w:r>
        <w:rPr>
          <w:rFonts w:hint="eastAsia" w:ascii="仿宋" w:hAnsi="仿宋" w:eastAsia="仿宋" w:cs="仿宋"/>
        </w:rPr>
        <w:t>合同主要条款</w:t>
      </w:r>
      <w:r>
        <w:rPr>
          <w:rFonts w:hint="eastAsia" w:ascii="仿宋" w:hAnsi="仿宋" w:eastAsia="仿宋" w:cs="仿宋"/>
          <w:lang w:val="en-US" w:eastAsia="zh-CN"/>
        </w:rPr>
        <w:t>(仅供参考）</w:t>
      </w:r>
      <w:r>
        <w:tab/>
      </w:r>
      <w:r>
        <w:fldChar w:fldCharType="begin"/>
      </w:r>
      <w:r>
        <w:instrText xml:space="preserve"> PAGEREF _Toc15659 </w:instrText>
      </w:r>
      <w:r>
        <w:fldChar w:fldCharType="separate"/>
      </w:r>
      <w:r>
        <w:t>42</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_Toc15868 </w:instrText>
      </w:r>
      <w:r>
        <w:rPr>
          <w:rFonts w:hint="eastAsia" w:ascii="仿宋" w:hAnsi="仿宋" w:eastAsia="仿宋" w:cs="仿宋"/>
          <w:bCs/>
        </w:rPr>
        <w:fldChar w:fldCharType="separate"/>
      </w:r>
      <w:r>
        <w:rPr>
          <w:rFonts w:hint="eastAsia" w:ascii="仿宋" w:hAnsi="仿宋" w:eastAsia="仿宋" w:cs="仿宋"/>
        </w:rPr>
        <w:t>第八章    补充说明</w:t>
      </w:r>
      <w:r>
        <w:tab/>
      </w:r>
      <w:r>
        <w:fldChar w:fldCharType="begin"/>
      </w:r>
      <w:r>
        <w:instrText xml:space="preserve"> PAGEREF _Toc15868 </w:instrText>
      </w:r>
      <w:r>
        <w:fldChar w:fldCharType="separate"/>
      </w:r>
      <w:r>
        <w:t>45</w:t>
      </w:r>
      <w:r>
        <w:fldChar w:fldCharType="end"/>
      </w:r>
      <w:r>
        <w:rPr>
          <w:rFonts w:hint="eastAsia" w:ascii="仿宋" w:hAnsi="仿宋" w:eastAsia="仿宋" w:cs="仿宋"/>
          <w:bCs/>
          <w:color w:val="000000"/>
        </w:rPr>
        <w:fldChar w:fldCharType="end"/>
      </w:r>
    </w:p>
    <w:p>
      <w:pPr>
        <w:pStyle w:val="3"/>
        <w:spacing w:line="360" w:lineRule="exact"/>
        <w:rPr>
          <w:rFonts w:ascii="仿宋" w:hAnsi="仿宋" w:eastAsia="仿宋" w:cs="仿宋"/>
        </w:rPr>
      </w:pPr>
      <w:r>
        <w:rPr>
          <w:rFonts w:hint="eastAsia" w:ascii="仿宋" w:hAnsi="仿宋" w:eastAsia="仿宋" w:cs="仿宋"/>
          <w:b w:val="0"/>
          <w:bCs/>
          <w:color w:val="000000"/>
          <w:sz w:val="36"/>
        </w:rPr>
        <w:fldChar w:fldCharType="end"/>
      </w:r>
    </w:p>
    <w:p>
      <w:pPr>
        <w:widowControl/>
        <w:jc w:val="left"/>
        <w:rPr>
          <w:rFonts w:ascii="仿宋" w:hAnsi="仿宋" w:eastAsia="仿宋" w:cs="仿宋"/>
          <w:sz w:val="36"/>
          <w:szCs w:val="36"/>
        </w:rPr>
      </w:pPr>
      <w:r>
        <w:rPr>
          <w:rFonts w:hint="eastAsia" w:ascii="仿宋" w:hAnsi="仿宋" w:eastAsia="仿宋" w:cs="仿宋"/>
          <w:sz w:val="36"/>
          <w:szCs w:val="36"/>
        </w:rPr>
        <w:br w:type="page"/>
      </w:r>
    </w:p>
    <w:p>
      <w:pPr>
        <w:jc w:val="center"/>
        <w:rPr>
          <w:rFonts w:ascii="仿宋" w:hAnsi="仿宋" w:eastAsia="仿宋" w:cs="仿宋"/>
          <w:color w:val="000000" w:themeColor="text1"/>
          <w:sz w:val="36"/>
          <w:szCs w:val="36"/>
        </w:rPr>
      </w:pPr>
      <w:r>
        <w:rPr>
          <w:rFonts w:hint="eastAsia" w:ascii="仿宋" w:hAnsi="仿宋" w:eastAsia="仿宋" w:cs="仿宋"/>
          <w:color w:val="000000" w:themeColor="text1"/>
          <w:sz w:val="36"/>
          <w:szCs w:val="36"/>
        </w:rPr>
        <w:t>供应商投标特别注意事项</w:t>
      </w:r>
    </w:p>
    <w:p>
      <w:pPr>
        <w:jc w:val="center"/>
        <w:rPr>
          <w:rFonts w:ascii="仿宋" w:hAnsi="仿宋" w:eastAsia="仿宋" w:cs="仿宋"/>
          <w:color w:val="000000" w:themeColor="text1"/>
          <w:sz w:val="36"/>
          <w:szCs w:val="36"/>
        </w:rPr>
      </w:pP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购买竞争性谈判文件截止时间一到，不再发售竞争性谈判文件，因此，请适当提前到达。</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购买竞争性谈判文件必须是报名合格的投标企业。</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请正确填写《开标一览表》。多包项目请仔细检查标段，标段号跟标段名称必须一致。</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请仔细检查《投标函》、《开标一览表》、《授权委托书》等重要格式文件是否有按要求</w:t>
      </w:r>
      <w:r>
        <w:rPr>
          <w:rFonts w:hint="eastAsia" w:ascii="仿宋" w:hAnsi="仿宋" w:eastAsia="仿宋" w:cs="仿宋"/>
          <w:b/>
          <w:color w:val="000000" w:themeColor="text1"/>
          <w:sz w:val="24"/>
        </w:rPr>
        <w:t>盖公章、签名、签署日期</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GB"/>
        </w:rPr>
        <w:t>投标文件需签名之处必须由当事人亲笔签署（如《</w:t>
      </w:r>
      <w:r>
        <w:rPr>
          <w:rFonts w:hint="eastAsia" w:ascii="仿宋" w:hAnsi="仿宋" w:eastAsia="仿宋" w:cs="仿宋"/>
          <w:color w:val="000000" w:themeColor="text1"/>
          <w:sz w:val="24"/>
        </w:rPr>
        <w:t>授权委托书》必须有法定代表人的签名）。</w:t>
      </w:r>
    </w:p>
    <w:p>
      <w:pPr>
        <w:numPr>
          <w:ilvl w:val="0"/>
          <w:numId w:val="3"/>
        </w:numPr>
        <w:tabs>
          <w:tab w:val="left" w:pos="0"/>
        </w:tabs>
        <w:spacing w:line="520" w:lineRule="exact"/>
        <w:ind w:left="0" w:firstLine="435"/>
        <w:rPr>
          <w:rStyle w:val="150"/>
          <w:rFonts w:ascii="仿宋" w:hAnsi="仿宋" w:eastAsia="仿宋" w:cs="仿宋"/>
          <w:color w:val="000000" w:themeColor="text1"/>
          <w:sz w:val="24"/>
        </w:rPr>
      </w:pPr>
      <w:r>
        <w:rPr>
          <w:rStyle w:val="150"/>
          <w:rFonts w:hint="eastAsia" w:ascii="仿宋" w:hAnsi="仿宋" w:eastAsia="仿宋" w:cs="仿宋"/>
          <w:color w:val="000000" w:themeColor="text1"/>
          <w:sz w:val="24"/>
        </w:rPr>
        <w:t>有关本次招标的信息（如变更公告、中标公告都将在自治区政府采购网上予以公示）</w:t>
      </w:r>
    </w:p>
    <w:p>
      <w:pPr>
        <w:numPr>
          <w:ilvl w:val="0"/>
          <w:numId w:val="3"/>
        </w:numPr>
        <w:tabs>
          <w:tab w:val="left" w:pos="0"/>
        </w:tabs>
        <w:spacing w:line="520" w:lineRule="exact"/>
        <w:ind w:left="0" w:firstLine="435"/>
        <w:rPr>
          <w:rStyle w:val="150"/>
          <w:rFonts w:ascii="仿宋" w:hAnsi="仿宋" w:eastAsia="仿宋" w:cs="仿宋"/>
          <w:color w:val="000000" w:themeColor="text1"/>
          <w:sz w:val="24"/>
        </w:rPr>
      </w:pPr>
      <w:r>
        <w:rPr>
          <w:rStyle w:val="150"/>
          <w:rFonts w:hint="eastAsia" w:ascii="仿宋" w:hAnsi="仿宋" w:eastAsia="仿宋" w:cs="仿宋"/>
          <w:color w:val="000000" w:themeColor="text1"/>
          <w:sz w:val="24"/>
        </w:rPr>
        <w:t>我单位为采购机构，不对供应商购买采购文件时提交的相关资料的真伪作出判断，如供应商发现相关资料被盗用或复制，建议遵循法律途径解决，追究侵权者责任。对一家供应商递交两份投标文件的，评委会将按采购文件中有关无效投标的规定处理。</w:t>
      </w:r>
    </w:p>
    <w:p>
      <w:pPr>
        <w:tabs>
          <w:tab w:val="left" w:pos="0"/>
        </w:tabs>
        <w:spacing w:line="520" w:lineRule="exact"/>
        <w:ind w:left="435"/>
        <w:rPr>
          <w:rStyle w:val="150"/>
          <w:rFonts w:ascii="仿宋" w:hAnsi="仿宋" w:eastAsia="仿宋" w:cs="仿宋"/>
          <w:color w:val="000000" w:themeColor="text1"/>
          <w:sz w:val="24"/>
          <w:lang w:val="zh-CN"/>
        </w:rPr>
      </w:pPr>
      <w:r>
        <w:rPr>
          <w:rStyle w:val="150"/>
          <w:rFonts w:hint="eastAsia" w:ascii="仿宋" w:hAnsi="仿宋" w:eastAsia="仿宋" w:cs="仿宋"/>
          <w:color w:val="000000" w:themeColor="text1"/>
          <w:sz w:val="24"/>
          <w:lang w:val="zh-CN"/>
        </w:rPr>
        <w:t>（本提示内容非采购文件的组成部分，仅为善意提醒。如有不一致，以采购文件为准。）</w:t>
      </w:r>
    </w:p>
    <w:p>
      <w:pPr>
        <w:pStyle w:val="4"/>
        <w:rPr>
          <w:rFonts w:ascii="仿宋" w:hAnsi="仿宋" w:eastAsia="仿宋" w:cs="仿宋"/>
          <w:bCs/>
          <w:color w:val="000000"/>
          <w:sz w:val="36"/>
        </w:rPr>
      </w:pPr>
    </w:p>
    <w:p>
      <w:pPr>
        <w:pStyle w:val="4"/>
        <w:rPr>
          <w:rFonts w:ascii="仿宋" w:hAnsi="仿宋" w:eastAsia="仿宋" w:cs="仿宋"/>
          <w:bCs/>
          <w:color w:val="000000"/>
          <w:sz w:val="36"/>
        </w:rPr>
      </w:pPr>
    </w:p>
    <w:p>
      <w:pPr>
        <w:pStyle w:val="58"/>
        <w:ind w:firstLine="0" w:firstLineChars="0"/>
        <w:rPr>
          <w:rFonts w:ascii="仿宋" w:hAnsi="仿宋" w:eastAsia="仿宋" w:cs="仿宋"/>
          <w:bCs/>
          <w:color w:val="000000"/>
          <w:sz w:val="36"/>
        </w:rPr>
      </w:pPr>
    </w:p>
    <w:bookmarkEnd w:id="2"/>
    <w:bookmarkEnd w:id="3"/>
    <w:p>
      <w:pPr>
        <w:pStyle w:val="2"/>
        <w:ind w:firstLine="0"/>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numPr>
          <w:ilvl w:val="0"/>
          <w:numId w:val="4"/>
        </w:numPr>
        <w:rPr>
          <w:rFonts w:hint="eastAsia" w:ascii="仿宋" w:hAnsi="仿宋" w:eastAsia="仿宋" w:cs="仿宋"/>
        </w:rPr>
        <w:sectPr>
          <w:pgSz w:w="11906" w:h="16838"/>
          <w:pgMar w:top="1440" w:right="1797" w:bottom="1440" w:left="1440" w:header="851" w:footer="992" w:gutter="0"/>
          <w:cols w:space="720" w:num="1"/>
          <w:docGrid w:linePitch="312" w:charSpace="0"/>
        </w:sectPr>
      </w:pPr>
      <w:bookmarkStart w:id="8" w:name="_Toc406749968"/>
      <w:bookmarkStart w:id="9" w:name="_Toc1674"/>
      <w:bookmarkStart w:id="10" w:name="_Toc213396945"/>
      <w:bookmarkStart w:id="11" w:name="_Toc217446031"/>
      <w:bookmarkStart w:id="12" w:name="_Toc213396759"/>
      <w:bookmarkStart w:id="13" w:name="_Toc213397009"/>
      <w:bookmarkStart w:id="14" w:name="_Toc213496267"/>
      <w:bookmarkStart w:id="15" w:name="_Toc183582202"/>
      <w:bookmarkStart w:id="16" w:name="_Toc183682339"/>
      <w:bookmarkStart w:id="17" w:name="_Toc89075871"/>
      <w:bookmarkStart w:id="18" w:name="_Toc77400776"/>
    </w:p>
    <w:p>
      <w:pPr>
        <w:pStyle w:val="3"/>
        <w:numPr>
          <w:ilvl w:val="0"/>
          <w:numId w:val="4"/>
        </w:numPr>
        <w:rPr>
          <w:rFonts w:hint="eastAsia" w:ascii="仿宋" w:hAnsi="仿宋" w:eastAsia="仿宋" w:cs="仿宋"/>
        </w:rPr>
      </w:pPr>
      <w:r>
        <w:rPr>
          <w:rFonts w:hint="eastAsia" w:ascii="仿宋" w:hAnsi="仿宋" w:eastAsia="仿宋" w:cs="仿宋"/>
        </w:rPr>
        <w:t xml:space="preserve"> </w:t>
      </w:r>
      <w:bookmarkEnd w:id="8"/>
      <w:bookmarkEnd w:id="9"/>
      <w:bookmarkStart w:id="19" w:name="_Toc19144"/>
      <w:r>
        <w:rPr>
          <w:rFonts w:hint="eastAsia" w:ascii="仿宋" w:hAnsi="仿宋" w:eastAsia="仿宋" w:cs="仿宋"/>
        </w:rPr>
        <w:t>竞争性谈判公告</w:t>
      </w:r>
      <w:bookmarkEnd w:id="19"/>
    </w:p>
    <w:p>
      <w:pPr>
        <w:pStyle w:val="2"/>
        <w:rPr>
          <w:rFonts w:hint="eastAsia" w:ascii="仿宋" w:hAnsi="仿宋" w:eastAsia="仿宋" w:cs="仿宋"/>
          <w:sz w:val="24"/>
          <w:szCs w:val="24"/>
        </w:rPr>
      </w:pPr>
      <w:bookmarkStart w:id="20" w:name="_Toc406749969"/>
      <w:bookmarkStart w:id="21" w:name="_Toc20998"/>
      <w:r>
        <w:rPr>
          <w:rFonts w:hint="eastAsia" w:ascii="仿宋" w:hAnsi="仿宋" w:eastAsia="仿宋" w:cs="仿宋"/>
          <w:sz w:val="24"/>
          <w:szCs w:val="24"/>
        </w:rPr>
        <w:t xml:space="preserve"> 项目概况                                                    </w:t>
      </w:r>
    </w:p>
    <w:p>
      <w:pPr>
        <w:pStyle w:val="2"/>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eastAsia="zh-CN"/>
        </w:rPr>
        <w:t>墨玉县引洪闸除险加固工程（自动化）</w:t>
      </w:r>
      <w:r>
        <w:rPr>
          <w:rFonts w:hint="eastAsia" w:ascii="仿宋" w:hAnsi="仿宋" w:eastAsia="仿宋" w:cs="仿宋"/>
          <w:sz w:val="24"/>
          <w:szCs w:val="24"/>
        </w:rPr>
        <w:t>的潜在供应商应在新疆政府采购网政采云平台获取采购文件，并于</w:t>
      </w:r>
      <w:r>
        <w:rPr>
          <w:rFonts w:hint="eastAsia" w:ascii="仿宋" w:hAnsi="仿宋" w:eastAsia="仿宋" w:cs="仿宋"/>
          <w:sz w:val="24"/>
          <w:szCs w:val="24"/>
          <w:lang w:eastAsia="zh-CN"/>
        </w:rPr>
        <w:t>2021年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17</w:t>
      </w:r>
      <w:r>
        <w:rPr>
          <w:rFonts w:hint="eastAsia" w:ascii="仿宋" w:hAnsi="仿宋" w:eastAsia="仿宋" w:cs="仿宋"/>
          <w:sz w:val="24"/>
          <w:szCs w:val="24"/>
          <w:lang w:eastAsia="zh-CN"/>
        </w:rPr>
        <w:t>日</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:00（北京时间）前提交响应文件。                            </w:t>
      </w:r>
    </w:p>
    <w:p>
      <w:pPr>
        <w:pStyle w:val="2"/>
        <w:rPr>
          <w:rFonts w:hint="eastAsia" w:ascii="仿宋" w:hAnsi="仿宋" w:eastAsia="仿宋" w:cs="仿宋"/>
          <w:sz w:val="24"/>
          <w:szCs w:val="24"/>
        </w:rPr>
      </w:pPr>
      <w:r>
        <w:rPr>
          <w:rFonts w:hint="eastAsia" w:ascii="仿宋" w:hAnsi="仿宋" w:eastAsia="仿宋" w:cs="仿宋"/>
          <w:sz w:val="24"/>
          <w:szCs w:val="24"/>
        </w:rPr>
        <w:t>一、项目基本情况</w:t>
      </w:r>
    </w:p>
    <w:p>
      <w:pPr>
        <w:pStyle w:val="2"/>
        <w:rPr>
          <w:rFonts w:hint="default" w:ascii="仿宋" w:hAnsi="仿宋" w:eastAsia="仿宋" w:cs="仿宋"/>
          <w:sz w:val="24"/>
          <w:szCs w:val="24"/>
          <w:lang w:val="en-US"/>
        </w:rPr>
      </w:pPr>
      <w:r>
        <w:rPr>
          <w:rFonts w:hint="eastAsia" w:ascii="仿宋" w:hAnsi="仿宋" w:eastAsia="仿宋" w:cs="仿宋"/>
          <w:sz w:val="24"/>
          <w:szCs w:val="24"/>
        </w:rPr>
        <w:t>    项目编号：</w:t>
      </w:r>
      <w:r>
        <w:rPr>
          <w:rFonts w:hint="eastAsia" w:ascii="仿宋" w:hAnsi="仿宋" w:eastAsia="仿宋" w:cs="仿宋"/>
          <w:sz w:val="24"/>
          <w:szCs w:val="24"/>
          <w:highlight w:val="none"/>
          <w:lang w:eastAsia="zh-CN"/>
        </w:rPr>
        <w:t>XJJJN-</w:t>
      </w:r>
      <w:r>
        <w:rPr>
          <w:rFonts w:hint="eastAsia" w:ascii="仿宋" w:hAnsi="仿宋" w:eastAsia="仿宋" w:cs="仿宋"/>
          <w:sz w:val="24"/>
          <w:szCs w:val="24"/>
          <w:highlight w:val="none"/>
          <w:lang w:val="en-US" w:eastAsia="zh-CN"/>
        </w:rPr>
        <w:t>HT</w:t>
      </w:r>
      <w:r>
        <w:rPr>
          <w:rFonts w:hint="eastAsia" w:ascii="仿宋" w:hAnsi="仿宋" w:eastAsia="仿宋" w:cs="仿宋"/>
          <w:sz w:val="24"/>
          <w:szCs w:val="24"/>
          <w:highlight w:val="none"/>
          <w:lang w:eastAsia="zh-CN"/>
        </w:rPr>
        <w:t>CG-2021/</w:t>
      </w:r>
      <w:r>
        <w:rPr>
          <w:rFonts w:hint="eastAsia" w:ascii="仿宋" w:hAnsi="仿宋" w:eastAsia="仿宋" w:cs="仿宋"/>
          <w:sz w:val="24"/>
          <w:szCs w:val="24"/>
          <w:highlight w:val="none"/>
          <w:lang w:val="en-US" w:eastAsia="zh-CN"/>
        </w:rPr>
        <w:t>143</w:t>
      </w:r>
    </w:p>
    <w:p>
      <w:pPr>
        <w:pStyle w:val="2"/>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墨玉县引洪闸除险加固工程（自动化）</w:t>
      </w:r>
    </w:p>
    <w:p>
      <w:pPr>
        <w:pStyle w:val="2"/>
        <w:rPr>
          <w:rFonts w:hint="eastAsia" w:ascii="仿宋" w:hAnsi="仿宋" w:eastAsia="仿宋" w:cs="仿宋"/>
          <w:sz w:val="24"/>
          <w:szCs w:val="24"/>
        </w:rPr>
      </w:pPr>
      <w:r>
        <w:rPr>
          <w:rFonts w:hint="eastAsia" w:ascii="仿宋" w:hAnsi="仿宋" w:eastAsia="仿宋" w:cs="仿宋"/>
          <w:sz w:val="24"/>
          <w:szCs w:val="24"/>
        </w:rPr>
        <w:t>    采购方式：竞争性谈判 </w:t>
      </w:r>
    </w:p>
    <w:p>
      <w:pPr>
        <w:pStyle w:val="2"/>
        <w:rPr>
          <w:rFonts w:hint="eastAsia" w:ascii="仿宋" w:hAnsi="仿宋" w:eastAsia="仿宋" w:cs="仿宋"/>
          <w:sz w:val="24"/>
          <w:szCs w:val="24"/>
          <w:lang w:eastAsia="zh-CN"/>
        </w:rPr>
      </w:pPr>
      <w:r>
        <w:rPr>
          <w:rFonts w:hint="eastAsia" w:ascii="仿宋" w:hAnsi="仿宋" w:eastAsia="仿宋" w:cs="仿宋"/>
          <w:sz w:val="24"/>
          <w:szCs w:val="24"/>
        </w:rPr>
        <w:t xml:space="preserve">    预算金额（元）：1833005.28 </w:t>
      </w:r>
    </w:p>
    <w:p>
      <w:pPr>
        <w:pStyle w:val="2"/>
        <w:rPr>
          <w:rFonts w:hint="eastAsia" w:ascii="仿宋" w:hAnsi="仿宋" w:eastAsia="仿宋" w:cs="仿宋"/>
          <w:sz w:val="24"/>
          <w:szCs w:val="24"/>
          <w:lang w:eastAsia="zh-CN"/>
        </w:rPr>
      </w:pPr>
      <w:r>
        <w:rPr>
          <w:rFonts w:hint="eastAsia" w:ascii="仿宋" w:hAnsi="仿宋" w:eastAsia="仿宋" w:cs="仿宋"/>
          <w:sz w:val="24"/>
          <w:szCs w:val="24"/>
        </w:rPr>
        <w:t xml:space="preserve">    最高限价（元）：1833005.28 </w:t>
      </w:r>
    </w:p>
    <w:p>
      <w:pPr>
        <w:pStyle w:val="2"/>
        <w:rPr>
          <w:rFonts w:hint="eastAsia" w:ascii="仿宋" w:hAnsi="仿宋" w:eastAsia="仿宋" w:cs="仿宋"/>
          <w:sz w:val="24"/>
          <w:szCs w:val="24"/>
        </w:rPr>
      </w:pPr>
      <w:r>
        <w:rPr>
          <w:rFonts w:hint="eastAsia" w:ascii="仿宋" w:hAnsi="仿宋" w:eastAsia="仿宋" w:cs="仿宋"/>
          <w:sz w:val="24"/>
          <w:szCs w:val="24"/>
        </w:rPr>
        <w:t>    采购需求：</w:t>
      </w:r>
    </w:p>
    <w:p>
      <w:pPr>
        <w:pStyle w:val="2"/>
        <w:rPr>
          <w:rFonts w:hint="eastAsia" w:ascii="仿宋" w:hAnsi="仿宋" w:eastAsia="仿宋" w:cs="仿宋"/>
          <w:sz w:val="24"/>
          <w:szCs w:val="24"/>
          <w:lang w:eastAsia="zh-CN"/>
        </w:rPr>
      </w:pPr>
      <w:r>
        <w:rPr>
          <w:rFonts w:hint="eastAsia" w:ascii="仿宋" w:hAnsi="仿宋" w:eastAsia="仿宋" w:cs="仿宋"/>
          <w:sz w:val="24"/>
          <w:szCs w:val="24"/>
        </w:rPr>
        <w:t>   简要规格描述：墨玉县引洪闸除险加固工程安全自动化监测设备采购</w:t>
      </w:r>
    </w:p>
    <w:p>
      <w:pPr>
        <w:pStyle w:val="2"/>
        <w:rPr>
          <w:rFonts w:hint="eastAsia" w:ascii="仿宋" w:hAnsi="仿宋" w:eastAsia="仿宋" w:cs="仿宋"/>
          <w:sz w:val="24"/>
          <w:szCs w:val="24"/>
        </w:rPr>
      </w:pPr>
      <w:r>
        <w:rPr>
          <w:rFonts w:hint="eastAsia" w:ascii="仿宋" w:hAnsi="仿宋" w:eastAsia="仿宋" w:cs="仿宋"/>
          <w:sz w:val="24"/>
          <w:szCs w:val="24"/>
        </w:rPr>
        <w:t>   备注：  </w:t>
      </w:r>
    </w:p>
    <w:p>
      <w:pPr>
        <w:pStyle w:val="2"/>
        <w:rPr>
          <w:rFonts w:hint="eastAsia" w:ascii="仿宋" w:hAnsi="仿宋" w:eastAsia="仿宋" w:cs="仿宋"/>
          <w:sz w:val="24"/>
          <w:szCs w:val="24"/>
        </w:rPr>
      </w:pPr>
      <w:r>
        <w:rPr>
          <w:rFonts w:hint="eastAsia" w:ascii="仿宋" w:hAnsi="仿宋" w:eastAsia="仿宋" w:cs="仿宋"/>
          <w:sz w:val="24"/>
          <w:szCs w:val="24"/>
        </w:rPr>
        <w:t>    合同履约期限：详见采购文件 </w:t>
      </w:r>
    </w:p>
    <w:p>
      <w:pPr>
        <w:pStyle w:val="2"/>
        <w:rPr>
          <w:rFonts w:hint="eastAsia" w:ascii="仿宋" w:hAnsi="仿宋" w:eastAsia="仿宋" w:cs="仿宋"/>
          <w:sz w:val="24"/>
          <w:szCs w:val="24"/>
        </w:rPr>
      </w:pPr>
      <w:r>
        <w:rPr>
          <w:rFonts w:hint="eastAsia" w:ascii="仿宋" w:hAnsi="仿宋" w:eastAsia="仿宋" w:cs="仿宋"/>
          <w:sz w:val="24"/>
          <w:szCs w:val="24"/>
        </w:rPr>
        <w:t>    本项目（否）接受联合体投标。</w:t>
      </w:r>
    </w:p>
    <w:p>
      <w:pPr>
        <w:pStyle w:val="2"/>
        <w:rPr>
          <w:rFonts w:hint="eastAsia" w:ascii="仿宋" w:hAnsi="仿宋" w:eastAsia="仿宋" w:cs="仿宋"/>
          <w:sz w:val="24"/>
          <w:szCs w:val="24"/>
        </w:rPr>
      </w:pPr>
      <w:r>
        <w:rPr>
          <w:rFonts w:hint="eastAsia" w:ascii="仿宋" w:hAnsi="仿宋" w:eastAsia="仿宋" w:cs="仿宋"/>
          <w:sz w:val="24"/>
          <w:szCs w:val="24"/>
        </w:rPr>
        <w:t>二、申请人的资格要求：</w:t>
      </w:r>
    </w:p>
    <w:p>
      <w:pPr>
        <w:pStyle w:val="2"/>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2"/>
        <w:rPr>
          <w:rFonts w:hint="eastAsia" w:ascii="仿宋" w:hAnsi="仿宋" w:eastAsia="仿宋" w:cs="仿宋"/>
          <w:sz w:val="24"/>
          <w:szCs w:val="24"/>
        </w:rPr>
      </w:pPr>
      <w:r>
        <w:rPr>
          <w:rFonts w:hint="eastAsia" w:ascii="仿宋" w:hAnsi="仿宋" w:eastAsia="仿宋" w:cs="仿宋"/>
          <w:sz w:val="24"/>
          <w:szCs w:val="24"/>
        </w:rPr>
        <w:t>   2.落实政府采购政策需满足的资格要求：无</w:t>
      </w:r>
    </w:p>
    <w:p>
      <w:pPr>
        <w:pStyle w:val="2"/>
        <w:rPr>
          <w:rFonts w:hint="eastAsia" w:ascii="仿宋" w:hAnsi="仿宋" w:eastAsia="仿宋" w:cs="仿宋"/>
          <w:sz w:val="24"/>
          <w:szCs w:val="24"/>
        </w:rPr>
      </w:pPr>
      <w:r>
        <w:rPr>
          <w:rFonts w:hint="eastAsia" w:ascii="仿宋" w:hAnsi="仿宋" w:eastAsia="仿宋" w:cs="仿宋"/>
          <w:sz w:val="24"/>
          <w:szCs w:val="24"/>
        </w:rPr>
        <w:t>   3.本项目的特定资格要求：</w:t>
      </w:r>
    </w:p>
    <w:p>
      <w:pPr>
        <w:pStyle w:val="2"/>
        <w:rPr>
          <w:rFonts w:hint="eastAsia" w:ascii="仿宋" w:hAnsi="仿宋" w:eastAsia="仿宋" w:cs="仿宋"/>
          <w:sz w:val="24"/>
          <w:szCs w:val="24"/>
        </w:rPr>
      </w:pPr>
      <w:r>
        <w:rPr>
          <w:rFonts w:hint="eastAsia" w:ascii="仿宋" w:hAnsi="仿宋" w:eastAsia="仿宋" w:cs="仿宋"/>
          <w:sz w:val="24"/>
          <w:szCs w:val="24"/>
        </w:rPr>
        <w:t>（1）、供应商应具有有效的营业执照；</w:t>
      </w:r>
    </w:p>
    <w:p>
      <w:pPr>
        <w:pStyle w:val="2"/>
        <w:rPr>
          <w:rFonts w:hint="eastAsia" w:ascii="仿宋" w:hAnsi="仿宋" w:eastAsia="仿宋" w:cs="仿宋"/>
          <w:sz w:val="24"/>
          <w:szCs w:val="24"/>
          <w:lang w:eastAsia="zh-CN"/>
        </w:rPr>
      </w:pPr>
      <w:r>
        <w:rPr>
          <w:rFonts w:hint="eastAsia" w:ascii="仿宋" w:hAnsi="仿宋" w:eastAsia="仿宋" w:cs="仿宋"/>
          <w:sz w:val="24"/>
          <w:szCs w:val="24"/>
        </w:rPr>
        <w:t>（2）、法定代表人应携带《法定代表人身份证明》及身份证原件（法定代表人近6个月的社保个人明细表），委托代理人应携带《法人代表授权委托书》及身份证原件（被委托人近6个月的社保个人明细表）；</w:t>
      </w:r>
    </w:p>
    <w:p>
      <w:pPr>
        <w:pStyle w:val="2"/>
        <w:rPr>
          <w:rFonts w:hint="eastAsia" w:ascii="仿宋" w:hAnsi="仿宋" w:eastAsia="仿宋" w:cs="仿宋"/>
          <w:sz w:val="24"/>
          <w:szCs w:val="24"/>
        </w:rPr>
      </w:pPr>
      <w:r>
        <w:rPr>
          <w:rFonts w:hint="eastAsia" w:ascii="仿宋" w:hAnsi="仿宋" w:eastAsia="仿宋" w:cs="仿宋"/>
          <w:sz w:val="24"/>
          <w:szCs w:val="24"/>
        </w:rPr>
        <w:t>（3）、投标企业须</w:t>
      </w:r>
      <w:r>
        <w:rPr>
          <w:rFonts w:hint="eastAsia" w:ascii="仿宋" w:hAnsi="仿宋" w:eastAsia="仿宋" w:cs="仿宋"/>
          <w:sz w:val="24"/>
          <w:szCs w:val="24"/>
          <w:lang w:eastAsia="zh-CN"/>
        </w:rPr>
        <w:t>提供20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年财务审计报告</w:t>
      </w:r>
      <w:r>
        <w:rPr>
          <w:rFonts w:hint="eastAsia" w:ascii="仿宋" w:hAnsi="仿宋" w:eastAsia="仿宋" w:cs="仿宋"/>
          <w:sz w:val="24"/>
          <w:szCs w:val="24"/>
        </w:rPr>
        <w:t>（2021年成立的公司可不提供）；</w:t>
      </w:r>
    </w:p>
    <w:p>
      <w:pPr>
        <w:pStyle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p>
    <w:p>
      <w:pPr>
        <w:pStyle w:val="2"/>
        <w:rPr>
          <w:rFonts w:hint="eastAsia" w:ascii="仿宋" w:hAnsi="仿宋" w:eastAsia="仿宋" w:cs="仿宋"/>
          <w:sz w:val="24"/>
          <w:szCs w:val="24"/>
        </w:rPr>
      </w:pPr>
      <w:r>
        <w:rPr>
          <w:rFonts w:hint="eastAsia" w:ascii="仿宋" w:hAnsi="仿宋" w:eastAsia="仿宋" w:cs="仿宋"/>
          <w:sz w:val="24"/>
          <w:szCs w:val="24"/>
        </w:rPr>
        <w:t>三、获取采购文件</w:t>
      </w:r>
    </w:p>
    <w:p>
      <w:pPr>
        <w:pStyle w:val="2"/>
        <w:rPr>
          <w:rFonts w:hint="eastAsia" w:ascii="仿宋" w:hAnsi="仿宋" w:eastAsia="仿宋" w:cs="仿宋"/>
          <w:sz w:val="24"/>
          <w:szCs w:val="24"/>
        </w:rPr>
      </w:pPr>
      <w:r>
        <w:rPr>
          <w:rFonts w:hint="eastAsia" w:ascii="仿宋" w:hAnsi="仿宋" w:eastAsia="仿宋" w:cs="仿宋"/>
          <w:sz w:val="24"/>
          <w:szCs w:val="24"/>
        </w:rPr>
        <w:t>    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pPr>
        <w:pStyle w:val="2"/>
        <w:rPr>
          <w:rFonts w:hint="eastAsia" w:ascii="仿宋" w:hAnsi="仿宋" w:eastAsia="仿宋" w:cs="仿宋"/>
          <w:sz w:val="24"/>
          <w:szCs w:val="24"/>
        </w:rPr>
      </w:pPr>
      <w:r>
        <w:rPr>
          <w:rFonts w:hint="eastAsia" w:ascii="仿宋" w:hAnsi="仿宋" w:eastAsia="仿宋" w:cs="仿宋"/>
          <w:sz w:val="24"/>
          <w:szCs w:val="24"/>
        </w:rPr>
        <w:t>    地点：新疆政府采购网政采云平台  </w:t>
      </w:r>
    </w:p>
    <w:p>
      <w:pPr>
        <w:pStyle w:val="2"/>
        <w:rPr>
          <w:rFonts w:hint="eastAsia" w:ascii="仿宋" w:hAnsi="仿宋" w:eastAsia="仿宋" w:cs="仿宋"/>
          <w:sz w:val="24"/>
          <w:szCs w:val="24"/>
        </w:rPr>
      </w:pPr>
      <w:r>
        <w:rPr>
          <w:rFonts w:hint="eastAsia" w:ascii="仿宋" w:hAnsi="仿宋" w:eastAsia="仿宋" w:cs="仿宋"/>
          <w:sz w:val="24"/>
          <w:szCs w:val="24"/>
        </w:rPr>
        <w:t>    方式：新疆政府采购网政采云平台线上获取   </w:t>
      </w:r>
    </w:p>
    <w:p>
      <w:pPr>
        <w:pStyle w:val="2"/>
        <w:rPr>
          <w:rFonts w:hint="eastAsia" w:ascii="仿宋" w:hAnsi="仿宋" w:eastAsia="仿宋" w:cs="仿宋"/>
          <w:sz w:val="24"/>
          <w:szCs w:val="24"/>
        </w:rPr>
      </w:pPr>
      <w:r>
        <w:rPr>
          <w:rFonts w:hint="eastAsia" w:ascii="仿宋" w:hAnsi="仿宋" w:eastAsia="仿宋" w:cs="仿宋"/>
          <w:sz w:val="24"/>
          <w:szCs w:val="24"/>
        </w:rPr>
        <w:t>四、响应文件提交</w:t>
      </w:r>
    </w:p>
    <w:p>
      <w:pPr>
        <w:pStyle w:val="2"/>
        <w:rPr>
          <w:rFonts w:hint="eastAsia" w:ascii="仿宋" w:hAnsi="仿宋" w:eastAsia="仿宋" w:cs="仿宋"/>
          <w:sz w:val="24"/>
          <w:szCs w:val="24"/>
        </w:rPr>
      </w:pPr>
      <w:r>
        <w:rPr>
          <w:rFonts w:hint="eastAsia" w:ascii="仿宋" w:hAnsi="仿宋" w:eastAsia="仿宋" w:cs="仿宋"/>
          <w:sz w:val="24"/>
          <w:szCs w:val="24"/>
        </w:rPr>
        <w:t>    截止时间：2021年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地点：墨玉县公共资源交易平台中心（墨玉县玉华社区院内） </w:t>
      </w:r>
    </w:p>
    <w:p>
      <w:pPr>
        <w:pStyle w:val="2"/>
        <w:rPr>
          <w:rFonts w:hint="eastAsia" w:ascii="仿宋" w:hAnsi="仿宋" w:eastAsia="仿宋" w:cs="仿宋"/>
          <w:sz w:val="24"/>
          <w:szCs w:val="24"/>
        </w:rPr>
      </w:pPr>
      <w:r>
        <w:rPr>
          <w:rFonts w:hint="eastAsia" w:ascii="仿宋" w:hAnsi="仿宋" w:eastAsia="仿宋" w:cs="仿宋"/>
          <w:sz w:val="24"/>
          <w:szCs w:val="24"/>
        </w:rPr>
        <w:t>五、响应文件开启 </w:t>
      </w:r>
    </w:p>
    <w:p>
      <w:pPr>
        <w:pStyle w:val="2"/>
        <w:rPr>
          <w:rFonts w:hint="eastAsia" w:ascii="仿宋" w:hAnsi="仿宋" w:eastAsia="仿宋" w:cs="仿宋"/>
          <w:sz w:val="24"/>
          <w:szCs w:val="24"/>
        </w:rPr>
      </w:pPr>
      <w:r>
        <w:rPr>
          <w:rFonts w:hint="eastAsia" w:ascii="仿宋" w:hAnsi="仿宋" w:eastAsia="仿宋" w:cs="仿宋"/>
          <w:sz w:val="24"/>
          <w:szCs w:val="24"/>
        </w:rPr>
        <w:t>    开启时间：2021年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  </w:t>
      </w:r>
    </w:p>
    <w:p>
      <w:pPr>
        <w:pStyle w:val="2"/>
        <w:rPr>
          <w:rFonts w:hint="eastAsia" w:ascii="仿宋" w:hAnsi="仿宋" w:eastAsia="仿宋" w:cs="仿宋"/>
          <w:sz w:val="24"/>
          <w:szCs w:val="24"/>
        </w:rPr>
      </w:pPr>
      <w:r>
        <w:rPr>
          <w:rFonts w:hint="eastAsia" w:ascii="仿宋" w:hAnsi="仿宋" w:eastAsia="仿宋" w:cs="仿宋"/>
          <w:sz w:val="24"/>
          <w:szCs w:val="24"/>
        </w:rPr>
        <w:t>六、公告期限 </w:t>
      </w:r>
    </w:p>
    <w:p>
      <w:pPr>
        <w:pStyle w:val="2"/>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2"/>
        <w:rPr>
          <w:rFonts w:hint="eastAsia" w:ascii="仿宋" w:hAnsi="仿宋" w:eastAsia="仿宋" w:cs="仿宋"/>
          <w:sz w:val="24"/>
          <w:szCs w:val="24"/>
        </w:rPr>
      </w:pPr>
      <w:r>
        <w:rPr>
          <w:rFonts w:hint="eastAsia" w:ascii="仿宋" w:hAnsi="仿宋" w:eastAsia="仿宋" w:cs="仿宋"/>
          <w:sz w:val="24"/>
          <w:szCs w:val="24"/>
        </w:rPr>
        <w:t>七、其他补充事宜 </w:t>
      </w:r>
    </w:p>
    <w:p>
      <w:pPr>
        <w:pStyle w:val="2"/>
        <w:rPr>
          <w:rFonts w:hint="eastAsia" w:ascii="仿宋" w:hAnsi="仿宋" w:eastAsia="仿宋" w:cs="仿宋"/>
          <w:sz w:val="24"/>
          <w:szCs w:val="24"/>
        </w:rPr>
      </w:pPr>
      <w:r>
        <w:rPr>
          <w:rFonts w:hint="eastAsia" w:ascii="仿宋" w:hAnsi="仿宋" w:eastAsia="仿宋" w:cs="仿宋"/>
          <w:sz w:val="24"/>
          <w:szCs w:val="24"/>
        </w:rPr>
        <w:t>   无  </w:t>
      </w:r>
    </w:p>
    <w:p>
      <w:pPr>
        <w:pStyle w:val="2"/>
        <w:rPr>
          <w:rFonts w:hint="eastAsia" w:ascii="仿宋" w:hAnsi="仿宋" w:eastAsia="仿宋" w:cs="仿宋"/>
          <w:sz w:val="24"/>
          <w:szCs w:val="24"/>
        </w:rPr>
      </w:pPr>
      <w:r>
        <w:rPr>
          <w:rFonts w:hint="eastAsia" w:ascii="仿宋" w:hAnsi="仿宋" w:eastAsia="仿宋" w:cs="仿宋"/>
          <w:sz w:val="24"/>
          <w:szCs w:val="24"/>
        </w:rPr>
        <w:t>八、凡对本次招标提出询问，请按以下方式联系</w:t>
      </w:r>
    </w:p>
    <w:p>
      <w:pPr>
        <w:pStyle w:val="2"/>
        <w:rPr>
          <w:rFonts w:hint="eastAsia" w:ascii="仿宋" w:hAnsi="仿宋" w:eastAsia="仿宋" w:cs="仿宋"/>
          <w:sz w:val="24"/>
          <w:szCs w:val="24"/>
        </w:rPr>
      </w:pPr>
      <w:r>
        <w:rPr>
          <w:rFonts w:hint="eastAsia" w:ascii="仿宋" w:hAnsi="仿宋" w:eastAsia="仿宋" w:cs="仿宋"/>
          <w:sz w:val="24"/>
          <w:szCs w:val="24"/>
        </w:rPr>
        <w:t>1.采购人信息</w:t>
      </w:r>
    </w:p>
    <w:p>
      <w:pPr>
        <w:pStyle w:val="2"/>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墨玉县水管总站</w:t>
      </w:r>
    </w:p>
    <w:p>
      <w:pPr>
        <w:pStyle w:val="2"/>
        <w:rPr>
          <w:rFonts w:hint="eastAsia" w:ascii="仿宋" w:hAnsi="仿宋" w:eastAsia="仿宋" w:cs="仿宋"/>
          <w:sz w:val="24"/>
          <w:szCs w:val="24"/>
          <w:lang w:eastAsia="zh-CN"/>
        </w:rPr>
      </w:pPr>
      <w:r>
        <w:rPr>
          <w:rFonts w:hint="eastAsia" w:ascii="仿宋" w:hAnsi="仿宋" w:eastAsia="仿宋" w:cs="仿宋"/>
          <w:sz w:val="24"/>
          <w:szCs w:val="24"/>
        </w:rPr>
        <w:t>联系人：图尔迪麦麦提·麦麦提</w:t>
      </w:r>
    </w:p>
    <w:p>
      <w:pPr>
        <w:pStyle w:val="2"/>
        <w:rPr>
          <w:rFonts w:hint="eastAsia" w:ascii="仿宋" w:hAnsi="仿宋" w:eastAsia="仿宋" w:cs="仿宋"/>
          <w:sz w:val="24"/>
          <w:szCs w:val="24"/>
        </w:rPr>
      </w:pPr>
      <w:r>
        <w:rPr>
          <w:rFonts w:hint="eastAsia" w:ascii="仿宋" w:hAnsi="仿宋" w:eastAsia="仿宋" w:cs="仿宋"/>
          <w:sz w:val="24"/>
          <w:szCs w:val="24"/>
        </w:rPr>
        <w:t xml:space="preserve">联系方式：18999432034 </w:t>
      </w:r>
    </w:p>
    <w:p>
      <w:pPr>
        <w:pStyle w:val="2"/>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2"/>
        <w:rPr>
          <w:rFonts w:hint="eastAsia" w:ascii="仿宋" w:hAnsi="仿宋" w:eastAsia="仿宋" w:cs="仿宋"/>
          <w:sz w:val="24"/>
          <w:szCs w:val="24"/>
        </w:rPr>
      </w:pPr>
      <w:r>
        <w:rPr>
          <w:rFonts w:hint="eastAsia" w:ascii="仿宋" w:hAnsi="仿宋" w:eastAsia="仿宋" w:cs="仿宋"/>
          <w:sz w:val="24"/>
          <w:szCs w:val="24"/>
        </w:rPr>
        <w:t>名 称：新疆金玖恩项目管理咨询有限公司</w:t>
      </w:r>
    </w:p>
    <w:p>
      <w:pPr>
        <w:pStyle w:val="2"/>
        <w:rPr>
          <w:rFonts w:hint="eastAsia" w:ascii="仿宋" w:hAnsi="仿宋" w:eastAsia="仿宋" w:cs="仿宋"/>
          <w:sz w:val="24"/>
          <w:szCs w:val="24"/>
        </w:rPr>
      </w:pPr>
      <w:r>
        <w:rPr>
          <w:rFonts w:hint="eastAsia" w:ascii="仿宋" w:hAnsi="仿宋" w:eastAsia="仿宋" w:cs="仿宋"/>
          <w:sz w:val="24"/>
          <w:szCs w:val="24"/>
        </w:rPr>
        <w:t>地 址：和田市友谊路友谊大厦2单元301</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常凌风</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13079924303</w:t>
      </w:r>
    </w:p>
    <w:p>
      <w:pPr>
        <w:pStyle w:val="2"/>
        <w:rPr>
          <w:rFonts w:ascii="仿宋" w:hAnsi="仿宋" w:eastAsia="仿宋" w:cs="仿宋"/>
          <w:color w:val="0000FF"/>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ascii="仿宋" w:hAnsi="仿宋" w:eastAsia="仿宋" w:cs="仿宋"/>
        </w:rPr>
      </w:pPr>
      <w:bookmarkStart w:id="22" w:name="_Toc21379"/>
      <w:r>
        <w:rPr>
          <w:rFonts w:hint="eastAsia" w:ascii="仿宋" w:hAnsi="仿宋" w:eastAsia="仿宋" w:cs="仿宋"/>
        </w:rPr>
        <w:t>第二章 投标人须知</w:t>
      </w:r>
      <w:bookmarkEnd w:id="10"/>
      <w:bookmarkEnd w:id="11"/>
      <w:bookmarkEnd w:id="12"/>
      <w:bookmarkEnd w:id="13"/>
      <w:bookmarkEnd w:id="14"/>
      <w:bookmarkEnd w:id="20"/>
      <w:bookmarkEnd w:id="21"/>
      <w:bookmarkEnd w:id="22"/>
      <w:bookmarkStart w:id="23" w:name="_Toc184283909"/>
      <w:bookmarkStart w:id="24" w:name="_Toc184274915"/>
    </w:p>
    <w:p>
      <w:pPr>
        <w:pStyle w:val="4"/>
        <w:spacing w:before="0" w:after="0" w:line="240" w:lineRule="auto"/>
        <w:rPr>
          <w:rFonts w:ascii="仿宋" w:hAnsi="仿宋" w:eastAsia="仿宋" w:cs="仿宋"/>
        </w:rPr>
      </w:pPr>
      <w:bookmarkStart w:id="25" w:name="_Toc213397010"/>
      <w:bookmarkStart w:id="26" w:name="_Toc217446032"/>
      <w:bookmarkStart w:id="27" w:name="_Toc15994"/>
      <w:bookmarkStart w:id="28" w:name="_Toc406749970"/>
      <w:bookmarkStart w:id="29" w:name="_Toc213496268"/>
      <w:bookmarkStart w:id="30" w:name="_Toc189727030"/>
      <w:bookmarkStart w:id="31" w:name="_Toc213396946"/>
      <w:bookmarkStart w:id="32" w:name="_Toc213396760"/>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ind w:left="0" w:leftChars="0" w:firstLine="0" w:firstLineChars="0"/>
        <w:rPr>
          <w:rFonts w:ascii="仿宋" w:hAnsi="仿宋" w:eastAsia="仿宋" w:cs="仿宋"/>
        </w:rPr>
      </w:pPr>
    </w:p>
    <w:p>
      <w:pPr>
        <w:pStyle w:val="4"/>
        <w:spacing w:before="0" w:after="0" w:line="240" w:lineRule="auto"/>
        <w:rPr>
          <w:rFonts w:ascii="仿宋" w:hAnsi="仿宋" w:eastAsia="仿宋" w:cs="仿宋"/>
        </w:rPr>
      </w:pPr>
      <w:bookmarkStart w:id="33" w:name="_Toc25471"/>
      <w:r>
        <w:rPr>
          <w:rFonts w:hint="eastAsia" w:ascii="仿宋" w:hAnsi="仿宋" w:eastAsia="仿宋" w:cs="仿宋"/>
        </w:rPr>
        <w:t>投标人须知前附表</w:t>
      </w:r>
      <w:bookmarkEnd w:id="23"/>
      <w:bookmarkEnd w:id="24"/>
      <w:bookmarkEnd w:id="25"/>
      <w:bookmarkEnd w:id="26"/>
      <w:bookmarkEnd w:id="27"/>
      <w:bookmarkEnd w:id="28"/>
      <w:bookmarkEnd w:id="29"/>
      <w:bookmarkEnd w:id="30"/>
      <w:bookmarkEnd w:id="31"/>
      <w:bookmarkEnd w:id="32"/>
      <w:bookmarkEnd w:id="33"/>
    </w:p>
    <w:p>
      <w:pPr>
        <w:pStyle w:val="58"/>
        <w:spacing w:line="240" w:lineRule="auto"/>
        <w:ind w:firstLine="0" w:firstLineChars="0"/>
        <w:rPr>
          <w:rFonts w:ascii="仿宋" w:hAnsi="仿宋" w:eastAsia="仿宋" w:cs="仿宋"/>
        </w:rPr>
      </w:pPr>
    </w:p>
    <w:tbl>
      <w:tblPr>
        <w:tblStyle w:val="4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102"/>
              <w:spacing w:line="400" w:lineRule="exact"/>
              <w:ind w:left="9"/>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序号 </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条款名称 </w:t>
            </w:r>
          </w:p>
        </w:tc>
        <w:tc>
          <w:tcPr>
            <w:tcW w:w="6077"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采购人</w:t>
            </w:r>
          </w:p>
        </w:tc>
        <w:tc>
          <w:tcPr>
            <w:tcW w:w="6077" w:type="dxa"/>
            <w:vAlign w:val="center"/>
          </w:tcPr>
          <w:p>
            <w:pPr>
              <w:pStyle w:val="102"/>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rPr>
              <w:t>名  称：</w:t>
            </w:r>
            <w:r>
              <w:rPr>
                <w:rFonts w:hint="eastAsia" w:ascii="仿宋" w:hAnsi="仿宋" w:eastAsia="仿宋"/>
                <w:sz w:val="21"/>
                <w:szCs w:val="21"/>
                <w:lang w:eastAsia="zh-CN"/>
              </w:rPr>
              <w:t xml:space="preserve">墨玉县水管总站 </w:t>
            </w:r>
          </w:p>
          <w:p>
            <w:pPr>
              <w:pStyle w:val="102"/>
              <w:spacing w:line="400" w:lineRule="exact"/>
              <w:ind w:right="210" w:rightChars="100" w:firstLine="420" w:firstLineChars="200"/>
              <w:jc w:val="both"/>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联系人：图尔迪麦麦提·麦麦提</w:t>
            </w:r>
          </w:p>
          <w:p>
            <w:pPr>
              <w:pStyle w:val="102"/>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cs="仿宋"/>
                <w:i w:val="0"/>
                <w:caps w:val="0"/>
                <w:color w:val="000000"/>
                <w:spacing w:val="0"/>
                <w:kern w:val="0"/>
                <w:sz w:val="21"/>
                <w:szCs w:val="21"/>
                <w:lang w:val="en-US" w:eastAsia="zh-CN" w:bidi="ar"/>
              </w:rPr>
              <w:t>联系方式：18999432034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采购代理机构</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名  称: 新疆金玖恩项目管理咨询有限公司</w:t>
            </w:r>
          </w:p>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地  址: 和田市友谊路友谊大厦2单元30</w:t>
            </w:r>
            <w:r>
              <w:rPr>
                <w:rFonts w:hint="eastAsia" w:ascii="仿宋" w:hAnsi="仿宋" w:eastAsia="仿宋"/>
                <w:sz w:val="21"/>
                <w:szCs w:val="21"/>
                <w:lang w:val="en-US" w:eastAsia="zh-CN"/>
              </w:rPr>
              <w:t>1</w:t>
            </w:r>
            <w:r>
              <w:rPr>
                <w:rFonts w:hint="eastAsia" w:ascii="仿宋" w:hAnsi="仿宋" w:eastAsia="仿宋"/>
                <w:sz w:val="21"/>
                <w:szCs w:val="21"/>
              </w:rPr>
              <w:t>室</w:t>
            </w:r>
          </w:p>
          <w:p>
            <w:pPr>
              <w:pStyle w:val="102"/>
              <w:spacing w:line="400" w:lineRule="exact"/>
              <w:ind w:left="194" w:leftChars="92" w:right="210" w:rightChars="100" w:hanging="1"/>
              <w:jc w:val="both"/>
              <w:rPr>
                <w:rFonts w:hint="eastAsia" w:ascii="仿宋" w:hAnsi="仿宋" w:eastAsia="仿宋"/>
                <w:sz w:val="21"/>
                <w:szCs w:val="21"/>
                <w:lang w:eastAsia="zh-CN"/>
              </w:rPr>
            </w:pPr>
            <w:r>
              <w:rPr>
                <w:rFonts w:hint="eastAsia" w:ascii="仿宋" w:hAnsi="仿宋" w:eastAsia="仿宋"/>
                <w:sz w:val="21"/>
                <w:szCs w:val="21"/>
              </w:rPr>
              <w:t xml:space="preserve">  联系人: </w:t>
            </w:r>
            <w:r>
              <w:rPr>
                <w:rFonts w:hint="eastAsia" w:ascii="仿宋" w:hAnsi="仿宋" w:eastAsia="仿宋" w:cs="仿宋"/>
                <w:i w:val="0"/>
                <w:caps w:val="0"/>
                <w:color w:val="000000"/>
                <w:spacing w:val="0"/>
                <w:kern w:val="0"/>
                <w:sz w:val="21"/>
                <w:szCs w:val="21"/>
                <w:lang w:val="en-US" w:eastAsia="zh-CN" w:bidi="ar"/>
              </w:rPr>
              <w:t>常凌风</w:t>
            </w:r>
          </w:p>
          <w:p>
            <w:pPr>
              <w:pStyle w:val="102"/>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rPr>
              <w:t xml:space="preserve">  电  话: </w:t>
            </w:r>
            <w:r>
              <w:rPr>
                <w:rFonts w:hint="eastAsia" w:ascii="仿宋" w:hAnsi="仿宋" w:eastAsia="仿宋" w:cs="仿宋"/>
                <w:i w:val="0"/>
                <w:caps w:val="0"/>
                <w:color w:val="000000"/>
                <w:spacing w:val="0"/>
                <w:kern w:val="0"/>
                <w:sz w:val="21"/>
                <w:szCs w:val="21"/>
                <w:lang w:val="en-US" w:eastAsia="zh-CN" w:bidi="ar"/>
              </w:rPr>
              <w:t>13079924303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3</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采购项目名称</w:t>
            </w:r>
          </w:p>
        </w:tc>
        <w:tc>
          <w:tcPr>
            <w:tcW w:w="6077" w:type="dxa"/>
            <w:vAlign w:val="center"/>
          </w:tcPr>
          <w:p>
            <w:pPr>
              <w:pStyle w:val="102"/>
              <w:spacing w:line="400" w:lineRule="exact"/>
              <w:ind w:right="210" w:rightChars="100"/>
              <w:jc w:val="both"/>
              <w:rPr>
                <w:rFonts w:hint="eastAsia" w:ascii="仿宋" w:hAnsi="仿宋" w:eastAsia="仿宋"/>
                <w:sz w:val="21"/>
                <w:szCs w:val="21"/>
                <w:lang w:val="en-US" w:eastAsia="zh-CN"/>
              </w:rPr>
            </w:pPr>
            <w:r>
              <w:rPr>
                <w:rFonts w:hint="eastAsia" w:ascii="仿宋" w:hAnsi="仿宋" w:eastAsia="仿宋"/>
                <w:sz w:val="21"/>
                <w:szCs w:val="21"/>
                <w:lang w:eastAsia="zh-CN"/>
              </w:rPr>
              <w:t>墨玉县引洪闸除险加固工程（自动化）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4</w:t>
            </w:r>
          </w:p>
        </w:tc>
        <w:tc>
          <w:tcPr>
            <w:tcW w:w="2406" w:type="dxa"/>
            <w:vAlign w:val="center"/>
          </w:tcPr>
          <w:p>
            <w:pPr>
              <w:pStyle w:val="102"/>
              <w:spacing w:line="400" w:lineRule="exact"/>
              <w:ind w:left="38" w:leftChars="18" w:firstLine="310" w:firstLineChars="147"/>
              <w:rPr>
                <w:rFonts w:ascii="仿宋" w:hAnsi="仿宋" w:eastAsia="仿宋" w:cs="仿宋"/>
                <w:b/>
                <w:sz w:val="21"/>
                <w:szCs w:val="21"/>
                <w:highlight w:val="none"/>
                <w:lang w:val="zh-CN"/>
              </w:rPr>
            </w:pPr>
            <w:r>
              <w:rPr>
                <w:rFonts w:hint="eastAsia" w:ascii="仿宋" w:hAnsi="仿宋" w:eastAsia="仿宋" w:cs="仿宋"/>
                <w:b/>
                <w:sz w:val="21"/>
                <w:szCs w:val="21"/>
                <w:highlight w:val="none"/>
                <w:lang w:val="zh-CN"/>
              </w:rPr>
              <w:t>采购项目编号</w:t>
            </w:r>
          </w:p>
        </w:tc>
        <w:tc>
          <w:tcPr>
            <w:tcW w:w="6077" w:type="dxa"/>
            <w:vAlign w:val="center"/>
          </w:tcPr>
          <w:p>
            <w:pPr>
              <w:pStyle w:val="102"/>
              <w:spacing w:line="400" w:lineRule="exact"/>
              <w:ind w:left="194" w:leftChars="92" w:right="210" w:rightChars="100" w:hanging="1"/>
              <w:jc w:val="both"/>
              <w:rPr>
                <w:rFonts w:hint="eastAsia" w:ascii="仿宋" w:hAnsi="仿宋" w:eastAsia="仿宋"/>
                <w:sz w:val="21"/>
                <w:szCs w:val="21"/>
                <w:highlight w:val="none"/>
                <w:lang w:eastAsia="zh-CN"/>
              </w:rPr>
            </w:pPr>
            <w:r>
              <w:rPr>
                <w:rFonts w:hint="eastAsia" w:ascii="仿宋" w:hAnsi="仿宋" w:eastAsia="仿宋"/>
                <w:sz w:val="21"/>
                <w:szCs w:val="21"/>
                <w:highlight w:val="none"/>
                <w:lang w:eastAsia="zh-CN"/>
              </w:rPr>
              <w:t>XJJJN-HTCG-2021/143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5</w:t>
            </w:r>
          </w:p>
        </w:tc>
        <w:tc>
          <w:tcPr>
            <w:tcW w:w="2406" w:type="dxa"/>
            <w:vAlign w:val="center"/>
          </w:tcPr>
          <w:p>
            <w:pPr>
              <w:pStyle w:val="102"/>
              <w:spacing w:line="400" w:lineRule="exact"/>
              <w:ind w:left="38"/>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项目资金及来源</w:t>
            </w:r>
          </w:p>
        </w:tc>
        <w:tc>
          <w:tcPr>
            <w:tcW w:w="6077" w:type="dxa"/>
            <w:vAlign w:val="center"/>
          </w:tcPr>
          <w:p>
            <w:pPr>
              <w:pStyle w:val="102"/>
              <w:spacing w:line="400" w:lineRule="exact"/>
              <w:ind w:right="210" w:rightChars="100"/>
              <w:jc w:val="both"/>
              <w:rPr>
                <w:rFonts w:hint="default" w:ascii="仿宋" w:hAnsi="仿宋" w:eastAsia="仿宋"/>
                <w:color w:val="000000" w:themeColor="text1"/>
                <w:sz w:val="21"/>
                <w:szCs w:val="21"/>
                <w:lang w:val="en-US" w:eastAsia="zh-CN"/>
              </w:rPr>
            </w:pPr>
            <w:r>
              <w:rPr>
                <w:rFonts w:hint="eastAsia" w:ascii="仿宋" w:hAnsi="仿宋" w:eastAsia="仿宋"/>
                <w:color w:val="000000" w:themeColor="text1"/>
                <w:sz w:val="21"/>
                <w:szCs w:val="21"/>
                <w:lang w:val="en-US" w:eastAsia="zh-CN"/>
              </w:rPr>
              <w:t xml:space="preserve"> 衔接资金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6</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预算最高限价</w:t>
            </w:r>
          </w:p>
        </w:tc>
        <w:tc>
          <w:tcPr>
            <w:tcW w:w="6077" w:type="dxa"/>
            <w:vAlign w:val="center"/>
          </w:tcPr>
          <w:p>
            <w:pPr>
              <w:pStyle w:val="102"/>
              <w:spacing w:line="400" w:lineRule="exact"/>
              <w:ind w:right="210" w:rightChars="100"/>
              <w:jc w:val="both"/>
              <w:rPr>
                <w:rFonts w:ascii="仿宋" w:hAnsi="仿宋" w:eastAsia="仿宋"/>
                <w:sz w:val="21"/>
                <w:szCs w:val="21"/>
              </w:rPr>
            </w:pPr>
            <w:r>
              <w:rPr>
                <w:rFonts w:hint="eastAsia" w:ascii="仿宋" w:hAnsi="仿宋" w:eastAsia="仿宋" w:cs="仿宋"/>
                <w:i w:val="0"/>
                <w:caps w:val="0"/>
                <w:color w:val="000000" w:themeColor="text1"/>
                <w:spacing w:val="0"/>
                <w:sz w:val="21"/>
                <w:szCs w:val="21"/>
                <w:lang w:val="en-US" w:eastAsia="zh-CN"/>
              </w:rPr>
              <w:t>1833005.28 元</w:t>
            </w:r>
            <w:r>
              <w:rPr>
                <w:rFonts w:hint="eastAsia" w:ascii="仿宋" w:hAnsi="仿宋" w:eastAsia="仿宋" w:cs="仿宋"/>
                <w:i w:val="0"/>
                <w:caps w:val="0"/>
                <w:color w:val="000000"/>
                <w:spacing w:val="0"/>
                <w:sz w:val="21"/>
                <w:szCs w:val="21"/>
                <w:lang w:val="en-US" w:eastAsia="zh-CN"/>
              </w:rPr>
              <w:t>（货物的供应、运输、安装、开具发票及相关售后服务等，此采购预算为最高限价、如超过预算价的报价为无效报价)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7</w:t>
            </w:r>
          </w:p>
        </w:tc>
        <w:tc>
          <w:tcPr>
            <w:tcW w:w="2406" w:type="dxa"/>
            <w:vAlign w:val="center"/>
          </w:tcPr>
          <w:p>
            <w:pPr>
              <w:pStyle w:val="102"/>
              <w:spacing w:line="400" w:lineRule="exact"/>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招标文件售价</w:t>
            </w:r>
          </w:p>
        </w:tc>
        <w:tc>
          <w:tcPr>
            <w:tcW w:w="6077" w:type="dxa"/>
            <w:vAlign w:val="center"/>
          </w:tcPr>
          <w:p>
            <w:pPr>
              <w:pStyle w:val="102"/>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ind w:left="38"/>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采购方式</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竞争性谈判（谈判小组按照采购人需求（谈判内容）从投标人投标文件同时满足的情况下进行最终二次报价，按照最终报价由低到高顺序推荐中标候选人。）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96"/>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评标方法</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最低评标价法（即在“符合采购需求、质量和服务相等”的前提下，根据投标报价由低到高，按顺序确定中标候选人。）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012" w:type="dxa"/>
            <w:vAlign w:val="center"/>
          </w:tcPr>
          <w:p>
            <w:pPr>
              <w:pStyle w:val="102"/>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10</w:t>
            </w:r>
          </w:p>
        </w:tc>
        <w:tc>
          <w:tcPr>
            <w:tcW w:w="2406" w:type="dxa"/>
            <w:vAlign w:val="center"/>
          </w:tcPr>
          <w:p>
            <w:pPr>
              <w:pStyle w:val="102"/>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交货期</w:t>
            </w:r>
          </w:p>
        </w:tc>
        <w:tc>
          <w:tcPr>
            <w:tcW w:w="6077" w:type="dxa"/>
            <w:vAlign w:val="center"/>
          </w:tcPr>
          <w:p>
            <w:pPr>
              <w:pStyle w:val="102"/>
              <w:spacing w:line="400" w:lineRule="exact"/>
              <w:ind w:left="194" w:leftChars="92" w:right="210" w:rightChars="100" w:hanging="1"/>
              <w:jc w:val="both"/>
              <w:rPr>
                <w:rFonts w:ascii="仿宋" w:hAnsi="仿宋" w:eastAsia="仿宋"/>
                <w:color w:val="000000" w:themeColor="text1"/>
                <w:sz w:val="21"/>
                <w:szCs w:val="21"/>
                <w:lang w:val="zh-CN"/>
              </w:rPr>
            </w:pPr>
            <w:r>
              <w:rPr>
                <w:rFonts w:hint="eastAsia" w:ascii="仿宋" w:hAnsi="仿宋" w:eastAsia="仿宋"/>
                <w:color w:val="000000" w:themeColor="text1"/>
                <w:sz w:val="21"/>
                <w:szCs w:val="21"/>
                <w:lang w:val="zh-CN"/>
              </w:rPr>
              <w:t>合同签订后60日历日供货并安装完毕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1</w:t>
            </w:r>
          </w:p>
        </w:tc>
        <w:tc>
          <w:tcPr>
            <w:tcW w:w="2406" w:type="dxa"/>
            <w:vAlign w:val="center"/>
          </w:tcPr>
          <w:p>
            <w:pPr>
              <w:pStyle w:val="102"/>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质量要求</w:t>
            </w:r>
          </w:p>
        </w:tc>
        <w:tc>
          <w:tcPr>
            <w:tcW w:w="6077" w:type="dxa"/>
            <w:vAlign w:val="center"/>
          </w:tcPr>
          <w:p>
            <w:pPr>
              <w:pStyle w:val="102"/>
              <w:spacing w:line="400" w:lineRule="exact"/>
              <w:ind w:right="210" w:rightChars="100" w:firstLine="210" w:firstLineChars="100"/>
              <w:jc w:val="both"/>
              <w:rPr>
                <w:rFonts w:hint="eastAsia"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2</w:t>
            </w:r>
          </w:p>
        </w:tc>
        <w:tc>
          <w:tcPr>
            <w:tcW w:w="2406" w:type="dxa"/>
            <w:vAlign w:val="center"/>
          </w:tcPr>
          <w:p>
            <w:pPr>
              <w:pStyle w:val="102"/>
              <w:spacing w:line="400" w:lineRule="exact"/>
              <w:ind w:left="235"/>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联合体投标</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3</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考察现场、标前答疑会</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招标采购单位认为有必要，另行书面通知。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4</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投标人对竞争性谈判文件</w:t>
            </w:r>
          </w:p>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提出答疑的时间</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自竞争性谈判文件发售时间起的三个工作日内。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jc w:val="center"/>
        </w:trPr>
        <w:tc>
          <w:tcPr>
            <w:tcW w:w="1012" w:type="dxa"/>
            <w:vAlign w:val="center"/>
          </w:tcPr>
          <w:p>
            <w:pPr>
              <w:pStyle w:val="102"/>
              <w:spacing w:line="400" w:lineRule="exact"/>
              <w:ind w:right="23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zh-CN"/>
              </w:rPr>
              <w:t>1</w:t>
            </w:r>
            <w:r>
              <w:rPr>
                <w:rFonts w:hint="eastAsia" w:ascii="仿宋" w:hAnsi="仿宋" w:eastAsia="仿宋" w:cs="仿宋"/>
                <w:b/>
                <w:color w:val="auto"/>
                <w:sz w:val="21"/>
                <w:szCs w:val="21"/>
                <w:lang w:val="en-US" w:eastAsia="zh-CN"/>
              </w:rPr>
              <w:t>5</w:t>
            </w:r>
          </w:p>
        </w:tc>
        <w:tc>
          <w:tcPr>
            <w:tcW w:w="2406" w:type="dxa"/>
            <w:vAlign w:val="center"/>
          </w:tcPr>
          <w:p>
            <w:pPr>
              <w:pStyle w:val="102"/>
              <w:spacing w:line="400" w:lineRule="exact"/>
              <w:rPr>
                <w:rFonts w:ascii="仿宋" w:hAnsi="仿宋" w:eastAsia="仿宋" w:cs="仿宋"/>
                <w:b/>
                <w:color w:val="auto"/>
                <w:sz w:val="21"/>
                <w:szCs w:val="21"/>
                <w:lang w:val="zh-CN"/>
              </w:rPr>
            </w:pPr>
            <w:r>
              <w:rPr>
                <w:rFonts w:hint="eastAsia" w:ascii="仿宋" w:hAnsi="仿宋" w:eastAsia="仿宋" w:cs="仿宋"/>
                <w:b/>
                <w:color w:val="auto"/>
                <w:sz w:val="21"/>
                <w:szCs w:val="21"/>
                <w:lang w:val="zh-CN"/>
              </w:rPr>
              <w:t xml:space="preserve">       分包履约</w:t>
            </w:r>
          </w:p>
        </w:tc>
        <w:tc>
          <w:tcPr>
            <w:tcW w:w="6077" w:type="dxa"/>
            <w:vAlign w:val="center"/>
          </w:tcPr>
          <w:p>
            <w:pPr>
              <w:pStyle w:val="102"/>
              <w:spacing w:line="400" w:lineRule="exact"/>
              <w:ind w:right="210" w:rightChars="100"/>
              <w:jc w:val="both"/>
              <w:rPr>
                <w:rFonts w:ascii="仿宋" w:hAnsi="仿宋" w:eastAsia="仿宋"/>
                <w:color w:val="auto"/>
                <w:sz w:val="21"/>
                <w:szCs w:val="21"/>
              </w:rPr>
            </w:pPr>
            <w:r>
              <w:rPr>
                <w:rFonts w:hint="eastAsia" w:ascii="仿宋" w:hAnsi="仿宋" w:eastAsia="仿宋"/>
                <w:color w:val="auto"/>
                <w:sz w:val="21"/>
                <w:szCs w:val="21"/>
                <w:lang w:val="zh-CN"/>
              </w:rPr>
              <w:t>不</w:t>
            </w:r>
            <w:r>
              <w:rPr>
                <w:rFonts w:hint="eastAsia" w:ascii="仿宋" w:hAnsi="仿宋" w:eastAsia="仿宋"/>
                <w:color w:val="auto"/>
                <w:sz w:val="21"/>
                <w:szCs w:val="21"/>
                <w:lang w:val="en-US" w:eastAsia="zh-CN"/>
              </w:rPr>
              <w:t>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6</w:t>
            </w:r>
          </w:p>
        </w:tc>
        <w:tc>
          <w:tcPr>
            <w:tcW w:w="2406" w:type="dxa"/>
            <w:vAlign w:val="center"/>
          </w:tcPr>
          <w:p>
            <w:pPr>
              <w:pStyle w:val="102"/>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构成竞争性谈判文件的其他文件</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竞争性谈判文件的澄清</w:t>
            </w:r>
            <w:r>
              <w:rPr>
                <w:rFonts w:hint="eastAsia" w:ascii="仿宋" w:hAnsi="仿宋" w:eastAsia="仿宋"/>
                <w:sz w:val="21"/>
                <w:szCs w:val="21"/>
              </w:rPr>
              <w:t>、修改书及有关补充通知为竞争性谈判文件的有效组成部分。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7</w:t>
            </w:r>
          </w:p>
        </w:tc>
        <w:tc>
          <w:tcPr>
            <w:tcW w:w="2406" w:type="dxa"/>
            <w:vAlign w:val="center"/>
          </w:tcPr>
          <w:p>
            <w:pPr>
              <w:pStyle w:val="102"/>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投标截止时间</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20</w:t>
            </w:r>
            <w:r>
              <w:rPr>
                <w:rFonts w:hint="eastAsia" w:ascii="仿宋" w:hAnsi="仿宋" w:eastAsia="仿宋"/>
                <w:sz w:val="21"/>
                <w:szCs w:val="21"/>
                <w:lang w:val="en-US" w:eastAsia="zh-CN"/>
              </w:rPr>
              <w:t>21</w:t>
            </w:r>
            <w:r>
              <w:rPr>
                <w:rFonts w:hint="eastAsia" w:ascii="仿宋" w:hAnsi="仿宋" w:eastAsia="仿宋"/>
                <w:sz w:val="21"/>
                <w:szCs w:val="21"/>
                <w:lang w:val="zh-CN"/>
              </w:rPr>
              <w:t>年</w:t>
            </w:r>
            <w:r>
              <w:rPr>
                <w:rFonts w:hint="eastAsia" w:ascii="仿宋" w:hAnsi="仿宋" w:eastAsia="仿宋"/>
                <w:sz w:val="21"/>
                <w:szCs w:val="21"/>
                <w:lang w:val="en-US" w:eastAsia="zh-CN"/>
              </w:rPr>
              <w:t>11</w:t>
            </w:r>
            <w:r>
              <w:rPr>
                <w:rFonts w:hint="eastAsia" w:ascii="仿宋" w:hAnsi="仿宋" w:eastAsia="仿宋"/>
                <w:sz w:val="21"/>
                <w:szCs w:val="21"/>
                <w:lang w:val="zh-CN"/>
              </w:rPr>
              <w:t>月</w:t>
            </w:r>
            <w:r>
              <w:rPr>
                <w:rFonts w:hint="eastAsia" w:ascii="仿宋" w:hAnsi="仿宋" w:eastAsia="仿宋"/>
                <w:sz w:val="21"/>
                <w:szCs w:val="21"/>
                <w:lang w:val="en-US" w:eastAsia="zh-CN"/>
              </w:rPr>
              <w:t>17</w:t>
            </w:r>
            <w:r>
              <w:rPr>
                <w:rFonts w:hint="eastAsia" w:ascii="仿宋" w:hAnsi="仿宋" w:eastAsia="仿宋"/>
                <w:sz w:val="21"/>
                <w:szCs w:val="21"/>
                <w:lang w:val="zh-CN"/>
              </w:rPr>
              <w:t>日1</w:t>
            </w:r>
            <w:r>
              <w:rPr>
                <w:rFonts w:hint="eastAsia" w:ascii="仿宋" w:hAnsi="仿宋" w:eastAsia="仿宋"/>
                <w:sz w:val="21"/>
                <w:szCs w:val="21"/>
                <w:lang w:val="en-US" w:eastAsia="zh-CN"/>
              </w:rPr>
              <w:t>1</w:t>
            </w:r>
            <w:r>
              <w:rPr>
                <w:rFonts w:hint="eastAsia" w:ascii="仿宋" w:hAnsi="仿宋" w:eastAsia="仿宋"/>
                <w:sz w:val="21"/>
                <w:szCs w:val="21"/>
                <w:lang w:val="zh-CN"/>
              </w:rPr>
              <w:t>:</w:t>
            </w:r>
            <w:r>
              <w:rPr>
                <w:rFonts w:hint="eastAsia" w:ascii="仿宋" w:hAnsi="仿宋" w:eastAsia="仿宋"/>
                <w:sz w:val="21"/>
                <w:szCs w:val="21"/>
              </w:rPr>
              <w:t>0</w:t>
            </w:r>
            <w:r>
              <w:rPr>
                <w:rFonts w:hint="eastAsia" w:ascii="仿宋" w:hAnsi="仿宋" w:eastAsia="仿宋"/>
                <w:sz w:val="21"/>
                <w:szCs w:val="21"/>
                <w:lang w:val="zh-CN"/>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投标有效期</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en-US" w:eastAsia="zh-CN"/>
              </w:rPr>
              <w:t>9</w:t>
            </w:r>
            <w:r>
              <w:rPr>
                <w:rFonts w:hint="eastAsia" w:ascii="仿宋" w:hAnsi="仿宋" w:eastAsia="仿宋"/>
                <w:sz w:val="21"/>
                <w:szCs w:val="21"/>
                <w:lang w:val="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33"/>
              <w:jc w:val="center"/>
              <w:rPr>
                <w:rFonts w:ascii="仿宋" w:hAnsi="仿宋" w:eastAsia="仿宋" w:cs="仿宋"/>
                <w:b/>
                <w:sz w:val="21"/>
                <w:szCs w:val="21"/>
                <w:lang w:val="zh-CN"/>
              </w:rPr>
            </w:pPr>
            <w:r>
              <w:rPr>
                <w:rFonts w:hint="eastAsia" w:ascii="仿宋" w:hAnsi="仿宋" w:eastAsia="仿宋" w:cs="仿宋"/>
                <w:b/>
                <w:sz w:val="21"/>
                <w:szCs w:val="21"/>
                <w:lang w:val="zh-CN"/>
              </w:rPr>
              <w:t>投标保证金</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投标保证金额：</w:t>
            </w:r>
            <w:r>
              <w:rPr>
                <w:rFonts w:hint="eastAsia" w:ascii="仿宋" w:hAnsi="仿宋" w:eastAsia="仿宋"/>
                <w:sz w:val="21"/>
                <w:szCs w:val="21"/>
                <w:lang w:val="en-US" w:eastAsia="zh-CN"/>
              </w:rPr>
              <w:t>30000</w:t>
            </w:r>
            <w:r>
              <w:rPr>
                <w:rFonts w:hint="eastAsia" w:ascii="仿宋" w:hAnsi="仿宋" w:eastAsia="仿宋"/>
                <w:sz w:val="21"/>
                <w:szCs w:val="21"/>
              </w:rPr>
              <w:t>.00元（大写：</w:t>
            </w:r>
            <w:r>
              <w:rPr>
                <w:rFonts w:hint="eastAsia" w:ascii="仿宋" w:hAnsi="仿宋" w:eastAsia="仿宋"/>
                <w:sz w:val="21"/>
                <w:szCs w:val="21"/>
                <w:lang w:val="en-US" w:eastAsia="zh-CN"/>
              </w:rPr>
              <w:t>叁</w:t>
            </w:r>
            <w:r>
              <w:rPr>
                <w:rFonts w:hint="eastAsia" w:ascii="仿宋" w:hAnsi="仿宋" w:eastAsia="仿宋"/>
                <w:sz w:val="21"/>
                <w:szCs w:val="21"/>
                <w:lang w:eastAsia="zh-CN"/>
              </w:rPr>
              <w:t>万元整</w:t>
            </w:r>
            <w:r>
              <w:rPr>
                <w:rFonts w:hint="eastAsia" w:ascii="仿宋" w:hAnsi="仿宋" w:eastAsia="仿宋"/>
                <w:sz w:val="21"/>
                <w:szCs w:val="21"/>
              </w:rPr>
              <w:t>）</w:t>
            </w:r>
          </w:p>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 xml:space="preserve">投标保证金的缴纳： </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投标人应在2021年11月16日19:00时之前（确保在此期限之前到账），将投标保证金由投标人的基本账户转入招标人指定账户，否则视为投标保证金无效； </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招标人指定的开户银行及账号如下：</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账户名称：墨玉县公共资源交易平台中心</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    户：879010012010178915451</w:t>
            </w:r>
            <w:bookmarkStart w:id="226" w:name="_GoBack"/>
            <w:bookmarkEnd w:id="226"/>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开户银行：墨玉县农村信用合作联社</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联系电话：0903-6513229  </w:t>
            </w:r>
          </w:p>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lang w:val="zh-CN"/>
              </w:rPr>
              <w:t>备注：1、由投标人基本账户汇出，且不得以分公司的名义转账；</w:t>
            </w:r>
            <w:r>
              <w:rPr>
                <w:rFonts w:hint="eastAsia" w:ascii="仿宋" w:hAnsi="仿宋" w:eastAsia="仿宋"/>
                <w:sz w:val="21"/>
                <w:szCs w:val="21"/>
                <w:lang w:val="en-US" w:eastAsia="zh-CN"/>
              </w:rPr>
              <w:t>2</w:t>
            </w:r>
            <w:r>
              <w:rPr>
                <w:rFonts w:hint="eastAsia" w:ascii="仿宋" w:hAnsi="仿宋" w:eastAsia="仿宋"/>
                <w:sz w:val="21"/>
                <w:szCs w:val="21"/>
                <w:lang w:val="zh-CN"/>
              </w:rPr>
              <w:t>、投标保证金需在开标前一天到账，银行交付24小时后到墨玉县公共资源交易领导小组办公室203室换投标保证金收据；</w:t>
            </w:r>
            <w:r>
              <w:rPr>
                <w:rFonts w:hint="eastAsia" w:ascii="仿宋" w:hAnsi="仿宋" w:eastAsia="仿宋"/>
                <w:sz w:val="21"/>
                <w:szCs w:val="21"/>
                <w:lang w:val="en-US" w:eastAsia="zh-CN"/>
              </w:rPr>
              <w:t>3、保证金汇款时必须标明项目名称或项目编号，如未注明将视为无效保证金。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012" w:type="dxa"/>
            <w:vAlign w:val="center"/>
          </w:tcPr>
          <w:p>
            <w:pPr>
              <w:pStyle w:val="102"/>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20</w:t>
            </w:r>
          </w:p>
        </w:tc>
        <w:tc>
          <w:tcPr>
            <w:tcW w:w="2406" w:type="dxa"/>
            <w:vAlign w:val="center"/>
          </w:tcPr>
          <w:p>
            <w:pPr>
              <w:pStyle w:val="102"/>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财务报表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具有良好的商业信誉和健全的财务会计制度。（须提供20</w:t>
            </w:r>
            <w:r>
              <w:rPr>
                <w:rFonts w:hint="eastAsia" w:ascii="仿宋" w:hAnsi="仿宋" w:eastAsia="仿宋"/>
                <w:sz w:val="21"/>
                <w:szCs w:val="21"/>
                <w:lang w:val="en-US" w:eastAsia="zh-CN"/>
              </w:rPr>
              <w:t>20</w:t>
            </w:r>
            <w:r>
              <w:rPr>
                <w:rFonts w:hint="eastAsia" w:ascii="仿宋" w:hAnsi="仿宋" w:eastAsia="仿宋"/>
                <w:sz w:val="21"/>
                <w:szCs w:val="21"/>
                <w:lang w:val="zh-CN"/>
              </w:rPr>
              <w:t>年度财务审计报告，</w:t>
            </w:r>
            <w:r>
              <w:rPr>
                <w:rFonts w:hint="eastAsia" w:ascii="仿宋" w:hAnsi="仿宋" w:eastAsia="仿宋"/>
                <w:sz w:val="21"/>
                <w:szCs w:val="21"/>
                <w:lang w:val="en-US" w:eastAsia="zh-CN"/>
              </w:rPr>
              <w:t>2021年新成立公司无需提供</w:t>
            </w:r>
            <w:r>
              <w:rPr>
                <w:rFonts w:hint="eastAsia" w:ascii="仿宋" w:hAnsi="仿宋" w:eastAsia="仿宋"/>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1</w:t>
            </w:r>
          </w:p>
        </w:tc>
        <w:tc>
          <w:tcPr>
            <w:tcW w:w="2406" w:type="dxa"/>
            <w:vAlign w:val="center"/>
          </w:tcPr>
          <w:p>
            <w:pPr>
              <w:pStyle w:val="102"/>
              <w:spacing w:line="400" w:lineRule="exact"/>
              <w:ind w:right="2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备选投标方案和报价</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不接受备选投标方案，允许二次报价。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2</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签字盖章</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投标人必须按照竞争性谈判文件的规定和要求签字、盖章。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4"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3</w:t>
            </w:r>
          </w:p>
        </w:tc>
        <w:tc>
          <w:tcPr>
            <w:tcW w:w="2406" w:type="dxa"/>
            <w:vAlign w:val="center"/>
          </w:tcPr>
          <w:p>
            <w:pPr>
              <w:pStyle w:val="102"/>
              <w:spacing w:line="400" w:lineRule="exact"/>
              <w:ind w:firstLine="211" w:firstLineChars="100"/>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投标文件份数及密封</w:t>
            </w:r>
          </w:p>
        </w:tc>
        <w:tc>
          <w:tcPr>
            <w:tcW w:w="6077" w:type="dxa"/>
            <w:vAlign w:val="center"/>
          </w:tcPr>
          <w:p>
            <w:pPr>
              <w:pStyle w:val="102"/>
              <w:spacing w:line="400" w:lineRule="exact"/>
              <w:ind w:firstLine="211" w:firstLineChars="100"/>
              <w:jc w:val="both"/>
              <w:rPr>
                <w:rFonts w:ascii="仿宋" w:hAnsi="仿宋" w:eastAsia="仿宋" w:cs="仿宋"/>
                <w:b/>
                <w:bCs/>
                <w:color w:val="000000"/>
                <w:sz w:val="21"/>
                <w:szCs w:val="21"/>
                <w:lang w:val="zh-CN"/>
              </w:rPr>
            </w:pPr>
            <w:r>
              <w:rPr>
                <w:rFonts w:hint="eastAsia" w:ascii="仿宋" w:hAnsi="仿宋" w:eastAsia="仿宋" w:cs="仿宋"/>
                <w:b/>
                <w:bCs/>
                <w:color w:val="000000"/>
                <w:sz w:val="21"/>
                <w:szCs w:val="21"/>
                <w:lang w:val="zh-CN"/>
              </w:rPr>
              <w:t>正本1份；副本</w:t>
            </w:r>
            <w:r>
              <w:rPr>
                <w:rFonts w:hint="eastAsia" w:ascii="仿宋" w:hAnsi="仿宋" w:eastAsia="仿宋" w:cs="仿宋"/>
                <w:b/>
                <w:bCs/>
                <w:color w:val="000000"/>
                <w:sz w:val="21"/>
                <w:szCs w:val="21"/>
                <w:lang w:val="en-US" w:eastAsia="zh-CN"/>
              </w:rPr>
              <w:t>4</w:t>
            </w:r>
            <w:r>
              <w:rPr>
                <w:rFonts w:hint="eastAsia" w:ascii="仿宋" w:hAnsi="仿宋" w:eastAsia="仿宋" w:cs="仿宋"/>
                <w:b/>
                <w:bCs/>
                <w:color w:val="000000"/>
                <w:sz w:val="21"/>
                <w:szCs w:val="21"/>
                <w:lang w:val="zh-CN"/>
              </w:rPr>
              <w:t>份；电子文档（光盘）1份；用于唱标的“开标一览表”一份。</w:t>
            </w:r>
          </w:p>
          <w:p>
            <w:pPr>
              <w:pStyle w:val="102"/>
              <w:spacing w:line="400" w:lineRule="exact"/>
              <w:ind w:firstLine="211" w:firstLineChars="100"/>
              <w:jc w:val="both"/>
              <w:rPr>
                <w:rFonts w:hint="eastAsia" w:ascii="仿宋" w:hAnsi="仿宋" w:eastAsia="仿宋" w:cs="仿宋"/>
                <w:color w:val="000000"/>
                <w:sz w:val="21"/>
                <w:szCs w:val="21"/>
                <w:u w:val="single"/>
                <w:lang w:val="en-US" w:eastAsia="zh-CN"/>
              </w:rPr>
            </w:pPr>
            <w:r>
              <w:rPr>
                <w:rFonts w:hint="eastAsia" w:ascii="仿宋" w:hAnsi="仿宋" w:eastAsia="仿宋" w:cs="仿宋"/>
                <w:b/>
                <w:bCs/>
                <w:color w:val="000000"/>
                <w:sz w:val="21"/>
                <w:szCs w:val="21"/>
                <w:lang w:val="zh-CN"/>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否则视为不响应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4</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投标文件的装订</w:t>
            </w:r>
          </w:p>
        </w:tc>
        <w:tc>
          <w:tcPr>
            <w:tcW w:w="6077" w:type="dxa"/>
            <w:vAlign w:val="center"/>
          </w:tcPr>
          <w:p>
            <w:pPr>
              <w:pStyle w:val="102"/>
              <w:spacing w:line="400" w:lineRule="exact"/>
              <w:ind w:firstLine="211" w:firstLineChars="100"/>
              <w:rPr>
                <w:rFonts w:ascii="仿宋" w:hAnsi="仿宋" w:eastAsia="仿宋" w:cs="仿宋"/>
                <w:color w:val="000000"/>
                <w:sz w:val="21"/>
                <w:szCs w:val="21"/>
                <w:lang w:val="zh-CN"/>
              </w:rPr>
            </w:pPr>
            <w:r>
              <w:rPr>
                <w:rFonts w:hint="eastAsia" w:ascii="仿宋" w:hAnsi="仿宋" w:eastAsia="仿宋" w:cs="仿宋"/>
                <w:b/>
                <w:bCs/>
                <w:color w:val="000000"/>
                <w:sz w:val="21"/>
                <w:szCs w:val="21"/>
                <w:lang w:val="zh-CN"/>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5</w:t>
            </w:r>
          </w:p>
        </w:tc>
        <w:tc>
          <w:tcPr>
            <w:tcW w:w="2406" w:type="dxa"/>
            <w:vAlign w:val="center"/>
          </w:tcPr>
          <w:p>
            <w:pPr>
              <w:pStyle w:val="102"/>
              <w:spacing w:line="400" w:lineRule="exact"/>
              <w:ind w:left="351" w:leftChars="167"/>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投标文件封面的标注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投标文件正本和副本的封面上均应标明：招标项目名称、项目编号、分包号（如有分包）、投标人名称、年月日；分别在右上角标明“正本”和“副本”字样。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6</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投标文件外层</w:t>
            </w:r>
          </w:p>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密封袋的标注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招标项目名称、项目编号、分包号（如有分包）、投标人名称、年月日；并分别在右上角标明“正本”和“副本”字样。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1012" w:type="dxa"/>
            <w:vAlign w:val="center"/>
          </w:tcPr>
          <w:p>
            <w:pPr>
              <w:pStyle w:val="102"/>
              <w:spacing w:line="400" w:lineRule="exact"/>
              <w:ind w:right="264"/>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zh-CN"/>
              </w:rPr>
              <w:t>2</w:t>
            </w:r>
            <w:r>
              <w:rPr>
                <w:rFonts w:hint="eastAsia" w:ascii="仿宋" w:hAnsi="仿宋" w:eastAsia="仿宋" w:cs="仿宋"/>
                <w:b/>
                <w:sz w:val="21"/>
                <w:szCs w:val="21"/>
                <w:lang w:val="en-US" w:eastAsia="zh-CN"/>
              </w:rPr>
              <w:t>7</w:t>
            </w:r>
          </w:p>
        </w:tc>
        <w:tc>
          <w:tcPr>
            <w:tcW w:w="2406" w:type="dxa"/>
            <w:vAlign w:val="center"/>
          </w:tcPr>
          <w:p>
            <w:pPr>
              <w:pStyle w:val="102"/>
              <w:spacing w:line="400" w:lineRule="exact"/>
              <w:ind w:left="350"/>
              <w:rPr>
                <w:rFonts w:ascii="仿宋" w:hAnsi="仿宋" w:eastAsia="仿宋" w:cs="仿宋"/>
                <w:b/>
                <w:sz w:val="21"/>
                <w:szCs w:val="21"/>
                <w:lang w:val="zh-CN"/>
              </w:rPr>
            </w:pPr>
            <w:r>
              <w:rPr>
                <w:rFonts w:hint="eastAsia" w:ascii="仿宋" w:hAnsi="仿宋" w:eastAsia="仿宋" w:cs="仿宋"/>
                <w:b/>
                <w:sz w:val="21"/>
                <w:szCs w:val="21"/>
                <w:lang w:val="zh-CN"/>
              </w:rPr>
              <w:t>递交投标文件地点</w:t>
            </w:r>
          </w:p>
        </w:tc>
        <w:tc>
          <w:tcPr>
            <w:tcW w:w="6077" w:type="dxa"/>
            <w:vAlign w:val="center"/>
          </w:tcPr>
          <w:p>
            <w:pPr>
              <w:autoSpaceDE w:val="0"/>
              <w:autoSpaceDN w:val="0"/>
              <w:adjustRightInd w:val="0"/>
              <w:spacing w:line="400" w:lineRule="exact"/>
              <w:jc w:val="left"/>
              <w:rPr>
                <w:rFonts w:hint="eastAsia" w:ascii="仿宋" w:hAnsi="仿宋" w:eastAsia="仿宋" w:cs="仿宋"/>
                <w:sz w:val="21"/>
                <w:szCs w:val="21"/>
                <w:lang w:eastAsia="zh-CN"/>
              </w:rPr>
            </w:pPr>
            <w:r>
              <w:rPr>
                <w:rFonts w:hint="eastAsia" w:ascii="仿宋" w:hAnsi="仿宋" w:eastAsia="仿宋" w:cs="宋体"/>
                <w:color w:val="FF0000"/>
                <w:kern w:val="0"/>
                <w:sz w:val="21"/>
                <w:szCs w:val="21"/>
                <w:lang w:val="en-US" w:eastAsia="zh-CN"/>
              </w:rPr>
              <w:t xml:space="preserve"> </w:t>
            </w:r>
            <w:r>
              <w:rPr>
                <w:rFonts w:hint="eastAsia" w:ascii="仿宋" w:hAnsi="仿宋" w:eastAsia="仿宋" w:cs="宋体"/>
                <w:color w:val="000000" w:themeColor="text1"/>
                <w:kern w:val="0"/>
                <w:sz w:val="21"/>
                <w:szCs w:val="21"/>
                <w:lang w:val="en-US" w:eastAsia="zh-CN"/>
              </w:rPr>
              <w:t>和田地区行政服务和公共资源交易中心三楼开标厅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1012" w:type="dxa"/>
            <w:vAlign w:val="center"/>
          </w:tcPr>
          <w:p>
            <w:pPr>
              <w:pStyle w:val="102"/>
              <w:spacing w:line="400" w:lineRule="exact"/>
              <w:ind w:firstLine="310" w:firstLineChars="147"/>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开标时间和地点</w:t>
            </w:r>
          </w:p>
        </w:tc>
        <w:tc>
          <w:tcPr>
            <w:tcW w:w="6077" w:type="dxa"/>
            <w:vAlign w:val="center"/>
          </w:tcPr>
          <w:p>
            <w:pPr>
              <w:autoSpaceDE w:val="0"/>
              <w:autoSpaceDN w:val="0"/>
              <w:adjustRightInd w:val="0"/>
              <w:spacing w:line="400" w:lineRule="exact"/>
              <w:jc w:val="left"/>
              <w:rPr>
                <w:rFonts w:ascii="仿宋" w:hAnsi="仿宋" w:eastAsia="仿宋" w:cs="宋体"/>
                <w:kern w:val="0"/>
                <w:sz w:val="21"/>
                <w:szCs w:val="21"/>
                <w:lang w:val="zh-CN"/>
              </w:rPr>
            </w:pPr>
            <w:r>
              <w:rPr>
                <w:rFonts w:hint="eastAsia" w:ascii="仿宋" w:hAnsi="仿宋" w:eastAsia="仿宋" w:cs="宋体"/>
                <w:kern w:val="0"/>
                <w:sz w:val="21"/>
                <w:szCs w:val="21"/>
                <w:lang w:val="zh-CN"/>
              </w:rPr>
              <w:t>开标时间：20</w:t>
            </w:r>
            <w:r>
              <w:rPr>
                <w:rFonts w:hint="eastAsia" w:ascii="仿宋" w:hAnsi="仿宋" w:eastAsia="仿宋" w:cs="宋体"/>
                <w:kern w:val="0"/>
                <w:sz w:val="21"/>
                <w:szCs w:val="21"/>
                <w:lang w:val="en-US" w:eastAsia="zh-CN"/>
              </w:rPr>
              <w:t>21</w:t>
            </w:r>
            <w:r>
              <w:rPr>
                <w:rFonts w:hint="eastAsia" w:ascii="仿宋" w:hAnsi="仿宋" w:eastAsia="仿宋" w:cs="宋体"/>
                <w:kern w:val="0"/>
                <w:sz w:val="21"/>
                <w:szCs w:val="21"/>
                <w:lang w:val="zh-CN"/>
              </w:rPr>
              <w:t>年</w:t>
            </w:r>
            <w:r>
              <w:rPr>
                <w:rFonts w:hint="eastAsia" w:ascii="仿宋" w:hAnsi="仿宋" w:eastAsia="仿宋" w:cs="宋体"/>
                <w:kern w:val="0"/>
                <w:sz w:val="21"/>
                <w:szCs w:val="21"/>
                <w:lang w:val="en-US" w:eastAsia="zh-CN"/>
              </w:rPr>
              <w:t>11</w:t>
            </w:r>
            <w:r>
              <w:rPr>
                <w:rFonts w:hint="eastAsia" w:ascii="仿宋" w:hAnsi="仿宋" w:eastAsia="仿宋" w:cs="宋体"/>
                <w:kern w:val="0"/>
                <w:sz w:val="21"/>
                <w:szCs w:val="21"/>
                <w:lang w:val="zh-CN"/>
              </w:rPr>
              <w:t>月</w:t>
            </w:r>
            <w:r>
              <w:rPr>
                <w:rFonts w:hint="eastAsia" w:ascii="仿宋" w:hAnsi="仿宋" w:eastAsia="仿宋" w:cs="宋体"/>
                <w:kern w:val="0"/>
                <w:sz w:val="21"/>
                <w:szCs w:val="21"/>
                <w:lang w:val="en-US" w:eastAsia="zh-CN"/>
              </w:rPr>
              <w:t>17</w:t>
            </w:r>
            <w:r>
              <w:rPr>
                <w:rFonts w:hint="eastAsia" w:ascii="仿宋" w:hAnsi="仿宋" w:eastAsia="仿宋" w:cs="宋体"/>
                <w:kern w:val="0"/>
                <w:sz w:val="21"/>
                <w:szCs w:val="21"/>
                <w:lang w:val="zh-CN"/>
              </w:rPr>
              <w:t>日1</w:t>
            </w:r>
            <w:r>
              <w:rPr>
                <w:rFonts w:hint="eastAsia" w:ascii="仿宋" w:hAnsi="仿宋" w:eastAsia="仿宋" w:cs="宋体"/>
                <w:kern w:val="0"/>
                <w:sz w:val="21"/>
                <w:szCs w:val="21"/>
                <w:lang w:val="en-US" w:eastAsia="zh-CN"/>
              </w:rPr>
              <w:t>1</w:t>
            </w:r>
            <w:r>
              <w:rPr>
                <w:rFonts w:hint="eastAsia" w:ascii="仿宋" w:hAnsi="仿宋" w:eastAsia="仿宋" w:cs="宋体"/>
                <w:kern w:val="0"/>
                <w:sz w:val="21"/>
                <w:szCs w:val="21"/>
                <w:lang w:val="zh-CN"/>
              </w:rPr>
              <w:t>：</w:t>
            </w:r>
            <w:r>
              <w:rPr>
                <w:rFonts w:hint="eastAsia" w:ascii="仿宋" w:hAnsi="仿宋" w:eastAsia="仿宋" w:cs="宋体"/>
                <w:kern w:val="0"/>
                <w:sz w:val="21"/>
                <w:szCs w:val="21"/>
              </w:rPr>
              <w:t>0</w:t>
            </w:r>
            <w:r>
              <w:rPr>
                <w:rFonts w:hint="eastAsia" w:ascii="仿宋" w:hAnsi="仿宋" w:eastAsia="仿宋" w:cs="宋体"/>
                <w:kern w:val="0"/>
                <w:sz w:val="21"/>
                <w:szCs w:val="21"/>
                <w:lang w:val="zh-CN"/>
              </w:rPr>
              <w:t>0（北京时间）</w:t>
            </w:r>
          </w:p>
          <w:p>
            <w:pPr>
              <w:autoSpaceDE w:val="0"/>
              <w:autoSpaceDN w:val="0"/>
              <w:adjustRightInd w:val="0"/>
              <w:spacing w:line="400" w:lineRule="exact"/>
              <w:jc w:val="left"/>
              <w:rPr>
                <w:rFonts w:hint="eastAsia" w:ascii="仿宋" w:hAnsi="仿宋" w:eastAsia="仿宋" w:cs="宋体"/>
                <w:kern w:val="0"/>
                <w:sz w:val="21"/>
                <w:szCs w:val="21"/>
                <w:lang w:val="zh-CN" w:eastAsia="zh-CN"/>
              </w:rPr>
            </w:pPr>
            <w:r>
              <w:rPr>
                <w:rFonts w:hint="eastAsia" w:ascii="仿宋" w:hAnsi="仿宋" w:eastAsia="仿宋" w:cs="宋体"/>
                <w:color w:val="000000" w:themeColor="text1"/>
                <w:kern w:val="0"/>
                <w:sz w:val="21"/>
                <w:szCs w:val="21"/>
                <w:lang w:val="zh-CN"/>
              </w:rPr>
              <w:t>开标地点：</w:t>
            </w:r>
            <w:r>
              <w:rPr>
                <w:rFonts w:hint="eastAsia" w:ascii="仿宋" w:hAnsi="仿宋" w:eastAsia="仿宋"/>
                <w:sz w:val="21"/>
                <w:szCs w:val="21"/>
                <w:lang w:val="en-US"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388" w:leftChars="185" w:firstLine="316" w:firstLineChars="150"/>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履约保证金</w:t>
            </w:r>
          </w:p>
        </w:tc>
        <w:tc>
          <w:tcPr>
            <w:tcW w:w="6077" w:type="dxa"/>
            <w:vAlign w:val="center"/>
          </w:tcPr>
          <w:p>
            <w:pPr>
              <w:autoSpaceDE w:val="0"/>
              <w:autoSpaceDN w:val="0"/>
              <w:adjustRightInd w:val="0"/>
              <w:spacing w:line="400" w:lineRule="exact"/>
              <w:jc w:val="left"/>
              <w:rPr>
                <w:rFonts w:hint="default" w:eastAsia="宋体"/>
                <w:color w:val="000000" w:themeColor="text1"/>
                <w:sz w:val="21"/>
                <w:szCs w:val="21"/>
                <w:lang w:val="en-US" w:eastAsia="zh-CN"/>
              </w:rPr>
            </w:pPr>
            <w:r>
              <w:rPr>
                <w:rFonts w:hint="eastAsia" w:ascii="仿宋" w:hAnsi="仿宋" w:eastAsia="仿宋" w:cs="宋体"/>
                <w:color w:val="000000" w:themeColor="text1"/>
                <w:kern w:val="0"/>
                <w:sz w:val="21"/>
                <w:szCs w:val="21"/>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30</w:t>
            </w:r>
          </w:p>
        </w:tc>
        <w:tc>
          <w:tcPr>
            <w:tcW w:w="2406" w:type="dxa"/>
            <w:vAlign w:val="center"/>
          </w:tcPr>
          <w:p>
            <w:pPr>
              <w:spacing w:line="400" w:lineRule="exact"/>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rPr>
              <w:t>代理服务费方式</w:t>
            </w:r>
          </w:p>
        </w:tc>
        <w:tc>
          <w:tcPr>
            <w:tcW w:w="6077" w:type="dxa"/>
            <w:vAlign w:val="center"/>
          </w:tcPr>
          <w:p>
            <w:pPr>
              <w:autoSpaceDE w:val="0"/>
              <w:autoSpaceDN w:val="0"/>
              <w:adjustRightInd w:val="0"/>
              <w:spacing w:line="400" w:lineRule="exact"/>
              <w:jc w:val="left"/>
              <w:rPr>
                <w:rFonts w:ascii="仿宋" w:hAnsi="仿宋" w:eastAsia="仿宋" w:cs="宋体"/>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中标服务费：根据【</w:t>
            </w:r>
            <w:r>
              <w:rPr>
                <w:rFonts w:hint="eastAsia" w:ascii="仿宋" w:hAnsi="仿宋" w:eastAsia="仿宋" w:cs="宋体"/>
                <w:b/>
                <w:bCs/>
                <w:color w:val="000000" w:themeColor="text1"/>
                <w:kern w:val="0"/>
                <w:sz w:val="21"/>
                <w:szCs w:val="21"/>
              </w:rPr>
              <w:t>2011</w:t>
            </w:r>
            <w:r>
              <w:rPr>
                <w:rFonts w:hint="eastAsia" w:ascii="仿宋" w:hAnsi="仿宋" w:eastAsia="仿宋" w:cs="宋体"/>
                <w:b/>
                <w:bCs/>
                <w:color w:val="000000" w:themeColor="text1"/>
                <w:kern w:val="0"/>
                <w:sz w:val="21"/>
                <w:szCs w:val="21"/>
                <w:lang w:val="zh-CN"/>
              </w:rPr>
              <w:t>】</w:t>
            </w:r>
            <w:r>
              <w:rPr>
                <w:rFonts w:hint="eastAsia" w:ascii="仿宋" w:hAnsi="仿宋" w:eastAsia="仿宋" w:cs="宋体"/>
                <w:b/>
                <w:bCs/>
                <w:color w:val="000000" w:themeColor="text1"/>
                <w:kern w:val="0"/>
                <w:sz w:val="21"/>
                <w:szCs w:val="21"/>
              </w:rPr>
              <w:t>534</w:t>
            </w:r>
            <w:r>
              <w:rPr>
                <w:rFonts w:hint="eastAsia" w:ascii="仿宋" w:hAnsi="仿宋" w:eastAsia="仿宋" w:cs="宋体"/>
                <w:b/>
                <w:bCs/>
                <w:color w:val="000000" w:themeColor="text1"/>
                <w:kern w:val="0"/>
                <w:sz w:val="21"/>
                <w:szCs w:val="21"/>
                <w:lang w:val="zh-CN"/>
              </w:rPr>
              <w:t>号文件的标准计算，收取招标代理服务酬金，按差额定率累进法计算；招标工作结束后由中标单位支付（即中标人在领取中标通知书时支付）。敬请投标人注意！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31</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投标人资格要求</w:t>
            </w:r>
          </w:p>
        </w:tc>
        <w:tc>
          <w:tcPr>
            <w:tcW w:w="6077" w:type="dxa"/>
            <w:vAlign w:val="center"/>
          </w:tcPr>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（2）、法定代表人应携带《法定代表人身份证明》及身份证原件（法定代表人近6个月的社保个人明细表），委托代理人应携带《法人代表授权委托书》及身份证原件（被委托人近6个月的社保个人明细表）；</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（3）、投标企业须提供20</w:t>
            </w:r>
            <w:r>
              <w:rPr>
                <w:rFonts w:hint="eastAsia" w:ascii="仿宋" w:hAnsi="仿宋" w:eastAsia="仿宋" w:cs="宋体"/>
                <w:b/>
                <w:bCs/>
                <w:color w:val="000000" w:themeColor="text1"/>
                <w:kern w:val="0"/>
                <w:sz w:val="21"/>
                <w:szCs w:val="21"/>
                <w:lang w:val="en-US" w:eastAsia="zh-CN"/>
              </w:rPr>
              <w:t>20</w:t>
            </w:r>
            <w:r>
              <w:rPr>
                <w:rFonts w:hint="eastAsia" w:ascii="仿宋" w:hAnsi="仿宋" w:eastAsia="仿宋" w:cs="宋体"/>
                <w:b/>
                <w:bCs/>
                <w:color w:val="000000" w:themeColor="text1"/>
                <w:kern w:val="0"/>
                <w:sz w:val="21"/>
                <w:szCs w:val="21"/>
                <w:lang w:val="zh-CN"/>
              </w:rPr>
              <w:t>年财务审计报告（2021年成立的公司可不提供）；</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   （</w:t>
            </w:r>
            <w:r>
              <w:rPr>
                <w:rFonts w:hint="eastAsia" w:ascii="仿宋" w:hAnsi="仿宋" w:eastAsia="仿宋" w:cs="宋体"/>
                <w:b/>
                <w:bCs/>
                <w:color w:val="000000" w:themeColor="text1"/>
                <w:kern w:val="0"/>
                <w:sz w:val="21"/>
                <w:szCs w:val="21"/>
                <w:lang w:val="en-US" w:eastAsia="zh-CN"/>
              </w:rPr>
              <w:t>4</w:t>
            </w:r>
            <w:r>
              <w:rPr>
                <w:rFonts w:hint="eastAsia" w:ascii="仿宋" w:hAnsi="仿宋" w:eastAsia="仿宋" w:cs="宋体"/>
                <w:b/>
                <w:bCs/>
                <w:color w:val="000000" w:themeColor="text1"/>
                <w:kern w:val="0"/>
                <w:sz w:val="21"/>
                <w:szCs w:val="21"/>
                <w:lang w:val="zh-CN"/>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2</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投标人参加本次投标必须携带以下资格证明文件：</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rPr>
              <w:tab/>
            </w:r>
            <w:r>
              <w:rPr>
                <w:rFonts w:hint="eastAsia" w:ascii="仿宋" w:hAnsi="仿宋" w:eastAsia="仿宋" w:cs="仿宋"/>
                <w:b/>
                <w:color w:val="000000" w:themeColor="text1"/>
                <w:sz w:val="21"/>
                <w:szCs w:val="21"/>
                <w:lang w:val="en-US" w:eastAsia="zh-CN"/>
              </w:rPr>
              <w:t>1、经过年检的营业执照副本</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2法定代表人应携带《法定代表人身份证明》及身份证原件（法定代表人近6个月的社保个人明细表），委托代理人应携带《法人代表授权委托书》及身份证原件（被委托人近6个月的社保个人明细表）；</w:t>
            </w:r>
          </w:p>
          <w:p>
            <w:pPr>
              <w:tabs>
                <w:tab w:val="left" w:pos="828"/>
              </w:tabs>
              <w:spacing w:line="400" w:lineRule="exact"/>
              <w:ind w:leftChars="-1" w:hanging="2" w:hangingChars="1"/>
              <w:rPr>
                <w:rFonts w:hint="default"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3、须提供2020年的财务审计报告（2021年新成立公司无需提供）;</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4、“信用中国”网站（www.creditchina.gov.cn）和中国政府采购网（www.ccgp.gov.cn）渠道信用记录失信被执行人、重大税收违法案件当事人名单以及政府采购严重违法失信行为记录名单</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5、保证金证明</w:t>
            </w:r>
          </w:p>
          <w:p>
            <w:pPr>
              <w:tabs>
                <w:tab w:val="left" w:pos="828"/>
              </w:tabs>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lang w:val="en-US" w:eastAsia="zh-CN"/>
              </w:rPr>
              <w:t>备注：以上证件均为原件，未携带或携带不全者投标将被拒绝。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3</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特别提示：</w:t>
            </w:r>
          </w:p>
        </w:tc>
        <w:tc>
          <w:tcPr>
            <w:tcW w:w="6077" w:type="dxa"/>
            <w:vAlign w:val="center"/>
          </w:tcPr>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所有投标单位对竞争性谈判文件中所有条款如有疑问或异议请在</w:t>
            </w:r>
            <w:r>
              <w:rPr>
                <w:rFonts w:hint="eastAsia" w:ascii="仿宋" w:hAnsi="仿宋" w:eastAsia="仿宋" w:cs="仿宋"/>
                <w:b/>
                <w:color w:val="000000" w:themeColor="text1"/>
                <w:sz w:val="21"/>
                <w:szCs w:val="21"/>
                <w:lang w:val="zh-CN"/>
              </w:rPr>
              <w:t>投标截止日前</w:t>
            </w:r>
            <w:r>
              <w:rPr>
                <w:rFonts w:hint="eastAsia" w:ascii="仿宋" w:hAnsi="仿宋" w:eastAsia="仿宋" w:cs="仿宋"/>
                <w:b/>
                <w:color w:val="000000" w:themeColor="text1"/>
                <w:sz w:val="21"/>
                <w:szCs w:val="21"/>
              </w:rPr>
              <w:t>以书面形式提出，否则不予受理。</w:t>
            </w:r>
          </w:p>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投标人的报价明显低于其他投标报价或者明显低于标底时，经评标委员会认可后，视为无效报价（即作否决投标处理）。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34</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响应国家政策</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一、小微企业（监狱企业、残疾人福利性单位视同小微企业）</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1、根据《政府采购促进中小企业发展暂行办法》 （财库[2011]181</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号）的规定，对小型和微型企业产品的价格给予 6%的价格扣除，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用扣除后的价格参与评审。</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2、参加政府采购活动的中小微企业应当提供《中小企业声明</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函》、《残疾人福利性单位声明函》原件。</w:t>
            </w:r>
          </w:p>
        </w:tc>
      </w:tr>
    </w:tbl>
    <w:p>
      <w:pPr>
        <w:pStyle w:val="5"/>
        <w:jc w:val="center"/>
        <w:rPr>
          <w:rFonts w:ascii="仿宋" w:hAnsi="仿宋" w:eastAsia="仿宋" w:cs="仿宋"/>
        </w:rPr>
      </w:pPr>
      <w:r>
        <w:rPr>
          <w:rFonts w:hint="eastAsia" w:ascii="仿宋" w:hAnsi="仿宋" w:eastAsia="仿宋" w:cs="仿宋"/>
        </w:rPr>
        <w:br w:type="page"/>
      </w:r>
      <w:bookmarkEnd w:id="15"/>
      <w:bookmarkEnd w:id="16"/>
      <w:bookmarkEnd w:id="17"/>
      <w:bookmarkEnd w:id="18"/>
      <w:bookmarkStart w:id="34" w:name="_Toc89075873"/>
      <w:bookmarkStart w:id="35" w:name="_Toc406749971"/>
      <w:bookmarkStart w:id="36" w:name="_Toc29935"/>
      <w:bookmarkStart w:id="37" w:name="_Toc7379"/>
      <w:bookmarkStart w:id="38" w:name="_Toc183682341"/>
      <w:bookmarkStart w:id="39" w:name="_Toc217446033"/>
      <w:bookmarkStart w:id="40" w:name="_Toc183582204"/>
      <w:bookmarkStart w:id="41" w:name="_Toc77400778"/>
      <w:r>
        <w:rPr>
          <w:rStyle w:val="60"/>
          <w:rFonts w:hint="eastAsia" w:ascii="仿宋" w:hAnsi="仿宋" w:eastAsia="仿宋" w:cs="仿宋"/>
          <w:b/>
        </w:rPr>
        <w:t>一、总则</w:t>
      </w:r>
      <w:bookmarkEnd w:id="34"/>
      <w:bookmarkEnd w:id="35"/>
      <w:bookmarkEnd w:id="36"/>
      <w:bookmarkEnd w:id="37"/>
      <w:bookmarkEnd w:id="38"/>
      <w:bookmarkEnd w:id="39"/>
      <w:bookmarkEnd w:id="40"/>
      <w:bookmarkEnd w:id="41"/>
    </w:p>
    <w:p>
      <w:pPr>
        <w:spacing w:line="400" w:lineRule="exact"/>
        <w:rPr>
          <w:rFonts w:ascii="仿宋" w:hAnsi="仿宋" w:eastAsia="仿宋" w:cs="仿宋"/>
          <w:b/>
          <w:color w:val="000000"/>
        </w:rPr>
      </w:pPr>
      <w:bookmarkStart w:id="42" w:name="_Toc183682342"/>
      <w:bookmarkStart w:id="43" w:name="_Toc183582205"/>
      <w:bookmarkStart w:id="44" w:name="_Toc217446034"/>
      <w:r>
        <w:rPr>
          <w:rFonts w:hint="eastAsia" w:ascii="仿宋" w:hAnsi="仿宋" w:eastAsia="仿宋" w:cs="仿宋"/>
          <w:b/>
          <w:color w:val="000000"/>
        </w:rPr>
        <w:t>1.</w:t>
      </w:r>
      <w:bookmarkEnd w:id="42"/>
      <w:bookmarkEnd w:id="43"/>
      <w:r>
        <w:rPr>
          <w:rFonts w:hint="eastAsia" w:ascii="仿宋" w:hAnsi="仿宋" w:eastAsia="仿宋" w:cs="仿宋"/>
          <w:b/>
        </w:rPr>
        <w:t>适用范围</w:t>
      </w:r>
      <w:bookmarkEnd w:id="44"/>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1.1 本竞争性谈判文件仅适用于本次招标所叙述的货物和服务项目采购。</w:t>
      </w:r>
    </w:p>
    <w:p>
      <w:pPr>
        <w:spacing w:line="400" w:lineRule="exact"/>
        <w:rPr>
          <w:rFonts w:ascii="仿宋" w:hAnsi="仿宋" w:eastAsia="仿宋" w:cs="仿宋"/>
          <w:b/>
          <w:color w:val="000000"/>
        </w:rPr>
      </w:pPr>
      <w:bookmarkStart w:id="45" w:name="_Toc183582206"/>
      <w:bookmarkStart w:id="46" w:name="_Toc183682343"/>
      <w:bookmarkStart w:id="47" w:name="_Toc217446035"/>
      <w:r>
        <w:rPr>
          <w:rFonts w:hint="eastAsia" w:ascii="仿宋" w:hAnsi="仿宋" w:eastAsia="仿宋" w:cs="仿宋"/>
          <w:b/>
          <w:color w:val="000000"/>
        </w:rPr>
        <w:t xml:space="preserve">2. </w:t>
      </w:r>
      <w:bookmarkEnd w:id="45"/>
      <w:bookmarkEnd w:id="46"/>
      <w:r>
        <w:rPr>
          <w:rFonts w:hint="eastAsia" w:ascii="仿宋" w:hAnsi="仿宋" w:eastAsia="仿宋" w:cs="仿宋"/>
          <w:b/>
          <w:color w:val="000000"/>
        </w:rPr>
        <w:t>有关定义</w:t>
      </w:r>
      <w:bookmarkEnd w:id="47"/>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2.1 “采购人”系指依法进行政府采购的国家机关、事业单位、团体组织。本次招标的采购人是</w:t>
      </w:r>
      <w:r>
        <w:rPr>
          <w:rFonts w:hint="eastAsia" w:ascii="仿宋" w:hAnsi="仿宋" w:eastAsia="仿宋" w:cs="仿宋"/>
          <w:szCs w:val="21"/>
          <w:u w:val="single"/>
        </w:rPr>
        <w:t>同投标人须知前附表</w:t>
      </w:r>
      <w:r>
        <w:rPr>
          <w:rFonts w:hint="eastAsia" w:ascii="仿宋" w:hAnsi="仿宋" w:eastAsia="仿宋" w:cs="仿宋"/>
          <w:szCs w:val="21"/>
        </w:rPr>
        <w:t>。</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2.2 “采购代理机构”系指根据采购人的委托依法办理招标事宜的采购机构。本次招标的采购代理机构是</w:t>
      </w:r>
      <w:r>
        <w:rPr>
          <w:rFonts w:hint="eastAsia" w:ascii="仿宋" w:hAnsi="仿宋" w:eastAsia="仿宋" w:cs="仿宋"/>
          <w:szCs w:val="21"/>
          <w:u w:val="single"/>
        </w:rPr>
        <w:t>新疆金玖恩项目管理咨询有限公司</w:t>
      </w:r>
      <w:r>
        <w:rPr>
          <w:rFonts w:hint="eastAsia" w:ascii="仿宋" w:hAnsi="仿宋" w:eastAsia="仿宋" w:cs="仿宋"/>
          <w:szCs w:val="21"/>
        </w:rPr>
        <w:t>（简称“招标人”）。</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2.3 “招标采购单位”系指“采购人”和“采购代理机构”的统称。</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2.4 “投标人”系指购买了竞争性谈判文件拟参加投标和向采购人提供货物及相应服务的供应商。</w:t>
      </w:r>
    </w:p>
    <w:p>
      <w:pPr>
        <w:spacing w:line="400" w:lineRule="exact"/>
        <w:rPr>
          <w:rFonts w:ascii="仿宋" w:hAnsi="仿宋" w:eastAsia="仿宋" w:cs="仿宋"/>
          <w:b/>
          <w:color w:val="000000"/>
        </w:rPr>
      </w:pPr>
      <w:bookmarkStart w:id="48" w:name="_Toc183682344"/>
      <w:bookmarkStart w:id="49" w:name="_Toc217446036"/>
      <w:bookmarkStart w:id="50" w:name="_Toc183582207"/>
      <w:bookmarkStart w:id="51" w:name="_Toc217390843"/>
      <w:r>
        <w:rPr>
          <w:rFonts w:hint="eastAsia" w:ascii="仿宋" w:hAnsi="仿宋" w:eastAsia="仿宋" w:cs="仿宋"/>
          <w:b/>
          <w:color w:val="000000"/>
        </w:rPr>
        <w:t>3. 合格的投标人</w:t>
      </w:r>
      <w:bookmarkEnd w:id="48"/>
      <w:bookmarkEnd w:id="49"/>
      <w:bookmarkEnd w:id="50"/>
      <w:bookmarkEnd w:id="51"/>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合格的投标人应具备以下条件：</w:t>
      </w:r>
    </w:p>
    <w:p>
      <w:pPr>
        <w:tabs>
          <w:tab w:val="left" w:pos="7665"/>
        </w:tabs>
        <w:spacing w:line="400" w:lineRule="exact"/>
        <w:ind w:firstLine="420" w:firstLineChars="200"/>
        <w:rPr>
          <w:rFonts w:ascii="仿宋" w:hAnsi="仿宋" w:eastAsia="仿宋" w:cs="仿宋"/>
          <w:color w:val="000000"/>
          <w:spacing w:val="-4"/>
          <w:szCs w:val="21"/>
        </w:rPr>
      </w:pPr>
      <w:r>
        <w:rPr>
          <w:rFonts w:hint="eastAsia" w:ascii="仿宋" w:hAnsi="仿宋" w:eastAsia="仿宋" w:cs="仿宋"/>
          <w:color w:val="000000"/>
          <w:szCs w:val="21"/>
        </w:rPr>
        <w:t>（1）具备“</w:t>
      </w:r>
      <w:r>
        <w:rPr>
          <w:rFonts w:hint="eastAsia" w:ascii="仿宋" w:hAnsi="仿宋" w:eastAsia="仿宋" w:cs="仿宋"/>
          <w:b/>
          <w:color w:val="000000"/>
          <w:szCs w:val="21"/>
        </w:rPr>
        <w:t>竞争性谈判公告</w:t>
      </w:r>
      <w:r>
        <w:rPr>
          <w:rFonts w:hint="eastAsia" w:ascii="仿宋" w:hAnsi="仿宋" w:eastAsia="仿宋" w:cs="仿宋"/>
          <w:color w:val="000000"/>
          <w:szCs w:val="21"/>
        </w:rPr>
        <w:t>”</w:t>
      </w:r>
      <w:r>
        <w:rPr>
          <w:rFonts w:hint="eastAsia" w:ascii="仿宋" w:hAnsi="仿宋" w:eastAsia="仿宋" w:cs="仿宋"/>
          <w:szCs w:val="21"/>
        </w:rPr>
        <w:t>第五条</w:t>
      </w:r>
      <w:r>
        <w:rPr>
          <w:rFonts w:hint="eastAsia" w:ascii="仿宋" w:hAnsi="仿宋" w:eastAsia="仿宋" w:cs="仿宋"/>
          <w:color w:val="000000"/>
          <w:szCs w:val="21"/>
        </w:rPr>
        <w:t>的基本条件</w:t>
      </w:r>
      <w:r>
        <w:rPr>
          <w:rFonts w:hint="eastAsia" w:ascii="仿宋" w:hAnsi="仿宋" w:eastAsia="仿宋" w:cs="仿宋"/>
          <w:color w:val="000000"/>
          <w:spacing w:val="-4"/>
          <w:szCs w:val="21"/>
        </w:rPr>
        <w:t>；</w:t>
      </w:r>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（2）向采购代理机构购买了竞争性谈判文件并登记备案；</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（3）遵守国家有关的法律、法规和条例；</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（4）竞争性谈判文件和法律、行政法规规定的其他条件。</w:t>
      </w:r>
    </w:p>
    <w:p>
      <w:pPr>
        <w:spacing w:line="400" w:lineRule="exact"/>
        <w:rPr>
          <w:rFonts w:ascii="仿宋" w:hAnsi="仿宋" w:eastAsia="仿宋" w:cs="仿宋"/>
          <w:b/>
          <w:color w:val="000000"/>
        </w:rPr>
      </w:pPr>
      <w:bookmarkStart w:id="52" w:name="_Toc183582208"/>
      <w:bookmarkStart w:id="53" w:name="_Toc217446037"/>
      <w:bookmarkStart w:id="54" w:name="_Toc183682345"/>
      <w:r>
        <w:rPr>
          <w:rFonts w:hint="eastAsia" w:ascii="仿宋" w:hAnsi="仿宋" w:eastAsia="仿宋" w:cs="仿宋"/>
          <w:b/>
          <w:color w:val="000000"/>
        </w:rPr>
        <w:t>4. 投标费用</w:t>
      </w:r>
      <w:bookmarkEnd w:id="52"/>
      <w:bookmarkEnd w:id="53"/>
      <w:bookmarkEnd w:id="54"/>
    </w:p>
    <w:p>
      <w:pPr>
        <w:tabs>
          <w:tab w:val="left" w:pos="7665"/>
        </w:tabs>
        <w:spacing w:line="400" w:lineRule="exact"/>
        <w:ind w:firstLine="405"/>
        <w:rPr>
          <w:rFonts w:ascii="仿宋" w:hAnsi="仿宋" w:eastAsia="仿宋" w:cs="仿宋"/>
          <w:color w:val="000000"/>
          <w:szCs w:val="21"/>
        </w:rPr>
      </w:pPr>
      <w:r>
        <w:rPr>
          <w:rFonts w:hint="eastAsia" w:ascii="仿宋" w:hAnsi="仿宋" w:eastAsia="仿宋" w:cs="仿宋"/>
          <w:color w:val="000000"/>
          <w:szCs w:val="21"/>
        </w:rPr>
        <w:t>投标人参加投标的有关费用由投标人自行承担。</w:t>
      </w:r>
    </w:p>
    <w:p>
      <w:pPr>
        <w:tabs>
          <w:tab w:val="left" w:pos="7665"/>
        </w:tabs>
        <w:spacing w:line="400" w:lineRule="exact"/>
        <w:ind w:firstLine="405"/>
        <w:rPr>
          <w:rFonts w:ascii="仿宋" w:hAnsi="仿宋" w:eastAsia="仿宋" w:cs="仿宋"/>
          <w:color w:val="000000"/>
          <w:szCs w:val="21"/>
        </w:rPr>
      </w:pPr>
    </w:p>
    <w:p>
      <w:pPr>
        <w:pStyle w:val="4"/>
        <w:rPr>
          <w:rFonts w:ascii="仿宋" w:hAnsi="仿宋" w:eastAsia="仿宋" w:cs="仿宋"/>
        </w:rPr>
      </w:pPr>
      <w:bookmarkStart w:id="55" w:name="_Toc77400779"/>
      <w:bookmarkStart w:id="56" w:name="_Toc89075875"/>
      <w:bookmarkStart w:id="57" w:name="_Toc9564"/>
      <w:bookmarkStart w:id="58" w:name="_Toc217446038"/>
      <w:bookmarkStart w:id="59" w:name="_Toc406749972"/>
      <w:bookmarkStart w:id="60" w:name="_Toc183582209"/>
      <w:bookmarkStart w:id="61" w:name="_Toc183682346"/>
      <w:bookmarkStart w:id="62" w:name="_Toc31912"/>
      <w:r>
        <w:rPr>
          <w:rFonts w:hint="eastAsia" w:ascii="仿宋" w:hAnsi="仿宋" w:eastAsia="仿宋" w:cs="仿宋"/>
        </w:rPr>
        <w:t>二、</w:t>
      </w:r>
      <w:bookmarkEnd w:id="55"/>
      <w:bookmarkEnd w:id="56"/>
      <w:bookmarkEnd w:id="57"/>
      <w:bookmarkEnd w:id="58"/>
      <w:bookmarkEnd w:id="59"/>
      <w:bookmarkEnd w:id="60"/>
      <w:bookmarkEnd w:id="61"/>
      <w:r>
        <w:rPr>
          <w:rFonts w:hint="eastAsia" w:ascii="仿宋" w:hAnsi="仿宋" w:eastAsia="仿宋" w:cs="仿宋"/>
        </w:rPr>
        <w:t>竞争性谈判文件</w:t>
      </w:r>
      <w:bookmarkEnd w:id="62"/>
    </w:p>
    <w:p>
      <w:pPr>
        <w:spacing w:line="400" w:lineRule="exact"/>
        <w:rPr>
          <w:rFonts w:ascii="仿宋" w:hAnsi="仿宋" w:eastAsia="仿宋" w:cs="仿宋"/>
          <w:b/>
          <w:color w:val="000000"/>
        </w:rPr>
      </w:pPr>
      <w:bookmarkStart w:id="63" w:name="_Toc183582210"/>
      <w:bookmarkStart w:id="64" w:name="_Toc217446039"/>
      <w:bookmarkStart w:id="65" w:name="_Toc183682347"/>
      <w:r>
        <w:rPr>
          <w:rFonts w:hint="eastAsia" w:ascii="仿宋" w:hAnsi="仿宋" w:eastAsia="仿宋" w:cs="仿宋"/>
          <w:b/>
          <w:color w:val="000000"/>
        </w:rPr>
        <w:t>5．竞争性谈判文件的构成</w:t>
      </w:r>
      <w:bookmarkEnd w:id="63"/>
      <w:bookmarkEnd w:id="64"/>
      <w:bookmarkEnd w:id="65"/>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5</w:t>
      </w:r>
      <w:r>
        <w:rPr>
          <w:rFonts w:hint="eastAsia" w:ascii="仿宋" w:hAnsi="仿宋" w:eastAsia="仿宋" w:cs="仿宋"/>
          <w:b/>
          <w:bCs/>
          <w:color w:val="000000"/>
          <w:szCs w:val="21"/>
        </w:rPr>
        <w:t>.</w:t>
      </w:r>
      <w:r>
        <w:rPr>
          <w:rFonts w:hint="eastAsia" w:ascii="仿宋" w:hAnsi="仿宋" w:eastAsia="仿宋" w:cs="仿宋"/>
          <w:color w:val="000000"/>
          <w:szCs w:val="21"/>
        </w:rPr>
        <w:t>1 竞争性谈判文件用以阐明招标项目所需的资质、技术、服务及报价等要求、招标投标程序、有关规定和注意事项以及合同主要条款等。本竞争性谈判文件包括以下内容：</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 xml:space="preserve">（1）竞争性谈判公告；  </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（2）投标人须知及前附表；</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（3）投标文件格式要求；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（4）投标人有关资格证明文件要求；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（5）招标项目及要求；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（6）评标办法；</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（7）合同主要条款。</w:t>
      </w:r>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color w:val="000000" w:themeColor="text1"/>
          <w:szCs w:val="21"/>
        </w:rPr>
        <w:t>5</w:t>
      </w:r>
      <w:r>
        <w:rPr>
          <w:rFonts w:hint="eastAsia" w:ascii="仿宋" w:hAnsi="仿宋" w:eastAsia="仿宋" w:cs="仿宋"/>
          <w:b/>
          <w:bCs/>
          <w:color w:val="000000" w:themeColor="text1"/>
          <w:szCs w:val="21"/>
        </w:rPr>
        <w:t>.</w:t>
      </w:r>
      <w:r>
        <w:rPr>
          <w:rFonts w:hint="eastAsia" w:ascii="仿宋" w:hAnsi="仿宋" w:eastAsia="仿宋" w:cs="仿宋"/>
          <w:color w:val="000000" w:themeColor="text1"/>
          <w:szCs w:val="21"/>
        </w:rPr>
        <w:t>2 投标人应认真阅读和充</w:t>
      </w:r>
      <w:r>
        <w:rPr>
          <w:rFonts w:hint="eastAsia" w:ascii="仿宋" w:hAnsi="仿宋" w:eastAsia="仿宋" w:cs="仿宋"/>
          <w:color w:val="000000"/>
          <w:szCs w:val="21"/>
        </w:rPr>
        <w:t>分理解竞争性谈判文件中所有的事项、格式条款和规范要求。投标人没有对竞争性谈判文件全面做出实质性响应是投标人的风险。没有按照竞争性谈判文件要求作出实质性响应的投标文件将被拒绝。</w:t>
      </w:r>
    </w:p>
    <w:p>
      <w:pPr>
        <w:spacing w:line="400" w:lineRule="exact"/>
        <w:rPr>
          <w:rFonts w:ascii="仿宋" w:hAnsi="仿宋" w:eastAsia="仿宋" w:cs="仿宋"/>
          <w:b/>
          <w:color w:val="000000"/>
        </w:rPr>
      </w:pPr>
      <w:bookmarkStart w:id="66" w:name="_Toc183682348"/>
      <w:bookmarkStart w:id="67" w:name="_Toc183582211"/>
      <w:bookmarkStart w:id="68" w:name="_Toc217446040"/>
      <w:r>
        <w:rPr>
          <w:rFonts w:hint="eastAsia" w:ascii="仿宋" w:hAnsi="仿宋" w:eastAsia="仿宋" w:cs="仿宋"/>
          <w:b/>
          <w:color w:val="000000"/>
        </w:rPr>
        <w:t>6. 竞争性谈判文件的澄清</w:t>
      </w:r>
      <w:bookmarkEnd w:id="66"/>
      <w:bookmarkEnd w:id="67"/>
      <w:r>
        <w:rPr>
          <w:rFonts w:hint="eastAsia" w:ascii="仿宋" w:hAnsi="仿宋" w:eastAsia="仿宋" w:cs="仿宋"/>
          <w:b/>
          <w:color w:val="000000"/>
        </w:rPr>
        <w:t>和修改</w:t>
      </w:r>
      <w:bookmarkEnd w:id="68"/>
    </w:p>
    <w:p>
      <w:pPr>
        <w:tabs>
          <w:tab w:val="left" w:pos="720"/>
        </w:tabs>
        <w:spacing w:line="400" w:lineRule="exact"/>
        <w:ind w:firstLine="420" w:firstLineChars="200"/>
        <w:rPr>
          <w:rFonts w:ascii="仿宋" w:hAnsi="仿宋" w:eastAsia="仿宋" w:cs="仿宋"/>
          <w:szCs w:val="21"/>
        </w:rPr>
      </w:pPr>
      <w:r>
        <w:rPr>
          <w:rFonts w:hint="eastAsia" w:ascii="仿宋" w:hAnsi="仿宋" w:eastAsia="仿宋" w:cs="仿宋"/>
          <w:szCs w:val="21"/>
        </w:rPr>
        <w:t>6.1 在投标截止时间前，招标采购单位无论出于何种原因，可以对竞争性谈判文件进行澄清或者修改。</w:t>
      </w:r>
    </w:p>
    <w:p>
      <w:pPr>
        <w:spacing w:line="400" w:lineRule="exact"/>
        <w:ind w:firstLine="420" w:firstLineChars="200"/>
        <w:rPr>
          <w:rFonts w:ascii="仿宋" w:hAnsi="仿宋" w:eastAsia="仿宋" w:cs="仿宋"/>
          <w:szCs w:val="21"/>
        </w:rPr>
      </w:pPr>
      <w:r>
        <w:rPr>
          <w:rFonts w:hint="eastAsia" w:ascii="仿宋" w:hAnsi="仿宋" w:eastAsia="仿宋" w:cs="仿宋"/>
          <w:szCs w:val="21"/>
        </w:rPr>
        <w:t>6.2 招标采购单位对已发出的竞争性谈判文件进行澄清或者修改，</w:t>
      </w:r>
      <w:r>
        <w:rPr>
          <w:rFonts w:hint="eastAsia" w:ascii="仿宋" w:hAnsi="仿宋" w:eastAsia="仿宋" w:cs="仿宋"/>
          <w:color w:val="000000"/>
          <w:szCs w:val="21"/>
        </w:rPr>
        <w:t>将</w:t>
      </w:r>
      <w:r>
        <w:rPr>
          <w:rFonts w:hint="eastAsia" w:ascii="仿宋" w:hAnsi="仿宋" w:eastAsia="仿宋" w:cs="仿宋"/>
          <w:szCs w:val="21"/>
        </w:rPr>
        <w:t>在竞争性谈判文件要求的提交投标文件截止时间前进行，并以书面形式将澄清或者修改的内容通知所有购买了竞争性谈判文件的投标人，该澄清或者修改的内容为竞争性谈判文件的组成部分。</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6</w:t>
      </w:r>
      <w:r>
        <w:rPr>
          <w:rFonts w:hint="eastAsia" w:ascii="仿宋" w:hAnsi="仿宋" w:eastAsia="仿宋" w:cs="仿宋"/>
          <w:b/>
          <w:bCs/>
          <w:color w:val="000000"/>
          <w:szCs w:val="21"/>
        </w:rPr>
        <w:t>.</w:t>
      </w:r>
      <w:r>
        <w:rPr>
          <w:rFonts w:hint="eastAsia" w:ascii="仿宋" w:hAnsi="仿宋" w:eastAsia="仿宋" w:cs="仿宋"/>
          <w:color w:val="000000"/>
          <w:szCs w:val="21"/>
        </w:rPr>
        <w:t>3 投标人要求对竞争性谈判文件进行澄清的，均应在投标截止日前按竞争性谈判文件中的联系方式，以书面形式通知采购代理机构。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6.4 在投标截止时间前，招标采购单位可以视采购具体情况，延长投标截止时间和开标时间，并在竞争性谈判文件要求提交投标文件的截止时间三日前，将变更时间以书面形式通知所有购买了竞争性谈判文件的投标人。</w:t>
      </w:r>
    </w:p>
    <w:p>
      <w:pPr>
        <w:spacing w:line="400" w:lineRule="exact"/>
        <w:rPr>
          <w:rFonts w:ascii="仿宋" w:hAnsi="仿宋" w:eastAsia="仿宋" w:cs="仿宋"/>
          <w:b/>
          <w:color w:val="000000"/>
        </w:rPr>
      </w:pPr>
      <w:bookmarkStart w:id="69" w:name="_Toc183582213"/>
      <w:bookmarkStart w:id="70" w:name="_Toc183682350"/>
      <w:bookmarkStart w:id="71" w:name="_Toc208848971"/>
      <w:bookmarkStart w:id="72" w:name="_Toc217446041"/>
      <w:r>
        <w:rPr>
          <w:rFonts w:hint="eastAsia" w:ascii="仿宋" w:hAnsi="仿宋" w:eastAsia="仿宋" w:cs="仿宋"/>
          <w:b/>
          <w:color w:val="000000"/>
        </w:rPr>
        <w:t>7</w:t>
      </w:r>
      <w:bookmarkEnd w:id="69"/>
      <w:bookmarkEnd w:id="70"/>
      <w:r>
        <w:rPr>
          <w:rFonts w:hint="eastAsia" w:ascii="仿宋" w:hAnsi="仿宋" w:eastAsia="仿宋" w:cs="仿宋"/>
          <w:b/>
          <w:color w:val="000000"/>
        </w:rPr>
        <w:t>. 答疑会和现场考察</w:t>
      </w:r>
      <w:bookmarkEnd w:id="71"/>
      <w:bookmarkEnd w:id="72"/>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7.1 根据采购项目和具体情况，招标采购单位认为有必要，可以组织召开标前答疑会或组织投标人对项目现场进行考察。答疑会或进行现场考察的时间，招标采购单位将以书面形式通知</w:t>
      </w:r>
      <w:r>
        <w:rPr>
          <w:rFonts w:hint="eastAsia" w:ascii="仿宋" w:hAnsi="仿宋" w:eastAsia="仿宋" w:cs="仿宋"/>
          <w:szCs w:val="21"/>
        </w:rPr>
        <w:t>所有购买了竞争性谈判文件的供应商。</w:t>
      </w:r>
    </w:p>
    <w:p>
      <w:pPr>
        <w:adjustRightInd w:val="0"/>
        <w:snapToGrid w:val="0"/>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7.2 供应商考察现场所发生的一切费用由供应商自己承担。</w:t>
      </w:r>
    </w:p>
    <w:p>
      <w:pPr>
        <w:adjustRightInd w:val="0"/>
        <w:snapToGrid w:val="0"/>
        <w:spacing w:line="400" w:lineRule="exact"/>
        <w:ind w:firstLine="367" w:firstLineChars="175"/>
        <w:rPr>
          <w:rFonts w:ascii="仿宋" w:hAnsi="仿宋" w:eastAsia="仿宋" w:cs="仿宋"/>
          <w:color w:val="000000"/>
          <w:szCs w:val="21"/>
        </w:rPr>
      </w:pPr>
    </w:p>
    <w:p>
      <w:pPr>
        <w:pStyle w:val="4"/>
        <w:rPr>
          <w:rFonts w:ascii="仿宋" w:hAnsi="仿宋" w:eastAsia="仿宋" w:cs="仿宋"/>
        </w:rPr>
      </w:pPr>
      <w:bookmarkStart w:id="73" w:name="_Toc28880"/>
      <w:bookmarkStart w:id="74" w:name="_Toc77400780"/>
      <w:bookmarkStart w:id="75" w:name="_Toc183682351"/>
      <w:bookmarkStart w:id="76" w:name="_Toc13556"/>
      <w:bookmarkStart w:id="77" w:name="_Toc217446042"/>
      <w:bookmarkStart w:id="78" w:name="_Toc406749973"/>
      <w:bookmarkStart w:id="79" w:name="_Toc183582214"/>
      <w:bookmarkStart w:id="80" w:name="_Toc89075876"/>
      <w:r>
        <w:rPr>
          <w:rFonts w:hint="eastAsia" w:ascii="仿宋" w:hAnsi="仿宋" w:eastAsia="仿宋" w:cs="仿宋"/>
        </w:rPr>
        <w:t>三、投标文件</w:t>
      </w:r>
      <w:bookmarkEnd w:id="73"/>
      <w:bookmarkEnd w:id="74"/>
      <w:bookmarkEnd w:id="75"/>
      <w:bookmarkEnd w:id="76"/>
      <w:bookmarkEnd w:id="77"/>
      <w:bookmarkEnd w:id="78"/>
      <w:bookmarkEnd w:id="79"/>
      <w:bookmarkEnd w:id="80"/>
    </w:p>
    <w:p>
      <w:pPr>
        <w:spacing w:line="400" w:lineRule="exact"/>
        <w:rPr>
          <w:rFonts w:ascii="仿宋" w:hAnsi="仿宋" w:eastAsia="仿宋" w:cs="仿宋"/>
          <w:b/>
          <w:color w:val="000000"/>
        </w:rPr>
      </w:pPr>
      <w:bookmarkStart w:id="81" w:name="_Toc183582215"/>
      <w:bookmarkStart w:id="82" w:name="_Toc183682352"/>
      <w:bookmarkStart w:id="83" w:name="_Toc217446043"/>
      <w:r>
        <w:rPr>
          <w:rFonts w:hint="eastAsia" w:ascii="仿宋" w:hAnsi="仿宋" w:eastAsia="仿宋" w:cs="仿宋"/>
          <w:b/>
          <w:color w:val="000000"/>
        </w:rPr>
        <w:t>8．投标文件的语言</w:t>
      </w:r>
      <w:bookmarkEnd w:id="81"/>
      <w:bookmarkEnd w:id="82"/>
      <w:bookmarkEnd w:id="83"/>
    </w:p>
    <w:p>
      <w:pPr>
        <w:spacing w:line="400" w:lineRule="exact"/>
        <w:ind w:firstLine="420" w:firstLineChars="200"/>
        <w:rPr>
          <w:rFonts w:ascii="仿宋" w:hAnsi="仿宋" w:eastAsia="仿宋" w:cs="仿宋"/>
          <w:szCs w:val="21"/>
        </w:rPr>
      </w:pPr>
      <w:r>
        <w:rPr>
          <w:rFonts w:hint="eastAsia" w:ascii="仿宋" w:hAnsi="仿宋" w:eastAsia="仿宋" w:cs="仿宋"/>
          <w:szCs w:val="21"/>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8.2 翻译的中文资料与外文资料如果出现差异和矛盾时，以中文为准。但不能故意错误翻译，否则，投标人的投标文件将作为无效投标处理。</w:t>
      </w:r>
    </w:p>
    <w:p>
      <w:pPr>
        <w:spacing w:line="400" w:lineRule="exact"/>
        <w:rPr>
          <w:rFonts w:ascii="仿宋" w:hAnsi="仿宋" w:eastAsia="仿宋" w:cs="仿宋"/>
          <w:b/>
          <w:color w:val="000000"/>
        </w:rPr>
      </w:pPr>
      <w:bookmarkStart w:id="84" w:name="_Toc217446044"/>
      <w:bookmarkStart w:id="85" w:name="_Toc183582216"/>
      <w:bookmarkStart w:id="86" w:name="_Toc183682353"/>
      <w:r>
        <w:rPr>
          <w:rFonts w:hint="eastAsia" w:ascii="仿宋" w:hAnsi="仿宋" w:eastAsia="仿宋" w:cs="仿宋"/>
          <w:b/>
          <w:color w:val="000000"/>
        </w:rPr>
        <w:t>9．计量单位</w:t>
      </w:r>
      <w:bookmarkEnd w:id="84"/>
      <w:bookmarkEnd w:id="85"/>
      <w:bookmarkEnd w:id="86"/>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除技术规格及要求中另有规定外，本采购项下的投标均采用国家法定的计量单位。</w:t>
      </w:r>
    </w:p>
    <w:p>
      <w:pPr>
        <w:spacing w:line="400" w:lineRule="exact"/>
        <w:rPr>
          <w:rFonts w:ascii="仿宋" w:hAnsi="仿宋" w:eastAsia="仿宋" w:cs="仿宋"/>
          <w:b/>
          <w:color w:val="000000"/>
        </w:rPr>
      </w:pPr>
      <w:bookmarkStart w:id="87" w:name="_Toc217446045"/>
      <w:r>
        <w:rPr>
          <w:rFonts w:hint="eastAsia" w:ascii="仿宋" w:hAnsi="仿宋" w:eastAsia="仿宋" w:cs="仿宋"/>
          <w:b/>
          <w:color w:val="000000"/>
        </w:rPr>
        <w:t>10. 投标货币</w:t>
      </w:r>
      <w:bookmarkEnd w:id="87"/>
    </w:p>
    <w:p>
      <w:pPr>
        <w:tabs>
          <w:tab w:val="left" w:pos="7665"/>
        </w:tabs>
        <w:spacing w:line="400" w:lineRule="exact"/>
        <w:ind w:left="13" w:hanging="118"/>
        <w:rPr>
          <w:rFonts w:ascii="仿宋" w:hAnsi="仿宋" w:eastAsia="仿宋" w:cs="仿宋"/>
          <w:color w:val="000000"/>
          <w:szCs w:val="21"/>
        </w:rPr>
      </w:pPr>
      <w:r>
        <w:rPr>
          <w:rFonts w:hint="eastAsia" w:ascii="仿宋" w:hAnsi="仿宋" w:eastAsia="仿宋" w:cs="仿宋"/>
          <w:color w:val="000000"/>
          <w:szCs w:val="21"/>
        </w:rPr>
        <w:t xml:space="preserve">     本次招标项目的投标均以人民币报价。</w:t>
      </w:r>
    </w:p>
    <w:p>
      <w:pPr>
        <w:spacing w:line="400" w:lineRule="exact"/>
        <w:rPr>
          <w:rFonts w:ascii="仿宋" w:hAnsi="仿宋" w:eastAsia="仿宋" w:cs="仿宋"/>
          <w:b/>
          <w:color w:val="000000"/>
        </w:rPr>
      </w:pPr>
      <w:bookmarkStart w:id="88" w:name="_Toc217446046"/>
      <w:r>
        <w:rPr>
          <w:rFonts w:hint="eastAsia" w:ascii="仿宋" w:hAnsi="仿宋" w:eastAsia="仿宋" w:cs="仿宋"/>
          <w:b/>
          <w:color w:val="000000"/>
        </w:rPr>
        <w:t>11. 联合投标</w:t>
      </w:r>
      <w:bookmarkEnd w:id="88"/>
      <w:r>
        <w:rPr>
          <w:rFonts w:hint="eastAsia" w:ascii="仿宋" w:hAnsi="仿宋" w:eastAsia="仿宋" w:cs="仿宋"/>
          <w:b/>
          <w:color w:val="000000"/>
        </w:rPr>
        <w:t>（本项目不接受联合体投标）</w:t>
      </w:r>
    </w:p>
    <w:p>
      <w:pPr>
        <w:spacing w:line="400" w:lineRule="exact"/>
        <w:ind w:firstLine="409" w:firstLineChars="195"/>
        <w:rPr>
          <w:rFonts w:ascii="仿宋" w:hAnsi="仿宋" w:eastAsia="仿宋" w:cs="仿宋"/>
          <w:szCs w:val="21"/>
        </w:rPr>
      </w:pPr>
      <w:r>
        <w:rPr>
          <w:rFonts w:hint="eastAsia" w:ascii="仿宋" w:hAnsi="仿宋" w:eastAsia="仿宋" w:cs="仿宋"/>
          <w:color w:val="000000"/>
          <w:szCs w:val="21"/>
        </w:rPr>
        <w:t xml:space="preserve">11.1 </w:t>
      </w:r>
      <w:r>
        <w:rPr>
          <w:rFonts w:hint="eastAsia" w:ascii="仿宋" w:hAnsi="仿宋" w:eastAsia="仿宋" w:cs="仿宋"/>
          <w:szCs w:val="21"/>
        </w:rPr>
        <w:t>两个以上供应商可以组成一个投标联合体，以一个投标人的身份投标。以联合体形式参加投标的，联合体各方均应当符合《政府采购法》第二十二条第一款规定的条件。</w:t>
      </w:r>
      <w:r>
        <w:rPr>
          <w:rFonts w:hint="eastAsia" w:ascii="仿宋" w:hAnsi="仿宋" w:eastAsia="仿宋" w:cs="仿宋"/>
          <w:color w:val="000000"/>
          <w:szCs w:val="21"/>
        </w:rPr>
        <w:t>采购人</w:t>
      </w:r>
      <w:r>
        <w:rPr>
          <w:rFonts w:hint="eastAsia" w:ascii="仿宋" w:hAnsi="仿宋" w:eastAsia="仿宋" w:cs="仿宋"/>
          <w:szCs w:val="21"/>
        </w:rPr>
        <w:t>根据采购项目的特殊要求规定投标人特定条件的，联合体各方中至少应当有一方符合采购人规定的特定条件。</w:t>
      </w:r>
    </w:p>
    <w:p>
      <w:pPr>
        <w:spacing w:line="400" w:lineRule="exact"/>
        <w:ind w:firstLine="409" w:firstLineChars="195"/>
        <w:rPr>
          <w:rFonts w:ascii="仿宋" w:hAnsi="仿宋" w:eastAsia="仿宋" w:cs="仿宋"/>
          <w:szCs w:val="21"/>
        </w:rPr>
      </w:pPr>
      <w:r>
        <w:rPr>
          <w:rFonts w:hint="eastAsia" w:ascii="仿宋" w:hAnsi="仿宋" w:eastAsia="仿宋" w:cs="仿宋"/>
          <w:szCs w:val="21"/>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 xml:space="preserve">11.3 </w:t>
      </w:r>
      <w:r>
        <w:rPr>
          <w:rFonts w:hint="eastAsia" w:ascii="仿宋" w:hAnsi="仿宋" w:eastAsia="仿宋" w:cs="仿宋"/>
          <w:color w:val="000000"/>
          <w:szCs w:val="21"/>
        </w:rPr>
        <w:t>联合体应当确定其中一个单位为投标的全权代表，负责参加投标的一切事务，并承担投标及履约中应承担的全部责任与义务。</w:t>
      </w:r>
    </w:p>
    <w:p>
      <w:pPr>
        <w:pStyle w:val="17"/>
        <w:spacing w:line="400" w:lineRule="exact"/>
        <w:ind w:firstLine="420" w:firstLineChars="200"/>
        <w:rPr>
          <w:rFonts w:ascii="仿宋" w:hAnsi="仿宋" w:eastAsia="仿宋" w:cs="仿宋"/>
          <w:b/>
          <w:bCs/>
          <w:sz w:val="21"/>
          <w:szCs w:val="21"/>
        </w:rPr>
      </w:pPr>
      <w:r>
        <w:rPr>
          <w:rFonts w:hint="eastAsia" w:ascii="仿宋" w:hAnsi="仿宋" w:eastAsia="仿宋" w:cs="仿宋"/>
          <w:sz w:val="21"/>
          <w:szCs w:val="21"/>
        </w:rPr>
        <w:t xml:space="preserve">11.4 </w:t>
      </w:r>
      <w:r>
        <w:rPr>
          <w:rFonts w:hint="eastAsia" w:ascii="仿宋" w:hAnsi="仿宋" w:eastAsia="仿宋" w:cs="仿宋"/>
          <w:color w:val="000000"/>
          <w:sz w:val="21"/>
          <w:szCs w:val="21"/>
        </w:rPr>
        <w:t>联合体各方应当</w:t>
      </w:r>
      <w:r>
        <w:rPr>
          <w:rFonts w:hint="eastAsia" w:ascii="仿宋" w:hAnsi="仿宋" w:eastAsia="仿宋" w:cs="仿宋"/>
          <w:sz w:val="21"/>
          <w:szCs w:val="21"/>
        </w:rPr>
        <w:t>共同与</w:t>
      </w:r>
      <w:r>
        <w:rPr>
          <w:rFonts w:hint="eastAsia" w:ascii="仿宋" w:hAnsi="仿宋" w:eastAsia="仿宋" w:cs="仿宋"/>
          <w:color w:val="000000"/>
          <w:sz w:val="21"/>
          <w:szCs w:val="21"/>
        </w:rPr>
        <w:t>采购人签</w:t>
      </w:r>
      <w:r>
        <w:rPr>
          <w:rFonts w:hint="eastAsia" w:ascii="仿宋" w:hAnsi="仿宋" w:eastAsia="仿宋" w:cs="仿宋"/>
          <w:sz w:val="21"/>
          <w:szCs w:val="21"/>
        </w:rPr>
        <w:t>订采购合同，就采购合同约定的事项对</w:t>
      </w:r>
      <w:r>
        <w:rPr>
          <w:rFonts w:hint="eastAsia" w:ascii="仿宋" w:hAnsi="仿宋" w:eastAsia="仿宋" w:cs="仿宋"/>
          <w:color w:val="000000"/>
          <w:sz w:val="21"/>
          <w:szCs w:val="21"/>
        </w:rPr>
        <w:t>采购人承</w:t>
      </w:r>
      <w:r>
        <w:rPr>
          <w:rFonts w:hint="eastAsia" w:ascii="仿宋" w:hAnsi="仿宋" w:eastAsia="仿宋" w:cs="仿宋"/>
          <w:sz w:val="21"/>
          <w:szCs w:val="21"/>
        </w:rPr>
        <w:t>担连带责任。</w:t>
      </w:r>
    </w:p>
    <w:p>
      <w:pPr>
        <w:spacing w:line="400" w:lineRule="exact"/>
        <w:rPr>
          <w:rFonts w:ascii="仿宋" w:hAnsi="仿宋" w:eastAsia="仿宋" w:cs="仿宋"/>
          <w:b/>
          <w:color w:val="000000"/>
        </w:rPr>
      </w:pPr>
      <w:bookmarkStart w:id="89" w:name="_Toc217446047"/>
      <w:r>
        <w:rPr>
          <w:rFonts w:hint="eastAsia" w:ascii="仿宋" w:hAnsi="仿宋" w:eastAsia="仿宋" w:cs="仿宋"/>
          <w:b/>
          <w:color w:val="000000"/>
        </w:rPr>
        <w:t>12. 知识产权</w:t>
      </w:r>
      <w:bookmarkEnd w:id="89"/>
    </w:p>
    <w:p>
      <w:pPr>
        <w:pStyle w:val="17"/>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7"/>
        <w:spacing w:line="40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12.2 采购人享有本项目实施过程中产生的知识成果及知识产权。</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12.3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仿宋" w:hAnsi="仿宋" w:eastAsia="仿宋" w:cs="仿宋"/>
          <w:color w:val="000000"/>
          <w:szCs w:val="21"/>
        </w:rPr>
        <w:t>采购人享有永久使用权。</w:t>
      </w:r>
    </w:p>
    <w:p>
      <w:pPr>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12.4 如采用投标人所不拥有的知识产权，则在投标报价中必须包括合法</w:t>
      </w:r>
      <w:r>
        <w:rPr>
          <w:rFonts w:hint="eastAsia" w:ascii="仿宋" w:hAnsi="仿宋" w:eastAsia="仿宋" w:cs="仿宋"/>
          <w:color w:val="000000"/>
          <w:szCs w:val="21"/>
        </w:rPr>
        <w:t xml:space="preserve">获取该知识产权的相关费用。 </w:t>
      </w:r>
    </w:p>
    <w:p>
      <w:pPr>
        <w:spacing w:line="400" w:lineRule="exact"/>
        <w:rPr>
          <w:rFonts w:ascii="仿宋" w:hAnsi="仿宋" w:eastAsia="仿宋" w:cs="仿宋"/>
          <w:b/>
          <w:color w:val="000000"/>
        </w:rPr>
      </w:pPr>
      <w:bookmarkStart w:id="90" w:name="_Toc183682354"/>
      <w:bookmarkStart w:id="91" w:name="_Toc183582217"/>
      <w:bookmarkStart w:id="92" w:name="_Toc217446048"/>
      <w:r>
        <w:rPr>
          <w:rFonts w:hint="eastAsia" w:ascii="仿宋" w:hAnsi="仿宋" w:eastAsia="仿宋" w:cs="仿宋"/>
          <w:b/>
          <w:color w:val="000000"/>
        </w:rPr>
        <w:t>13．投标文件的组成</w:t>
      </w:r>
      <w:bookmarkEnd w:id="90"/>
      <w:bookmarkEnd w:id="91"/>
      <w:bookmarkEnd w:id="92"/>
    </w:p>
    <w:p>
      <w:pPr>
        <w:spacing w:line="400" w:lineRule="exact"/>
        <w:ind w:firstLine="411" w:firstLineChars="196"/>
        <w:rPr>
          <w:rFonts w:ascii="仿宋" w:hAnsi="仿宋" w:eastAsia="仿宋" w:cs="仿宋"/>
          <w:color w:val="000000"/>
          <w:szCs w:val="21"/>
        </w:rPr>
      </w:pPr>
      <w:r>
        <w:rPr>
          <w:rFonts w:hint="eastAsia" w:ascii="仿宋" w:hAnsi="仿宋" w:eastAsia="仿宋" w:cs="仿宋"/>
          <w:szCs w:val="21"/>
        </w:rPr>
        <w:t>投标人应按照竞争性谈判文件的规定和要求编制投标文件。</w:t>
      </w:r>
      <w:r>
        <w:rPr>
          <w:rFonts w:hint="eastAsia" w:ascii="仿宋" w:hAnsi="仿宋" w:eastAsia="仿宋" w:cs="仿宋"/>
          <w:color w:val="000000"/>
          <w:szCs w:val="21"/>
        </w:rPr>
        <w:t>投标人拟在中标后将中标项目的非主体、非关键性工作交由他人完成的，应当在投标文件中载明。</w:t>
      </w:r>
      <w:r>
        <w:rPr>
          <w:rFonts w:hint="eastAsia" w:ascii="仿宋" w:hAnsi="仿宋" w:eastAsia="仿宋" w:cs="仿宋"/>
          <w:szCs w:val="21"/>
        </w:rPr>
        <w:t>投标人编写的投标文件应包括下列部分：</w:t>
      </w:r>
    </w:p>
    <w:p>
      <w:pPr>
        <w:spacing w:line="360" w:lineRule="auto"/>
        <w:ind w:firstLine="422" w:firstLineChars="200"/>
        <w:rPr>
          <w:rFonts w:ascii="仿宋" w:hAnsi="仿宋" w:eastAsia="仿宋" w:cs="仿宋"/>
          <w:b/>
          <w:color w:val="000000"/>
          <w:sz w:val="24"/>
        </w:rPr>
      </w:pPr>
      <w:r>
        <w:rPr>
          <w:rFonts w:hint="eastAsia" w:ascii="仿宋" w:hAnsi="仿宋" w:eastAsia="仿宋" w:cs="仿宋"/>
          <w:b/>
          <w:szCs w:val="21"/>
        </w:rPr>
        <w:t>13.1 报价部分：</w:t>
      </w:r>
    </w:p>
    <w:p>
      <w:pPr>
        <w:tabs>
          <w:tab w:val="left" w:pos="540"/>
        </w:tabs>
        <w:spacing w:line="400" w:lineRule="exact"/>
        <w:ind w:firstLine="411" w:firstLineChars="196"/>
        <w:rPr>
          <w:rFonts w:hint="eastAsia" w:ascii="仿宋" w:hAnsi="仿宋" w:eastAsia="仿宋" w:cs="仿宋"/>
          <w:szCs w:val="21"/>
        </w:rPr>
      </w:pPr>
      <w:r>
        <w:rPr>
          <w:rFonts w:hint="eastAsia" w:ascii="仿宋" w:hAnsi="仿宋" w:eastAsia="仿宋" w:cs="仿宋"/>
          <w:szCs w:val="21"/>
        </w:rPr>
        <w:t>13.1.1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2" w:firstLineChars="200"/>
        <w:rPr>
          <w:rFonts w:hint="default" w:ascii="仿宋" w:hAnsi="仿宋" w:eastAsia="仿宋" w:cs="仿宋"/>
          <w:b/>
          <w:szCs w:val="21"/>
          <w:lang w:val="en-US" w:eastAsia="zh-CN"/>
        </w:rPr>
      </w:pPr>
      <w:r>
        <w:rPr>
          <w:rFonts w:hint="eastAsia" w:ascii="仿宋" w:hAnsi="仿宋" w:eastAsia="仿宋" w:cs="仿宋"/>
          <w:b/>
          <w:szCs w:val="21"/>
          <w:lang w:val="en-US" w:eastAsia="zh-CN"/>
        </w:rPr>
        <w:t>13.2商务技术部分：</w:t>
      </w:r>
    </w:p>
    <w:p>
      <w:pPr>
        <w:pStyle w:val="20"/>
        <w:adjustRightInd w:val="0"/>
        <w:snapToGrid w:val="0"/>
        <w:spacing w:line="360" w:lineRule="auto"/>
        <w:ind w:firstLine="420" w:firstLineChars="200"/>
        <w:rPr>
          <w:rFonts w:hint="eastAsia" w:hAnsi="宋体"/>
          <w:color w:val="000000"/>
        </w:rPr>
      </w:pPr>
      <w:bookmarkStart w:id="93" w:name="_Toc183682355"/>
      <w:bookmarkStart w:id="94" w:name="_Toc183582218"/>
      <w:bookmarkStart w:id="95" w:name="_Toc217446049"/>
      <w:r>
        <w:rPr>
          <w:rFonts w:hint="eastAsia" w:hAnsi="宋体"/>
          <w:color w:val="000000"/>
        </w:rPr>
        <w:t>（1）营业执照</w:t>
      </w:r>
    </w:p>
    <w:p>
      <w:pPr>
        <w:pStyle w:val="20"/>
        <w:adjustRightInd w:val="0"/>
        <w:snapToGrid w:val="0"/>
        <w:spacing w:line="360" w:lineRule="auto"/>
        <w:ind w:firstLine="420" w:firstLineChars="200"/>
        <w:rPr>
          <w:rFonts w:hint="eastAsia" w:hAnsi="宋体"/>
          <w:color w:val="000000"/>
        </w:rPr>
      </w:pPr>
      <w:r>
        <w:rPr>
          <w:rFonts w:hint="eastAsia" w:hAnsi="宋体"/>
        </w:rPr>
        <w:t>（2）</w:t>
      </w:r>
      <w:r>
        <w:rPr>
          <w:rFonts w:hint="eastAsia" w:hAnsi="宋体"/>
          <w:color w:val="000000"/>
        </w:rPr>
        <w:t>谈判函、谈判声明</w:t>
      </w:r>
    </w:p>
    <w:p>
      <w:pPr>
        <w:pStyle w:val="20"/>
        <w:adjustRightInd w:val="0"/>
        <w:snapToGrid w:val="0"/>
        <w:spacing w:line="360" w:lineRule="auto"/>
        <w:ind w:firstLine="420" w:firstLineChars="200"/>
        <w:rPr>
          <w:rFonts w:hAnsi="宋体"/>
        </w:rPr>
      </w:pPr>
      <w:r>
        <w:rPr>
          <w:rFonts w:hint="eastAsia" w:hAnsi="宋体"/>
        </w:rPr>
        <w:t>（3）保证金</w:t>
      </w:r>
    </w:p>
    <w:p>
      <w:pPr>
        <w:pStyle w:val="20"/>
        <w:adjustRightInd w:val="0"/>
        <w:snapToGrid w:val="0"/>
        <w:spacing w:line="360" w:lineRule="auto"/>
        <w:ind w:firstLine="420" w:firstLineChars="200"/>
        <w:rPr>
          <w:rFonts w:hint="eastAsia" w:hAnsi="宋体" w:eastAsia="宋体"/>
          <w:lang w:eastAsia="zh-CN"/>
        </w:rPr>
      </w:pPr>
      <w:r>
        <w:rPr>
          <w:rFonts w:hint="eastAsia" w:hAnsi="宋体"/>
        </w:rPr>
        <w:t>（4）</w:t>
      </w:r>
      <w:r>
        <w:rPr>
          <w:rFonts w:hint="eastAsia" w:hAnsi="宋体"/>
          <w:lang w:eastAsia="zh-CN"/>
        </w:rPr>
        <w:t>开标</w:t>
      </w:r>
      <w:r>
        <w:rPr>
          <w:rFonts w:hint="eastAsia" w:hAnsi="宋体"/>
        </w:rPr>
        <w:t>一览表</w:t>
      </w:r>
      <w:r>
        <w:rPr>
          <w:rFonts w:hint="eastAsia" w:hAnsi="宋体"/>
          <w:lang w:eastAsia="zh-CN"/>
        </w:rPr>
        <w:t>（单独密封）</w:t>
      </w:r>
    </w:p>
    <w:p>
      <w:pPr>
        <w:pStyle w:val="20"/>
        <w:adjustRightInd w:val="0"/>
        <w:snapToGrid w:val="0"/>
        <w:spacing w:line="360" w:lineRule="auto"/>
        <w:ind w:firstLine="420" w:firstLineChars="200"/>
        <w:rPr>
          <w:rFonts w:hint="eastAsia" w:hAnsi="宋体"/>
        </w:rPr>
      </w:pPr>
      <w:r>
        <w:rPr>
          <w:rFonts w:hint="eastAsia" w:hAnsi="宋体"/>
        </w:rPr>
        <w:t>（</w:t>
      </w:r>
      <w:r>
        <w:rPr>
          <w:rFonts w:hint="eastAsia" w:hAnsi="宋体"/>
          <w:lang w:val="en-US" w:eastAsia="zh-CN"/>
        </w:rPr>
        <w:t>5</w:t>
      </w:r>
      <w:r>
        <w:rPr>
          <w:rFonts w:hint="eastAsia" w:hAnsi="宋体"/>
        </w:rPr>
        <w:t>）供应商基本情况</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6</w:t>
      </w:r>
      <w:r>
        <w:rPr>
          <w:rFonts w:hint="eastAsia" w:hAnsi="宋体"/>
        </w:rPr>
        <w:t>）供应商的资格审查材料</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7</w:t>
      </w:r>
      <w:r>
        <w:rPr>
          <w:rFonts w:hint="eastAsia" w:hAnsi="宋体"/>
        </w:rPr>
        <w:t>）</w:t>
      </w:r>
      <w:r>
        <w:rPr>
          <w:rFonts w:hint="eastAsia" w:hAnsi="宋体"/>
          <w:lang w:eastAsia="zh-CN"/>
        </w:rPr>
        <w:t>技术实施</w:t>
      </w:r>
      <w:r>
        <w:rPr>
          <w:rFonts w:hint="eastAsia" w:hAnsi="宋体"/>
        </w:rPr>
        <w:t>方案</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8</w:t>
      </w:r>
      <w:r>
        <w:rPr>
          <w:rFonts w:hint="eastAsia" w:hAnsi="宋体"/>
        </w:rPr>
        <w:t>）供应商认为需提供的其他资料</w:t>
      </w:r>
    </w:p>
    <w:p>
      <w:pPr>
        <w:spacing w:line="400" w:lineRule="exact"/>
        <w:rPr>
          <w:rFonts w:ascii="仿宋" w:hAnsi="仿宋" w:eastAsia="仿宋" w:cs="仿宋"/>
          <w:b/>
          <w:color w:val="000000"/>
        </w:rPr>
      </w:pPr>
      <w:r>
        <w:rPr>
          <w:rFonts w:hint="eastAsia" w:ascii="仿宋" w:hAnsi="仿宋" w:eastAsia="仿宋" w:cs="仿宋"/>
          <w:b/>
          <w:color w:val="000000"/>
        </w:rPr>
        <w:t>14．投标文件格式</w:t>
      </w:r>
      <w:bookmarkEnd w:id="93"/>
      <w:bookmarkEnd w:id="94"/>
      <w:bookmarkEnd w:id="95"/>
      <w:r>
        <w:rPr>
          <w:rFonts w:hint="eastAsia" w:ascii="仿宋" w:hAnsi="仿宋" w:eastAsia="仿宋" w:cs="仿宋"/>
          <w:b/>
          <w:color w:val="000000"/>
        </w:rPr>
        <w:tab/>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 xml:space="preserve">14.1 </w:t>
      </w:r>
      <w:r>
        <w:rPr>
          <w:rFonts w:hint="eastAsia" w:ascii="仿宋" w:hAnsi="仿宋" w:eastAsia="仿宋" w:cs="仿宋"/>
          <w:b/>
          <w:bCs/>
          <w:color w:val="000000"/>
          <w:szCs w:val="21"/>
        </w:rPr>
        <w:t>投标人应严格按照竞争性谈判文件</w:t>
      </w:r>
      <w:r>
        <w:rPr>
          <w:rFonts w:hint="eastAsia" w:ascii="仿宋" w:hAnsi="仿宋" w:eastAsia="仿宋" w:cs="仿宋"/>
          <w:b/>
          <w:bCs/>
          <w:szCs w:val="21"/>
        </w:rPr>
        <w:t>第三章</w:t>
      </w:r>
      <w:r>
        <w:rPr>
          <w:rFonts w:hint="eastAsia" w:ascii="仿宋" w:hAnsi="仿宋" w:eastAsia="仿宋" w:cs="仿宋"/>
          <w:b/>
          <w:bCs/>
          <w:color w:val="000000"/>
          <w:szCs w:val="21"/>
        </w:rPr>
        <w:t>中提供的“投标文件格式”填写相关内容。</w:t>
      </w:r>
      <w:r>
        <w:rPr>
          <w:rFonts w:hint="eastAsia" w:ascii="仿宋" w:hAnsi="仿宋" w:eastAsia="仿宋" w:cs="仿宋"/>
          <w:szCs w:val="21"/>
        </w:rPr>
        <w:t>除明确允许投标人可以自行编写的外，投标人不得以“投标文件格式”规定之外的方式填写相关内容。否则，投标人提供的投标文件将作为无效投标处理。</w:t>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14.2 对于没有格式要求的投标文件由投标人自行编写。</w:t>
      </w:r>
    </w:p>
    <w:p>
      <w:pPr>
        <w:spacing w:line="400" w:lineRule="exact"/>
        <w:rPr>
          <w:rFonts w:ascii="仿宋" w:hAnsi="仿宋" w:eastAsia="仿宋" w:cs="仿宋"/>
          <w:b/>
          <w:color w:val="000000"/>
        </w:rPr>
      </w:pPr>
      <w:bookmarkStart w:id="96" w:name="_Toc183682360"/>
      <w:bookmarkStart w:id="97" w:name="_Toc183582223"/>
      <w:bookmarkStart w:id="98" w:name="_Toc217446050"/>
      <w:r>
        <w:rPr>
          <w:rFonts w:hint="eastAsia" w:ascii="仿宋" w:hAnsi="仿宋" w:eastAsia="仿宋" w:cs="仿宋"/>
          <w:b/>
          <w:color w:val="000000"/>
        </w:rPr>
        <w:t>15．投标保证金</w:t>
      </w:r>
      <w:bookmarkEnd w:id="96"/>
      <w:bookmarkEnd w:id="97"/>
      <w:bookmarkEnd w:id="98"/>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15.1 </w:t>
      </w:r>
      <w:r>
        <w:rPr>
          <w:rFonts w:hint="eastAsia" w:ascii="仿宋" w:hAnsi="仿宋" w:eastAsia="仿宋" w:cs="仿宋"/>
          <w:szCs w:val="21"/>
        </w:rPr>
        <w:t>投标人投标时，必须以人民币提交竞争性谈判文件规定数额的投标保证金，并作为其投标的一部分。联合投标的，可以由联合体的一方或者共同提交投标保证金，以一方名义提交投标保证金的，对联合体各方均具有约束力。</w:t>
      </w:r>
    </w:p>
    <w:p>
      <w:pPr>
        <w:spacing w:line="400" w:lineRule="exact"/>
        <w:ind w:firstLine="411"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15.2 投标保证金本地采取银行转账形式，外地采取电汇凭证形式。</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15.3未按竞争性谈判文件要求在规定时间前（以银行实际下账时间为准）交纳规定数额投标保证金的投标将被拒绝。</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15.4 投标人所交纳的投标保证金不计利息。</w:t>
      </w:r>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15.5</w:t>
      </w:r>
      <w:r>
        <w:rPr>
          <w:rFonts w:hint="eastAsia" w:ascii="仿宋" w:hAnsi="仿宋" w:eastAsia="仿宋" w:cs="仿宋"/>
          <w:szCs w:val="21"/>
        </w:rPr>
        <w:t>未中标人的投标保证金，将在中标通知书发出后五个工作日内全额退还。中标人的投标保证金，在合同签订生效并按规定交纳了履约保证金后五个工作日内全额退还（</w:t>
      </w:r>
      <w:r>
        <w:rPr>
          <w:rFonts w:hint="eastAsia" w:ascii="仿宋" w:hAnsi="仿宋" w:eastAsia="仿宋" w:cs="仿宋"/>
          <w:color w:val="000000"/>
          <w:szCs w:val="21"/>
        </w:rPr>
        <w:t>投标人在办理退还投标保证金时需向采购代理机构开具收据</w:t>
      </w:r>
      <w:r>
        <w:rPr>
          <w:rFonts w:hint="eastAsia" w:ascii="仿宋" w:hAnsi="仿宋" w:eastAsia="仿宋" w:cs="仿宋"/>
          <w:szCs w:val="21"/>
        </w:rPr>
        <w:t>）。</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15.6下列任何情况发生时，采购代理机构将不予退还其交纳的投标保证金：</w:t>
      </w:r>
    </w:p>
    <w:p>
      <w:pPr>
        <w:spacing w:line="400" w:lineRule="exact"/>
        <w:ind w:firstLine="411" w:firstLineChars="196"/>
        <w:rPr>
          <w:rFonts w:ascii="仿宋" w:hAnsi="仿宋" w:eastAsia="仿宋" w:cs="仿宋"/>
          <w:szCs w:val="21"/>
        </w:rPr>
      </w:pPr>
      <w:r>
        <w:rPr>
          <w:rFonts w:hint="eastAsia" w:ascii="仿宋" w:hAnsi="仿宋" w:eastAsia="仿宋" w:cs="仿宋"/>
          <w:szCs w:val="21"/>
        </w:rPr>
        <w:t>（1）如果投标人在竞争性谈判文件规定的投标有效期内撤回投标。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（2）由于中标人的原因未能按照竞争性谈判文件的规定与采购人签订合同。</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（3）由于中标人的原因未能按照竞争性谈判文件的规定交纳履约保证金。</w:t>
      </w:r>
    </w:p>
    <w:p>
      <w:pPr>
        <w:spacing w:line="400" w:lineRule="exact"/>
        <w:rPr>
          <w:rFonts w:ascii="仿宋" w:hAnsi="仿宋" w:eastAsia="仿宋" w:cs="仿宋"/>
          <w:szCs w:val="21"/>
        </w:rPr>
      </w:pPr>
      <w:r>
        <w:rPr>
          <w:rFonts w:hint="eastAsia" w:ascii="仿宋" w:hAnsi="仿宋" w:eastAsia="仿宋" w:cs="仿宋"/>
          <w:szCs w:val="21"/>
        </w:rPr>
        <w:t xml:space="preserve">    （4）投标有效期内，投标人在政府采购活动中有违规、违纪和违法的行为。</w:t>
      </w:r>
    </w:p>
    <w:p>
      <w:pPr>
        <w:spacing w:line="400" w:lineRule="exact"/>
        <w:rPr>
          <w:rFonts w:ascii="仿宋" w:hAnsi="仿宋" w:eastAsia="仿宋" w:cs="仿宋"/>
          <w:b/>
          <w:color w:val="000000"/>
        </w:rPr>
      </w:pPr>
      <w:bookmarkStart w:id="99" w:name="_Toc183682361"/>
      <w:bookmarkStart w:id="100" w:name="_Toc183582224"/>
      <w:bookmarkStart w:id="101" w:name="_Toc217446051"/>
      <w:r>
        <w:rPr>
          <w:rFonts w:hint="eastAsia" w:ascii="仿宋" w:hAnsi="仿宋" w:eastAsia="仿宋" w:cs="仿宋"/>
          <w:b/>
          <w:color w:val="000000"/>
        </w:rPr>
        <w:t>16．投标有效期</w:t>
      </w:r>
      <w:bookmarkEnd w:id="99"/>
      <w:bookmarkEnd w:id="100"/>
      <w:bookmarkEnd w:id="101"/>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16.1 投标有效期见投标人须知前附表。投标有效期短于此规定期限的投标，将被拒绝。</w:t>
      </w:r>
    </w:p>
    <w:p>
      <w:pPr>
        <w:tabs>
          <w:tab w:val="left" w:pos="7665"/>
        </w:tabs>
        <w:spacing w:line="400" w:lineRule="exact"/>
        <w:ind w:left="13" w:leftChars="6" w:firstLine="315" w:firstLineChars="150"/>
        <w:rPr>
          <w:rFonts w:ascii="仿宋" w:hAnsi="仿宋" w:eastAsia="仿宋" w:cs="仿宋"/>
          <w:color w:val="000000"/>
          <w:szCs w:val="21"/>
        </w:rPr>
      </w:pPr>
      <w:r>
        <w:rPr>
          <w:rFonts w:hint="eastAsia" w:ascii="仿宋" w:hAnsi="仿宋" w:eastAsia="仿宋" w:cs="仿宋"/>
          <w:color w:val="000000"/>
          <w:szCs w:val="21"/>
        </w:rPr>
        <w:t xml:space="preserve"> 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000000"/>
          <w:spacing w:val="8"/>
          <w:szCs w:val="21"/>
        </w:rPr>
        <w:t>不被没收。</w:t>
      </w:r>
      <w:r>
        <w:rPr>
          <w:rFonts w:hint="eastAsia" w:ascii="仿宋" w:hAnsi="仿宋" w:eastAsia="仿宋" w:cs="仿宋"/>
          <w:color w:val="000000"/>
          <w:szCs w:val="21"/>
        </w:rPr>
        <w:t>拒绝延长投标有效期的投标人不得再参与该项目后续采购活动。同意延长投标有效期的投标人不能修改其投标文件，关于投标保证金的有关规定在延长的投标有效期内继续有效。</w:t>
      </w:r>
    </w:p>
    <w:p>
      <w:pPr>
        <w:spacing w:line="400" w:lineRule="exact"/>
        <w:rPr>
          <w:rFonts w:ascii="仿宋" w:hAnsi="仿宋" w:eastAsia="仿宋" w:cs="仿宋"/>
          <w:b/>
          <w:color w:val="000000"/>
        </w:rPr>
      </w:pPr>
      <w:bookmarkStart w:id="102" w:name="_Toc183582225"/>
      <w:bookmarkStart w:id="103" w:name="_Toc183682362"/>
      <w:bookmarkStart w:id="104" w:name="_Toc217446052"/>
      <w:r>
        <w:rPr>
          <w:rFonts w:hint="eastAsia" w:ascii="仿宋" w:hAnsi="仿宋" w:eastAsia="仿宋" w:cs="仿宋"/>
          <w:b/>
          <w:color w:val="000000"/>
        </w:rPr>
        <w:t>17．投标文件的印制和签署</w:t>
      </w:r>
      <w:bookmarkEnd w:id="102"/>
      <w:bookmarkEnd w:id="103"/>
      <w:bookmarkEnd w:id="104"/>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17.1 </w:t>
      </w:r>
      <w:r>
        <w:rPr>
          <w:rFonts w:hint="eastAsia" w:ascii="仿宋" w:hAnsi="仿宋" w:eastAsia="仿宋" w:cs="仿宋"/>
          <w:szCs w:val="21"/>
        </w:rPr>
        <w:t>投标人应按“投标须知前附表”准备投标文件正本、副本和相应的电子文档。投标文件的正本和副本应在其封面右上角清楚地标明“正本”或“副本”字样。若正本和副本有不一致的内容，以正本书面投标文件为准。</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17.2 </w:t>
      </w:r>
      <w:r>
        <w:rPr>
          <w:rFonts w:hint="eastAsia" w:ascii="仿宋" w:hAnsi="仿宋" w:eastAsia="仿宋" w:cs="仿宋"/>
          <w:szCs w:val="21"/>
        </w:rPr>
        <w:t>投标文件的正本和副本均需打印或用不褪色、不变质的墨水书写，并由投标人的法定代表人或其授权代表在规定签章处签字和盖章。投标文件副本可采用正本的复印件，电子文档采用光盘制作。</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szCs w:val="21"/>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17.4 投标文件正本和副本必须装订成册并逐页编目编码。</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17.5 投标文件应根据竞争性谈判文件的要求制作，签署、盖章和内容应完整，如有遗漏，将被视为无效投标。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17.6 投标文件统一用A4幅面纸印制。</w:t>
      </w:r>
    </w:p>
    <w:p>
      <w:pPr>
        <w:spacing w:line="400" w:lineRule="exact"/>
        <w:rPr>
          <w:rFonts w:ascii="仿宋" w:hAnsi="仿宋" w:eastAsia="仿宋" w:cs="仿宋"/>
          <w:b/>
          <w:color w:val="000000"/>
        </w:rPr>
      </w:pPr>
      <w:bookmarkStart w:id="105" w:name="_Toc183682363"/>
      <w:bookmarkStart w:id="106" w:name="_Toc89075877"/>
      <w:bookmarkStart w:id="107" w:name="_Toc77400781"/>
      <w:bookmarkStart w:id="108" w:name="_Toc183582226"/>
      <w:bookmarkStart w:id="109" w:name="_Toc217446053"/>
      <w:r>
        <w:rPr>
          <w:rFonts w:hint="eastAsia" w:ascii="仿宋" w:hAnsi="仿宋" w:eastAsia="仿宋" w:cs="仿宋"/>
          <w:b/>
          <w:color w:val="000000"/>
        </w:rPr>
        <w:t>18. 投标文件的密封和标</w:t>
      </w:r>
      <w:bookmarkEnd w:id="105"/>
      <w:bookmarkEnd w:id="106"/>
      <w:bookmarkEnd w:id="107"/>
      <w:bookmarkEnd w:id="108"/>
      <w:r>
        <w:rPr>
          <w:rFonts w:hint="eastAsia" w:ascii="仿宋" w:hAnsi="仿宋" w:eastAsia="仿宋" w:cs="仿宋"/>
          <w:b/>
          <w:color w:val="000000"/>
        </w:rPr>
        <w:t>注</w:t>
      </w:r>
      <w:bookmarkEnd w:id="109"/>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18.1 投标人应在投标文件正本和所有副本的封面上注明投标人名称、项目编号、项目名称及分包号（如有分包）。</w:t>
      </w:r>
    </w:p>
    <w:p>
      <w:pPr>
        <w:tabs>
          <w:tab w:val="left" w:pos="1080"/>
        </w:tabs>
        <w:spacing w:line="400" w:lineRule="exact"/>
        <w:ind w:firstLine="403" w:firstLineChars="192"/>
        <w:rPr>
          <w:rFonts w:ascii="仿宋" w:hAnsi="仿宋" w:eastAsia="仿宋" w:cs="仿宋"/>
          <w:b/>
          <w:szCs w:val="21"/>
        </w:rPr>
      </w:pPr>
      <w:r>
        <w:rPr>
          <w:rFonts w:hint="eastAsia" w:ascii="仿宋" w:hAnsi="仿宋" w:eastAsia="仿宋" w:cs="仿宋"/>
          <w:szCs w:val="21"/>
        </w:rPr>
        <w:t>18.2</w:t>
      </w:r>
      <w:r>
        <w:rPr>
          <w:rFonts w:hint="eastAsia" w:ascii="仿宋" w:hAnsi="仿宋" w:eastAsia="仿宋" w:cs="仿宋"/>
          <w:b/>
          <w:szCs w:val="21"/>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w:t>
      </w:r>
      <w:r>
        <w:rPr>
          <w:rFonts w:hint="eastAsia" w:ascii="仿宋" w:hAnsi="仿宋" w:eastAsia="仿宋" w:cs="仿宋"/>
          <w:b/>
          <w:color w:val="000000"/>
          <w:szCs w:val="21"/>
        </w:rPr>
        <w:t>。</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18.3 所有外层密封袋的封口处应粘贴牢固，并加盖投标单位公章</w:t>
      </w:r>
      <w:r>
        <w:rPr>
          <w:rFonts w:hint="eastAsia" w:ascii="仿宋" w:hAnsi="仿宋" w:eastAsia="仿宋" w:cs="仿宋"/>
          <w:bCs/>
          <w:szCs w:val="21"/>
        </w:rPr>
        <w:t>。</w:t>
      </w:r>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18.4 未按以上要求进行密封和标注的投标文件将被拒绝。</w:t>
      </w:r>
    </w:p>
    <w:p>
      <w:pPr>
        <w:spacing w:line="400" w:lineRule="exact"/>
        <w:rPr>
          <w:rFonts w:ascii="仿宋" w:hAnsi="仿宋" w:eastAsia="仿宋" w:cs="仿宋"/>
          <w:b/>
          <w:color w:val="000000"/>
        </w:rPr>
      </w:pPr>
      <w:bookmarkStart w:id="110" w:name="_Toc183582227"/>
      <w:bookmarkStart w:id="111" w:name="_Toc183682364"/>
      <w:bookmarkStart w:id="112" w:name="_Toc217446054"/>
      <w:r>
        <w:rPr>
          <w:rFonts w:hint="eastAsia" w:ascii="仿宋" w:hAnsi="仿宋" w:eastAsia="仿宋" w:cs="仿宋"/>
          <w:b/>
          <w:color w:val="000000"/>
        </w:rPr>
        <w:t>19．投标文件的</w:t>
      </w:r>
      <w:bookmarkEnd w:id="110"/>
      <w:bookmarkEnd w:id="111"/>
      <w:r>
        <w:rPr>
          <w:rFonts w:hint="eastAsia" w:ascii="仿宋" w:hAnsi="仿宋" w:eastAsia="仿宋" w:cs="仿宋"/>
          <w:b/>
          <w:color w:val="000000"/>
        </w:rPr>
        <w:t>递交</w:t>
      </w:r>
      <w:bookmarkEnd w:id="112"/>
    </w:p>
    <w:p>
      <w:pPr>
        <w:tabs>
          <w:tab w:val="left" w:pos="1095"/>
        </w:tabs>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19.1 投标人应在竞争性谈判文件规定的投标截止时间前，将投标文件按规定密封后送达开标地点。投标截止时间以后送达的投标文件将被拒绝。</w:t>
      </w:r>
    </w:p>
    <w:p>
      <w:pPr>
        <w:pStyle w:val="2"/>
        <w:spacing w:line="400" w:lineRule="exact"/>
        <w:ind w:firstLineChars="200"/>
        <w:rPr>
          <w:rFonts w:ascii="仿宋" w:hAnsi="仿宋" w:eastAsia="仿宋" w:cs="仿宋"/>
          <w:szCs w:val="21"/>
        </w:rPr>
      </w:pPr>
      <w:r>
        <w:rPr>
          <w:rFonts w:hint="eastAsia" w:ascii="仿宋" w:hAnsi="仿宋" w:eastAsia="仿宋" w:cs="仿宋"/>
          <w:szCs w:val="21"/>
        </w:rPr>
        <w:t>19.2 本次招标不接受邮寄的投标文件。</w:t>
      </w:r>
    </w:p>
    <w:p>
      <w:pPr>
        <w:spacing w:line="400" w:lineRule="exact"/>
        <w:rPr>
          <w:rFonts w:ascii="仿宋" w:hAnsi="仿宋" w:eastAsia="仿宋" w:cs="仿宋"/>
          <w:b/>
          <w:color w:val="000000"/>
        </w:rPr>
      </w:pPr>
      <w:bookmarkStart w:id="113" w:name="_Toc183682365"/>
      <w:bookmarkStart w:id="114" w:name="_Toc183582228"/>
      <w:bookmarkStart w:id="115" w:name="_Toc217446055"/>
      <w:r>
        <w:rPr>
          <w:rFonts w:hint="eastAsia" w:ascii="仿宋" w:hAnsi="仿宋" w:eastAsia="仿宋" w:cs="仿宋"/>
          <w:b/>
          <w:color w:val="000000"/>
        </w:rPr>
        <w:t>20．投标文件的修改和撤</w:t>
      </w:r>
      <w:bookmarkEnd w:id="113"/>
      <w:bookmarkEnd w:id="114"/>
      <w:r>
        <w:rPr>
          <w:rFonts w:hint="eastAsia" w:ascii="仿宋" w:hAnsi="仿宋" w:eastAsia="仿宋" w:cs="仿宋"/>
          <w:b/>
          <w:color w:val="000000"/>
        </w:rPr>
        <w:t>回</w:t>
      </w:r>
      <w:bookmarkEnd w:id="115"/>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20.1 </w:t>
      </w:r>
      <w:r>
        <w:rPr>
          <w:rFonts w:hint="eastAsia" w:ascii="仿宋" w:hAnsi="仿宋" w:eastAsia="仿宋" w:cs="仿宋"/>
          <w:szCs w:val="21"/>
        </w:rPr>
        <w:t>投标人在递交了投标文件后，可以修改或撤回其投标文件，但必须在规定的投标截止时间前，以书面形式通知采购代理机构。</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20.2 投标人的修改书或撤回通知书，应由其法定代表人或授权代表签署并盖单位印章。修改书应按规定进行密封和标注，并在密封袋上标注“修改”字样。</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20.3 在投标截止时间之后，投标人不得对其递交的投标文件做任何修改或撤回投标。</w:t>
      </w:r>
      <w:bookmarkStart w:id="116" w:name="_Toc183582231"/>
      <w:bookmarkStart w:id="117" w:name="_Toc77400782"/>
      <w:bookmarkStart w:id="118" w:name="_Toc183682368"/>
      <w:bookmarkStart w:id="119" w:name="_Toc217446056"/>
      <w:bookmarkStart w:id="120" w:name="_Toc89075878"/>
    </w:p>
    <w:p>
      <w:pPr>
        <w:spacing w:line="400" w:lineRule="exact"/>
        <w:rPr>
          <w:rFonts w:ascii="仿宋" w:hAnsi="仿宋" w:eastAsia="仿宋" w:cs="仿宋"/>
        </w:rPr>
      </w:pPr>
    </w:p>
    <w:p>
      <w:pPr>
        <w:pStyle w:val="4"/>
        <w:rPr>
          <w:rFonts w:ascii="仿宋" w:hAnsi="仿宋" w:eastAsia="仿宋" w:cs="仿宋"/>
        </w:rPr>
      </w:pPr>
      <w:bookmarkStart w:id="121" w:name="_Toc3779"/>
      <w:bookmarkStart w:id="122" w:name="_Toc29706"/>
      <w:bookmarkStart w:id="123" w:name="_Toc406749974"/>
      <w:r>
        <w:rPr>
          <w:rFonts w:hint="eastAsia" w:ascii="仿宋" w:hAnsi="仿宋" w:eastAsia="仿宋" w:cs="仿宋"/>
        </w:rPr>
        <w:t>四、开标和评标</w:t>
      </w:r>
      <w:bookmarkEnd w:id="116"/>
      <w:bookmarkEnd w:id="117"/>
      <w:bookmarkEnd w:id="118"/>
      <w:bookmarkEnd w:id="119"/>
      <w:bookmarkEnd w:id="120"/>
      <w:bookmarkEnd w:id="121"/>
      <w:bookmarkEnd w:id="122"/>
      <w:bookmarkEnd w:id="123"/>
    </w:p>
    <w:p>
      <w:pPr>
        <w:spacing w:line="400" w:lineRule="exact"/>
        <w:rPr>
          <w:rFonts w:ascii="仿宋" w:hAnsi="仿宋" w:eastAsia="仿宋" w:cs="仿宋"/>
          <w:b/>
          <w:color w:val="000000"/>
        </w:rPr>
      </w:pPr>
      <w:bookmarkStart w:id="124" w:name="_Toc217446057"/>
      <w:bookmarkStart w:id="125" w:name="_Toc183682369"/>
      <w:bookmarkStart w:id="126" w:name="_Toc183582232"/>
      <w:r>
        <w:rPr>
          <w:rFonts w:hint="eastAsia" w:ascii="仿宋" w:hAnsi="仿宋" w:eastAsia="仿宋" w:cs="仿宋"/>
          <w:b/>
          <w:color w:val="000000"/>
        </w:rPr>
        <w:t>21．开标</w:t>
      </w:r>
      <w:bookmarkEnd w:id="124"/>
      <w:bookmarkEnd w:id="125"/>
      <w:bookmarkEnd w:id="126"/>
    </w:p>
    <w:p>
      <w:pPr>
        <w:spacing w:before="120"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21.1 采购代理机构在竞争性谈判文件规定的时间和地点组织邀请开标，采购人、投标人须派代表参加并签到以证明其出席。</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 xml:space="preserve">21.2 </w:t>
      </w:r>
      <w:r>
        <w:rPr>
          <w:rFonts w:hint="eastAsia" w:ascii="仿宋" w:hAnsi="仿宋" w:eastAsia="仿宋" w:cs="仿宋"/>
          <w:szCs w:val="21"/>
        </w:rPr>
        <w:t>开标时，采购代理机构可以邀请有关监督管理部门对开标进行现场监督，也可以申请公证机构对整个开标程序进行现场公证。</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21.3 开标时，采购代理机构可以申请公证机构对投标文件的密封情况进行检查并公证。经确认无误后，由招标工作人员或公证人员将投标人单独递交的“开标一览表”当众拆封，并由唱标人员按照竞争性谈判文件规定的内容进行宣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31"/>
        <w:spacing w:line="400" w:lineRule="exact"/>
        <w:ind w:firstLine="420"/>
        <w:rPr>
          <w:rFonts w:ascii="仿宋" w:hAnsi="仿宋" w:eastAsia="仿宋" w:cs="仿宋"/>
          <w:color w:val="000000"/>
          <w:sz w:val="21"/>
          <w:szCs w:val="21"/>
        </w:rPr>
      </w:pPr>
      <w:r>
        <w:rPr>
          <w:rFonts w:hint="eastAsia" w:ascii="仿宋" w:hAnsi="仿宋" w:eastAsia="仿宋" w:cs="仿宋"/>
          <w:color w:val="000000"/>
          <w:sz w:val="21"/>
          <w:szCs w:val="21"/>
        </w:rPr>
        <w:t>21.5 投标文件中有关明细表内容与“开标一览表”不一致的，以“开标一览表”为准。对不同文字文本投标文件的解释发生异议的，以中文文本为准。</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21.6 所有投标唱标完毕，如</w:t>
      </w:r>
      <w:r>
        <w:rPr>
          <w:rFonts w:hint="eastAsia" w:ascii="仿宋" w:hAnsi="仿宋" w:eastAsia="仿宋" w:cs="仿宋"/>
          <w:color w:val="000000"/>
          <w:szCs w:val="21"/>
        </w:rPr>
        <w:t>投标人代表对宣读的“开标一览表”上的内容有异议的，应在获得开标会主持人同意后当场提出。如确实属于唱标人员宣读错了的，经现场监督人员和公证人员核实后，当场予以更正。</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21.7 公证人员应对其公证事项承担相应的法律负责。</w:t>
      </w:r>
    </w:p>
    <w:p>
      <w:pPr>
        <w:spacing w:line="400" w:lineRule="exact"/>
        <w:rPr>
          <w:rFonts w:ascii="仿宋" w:hAnsi="仿宋" w:eastAsia="仿宋" w:cs="仿宋"/>
          <w:b/>
          <w:color w:val="000000"/>
        </w:rPr>
      </w:pPr>
      <w:bookmarkStart w:id="127" w:name="_Toc217446058"/>
      <w:r>
        <w:rPr>
          <w:rFonts w:hint="eastAsia" w:ascii="仿宋" w:hAnsi="仿宋" w:eastAsia="仿宋" w:cs="仿宋"/>
          <w:b/>
          <w:color w:val="000000"/>
        </w:rPr>
        <w:t>22. 开标程序</w:t>
      </w:r>
      <w:bookmarkEnd w:id="127"/>
    </w:p>
    <w:p>
      <w:pPr>
        <w:pStyle w:val="31"/>
        <w:spacing w:line="400" w:lineRule="exact"/>
        <w:ind w:firstLine="420"/>
        <w:rPr>
          <w:rFonts w:ascii="仿宋" w:hAnsi="仿宋" w:eastAsia="仿宋" w:cs="仿宋"/>
          <w:color w:val="000000"/>
          <w:sz w:val="21"/>
          <w:szCs w:val="21"/>
        </w:rPr>
      </w:pPr>
      <w:r>
        <w:rPr>
          <w:rFonts w:hint="eastAsia" w:ascii="仿宋" w:hAnsi="仿宋" w:eastAsia="仿宋" w:cs="仿宋"/>
          <w:sz w:val="21"/>
          <w:szCs w:val="21"/>
        </w:rPr>
        <w:t xml:space="preserve">22.1 </w:t>
      </w:r>
      <w:r>
        <w:rPr>
          <w:rFonts w:hint="eastAsia" w:ascii="仿宋" w:hAnsi="仿宋" w:eastAsia="仿宋" w:cs="仿宋"/>
          <w:color w:val="000000"/>
          <w:sz w:val="21"/>
          <w:szCs w:val="21"/>
        </w:rPr>
        <w:t>开标会主持人按照竞争性谈判文件规定的开标时间宣布开标，按照规定要求主持开标会。开标将按以下程序进行：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宣布开标会开始。开标时间到，主持人宣布开标会开始并致辞，当众宣布参加开标会的现场监督人员、公证人员和主持人、唱标、监标、会议记录等招标工作人员，根据“供应商签到表”宣布参加投标的供应商名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（2）宣布会场纪律和有关注意事项。</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（3）监督人当众宣布检查投标文件的密封情况。</w:t>
      </w:r>
    </w:p>
    <w:p>
      <w:pPr>
        <w:spacing w:line="400" w:lineRule="exact"/>
        <w:ind w:firstLine="403" w:firstLineChars="192"/>
        <w:rPr>
          <w:rFonts w:ascii="仿宋" w:hAnsi="仿宋" w:eastAsia="仿宋" w:cs="仿宋"/>
          <w:szCs w:val="21"/>
        </w:rPr>
      </w:pPr>
      <w:r>
        <w:rPr>
          <w:rFonts w:hint="eastAsia" w:ascii="仿宋" w:hAnsi="仿宋" w:eastAsia="仿宋" w:cs="仿宋"/>
          <w:szCs w:val="21"/>
        </w:rPr>
        <w:t>（4）开标唱标。主持人宣布开标后，由现场工作人员或公证人员按递交投标文件逆顺序对投标人的“开标一览表”当众进行拆封，由唱标人员对其“开标一览表”的项目名称、投标人名称、投标总价以及交货期进行宣读。同时，工作人员将投标人的“开标一览表”投影在屏幕上，并做开标记录。唱标人员在唱标过程中，如遇有字迹不清楚的，应即刻报告主持人，经公证人员和现场监督人员核实后，主持人立即请投标人代表现场进行澄清。</w:t>
      </w:r>
    </w:p>
    <w:p>
      <w:pPr>
        <w:spacing w:line="400" w:lineRule="exact"/>
        <w:ind w:firstLine="403" w:firstLineChars="192"/>
        <w:rPr>
          <w:rFonts w:ascii="仿宋" w:hAnsi="仿宋" w:eastAsia="仿宋" w:cs="仿宋"/>
          <w:szCs w:val="21"/>
        </w:rPr>
      </w:pPr>
      <w:r>
        <w:rPr>
          <w:rFonts w:hint="eastAsia" w:ascii="仿宋" w:hAnsi="仿宋" w:eastAsia="仿宋" w:cs="仿宋"/>
          <w:szCs w:val="21"/>
        </w:rPr>
        <w:t>（5）致公证词。唱标结束后，主持人请公证人员当众致公证词。</w:t>
      </w:r>
    </w:p>
    <w:p>
      <w:pPr>
        <w:spacing w:line="400" w:lineRule="exact"/>
        <w:ind w:firstLine="403" w:firstLineChars="192"/>
        <w:rPr>
          <w:rFonts w:ascii="仿宋" w:hAnsi="仿宋" w:eastAsia="仿宋" w:cs="仿宋"/>
          <w:szCs w:val="21"/>
        </w:rPr>
      </w:pPr>
      <w:r>
        <w:rPr>
          <w:rFonts w:hint="eastAsia" w:ascii="仿宋" w:hAnsi="仿宋" w:eastAsia="仿宋" w:cs="仿宋"/>
          <w:szCs w:val="21"/>
        </w:rPr>
        <w:t>（6）对各投标人的投标文件进行详细评审，评审标准详见第六章。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（7）宣布开标会结束。主持人宣布开标会结束后，所有投标人代表应立即退场。</w:t>
      </w:r>
    </w:p>
    <w:p>
      <w:pPr>
        <w:spacing w:line="400" w:lineRule="exact"/>
        <w:rPr>
          <w:rFonts w:ascii="仿宋" w:hAnsi="仿宋" w:eastAsia="仿宋" w:cs="仿宋"/>
          <w:b/>
          <w:color w:val="000000"/>
        </w:rPr>
      </w:pPr>
      <w:bookmarkStart w:id="128" w:name="_Toc217446059"/>
      <w:r>
        <w:rPr>
          <w:rFonts w:hint="eastAsia" w:ascii="仿宋" w:hAnsi="仿宋" w:eastAsia="仿宋" w:cs="仿宋"/>
          <w:b/>
          <w:color w:val="000000"/>
        </w:rPr>
        <w:t>23. 评标</w:t>
      </w:r>
      <w:bookmarkEnd w:id="128"/>
    </w:p>
    <w:p>
      <w:pPr>
        <w:spacing w:line="400" w:lineRule="exact"/>
        <w:ind w:firstLine="420" w:firstLineChars="200"/>
        <w:rPr>
          <w:rFonts w:ascii="仿宋" w:hAnsi="仿宋" w:eastAsia="仿宋" w:cs="仿宋"/>
          <w:szCs w:val="21"/>
        </w:rPr>
      </w:pPr>
      <w:r>
        <w:rPr>
          <w:rFonts w:hint="eastAsia" w:ascii="仿宋" w:hAnsi="仿宋" w:eastAsia="仿宋" w:cs="仿宋"/>
          <w:szCs w:val="21"/>
        </w:rPr>
        <w:t>23.8 投标文件属于下列情况的，在资格性、符合性检查时按照无效投标处理：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（1）未按照竞争性谈判文件规定交纳投标保证金的；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（2）未按照竞争性谈判文件规定和要求密封、签署、盖章的;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（3）不具备竞争性谈判文件中规定的资格条件和要求的;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（4）未按照竞争性谈判文件规定的格式要求编制的；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（5</w:t>
      </w:r>
      <w:bookmarkStart w:id="129" w:name="_Toc183682370"/>
      <w:bookmarkStart w:id="130" w:name="_Toc183582233"/>
      <w:r>
        <w:rPr>
          <w:rFonts w:hint="eastAsia" w:ascii="仿宋" w:hAnsi="仿宋" w:eastAsia="仿宋" w:cs="仿宋"/>
          <w:szCs w:val="21"/>
        </w:rPr>
        <w:t>）不符合法律法规和竞争性谈判文件中规定的其他实质性要求的；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（6）竞争性谈判文件规定的其他无效投标情形。</w:t>
      </w:r>
    </w:p>
    <w:p>
      <w:pPr>
        <w:spacing w:line="400" w:lineRule="exact"/>
        <w:rPr>
          <w:rFonts w:ascii="仿宋" w:hAnsi="仿宋" w:eastAsia="仿宋" w:cs="仿宋"/>
          <w:szCs w:val="21"/>
        </w:rPr>
      </w:pPr>
    </w:p>
    <w:bookmarkEnd w:id="129"/>
    <w:bookmarkEnd w:id="130"/>
    <w:p>
      <w:pPr>
        <w:pStyle w:val="4"/>
        <w:rPr>
          <w:rFonts w:ascii="仿宋" w:hAnsi="仿宋" w:eastAsia="仿宋" w:cs="仿宋"/>
        </w:rPr>
      </w:pPr>
      <w:bookmarkStart w:id="131" w:name="_Toc406749975"/>
      <w:bookmarkStart w:id="132" w:name="_Toc1590"/>
      <w:bookmarkStart w:id="133" w:name="_Toc217446060"/>
      <w:bookmarkStart w:id="134" w:name="_Toc6915"/>
      <w:r>
        <w:rPr>
          <w:rFonts w:hint="eastAsia" w:ascii="仿宋" w:hAnsi="仿宋" w:eastAsia="仿宋" w:cs="仿宋"/>
        </w:rPr>
        <w:t>五、定标</w:t>
      </w:r>
      <w:bookmarkEnd w:id="131"/>
      <w:bookmarkEnd w:id="132"/>
      <w:bookmarkEnd w:id="133"/>
      <w:bookmarkEnd w:id="134"/>
      <w:bookmarkStart w:id="135" w:name="_Toc217446061"/>
    </w:p>
    <w:p>
      <w:pPr>
        <w:spacing w:line="400" w:lineRule="exact"/>
        <w:rPr>
          <w:rFonts w:ascii="仿宋" w:hAnsi="仿宋" w:eastAsia="仿宋" w:cs="仿宋"/>
          <w:b/>
          <w:color w:val="000000"/>
        </w:rPr>
      </w:pPr>
      <w:r>
        <w:rPr>
          <w:rFonts w:hint="eastAsia" w:ascii="仿宋" w:hAnsi="仿宋" w:eastAsia="仿宋" w:cs="仿宋"/>
          <w:b/>
          <w:color w:val="000000"/>
        </w:rPr>
        <w:t>24. 定标原则</w:t>
      </w:r>
      <w:bookmarkEnd w:id="135"/>
    </w:p>
    <w:p>
      <w:pPr>
        <w:pStyle w:val="2"/>
        <w:spacing w:line="400" w:lineRule="exact"/>
        <w:rPr>
          <w:rFonts w:ascii="仿宋" w:hAnsi="仿宋" w:eastAsia="仿宋" w:cs="仿宋"/>
          <w:szCs w:val="21"/>
        </w:rPr>
      </w:pPr>
      <w:r>
        <w:rPr>
          <w:rFonts w:hint="eastAsia" w:ascii="仿宋" w:hAnsi="仿宋" w:eastAsia="仿宋" w:cs="仿宋"/>
          <w:szCs w:val="21"/>
        </w:rPr>
        <w:t>根据投标报价由低到高，按顺序确定中标人。</w:t>
      </w:r>
    </w:p>
    <w:p>
      <w:pPr>
        <w:spacing w:line="400" w:lineRule="exact"/>
        <w:rPr>
          <w:rFonts w:ascii="仿宋" w:hAnsi="仿宋" w:eastAsia="仿宋" w:cs="仿宋"/>
          <w:b/>
          <w:color w:val="000000"/>
        </w:rPr>
      </w:pPr>
      <w:bookmarkStart w:id="136" w:name="_Toc217446062"/>
      <w:r>
        <w:rPr>
          <w:rFonts w:hint="eastAsia" w:ascii="仿宋" w:hAnsi="仿宋" w:eastAsia="仿宋" w:cs="仿宋"/>
          <w:b/>
          <w:color w:val="000000"/>
        </w:rPr>
        <w:t>25. 定标程序</w:t>
      </w:r>
      <w:bookmarkEnd w:id="136"/>
    </w:p>
    <w:p>
      <w:pPr>
        <w:spacing w:line="400" w:lineRule="exact"/>
        <w:ind w:firstLine="420" w:firstLineChars="200"/>
        <w:rPr>
          <w:rFonts w:ascii="仿宋" w:hAnsi="仿宋" w:eastAsia="仿宋" w:cs="仿宋"/>
        </w:rPr>
      </w:pPr>
      <w:r>
        <w:rPr>
          <w:rFonts w:hint="eastAsia" w:ascii="仿宋" w:hAnsi="仿宋" w:eastAsia="仿宋" w:cs="仿宋"/>
          <w:szCs w:val="21"/>
        </w:rPr>
        <w:t>25.1</w:t>
      </w:r>
      <w:r>
        <w:rPr>
          <w:rFonts w:hint="eastAsia" w:ascii="仿宋" w:hAnsi="仿宋" w:eastAsia="仿宋" w:cs="仿宋"/>
        </w:rPr>
        <w:t>在全部满足竞争性谈判文件的实质性要求的前提下，依据统一的价格要素评定最低报价，以提出最低报价的投标人作为中标候选供应商的评标办法。</w:t>
      </w:r>
    </w:p>
    <w:p>
      <w:pPr>
        <w:spacing w:line="400" w:lineRule="exact"/>
        <w:rPr>
          <w:rFonts w:ascii="仿宋" w:hAnsi="仿宋" w:eastAsia="仿宋" w:cs="仿宋"/>
          <w:b/>
          <w:color w:val="000000"/>
        </w:rPr>
      </w:pPr>
      <w:bookmarkStart w:id="137" w:name="_Toc183582238"/>
      <w:bookmarkStart w:id="138" w:name="_Toc183682375"/>
      <w:bookmarkStart w:id="139" w:name="_Toc217446063"/>
      <w:r>
        <w:rPr>
          <w:rFonts w:hint="eastAsia" w:ascii="仿宋" w:hAnsi="仿宋" w:eastAsia="仿宋" w:cs="仿宋"/>
          <w:b/>
          <w:color w:val="000000"/>
        </w:rPr>
        <w:t>26．中标通知</w:t>
      </w:r>
      <w:bookmarkEnd w:id="137"/>
      <w:bookmarkEnd w:id="138"/>
      <w:r>
        <w:rPr>
          <w:rFonts w:hint="eastAsia" w:ascii="仿宋" w:hAnsi="仿宋" w:eastAsia="仿宋" w:cs="仿宋"/>
          <w:b/>
          <w:color w:val="000000"/>
        </w:rPr>
        <w:t>书</w:t>
      </w:r>
      <w:bookmarkEnd w:id="139"/>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26</w:t>
      </w:r>
      <w:r>
        <w:rPr>
          <w:rFonts w:hint="eastAsia" w:ascii="仿宋" w:hAnsi="仿宋" w:eastAsia="仿宋" w:cs="仿宋"/>
          <w:b/>
          <w:bCs/>
          <w:szCs w:val="21"/>
        </w:rPr>
        <w:t>.</w:t>
      </w:r>
      <w:r>
        <w:rPr>
          <w:rFonts w:hint="eastAsia" w:ascii="仿宋" w:hAnsi="仿宋" w:eastAsia="仿宋" w:cs="仿宋"/>
          <w:szCs w:val="21"/>
        </w:rPr>
        <w:t>1 中标通知书为签订政府采购合同的依据，是合同的有效组成部分。</w:t>
      </w:r>
    </w:p>
    <w:p>
      <w:pPr>
        <w:tabs>
          <w:tab w:val="left" w:pos="7665"/>
        </w:tabs>
        <w:spacing w:line="400" w:lineRule="exact"/>
        <w:rPr>
          <w:rFonts w:ascii="仿宋" w:hAnsi="仿宋" w:eastAsia="仿宋" w:cs="仿宋"/>
          <w:szCs w:val="21"/>
        </w:rPr>
      </w:pPr>
      <w:r>
        <w:rPr>
          <w:rFonts w:hint="eastAsia" w:ascii="仿宋" w:hAnsi="仿宋" w:eastAsia="仿宋" w:cs="仿宋"/>
          <w:szCs w:val="21"/>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仿宋" w:hAnsi="仿宋" w:eastAsia="仿宋" w:cs="仿宋"/>
          <w:szCs w:val="21"/>
        </w:rPr>
      </w:pPr>
      <w:r>
        <w:rPr>
          <w:rFonts w:hint="eastAsia" w:ascii="仿宋" w:hAnsi="仿宋" w:eastAsia="仿宋" w:cs="仿宋"/>
          <w:szCs w:val="21"/>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tabs>
          <w:tab w:val="left" w:pos="7665"/>
        </w:tabs>
        <w:spacing w:line="400" w:lineRule="exact"/>
        <w:rPr>
          <w:rFonts w:ascii="仿宋" w:hAnsi="仿宋" w:eastAsia="仿宋" w:cs="仿宋"/>
          <w:szCs w:val="21"/>
        </w:rPr>
      </w:pPr>
    </w:p>
    <w:p>
      <w:pPr>
        <w:pStyle w:val="4"/>
        <w:rPr>
          <w:rFonts w:ascii="仿宋" w:hAnsi="仿宋" w:eastAsia="仿宋" w:cs="仿宋"/>
        </w:rPr>
      </w:pPr>
      <w:bookmarkStart w:id="140" w:name="_Toc406749976"/>
      <w:bookmarkStart w:id="141" w:name="_Toc20203"/>
      <w:bookmarkStart w:id="142" w:name="_Toc217446064"/>
      <w:bookmarkStart w:id="143" w:name="_Toc2902"/>
      <w:bookmarkStart w:id="144" w:name="_Toc183582240"/>
      <w:bookmarkStart w:id="145" w:name="_Toc183682377"/>
      <w:r>
        <w:rPr>
          <w:rFonts w:hint="eastAsia" w:ascii="仿宋" w:hAnsi="仿宋" w:eastAsia="仿宋" w:cs="仿宋"/>
        </w:rPr>
        <w:t>六、签订及履行合同和验收</w:t>
      </w:r>
      <w:bookmarkEnd w:id="140"/>
      <w:bookmarkEnd w:id="141"/>
      <w:bookmarkEnd w:id="142"/>
      <w:bookmarkEnd w:id="143"/>
    </w:p>
    <w:p>
      <w:pPr>
        <w:spacing w:line="400" w:lineRule="exact"/>
        <w:rPr>
          <w:rFonts w:ascii="仿宋" w:hAnsi="仿宋" w:eastAsia="仿宋" w:cs="仿宋"/>
          <w:b/>
          <w:color w:val="000000"/>
        </w:rPr>
      </w:pPr>
      <w:bookmarkStart w:id="146" w:name="_Toc217446065"/>
      <w:r>
        <w:rPr>
          <w:rFonts w:hint="eastAsia" w:ascii="仿宋" w:hAnsi="仿宋" w:eastAsia="仿宋" w:cs="仿宋"/>
          <w:b/>
          <w:color w:val="000000"/>
        </w:rPr>
        <w:t>27. 签订合同</w:t>
      </w:r>
      <w:bookmarkEnd w:id="146"/>
    </w:p>
    <w:p>
      <w:pPr>
        <w:spacing w:line="400" w:lineRule="exact"/>
        <w:ind w:firstLine="420" w:firstLineChars="200"/>
        <w:rPr>
          <w:rFonts w:ascii="仿宋" w:hAnsi="仿宋" w:eastAsia="仿宋" w:cs="仿宋"/>
          <w:szCs w:val="21"/>
        </w:rPr>
      </w:pPr>
      <w:r>
        <w:rPr>
          <w:rFonts w:hint="eastAsia" w:ascii="仿宋" w:hAnsi="仿宋" w:eastAsia="仿宋" w:cs="仿宋"/>
          <w:szCs w:val="21"/>
        </w:rPr>
        <w:t>27.1 中标人在收到招标人发出的《中标通知书》后，应在竞争性谈判文件规定的时间内与采购人签订采购合同。由于中标人的原因逾期未与采购人签订采购合同的，将视为放弃中标，取消其中标资格并将按相关规定进行处理。</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27.2 采购人不得向中标人提出任何不合理的要求，作为签订合同的条件，不得与中标人私下订立背离合同实质性内容的任何协议，所签订的合同不得对竞争性谈判文件和中标人投标文件作实质性修改。</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27.3 中标人因不可抗力原因不能履行采购合同或放弃中标的，采购人可以与排在中标人之后第一位的中标候选人签订采购合同，以此类推。</w:t>
      </w:r>
    </w:p>
    <w:p>
      <w:pPr>
        <w:spacing w:line="400" w:lineRule="exact"/>
        <w:rPr>
          <w:rFonts w:ascii="仿宋" w:hAnsi="仿宋" w:eastAsia="仿宋" w:cs="仿宋"/>
          <w:b/>
          <w:color w:val="000000"/>
        </w:rPr>
      </w:pPr>
      <w:bookmarkStart w:id="147" w:name="_Toc217446066"/>
      <w:r>
        <w:rPr>
          <w:rFonts w:hint="eastAsia" w:ascii="仿宋" w:hAnsi="仿宋" w:eastAsia="仿宋" w:cs="仿宋"/>
          <w:b/>
          <w:color w:val="000000"/>
        </w:rPr>
        <w:t>28. 合同分包</w:t>
      </w:r>
      <w:bookmarkEnd w:id="147"/>
    </w:p>
    <w:p>
      <w:pPr>
        <w:spacing w:line="400" w:lineRule="exact"/>
        <w:ind w:firstLine="420" w:firstLineChars="200"/>
        <w:rPr>
          <w:rFonts w:ascii="仿宋" w:hAnsi="仿宋" w:eastAsia="仿宋" w:cs="仿宋"/>
          <w:szCs w:val="21"/>
        </w:rPr>
      </w:pPr>
      <w:r>
        <w:rPr>
          <w:rFonts w:hint="eastAsia" w:ascii="仿宋" w:hAnsi="仿宋" w:eastAsia="仿宋" w:cs="仿宋"/>
          <w:szCs w:val="21"/>
        </w:rPr>
        <w:t>28.1 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95"/>
        <w:rPr>
          <w:rFonts w:ascii="仿宋" w:hAnsi="仿宋" w:eastAsia="仿宋" w:cs="仿宋"/>
          <w:szCs w:val="21"/>
        </w:rPr>
      </w:pPr>
      <w:r>
        <w:rPr>
          <w:rFonts w:hint="eastAsia" w:ascii="仿宋" w:hAnsi="仿宋" w:eastAsia="仿宋" w:cs="仿宋"/>
          <w:szCs w:val="21"/>
        </w:rPr>
        <w:t>28.2 采购合同实行分包履行的，中标人就采购项目和分包项目向采购人负责，分包供应商就分包项目承担责任。</w:t>
      </w:r>
    </w:p>
    <w:p>
      <w:pPr>
        <w:spacing w:line="400" w:lineRule="exact"/>
        <w:rPr>
          <w:rFonts w:ascii="仿宋" w:hAnsi="仿宋" w:eastAsia="仿宋" w:cs="仿宋"/>
          <w:b/>
          <w:color w:val="000000"/>
        </w:rPr>
      </w:pPr>
      <w:bookmarkStart w:id="148" w:name="_Toc217446067"/>
      <w:r>
        <w:rPr>
          <w:rFonts w:hint="eastAsia" w:ascii="仿宋" w:hAnsi="仿宋" w:eastAsia="仿宋" w:cs="仿宋"/>
          <w:b/>
          <w:color w:val="000000"/>
        </w:rPr>
        <w:t>29. 采购人增加合同标的权</w:t>
      </w:r>
      <w:bookmarkEnd w:id="148"/>
      <w:r>
        <w:rPr>
          <w:rFonts w:hint="eastAsia" w:ascii="仿宋" w:hAnsi="仿宋" w:eastAsia="仿宋" w:cs="仿宋"/>
          <w:b/>
          <w:color w:val="000000"/>
        </w:rPr>
        <w:t>利</w:t>
      </w:r>
    </w:p>
    <w:p>
      <w:pPr>
        <w:spacing w:line="400" w:lineRule="exact"/>
        <w:ind w:firstLine="495"/>
        <w:rPr>
          <w:rFonts w:ascii="仿宋" w:hAnsi="仿宋" w:eastAsia="仿宋" w:cs="仿宋"/>
          <w:szCs w:val="21"/>
        </w:rPr>
      </w:pPr>
      <w:r>
        <w:rPr>
          <w:rFonts w:hint="eastAsia" w:ascii="仿宋" w:hAnsi="仿宋" w:eastAsia="仿宋" w:cs="仿宋"/>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400" w:lineRule="exact"/>
        <w:rPr>
          <w:rFonts w:ascii="仿宋" w:hAnsi="仿宋" w:eastAsia="仿宋" w:cs="仿宋"/>
          <w:b/>
          <w:color w:val="000000"/>
        </w:rPr>
      </w:pPr>
      <w:bookmarkStart w:id="149" w:name="_Toc217446068"/>
      <w:r>
        <w:rPr>
          <w:rFonts w:hint="eastAsia" w:ascii="仿宋" w:hAnsi="仿宋" w:eastAsia="仿宋" w:cs="仿宋"/>
          <w:b/>
          <w:color w:val="000000"/>
        </w:rPr>
        <w:t>30. 履约保证金</w:t>
      </w:r>
      <w:bookmarkEnd w:id="149"/>
    </w:p>
    <w:p>
      <w:pPr>
        <w:spacing w:line="400" w:lineRule="exact"/>
        <w:ind w:firstLine="367" w:firstLineChars="175"/>
        <w:rPr>
          <w:rFonts w:ascii="仿宋" w:hAnsi="仿宋" w:eastAsia="仿宋" w:cs="仿宋"/>
          <w:color w:val="000000"/>
          <w:szCs w:val="21"/>
          <w:u w:val="single"/>
        </w:rPr>
      </w:pPr>
      <w:r>
        <w:rPr>
          <w:rFonts w:hint="eastAsia" w:ascii="仿宋" w:hAnsi="仿宋" w:eastAsia="仿宋" w:cs="仿宋"/>
          <w:szCs w:val="21"/>
        </w:rPr>
        <w:t xml:space="preserve">30.1 </w:t>
      </w:r>
      <w:r>
        <w:rPr>
          <w:rFonts w:hint="eastAsia" w:ascii="仿宋" w:hAnsi="仿宋" w:eastAsia="仿宋" w:cs="仿宋"/>
          <w:color w:val="000000"/>
          <w:szCs w:val="21"/>
        </w:rPr>
        <w:t>中标人应在合同签订之前交纳竞争性谈判文件规定数额的履约保证金。履约保证金，和田市市区内以转账、异地以电汇方式交至：业主指定账户上。</w:t>
      </w:r>
    </w:p>
    <w:p>
      <w:pPr>
        <w:spacing w:line="400" w:lineRule="exact"/>
        <w:ind w:firstLine="420" w:firstLineChars="200"/>
        <w:rPr>
          <w:rFonts w:ascii="仿宋" w:hAnsi="仿宋" w:eastAsia="仿宋" w:cs="仿宋"/>
          <w:szCs w:val="21"/>
        </w:rPr>
      </w:pPr>
      <w:r>
        <w:rPr>
          <w:rFonts w:hint="eastAsia" w:ascii="仿宋" w:hAnsi="仿宋" w:eastAsia="仿宋" w:cs="仿宋"/>
          <w:szCs w:val="21"/>
        </w:rPr>
        <w:t>30.2 如果中标人在规定的合同签订时间内，没有按照竞争性谈判文件的规定交纳履约保证金，且又无正当理由的，将视为放弃中标，其交纳的投标保证金将不与退还。</w:t>
      </w:r>
    </w:p>
    <w:p>
      <w:pPr>
        <w:spacing w:line="400" w:lineRule="exact"/>
        <w:rPr>
          <w:rFonts w:ascii="仿宋" w:hAnsi="仿宋" w:eastAsia="仿宋" w:cs="仿宋"/>
          <w:b/>
          <w:color w:val="000000"/>
        </w:rPr>
      </w:pPr>
      <w:bookmarkStart w:id="150" w:name="_Toc217446069"/>
      <w:r>
        <w:rPr>
          <w:rFonts w:hint="eastAsia" w:ascii="仿宋" w:hAnsi="仿宋" w:eastAsia="仿宋" w:cs="仿宋"/>
          <w:b/>
          <w:color w:val="000000"/>
        </w:rPr>
        <w:t>31. 履行合同</w:t>
      </w:r>
      <w:bookmarkEnd w:id="150"/>
    </w:p>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31.1 中标人与采购人签订合同后，合同双方应严格执行合同条款，履行合同规定的义务，保证合同的顺利完成。</w:t>
      </w:r>
    </w:p>
    <w:p>
      <w:pPr>
        <w:spacing w:line="400" w:lineRule="exact"/>
        <w:rPr>
          <w:rFonts w:ascii="仿宋" w:hAnsi="仿宋" w:eastAsia="仿宋" w:cs="仿宋"/>
          <w:szCs w:val="21"/>
        </w:rPr>
      </w:pPr>
      <w:r>
        <w:rPr>
          <w:rFonts w:hint="eastAsia" w:ascii="仿宋" w:hAnsi="仿宋" w:eastAsia="仿宋" w:cs="仿宋"/>
          <w:szCs w:val="21"/>
        </w:rPr>
        <w:t xml:space="preserve">    31.2 在合同履行过程中，如发生合同纠纷，合同双方应按照《合同法》的有关规定进行处理。</w:t>
      </w:r>
    </w:p>
    <w:p>
      <w:pPr>
        <w:spacing w:line="400" w:lineRule="exact"/>
        <w:rPr>
          <w:rFonts w:ascii="仿宋" w:hAnsi="仿宋" w:eastAsia="仿宋" w:cs="仿宋"/>
          <w:b/>
          <w:color w:val="000000"/>
        </w:rPr>
      </w:pPr>
      <w:bookmarkStart w:id="151" w:name="_Toc217446070"/>
      <w:r>
        <w:rPr>
          <w:rFonts w:hint="eastAsia" w:ascii="仿宋" w:hAnsi="仿宋" w:eastAsia="仿宋" w:cs="仿宋"/>
          <w:b/>
          <w:color w:val="000000"/>
        </w:rPr>
        <w:t>32. 验收</w:t>
      </w:r>
      <w:bookmarkEnd w:id="151"/>
    </w:p>
    <w:p>
      <w:pPr>
        <w:spacing w:line="400" w:lineRule="exact"/>
        <w:ind w:firstLine="403" w:firstLineChars="192"/>
        <w:rPr>
          <w:rFonts w:ascii="仿宋" w:hAnsi="仿宋" w:eastAsia="仿宋" w:cs="仿宋"/>
          <w:szCs w:val="21"/>
        </w:rPr>
      </w:pPr>
      <w:r>
        <w:rPr>
          <w:rFonts w:hint="eastAsia" w:ascii="仿宋" w:hAnsi="仿宋" w:eastAsia="仿宋" w:cs="仿宋"/>
          <w:szCs w:val="21"/>
        </w:rPr>
        <w:t>32.1 中标人交货时，由采购人依据合同组织验收，如验收合格，采购人应签署《验收结算书》。</w:t>
      </w:r>
    </w:p>
    <w:p>
      <w:pPr>
        <w:spacing w:line="400" w:lineRule="exact"/>
        <w:ind w:firstLine="380" w:firstLineChars="181"/>
        <w:rPr>
          <w:rFonts w:ascii="仿宋" w:hAnsi="仿宋" w:eastAsia="仿宋" w:cs="仿宋"/>
          <w:szCs w:val="21"/>
        </w:rPr>
      </w:pPr>
      <w:r>
        <w:rPr>
          <w:rFonts w:hint="eastAsia" w:ascii="仿宋" w:hAnsi="仿宋" w:eastAsia="仿宋" w:cs="仿宋"/>
          <w:szCs w:val="21"/>
        </w:rPr>
        <w:t>32.2 采购人应当在中标人交货后10个工作日内组织货物或服务的验收，无正当理由拒不验收超过10个工作日后，视为验收合格。</w:t>
      </w:r>
    </w:p>
    <w:p>
      <w:pPr>
        <w:spacing w:line="400" w:lineRule="exact"/>
        <w:ind w:firstLine="420"/>
        <w:rPr>
          <w:rFonts w:ascii="仿宋" w:hAnsi="仿宋" w:eastAsia="仿宋" w:cs="仿宋"/>
          <w:szCs w:val="21"/>
        </w:rPr>
      </w:pPr>
      <w:r>
        <w:rPr>
          <w:rFonts w:hint="eastAsia" w:ascii="仿宋" w:hAnsi="仿宋" w:eastAsia="仿宋" w:cs="仿宋"/>
          <w:szCs w:val="21"/>
        </w:rPr>
        <w:t>32.3 货物（设备）使用和运行60天后无质量问题，采购人应签署《质量验收合格证明书》。</w:t>
      </w:r>
    </w:p>
    <w:p>
      <w:pPr>
        <w:spacing w:line="400" w:lineRule="exact"/>
        <w:ind w:firstLine="411" w:firstLineChars="196"/>
        <w:rPr>
          <w:rFonts w:ascii="仿宋" w:hAnsi="仿宋" w:eastAsia="仿宋" w:cs="仿宋"/>
          <w:szCs w:val="21"/>
        </w:rPr>
      </w:pPr>
      <w:r>
        <w:rPr>
          <w:rFonts w:hint="eastAsia" w:ascii="仿宋" w:hAnsi="仿宋" w:eastAsia="仿宋" w:cs="仿宋"/>
          <w:szCs w:val="21"/>
        </w:rPr>
        <w:t>32.4 中标人凭《质量验收合格证明书》到采购代理机构财务科室办理履约保证金退款手续（办理退款手续时，中标人需开具收据）。</w:t>
      </w:r>
      <w:bookmarkStart w:id="152" w:name="_Toc217446071"/>
    </w:p>
    <w:p>
      <w:pPr>
        <w:spacing w:line="400" w:lineRule="exact"/>
        <w:jc w:val="center"/>
        <w:rPr>
          <w:rFonts w:ascii="仿宋" w:hAnsi="仿宋" w:eastAsia="仿宋" w:cs="仿宋"/>
          <w:color w:val="000000"/>
          <w:szCs w:val="21"/>
        </w:rPr>
      </w:pPr>
    </w:p>
    <w:p>
      <w:pPr>
        <w:pStyle w:val="4"/>
        <w:rPr>
          <w:rFonts w:ascii="仿宋" w:hAnsi="仿宋" w:eastAsia="仿宋" w:cs="仿宋"/>
        </w:rPr>
      </w:pPr>
      <w:bookmarkStart w:id="153" w:name="_Toc30766"/>
      <w:bookmarkStart w:id="154" w:name="_Toc23425"/>
      <w:bookmarkStart w:id="155" w:name="_Toc406749977"/>
      <w:r>
        <w:rPr>
          <w:rFonts w:hint="eastAsia" w:ascii="仿宋" w:hAnsi="仿宋" w:eastAsia="仿宋" w:cs="仿宋"/>
        </w:rPr>
        <w:t>七、废标</w:t>
      </w:r>
      <w:bookmarkEnd w:id="152"/>
      <w:bookmarkEnd w:id="153"/>
      <w:bookmarkEnd w:id="154"/>
      <w:bookmarkEnd w:id="155"/>
    </w:p>
    <w:bookmarkEnd w:id="144"/>
    <w:bookmarkEnd w:id="145"/>
    <w:p>
      <w:pPr>
        <w:spacing w:line="400" w:lineRule="exact"/>
        <w:rPr>
          <w:rFonts w:ascii="仿宋" w:hAnsi="仿宋" w:eastAsia="仿宋" w:cs="仿宋"/>
          <w:b/>
          <w:color w:val="000000"/>
        </w:rPr>
      </w:pPr>
      <w:bookmarkStart w:id="156" w:name="_Toc217446072"/>
      <w:bookmarkStart w:id="157" w:name="_Toc183582243"/>
      <w:bookmarkStart w:id="158" w:name="_Toc183682380"/>
      <w:r>
        <w:rPr>
          <w:rFonts w:hint="eastAsia" w:ascii="仿宋" w:hAnsi="仿宋" w:eastAsia="仿宋" w:cs="仿宋"/>
          <w:b/>
          <w:color w:val="000000"/>
        </w:rPr>
        <w:t>33.废标的情形</w:t>
      </w:r>
      <w:bookmarkEnd w:id="156"/>
    </w:p>
    <w:p>
      <w:pPr>
        <w:pStyle w:val="2"/>
        <w:spacing w:line="400" w:lineRule="exact"/>
        <w:ind w:firstLine="525"/>
        <w:rPr>
          <w:rFonts w:ascii="仿宋" w:hAnsi="仿宋" w:eastAsia="仿宋" w:cs="仿宋"/>
          <w:szCs w:val="21"/>
        </w:rPr>
      </w:pPr>
      <w:r>
        <w:rPr>
          <w:rFonts w:hint="eastAsia" w:ascii="仿宋" w:hAnsi="仿宋" w:eastAsia="仿宋" w:cs="仿宋"/>
          <w:szCs w:val="21"/>
        </w:rPr>
        <w:t>招标采购中，出现下列情形之一的，予以废标：</w:t>
      </w:r>
    </w:p>
    <w:p>
      <w:pPr>
        <w:pStyle w:val="2"/>
        <w:spacing w:line="400" w:lineRule="exact"/>
        <w:ind w:firstLine="525"/>
        <w:rPr>
          <w:rFonts w:ascii="仿宋" w:hAnsi="仿宋" w:eastAsia="仿宋" w:cs="仿宋"/>
          <w:szCs w:val="21"/>
        </w:rPr>
      </w:pPr>
      <w:r>
        <w:rPr>
          <w:rFonts w:hint="eastAsia" w:ascii="仿宋" w:hAnsi="仿宋" w:eastAsia="仿宋" w:cs="仿宋"/>
          <w:szCs w:val="21"/>
        </w:rPr>
        <w:t>（1）符合专业条件的供应商或者对竞争性谈判文件作实质响应的供应商不足三家的；</w:t>
      </w:r>
    </w:p>
    <w:p>
      <w:pPr>
        <w:pStyle w:val="2"/>
        <w:spacing w:line="400" w:lineRule="exact"/>
        <w:ind w:firstLine="525"/>
        <w:rPr>
          <w:rFonts w:ascii="仿宋" w:hAnsi="仿宋" w:eastAsia="仿宋" w:cs="仿宋"/>
          <w:color w:val="000000"/>
          <w:szCs w:val="21"/>
        </w:rPr>
      </w:pPr>
      <w:r>
        <w:rPr>
          <w:rFonts w:hint="eastAsia" w:ascii="仿宋" w:hAnsi="仿宋" w:eastAsia="仿宋" w:cs="仿宋"/>
          <w:szCs w:val="21"/>
        </w:rPr>
        <w:t>（2）</w:t>
      </w:r>
      <w:r>
        <w:rPr>
          <w:rFonts w:hint="eastAsia" w:ascii="仿宋" w:hAnsi="仿宋" w:eastAsia="仿宋" w:cs="仿宋"/>
          <w:color w:val="000000"/>
          <w:szCs w:val="21"/>
        </w:rPr>
        <w:t>出现影响采购公正的违法、违规行为的；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（3）投标人的报价均超过了采购预算，采购人不能支付的；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（4）因重大变故，采购任务取消的。</w:t>
      </w:r>
    </w:p>
    <w:p>
      <w:pPr>
        <w:pStyle w:val="4"/>
        <w:rPr>
          <w:rFonts w:ascii="仿宋" w:hAnsi="仿宋" w:eastAsia="仿宋" w:cs="仿宋"/>
        </w:rPr>
      </w:pPr>
      <w:bookmarkStart w:id="159" w:name="_Toc217446074"/>
      <w:bookmarkStart w:id="160" w:name="_Toc406749978"/>
      <w:bookmarkStart w:id="161" w:name="_Toc164"/>
      <w:bookmarkStart w:id="162" w:name="_Toc21775"/>
      <w:r>
        <w:rPr>
          <w:rFonts w:hint="eastAsia" w:ascii="仿宋" w:hAnsi="仿宋" w:eastAsia="仿宋" w:cs="仿宋"/>
        </w:rPr>
        <w:t>八、投标纪律要求</w:t>
      </w:r>
      <w:bookmarkEnd w:id="159"/>
      <w:bookmarkEnd w:id="160"/>
      <w:bookmarkEnd w:id="161"/>
      <w:bookmarkEnd w:id="162"/>
    </w:p>
    <w:p>
      <w:pPr>
        <w:spacing w:line="400" w:lineRule="exact"/>
        <w:rPr>
          <w:rFonts w:ascii="仿宋" w:hAnsi="仿宋" w:eastAsia="仿宋" w:cs="仿宋"/>
          <w:b/>
          <w:color w:val="000000"/>
        </w:rPr>
      </w:pPr>
      <w:bookmarkStart w:id="163" w:name="_Toc217446075"/>
      <w:r>
        <w:rPr>
          <w:rFonts w:hint="eastAsia" w:ascii="仿宋" w:hAnsi="仿宋" w:eastAsia="仿宋" w:cs="仿宋"/>
          <w:b/>
          <w:color w:val="000000"/>
        </w:rPr>
        <w:t>34. 投标人不得具有的情形</w:t>
      </w:r>
      <w:bookmarkEnd w:id="163"/>
    </w:p>
    <w:p>
      <w:pPr>
        <w:pStyle w:val="2"/>
        <w:spacing w:line="400" w:lineRule="exact"/>
        <w:rPr>
          <w:rFonts w:ascii="仿宋" w:hAnsi="仿宋" w:eastAsia="仿宋" w:cs="仿宋"/>
          <w:szCs w:val="21"/>
        </w:rPr>
      </w:pPr>
      <w:r>
        <w:rPr>
          <w:rFonts w:hint="eastAsia" w:ascii="仿宋" w:hAnsi="仿宋" w:eastAsia="仿宋" w:cs="仿宋"/>
          <w:szCs w:val="21"/>
        </w:rPr>
        <w:t>投标人参加投标不得有下列情形：</w:t>
      </w:r>
    </w:p>
    <w:p>
      <w:pPr>
        <w:spacing w:line="400" w:lineRule="exact"/>
        <w:ind w:firstLine="403" w:firstLineChars="192"/>
        <w:rPr>
          <w:rFonts w:ascii="仿宋" w:hAnsi="仿宋" w:eastAsia="仿宋" w:cs="仿宋"/>
          <w:szCs w:val="21"/>
        </w:rPr>
      </w:pPr>
      <w:r>
        <w:rPr>
          <w:rFonts w:hint="eastAsia" w:ascii="仿宋" w:hAnsi="仿宋" w:eastAsia="仿宋" w:cs="仿宋"/>
          <w:szCs w:val="21"/>
        </w:rPr>
        <w:t>（1）提供虚假材料谋取中标；</w:t>
      </w:r>
    </w:p>
    <w:p>
      <w:pPr>
        <w:spacing w:line="400" w:lineRule="exact"/>
        <w:ind w:firstLine="403" w:firstLineChars="192"/>
        <w:rPr>
          <w:rFonts w:ascii="仿宋" w:hAnsi="仿宋" w:eastAsia="仿宋" w:cs="仿宋"/>
          <w:szCs w:val="21"/>
        </w:rPr>
      </w:pPr>
      <w:r>
        <w:rPr>
          <w:rFonts w:hint="eastAsia" w:ascii="仿宋" w:hAnsi="仿宋" w:eastAsia="仿宋" w:cs="仿宋"/>
          <w:szCs w:val="21"/>
        </w:rPr>
        <w:t>（2）采取不正当手段诋毁、排挤其他投标人；</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（3）与招标采购单位、其他投标人恶意串通；</w:t>
      </w:r>
    </w:p>
    <w:p>
      <w:pPr>
        <w:spacing w:line="400" w:lineRule="exact"/>
        <w:rPr>
          <w:rFonts w:ascii="仿宋" w:hAnsi="仿宋" w:eastAsia="仿宋" w:cs="仿宋"/>
          <w:szCs w:val="21"/>
        </w:rPr>
      </w:pPr>
      <w:r>
        <w:rPr>
          <w:rFonts w:hint="eastAsia" w:ascii="仿宋" w:hAnsi="仿宋" w:eastAsia="仿宋" w:cs="仿宋"/>
          <w:szCs w:val="21"/>
        </w:rPr>
        <w:t xml:space="preserve">    （4）向招标采购单位、评标委员会成员行贿或者提供其他不正当利益；</w:t>
      </w:r>
    </w:p>
    <w:p>
      <w:pPr>
        <w:pStyle w:val="23"/>
        <w:tabs>
          <w:tab w:val="left" w:pos="720"/>
        </w:tabs>
        <w:spacing w:line="400" w:lineRule="exact"/>
        <w:ind w:firstLine="403" w:firstLineChars="192"/>
        <w:rPr>
          <w:rFonts w:ascii="仿宋" w:hAnsi="仿宋" w:eastAsia="仿宋" w:cs="仿宋"/>
          <w:sz w:val="21"/>
          <w:szCs w:val="21"/>
        </w:rPr>
      </w:pPr>
      <w:r>
        <w:rPr>
          <w:rFonts w:hint="eastAsia" w:ascii="仿宋" w:hAnsi="仿宋" w:eastAsia="仿宋" w:cs="仿宋"/>
          <w:sz w:val="21"/>
          <w:szCs w:val="21"/>
        </w:rPr>
        <w:t>（5）在招标过程中与招标采购单位进行协商谈判；</w:t>
      </w:r>
    </w:p>
    <w:p>
      <w:pPr>
        <w:pStyle w:val="2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（6）拒绝有关部门的监督检查或者向监督检查部门提供虚假情况。</w:t>
      </w:r>
    </w:p>
    <w:p>
      <w:pPr>
        <w:pStyle w:val="2"/>
        <w:spacing w:line="400" w:lineRule="exact"/>
        <w:ind w:firstLine="495"/>
        <w:rPr>
          <w:rFonts w:ascii="仿宋" w:hAnsi="仿宋" w:eastAsia="仿宋" w:cs="仿宋"/>
          <w:color w:val="000000"/>
          <w:szCs w:val="21"/>
        </w:rPr>
      </w:pPr>
      <w:r>
        <w:rPr>
          <w:rFonts w:hint="eastAsia" w:ascii="仿宋" w:hAnsi="仿宋" w:eastAsia="仿宋" w:cs="仿宋"/>
          <w:color w:val="000000"/>
          <w:szCs w:val="21"/>
        </w:rPr>
        <w:t>有上述情形之一的投标人，属于不合格投标人，其投标或中标资格将被取消。</w:t>
      </w:r>
    </w:p>
    <w:p>
      <w:pPr>
        <w:pStyle w:val="2"/>
        <w:spacing w:line="400" w:lineRule="exact"/>
        <w:ind w:firstLine="0"/>
        <w:rPr>
          <w:rFonts w:ascii="仿宋" w:hAnsi="仿宋" w:eastAsia="仿宋" w:cs="仿宋"/>
          <w:color w:val="000000"/>
          <w:szCs w:val="21"/>
        </w:rPr>
      </w:pPr>
    </w:p>
    <w:p>
      <w:pPr>
        <w:pStyle w:val="4"/>
        <w:rPr>
          <w:rFonts w:ascii="仿宋" w:hAnsi="仿宋" w:eastAsia="仿宋" w:cs="仿宋"/>
          <w:color w:val="000000" w:themeColor="text1"/>
        </w:rPr>
      </w:pPr>
      <w:bookmarkStart w:id="164" w:name="_Toc20514"/>
      <w:bookmarkStart w:id="165" w:name="_Toc217446078"/>
      <w:bookmarkStart w:id="166" w:name="_Toc32663"/>
      <w:bookmarkStart w:id="167" w:name="_Toc406749980"/>
      <w:r>
        <w:rPr>
          <w:rFonts w:hint="eastAsia" w:ascii="仿宋" w:hAnsi="仿宋" w:eastAsia="仿宋" w:cs="仿宋"/>
          <w:color w:val="000000" w:themeColor="text1"/>
          <w:lang w:eastAsia="zh-CN"/>
        </w:rPr>
        <w:t>九</w:t>
      </w:r>
      <w:r>
        <w:rPr>
          <w:rFonts w:hint="eastAsia" w:ascii="仿宋" w:hAnsi="仿宋" w:eastAsia="仿宋" w:cs="仿宋"/>
          <w:color w:val="000000" w:themeColor="text1"/>
        </w:rPr>
        <w:t>、质疑和投诉</w:t>
      </w:r>
      <w:bookmarkEnd w:id="164"/>
      <w:bookmarkEnd w:id="165"/>
      <w:bookmarkEnd w:id="166"/>
      <w:bookmarkEnd w:id="167"/>
      <w:bookmarkStart w:id="168" w:name="_Toc217446079"/>
    </w:p>
    <w:bookmarkEnd w:id="157"/>
    <w:bookmarkEnd w:id="158"/>
    <w:bookmarkEnd w:id="168"/>
    <w:p>
      <w:pPr>
        <w:pStyle w:val="23"/>
        <w:spacing w:line="400" w:lineRule="exact"/>
        <w:ind w:firstLine="420" w:firstLineChars="200"/>
        <w:rPr>
          <w:rFonts w:ascii="仿宋" w:hAnsi="仿宋" w:eastAsia="仿宋" w:cs="仿宋"/>
          <w:sz w:val="21"/>
          <w:szCs w:val="21"/>
        </w:rPr>
      </w:pPr>
      <w:bookmarkStart w:id="169" w:name="_Toc217446081"/>
      <w:r>
        <w:rPr>
          <w:rFonts w:hint="eastAsia" w:ascii="仿宋" w:hAnsi="仿宋" w:eastAsia="仿宋" w:cs="仿宋"/>
          <w:sz w:val="21"/>
          <w:szCs w:val="21"/>
        </w:rPr>
        <w:t>36、详细规定在新疆维吾尔自治区政府采购网法律法规模块见《政府采购法》、《政府采购供应商投诉处理办法》、《财政部关于加强政府采购供应商投诉受理审查工作的通知》、《新疆维吾尔自治区政府采购供应商质疑处理暂行办法》和《新疆维吾尔自治区政府采购供应商投诉处理工作规程》。</w:t>
      </w:r>
    </w:p>
    <w:p>
      <w:pPr>
        <w:pStyle w:val="23"/>
        <w:spacing w:line="400" w:lineRule="exact"/>
        <w:ind w:firstLine="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4"/>
        <w:jc w:val="both"/>
        <w:rPr>
          <w:rFonts w:ascii="仿宋" w:hAnsi="仿宋" w:eastAsia="仿宋" w:cs="仿宋"/>
          <w:bCs/>
          <w:color w:val="000000"/>
          <w:sz w:val="36"/>
        </w:rPr>
      </w:pPr>
    </w:p>
    <w:p>
      <w:pPr>
        <w:pStyle w:val="4"/>
        <w:rPr>
          <w:rFonts w:ascii="仿宋" w:hAnsi="仿宋" w:eastAsia="仿宋" w:cs="仿宋"/>
          <w:bCs/>
          <w:color w:val="000000"/>
          <w:sz w:val="36"/>
        </w:rPr>
      </w:pPr>
    </w:p>
    <w:p>
      <w:pPr>
        <w:pStyle w:val="3"/>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3"/>
        <w:rPr>
          <w:rFonts w:ascii="仿宋" w:hAnsi="仿宋" w:eastAsia="仿宋" w:cs="仿宋"/>
        </w:rPr>
      </w:pPr>
      <w:bookmarkStart w:id="170" w:name="_Toc406749981"/>
      <w:bookmarkStart w:id="171" w:name="_Toc7903"/>
    </w:p>
    <w:p>
      <w:pPr>
        <w:pStyle w:val="3"/>
        <w:numPr>
          <w:ilvl w:val="0"/>
          <w:numId w:val="6"/>
        </w:numPr>
        <w:rPr>
          <w:rFonts w:ascii="仿宋" w:hAnsi="仿宋" w:eastAsia="仿宋" w:cs="仿宋"/>
        </w:rPr>
      </w:pPr>
      <w:bookmarkStart w:id="172" w:name="_Toc30177"/>
      <w:r>
        <w:rPr>
          <w:rFonts w:hint="eastAsia" w:ascii="仿宋" w:hAnsi="仿宋" w:eastAsia="仿宋" w:cs="仿宋"/>
        </w:rPr>
        <w:t>投标文件格式</w:t>
      </w:r>
      <w:bookmarkEnd w:id="169"/>
      <w:bookmarkEnd w:id="170"/>
      <w:bookmarkEnd w:id="171"/>
      <w:bookmarkEnd w:id="172"/>
    </w:p>
    <w:p>
      <w:pPr>
        <w:jc w:val="center"/>
        <w:rPr>
          <w:rFonts w:ascii="仿宋" w:hAnsi="仿宋" w:eastAsia="仿宋" w:cs="仿宋"/>
        </w:rPr>
      </w:pPr>
      <w:r>
        <w:rPr>
          <w:rFonts w:hint="eastAsia" w:ascii="仿宋" w:hAnsi="仿宋" w:eastAsia="仿宋" w:cs="仿宋"/>
        </w:rPr>
        <w:t>（未提供的参考文本,按竞争性谈判文件要求格式自拟）</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151"/>
        <w:jc w:val="center"/>
        <w:rPr>
          <w:rFonts w:ascii="仿宋" w:hAnsi="仿宋" w:eastAsia="仿宋" w:cs="仿宋"/>
          <w:sz w:val="28"/>
          <w:szCs w:val="28"/>
        </w:rPr>
      </w:pPr>
      <w:bookmarkStart w:id="173" w:name="_Toc406749982"/>
      <w:bookmarkStart w:id="174" w:name="_Toc217446082"/>
      <w:bookmarkStart w:id="175" w:name="_Toc25005"/>
      <w:r>
        <w:rPr>
          <w:rFonts w:hint="eastAsia" w:ascii="仿宋" w:hAnsi="仿宋" w:eastAsia="仿宋" w:cs="仿宋"/>
        </w:rPr>
        <w:br w:type="page"/>
      </w:r>
    </w:p>
    <w:p>
      <w:pPr>
        <w:ind w:right="980" w:firstLine="525" w:firstLineChars="250"/>
        <w:rPr>
          <w:rFonts w:ascii="仿宋" w:hAnsi="仿宋" w:eastAsia="仿宋" w:cs="仿宋"/>
          <w:color w:val="000000"/>
          <w:sz w:val="28"/>
          <w:szCs w:val="28"/>
          <w:u w:val="single"/>
        </w:rPr>
      </w:pPr>
      <w:r>
        <w:rPr>
          <w:rFonts w:ascii="仿宋" w:hAnsi="仿宋" w:eastAsia="仿宋" w:cs="仿宋"/>
        </w:rPr>
        <w:pict>
          <v:shape id="文本框 68" o:spid="_x0000_s1026" o:spt="202" type="#_x0000_t202" style="position:absolute;left:0pt;margin-left:367.35pt;margin-top:-0.5pt;height:31.85pt;width:65pt;z-index:251659264;mso-width-relative:page;mso-height-relative:page;" filled="f" coordsize="21600,21600" o:gfxdata="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&#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8glT1gAAAAkBAAAPAAAAAAAAAAEAIAAAACIAAABk&#10;cnMvZG93bnJldi54bWxQSwECFAAUAAAACACHTuJAEUKWHAgCAAABBAAADgAAAAAAAAABACAAAAAl&#10;AQAAZHJzL2Uyb0RvYy54bWxQSwUGAAAAAAYABgBZAQAAnwUAAAAA&#10;">
            <v:path/>
            <v:fill on="f" focussize="0,0"/>
            <v:stroke joinstyle="miter"/>
            <v:imagedata o:title=""/>
            <o:lock v:ext="edit"/>
            <v:textbox inset="7.19992125984252pt,1.27mm,7.19992125984252pt,1.27mm">
              <w:txbxContent>
                <w:p>
                  <w:pPr>
                    <w:jc w:val="center"/>
                    <w:rPr>
                      <w:sz w:val="36"/>
                      <w:szCs w:val="36"/>
                    </w:rPr>
                  </w:pPr>
                  <w:r>
                    <w:rPr>
                      <w:rFonts w:hint="eastAsia" w:ascii="Calibri" w:hAnsi="Calibri"/>
                      <w:sz w:val="36"/>
                      <w:szCs w:val="36"/>
                    </w:rPr>
                    <w:t>正本</w:t>
                  </w:r>
                </w:p>
              </w:txbxContent>
            </v:textbox>
          </v:shape>
        </w:pict>
      </w:r>
    </w:p>
    <w:p>
      <w:pPr>
        <w:ind w:right="980" w:firstLine="700" w:firstLineChars="250"/>
        <w:jc w:val="center"/>
        <w:rPr>
          <w:rFonts w:ascii="仿宋" w:hAnsi="仿宋" w:eastAsia="仿宋" w:cs="仿宋"/>
          <w:color w:val="000000"/>
          <w:sz w:val="28"/>
          <w:szCs w:val="28"/>
          <w:u w:val="single"/>
        </w:rPr>
      </w:pPr>
    </w:p>
    <w:p>
      <w:pPr>
        <w:ind w:right="980" w:firstLine="700" w:firstLineChars="250"/>
        <w:jc w:val="center"/>
        <w:rPr>
          <w:rFonts w:ascii="仿宋" w:hAnsi="仿宋" w:eastAsia="仿宋" w:cs="仿宋"/>
          <w:color w:val="000000"/>
          <w:sz w:val="28"/>
          <w:szCs w:val="28"/>
          <w:highlight w:val="none"/>
          <w:u w:val="single"/>
        </w:rPr>
      </w:pPr>
    </w:p>
    <w:p>
      <w:pPr>
        <w:ind w:right="980" w:firstLine="700" w:firstLineChars="250"/>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ind w:right="980" w:firstLine="700" w:firstLineChars="250"/>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p>
    <w:p>
      <w:pPr>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 xml:space="preserve">编号： </w:t>
      </w:r>
    </w:p>
    <w:p>
      <w:pP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b/>
          <w:bCs/>
          <w:color w:val="000000"/>
          <w:sz w:val="44"/>
          <w:szCs w:val="44"/>
          <w:highlight w:val="none"/>
        </w:rPr>
      </w:pPr>
    </w:p>
    <w:p>
      <w:pPr>
        <w:jc w:val="center"/>
        <w:rPr>
          <w:rFonts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投  标  文  件</w:t>
      </w:r>
    </w:p>
    <w:p>
      <w:pPr>
        <w:jc w:val="center"/>
        <w:rPr>
          <w:rFonts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投 标 人：（盖单位章）</w:t>
      </w:r>
    </w:p>
    <w:p>
      <w:pPr>
        <w:ind w:firstLine="840" w:firstLineChars="300"/>
        <w:jc w:val="center"/>
        <w:rPr>
          <w:rFonts w:ascii="仿宋" w:hAnsi="仿宋" w:eastAsia="仿宋" w:cs="仿宋"/>
          <w:color w:val="000000"/>
          <w:sz w:val="28"/>
          <w:szCs w:val="28"/>
          <w:highlight w:val="none"/>
          <w:u w:val="single"/>
        </w:rPr>
      </w:pPr>
    </w:p>
    <w:p>
      <w:pPr>
        <w:jc w:val="center"/>
        <w:rPr>
          <w:rFonts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eastAsia="zh-CN"/>
        </w:rPr>
        <w:t>或</w:t>
      </w:r>
      <w:r>
        <w:rPr>
          <w:rFonts w:hint="eastAsia" w:ascii="仿宋" w:hAnsi="仿宋" w:eastAsia="仿宋" w:cs="仿宋"/>
          <w:color w:val="000000"/>
          <w:sz w:val="28"/>
          <w:szCs w:val="28"/>
          <w:highlight w:val="none"/>
        </w:rPr>
        <w:t>盖章）</w:t>
      </w:r>
    </w:p>
    <w:p>
      <w:pPr>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pPr>
        <w:widowControl/>
        <w:jc w:val="center"/>
        <w:rPr>
          <w:rFonts w:ascii="仿宋" w:hAnsi="仿宋" w:eastAsia="仿宋" w:cs="仿宋"/>
          <w:b/>
          <w:bCs/>
          <w:sz w:val="24"/>
          <w:szCs w:val="32"/>
          <w:highlight w:val="none"/>
        </w:rPr>
      </w:pPr>
    </w:p>
    <w:p>
      <w:pPr>
        <w:widowControl/>
        <w:jc w:val="left"/>
        <w:rPr>
          <w:rFonts w:ascii="仿宋" w:hAnsi="仿宋" w:eastAsia="仿宋" w:cs="仿宋"/>
          <w:b/>
          <w:sz w:val="24"/>
          <w:highlight w:val="none"/>
        </w:rPr>
      </w:pPr>
    </w:p>
    <w:p>
      <w:pPr>
        <w:widowControl/>
        <w:jc w:val="left"/>
        <w:rPr>
          <w:rFonts w:ascii="仿宋" w:hAnsi="仿宋" w:eastAsia="仿宋" w:cs="仿宋"/>
          <w:b/>
          <w:sz w:val="24"/>
          <w:highlight w:val="none"/>
        </w:rPr>
      </w:pPr>
      <w:r>
        <w:rPr>
          <w:rFonts w:hint="eastAsia" w:ascii="仿宋" w:hAnsi="仿宋" w:eastAsia="仿宋" w:cs="仿宋"/>
          <w:highlight w:val="none"/>
        </w:rPr>
        <w:br w:type="page"/>
      </w:r>
    </w:p>
    <w:bookmarkEnd w:id="173"/>
    <w:bookmarkEnd w:id="174"/>
    <w:bookmarkEnd w:id="175"/>
    <w:p>
      <w:pPr>
        <w:adjustRightInd w:val="0"/>
        <w:snapToGrid w:val="0"/>
        <w:spacing w:line="360" w:lineRule="auto"/>
        <w:jc w:val="left"/>
        <w:rPr>
          <w:rFonts w:hint="eastAsia" w:ascii="宋体" w:hAnsi="宋体"/>
          <w:b/>
          <w:szCs w:val="21"/>
          <w:highlight w:val="none"/>
        </w:rPr>
      </w:pPr>
      <w:bookmarkStart w:id="176" w:name="_Toc217446088"/>
      <w:bookmarkStart w:id="177" w:name="_Toc406749988"/>
      <w:bookmarkStart w:id="178" w:name="_Toc28275"/>
      <w:r>
        <w:rPr>
          <w:rFonts w:hint="eastAsia" w:ascii="宋体" w:hAnsi="宋体"/>
          <w:b/>
          <w:szCs w:val="21"/>
          <w:highlight w:val="none"/>
        </w:rPr>
        <w:t>一、营业执照</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二、谈判函、谈判声明</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附件1：法定代表人身份证明(法定代表人参加谈判)</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附件2：法定代表人授权书(委托代理人参加谈判)</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三、保证金</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附件3：保证金缴纳凭证</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四、报价一览表</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附件5-2：中小企业证明材料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五、供应商基本情况</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附件7：拟投入本项目的人员一览表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附件8：拟投入本项目的项目负责人简历表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附件9：拟投入本项目的设备表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szCs w:val="21"/>
          <w:highlight w:val="none"/>
        </w:rPr>
        <w:t>附件10：</w:t>
      </w:r>
      <w:r>
        <w:rPr>
          <w:rFonts w:hint="eastAsia" w:ascii="宋体" w:hAnsi="宋体"/>
          <w:bCs/>
          <w:szCs w:val="21"/>
          <w:highlight w:val="none"/>
        </w:rPr>
        <w:t>供应商主要业绩</w:t>
      </w:r>
    </w:p>
    <w:p>
      <w:pPr>
        <w:adjustRightInd w:val="0"/>
        <w:snapToGrid w:val="0"/>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六、供应商资格审查资料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七、服务方案</w:t>
      </w:r>
    </w:p>
    <w:p>
      <w:pPr>
        <w:pStyle w:val="20"/>
        <w:adjustRightInd w:val="0"/>
        <w:snapToGrid w:val="0"/>
        <w:spacing w:line="360" w:lineRule="auto"/>
        <w:rPr>
          <w:rFonts w:hint="eastAsia" w:hAnsi="宋体"/>
          <w:b/>
          <w:highlight w:val="none"/>
        </w:rPr>
      </w:pPr>
      <w:r>
        <w:rPr>
          <w:rFonts w:hint="eastAsia" w:hAnsi="宋体"/>
          <w:b/>
          <w:highlight w:val="none"/>
        </w:rPr>
        <w:t>八、供应商认为需提供的其它资料</w:t>
      </w:r>
    </w:p>
    <w:p>
      <w:pPr>
        <w:pStyle w:val="20"/>
        <w:adjustRightInd w:val="0"/>
        <w:snapToGrid w:val="0"/>
        <w:spacing w:line="360" w:lineRule="auto"/>
        <w:rPr>
          <w:rFonts w:hAnsi="宋体"/>
          <w:b/>
          <w:highlight w:val="none"/>
        </w:rPr>
      </w:pPr>
    </w:p>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p>
    <w:p>
      <w:pPr>
        <w:jc w:val="center"/>
        <w:rPr>
          <w:rFonts w:hint="eastAsia" w:ascii="仿宋_GB2312" w:hAnsi="仿宋_GB2312" w:eastAsia="仿宋_GB2312"/>
          <w:b/>
          <w:sz w:val="32"/>
          <w:highlight w:val="none"/>
        </w:rPr>
      </w:pPr>
      <w:r>
        <w:rPr>
          <w:rFonts w:ascii="宋体" w:hAnsi="宋体"/>
          <w:b/>
          <w:szCs w:val="21"/>
          <w:highlight w:val="none"/>
        </w:rPr>
        <w:br w:type="page"/>
      </w:r>
      <w:bookmarkStart w:id="179" w:name="_Toc420948023"/>
    </w:p>
    <w:p>
      <w:pPr>
        <w:adjustRightInd w:val="0"/>
        <w:snapToGrid w:val="0"/>
        <w:spacing w:line="360" w:lineRule="auto"/>
        <w:jc w:val="center"/>
        <w:outlineLvl w:val="1"/>
        <w:rPr>
          <w:rFonts w:ascii="宋体" w:hAnsi="宋体"/>
          <w:b/>
          <w:sz w:val="28"/>
          <w:szCs w:val="28"/>
          <w:highlight w:val="none"/>
        </w:rPr>
      </w:pPr>
      <w:bookmarkStart w:id="180" w:name="_Toc5425"/>
      <w:bookmarkStart w:id="181" w:name="_Toc477277620"/>
      <w:r>
        <w:rPr>
          <w:rFonts w:hint="eastAsia" w:ascii="宋体" w:hAnsi="宋体"/>
          <w:b/>
          <w:sz w:val="28"/>
          <w:szCs w:val="28"/>
          <w:highlight w:val="none"/>
        </w:rPr>
        <w:t>二、</w:t>
      </w:r>
      <w:bookmarkEnd w:id="179"/>
      <w:r>
        <w:rPr>
          <w:rFonts w:hint="eastAsia" w:ascii="宋体" w:hAnsi="宋体"/>
          <w:b/>
          <w:sz w:val="28"/>
          <w:szCs w:val="28"/>
          <w:highlight w:val="none"/>
        </w:rPr>
        <w:t>谈判函</w:t>
      </w:r>
      <w:bookmarkEnd w:id="180"/>
      <w:bookmarkEnd w:id="181"/>
    </w:p>
    <w:p>
      <w:pPr>
        <w:pStyle w:val="23"/>
        <w:spacing w:line="400" w:lineRule="exact"/>
        <w:ind w:firstLine="0"/>
        <w:rPr>
          <w:rFonts w:ascii="仿宋" w:hAnsi="仿宋" w:eastAsia="仿宋" w:cs="仿宋"/>
          <w:bCs/>
          <w:sz w:val="24"/>
          <w:szCs w:val="24"/>
          <w:highlight w:val="none"/>
        </w:rPr>
      </w:pPr>
      <w:r>
        <w:rPr>
          <w:rFonts w:hint="eastAsia" w:ascii="仿宋" w:hAnsi="仿宋" w:eastAsia="仿宋" w:cs="仿宋"/>
          <w:bCs/>
          <w:sz w:val="21"/>
          <w:szCs w:val="21"/>
          <w:highlight w:val="none"/>
        </w:rPr>
        <w:t>_____________</w:t>
      </w:r>
      <w:r>
        <w:rPr>
          <w:rFonts w:hint="eastAsia" w:ascii="仿宋" w:hAnsi="仿宋" w:eastAsia="仿宋" w:cs="仿宋"/>
          <w:bCs/>
          <w:sz w:val="24"/>
          <w:szCs w:val="24"/>
          <w:highlight w:val="none"/>
        </w:rPr>
        <w:t>____（采购人名称）：</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我方全面研究了“”项目竞争性谈判文件（</w:t>
      </w:r>
      <w:r>
        <w:rPr>
          <w:rFonts w:hint="eastAsia" w:ascii="仿宋" w:hAnsi="仿宋" w:eastAsia="仿宋" w:cs="仿宋"/>
          <w:bCs/>
          <w:sz w:val="24"/>
          <w:szCs w:val="24"/>
          <w:highlight w:val="none"/>
          <w:lang w:eastAsia="zh-CN"/>
        </w:rPr>
        <w:t>项目编号</w:t>
      </w:r>
      <w:r>
        <w:rPr>
          <w:rFonts w:hint="eastAsia" w:ascii="仿宋" w:hAnsi="仿宋" w:eastAsia="仿宋" w:cs="仿宋"/>
          <w:bCs/>
          <w:sz w:val="24"/>
          <w:szCs w:val="24"/>
          <w:highlight w:val="none"/>
        </w:rPr>
        <w:t>），决定参加贵单位组织的本项目投标。我方授权</w:t>
      </w:r>
      <w:r>
        <w:rPr>
          <w:rFonts w:hint="eastAsia" w:ascii="仿宋" w:hAnsi="仿宋" w:eastAsia="仿宋" w:cs="仿宋"/>
          <w:bCs/>
          <w:sz w:val="24"/>
          <w:szCs w:val="24"/>
          <w:highlight w:val="none"/>
          <w:u w:val="single"/>
        </w:rPr>
        <w:t>（姓名、职务）</w:t>
      </w:r>
      <w:r>
        <w:rPr>
          <w:rFonts w:hint="eastAsia" w:ascii="仿宋" w:hAnsi="仿宋" w:eastAsia="仿宋" w:cs="仿宋"/>
          <w:bCs/>
          <w:sz w:val="24"/>
          <w:szCs w:val="24"/>
          <w:highlight w:val="none"/>
        </w:rPr>
        <w:t>代表我方</w:t>
      </w:r>
      <w:r>
        <w:rPr>
          <w:rFonts w:hint="eastAsia" w:ascii="仿宋" w:hAnsi="仿宋" w:eastAsia="仿宋" w:cs="仿宋"/>
          <w:bCs/>
          <w:sz w:val="24"/>
          <w:szCs w:val="24"/>
          <w:highlight w:val="none"/>
          <w:u w:val="single"/>
        </w:rPr>
        <w:t>（投标单位的名称）</w:t>
      </w:r>
      <w:r>
        <w:rPr>
          <w:rFonts w:hint="eastAsia" w:ascii="仿宋" w:hAnsi="仿宋" w:eastAsia="仿宋" w:cs="仿宋"/>
          <w:bCs/>
          <w:sz w:val="24"/>
          <w:szCs w:val="24"/>
          <w:highlight w:val="none"/>
        </w:rPr>
        <w:t>全权处理本项目投标的有关事宜。</w:t>
      </w:r>
    </w:p>
    <w:p>
      <w:pPr>
        <w:pStyle w:val="23"/>
        <w:spacing w:line="400" w:lineRule="exact"/>
        <w:ind w:left="660" w:leftChars="200" w:hanging="240" w:hangingChars="100"/>
        <w:rPr>
          <w:rFonts w:ascii="仿宋" w:hAnsi="仿宋" w:eastAsia="仿宋" w:cs="仿宋"/>
          <w:bCs/>
          <w:sz w:val="24"/>
          <w:szCs w:val="24"/>
          <w:highlight w:val="none"/>
          <w:u w:val="single"/>
        </w:rPr>
      </w:pPr>
      <w:r>
        <w:rPr>
          <w:rFonts w:hint="eastAsia" w:ascii="仿宋" w:hAnsi="仿宋" w:eastAsia="仿宋" w:cs="仿宋"/>
          <w:bCs/>
          <w:sz w:val="24"/>
          <w:szCs w:val="24"/>
          <w:highlight w:val="none"/>
        </w:rPr>
        <w:t>1、我方自愿按照竞争性谈判文件规定的各项要求向采购人提供所需</w:t>
      </w:r>
      <w:r>
        <w:rPr>
          <w:rFonts w:hint="eastAsia" w:ascii="仿宋" w:hAnsi="仿宋" w:eastAsia="仿宋" w:cs="仿宋"/>
          <w:bCs/>
          <w:sz w:val="24"/>
          <w:szCs w:val="24"/>
          <w:highlight w:val="none"/>
          <w:lang w:eastAsia="zh-CN"/>
        </w:rPr>
        <w:t>服务</w:t>
      </w:r>
      <w:r>
        <w:rPr>
          <w:rFonts w:hint="eastAsia" w:ascii="仿宋" w:hAnsi="仿宋" w:eastAsia="仿宋" w:cs="仿宋"/>
          <w:bCs/>
          <w:sz w:val="24"/>
          <w:szCs w:val="24"/>
          <w:highlight w:val="none"/>
        </w:rPr>
        <w:t>。</w:t>
      </w:r>
    </w:p>
    <w:p>
      <w:pPr>
        <w:pStyle w:val="23"/>
        <w:spacing w:line="400" w:lineRule="exact"/>
        <w:ind w:left="479" w:leftChars="228" w:firstLine="0" w:firstLineChars="0"/>
        <w:rPr>
          <w:rFonts w:ascii="仿宋" w:hAnsi="仿宋" w:eastAsia="仿宋" w:cs="仿宋"/>
          <w:bCs/>
          <w:sz w:val="24"/>
          <w:szCs w:val="24"/>
          <w:highlight w:val="none"/>
        </w:rPr>
      </w:pPr>
      <w:r>
        <w:rPr>
          <w:rFonts w:hint="eastAsia" w:ascii="仿宋" w:hAnsi="仿宋" w:eastAsia="仿宋" w:cs="仿宋"/>
          <w:bCs/>
          <w:sz w:val="24"/>
          <w:szCs w:val="24"/>
          <w:highlight w:val="none"/>
        </w:rPr>
        <w:t>2、一旦我方中标，保证合同签订生效后</w:t>
      </w:r>
      <w:r>
        <w:rPr>
          <w:rFonts w:hint="eastAsia" w:ascii="仿宋" w:hAnsi="仿宋" w:eastAsia="仿宋" w:cs="仿宋"/>
          <w:bCs/>
          <w:sz w:val="24"/>
          <w:szCs w:val="24"/>
          <w:highlight w:val="none"/>
          <w:lang w:eastAsia="zh-CN"/>
        </w:rPr>
        <w:t>按竞争性谈判文件规定的服务期限</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日内</w:t>
      </w:r>
      <w:r>
        <w:rPr>
          <w:rFonts w:hint="eastAsia" w:ascii="仿宋" w:hAnsi="仿宋" w:eastAsia="仿宋" w:cs="仿宋"/>
          <w:bCs/>
          <w:sz w:val="24"/>
          <w:szCs w:val="24"/>
          <w:highlight w:val="none"/>
          <w:lang w:eastAsia="zh-CN"/>
        </w:rPr>
        <w:t>按甲方要求</w:t>
      </w:r>
      <w:r>
        <w:rPr>
          <w:rFonts w:hint="eastAsia" w:ascii="仿宋" w:hAnsi="仿宋" w:eastAsia="仿宋" w:cs="仿宋"/>
          <w:bCs/>
          <w:sz w:val="24"/>
          <w:szCs w:val="24"/>
          <w:highlight w:val="none"/>
        </w:rPr>
        <w:t>完成项目的</w:t>
      </w:r>
      <w:r>
        <w:rPr>
          <w:rFonts w:hint="eastAsia" w:ascii="仿宋" w:hAnsi="仿宋" w:eastAsia="仿宋" w:cs="仿宋"/>
          <w:bCs/>
          <w:sz w:val="24"/>
          <w:szCs w:val="24"/>
          <w:highlight w:val="none"/>
          <w:lang w:eastAsia="zh-CN"/>
        </w:rPr>
        <w:t>成果文件</w:t>
      </w:r>
      <w:r>
        <w:rPr>
          <w:rFonts w:hint="eastAsia" w:ascii="仿宋" w:hAnsi="仿宋" w:eastAsia="仿宋" w:cs="仿宋"/>
          <w:bCs/>
          <w:sz w:val="24"/>
          <w:szCs w:val="24"/>
          <w:highlight w:val="none"/>
        </w:rPr>
        <w:t>。</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3、我方同意按照竞争性谈判文件的要求，向贵单位交纳人民币万元（大写：）的投标保证金。并承诺：下列任何情况发生时，我方将不要求退还投标保证金：</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（1）如果我方在投标有效期内撤回投标文件；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（2）我方提供了虚假响应竞争性谈判文件的投标文件；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（3）在投标过程中有违规违纪行为；</w:t>
      </w:r>
    </w:p>
    <w:p>
      <w:pPr>
        <w:pStyle w:val="2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（4）我方在投标有效期内收到中标通知书后，由于我方原因未能按照竞争性谈判文件要求提交履约保证金或与采购人签订并履行合同。</w:t>
      </w:r>
    </w:p>
    <w:p>
      <w:pPr>
        <w:pStyle w:val="23"/>
        <w:spacing w:line="400" w:lineRule="exact"/>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我方同意按照竞争性谈判文件的要求，</w:t>
      </w:r>
      <w:r>
        <w:rPr>
          <w:rFonts w:hint="eastAsia" w:ascii="仿宋" w:hAnsi="仿宋" w:eastAsia="仿宋" w:cs="仿宋"/>
          <w:bCs/>
          <w:sz w:val="24"/>
          <w:szCs w:val="24"/>
          <w:lang w:val="en-US" w:eastAsia="zh-CN"/>
        </w:rPr>
        <w:t>在此承诺项目</w:t>
      </w:r>
      <w:r>
        <w:rPr>
          <w:rFonts w:hint="eastAsia" w:ascii="仿宋" w:hAnsi="仿宋" w:eastAsia="仿宋" w:cs="仿宋"/>
          <w:bCs/>
          <w:sz w:val="24"/>
          <w:szCs w:val="24"/>
          <w:highlight w:val="none"/>
          <w:lang w:val="en-US" w:eastAsia="zh-CN"/>
        </w:rPr>
        <w:t xml:space="preserve">投标有效期限为 。  </w:t>
      </w:r>
      <w:r>
        <w:rPr>
          <w:rFonts w:hint="eastAsia" w:ascii="仿宋" w:hAnsi="仿宋" w:eastAsia="仿宋" w:cs="仿宋"/>
          <w:bCs/>
          <w:sz w:val="24"/>
          <w:szCs w:val="24"/>
          <w:lang w:val="en-US" w:eastAsia="zh-CN"/>
        </w:rPr>
        <w:t xml:space="preserve"> </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、我方为本项目提交的投标文件正本1份，副本</w:t>
      </w:r>
      <w:r>
        <w:rPr>
          <w:rFonts w:hint="eastAsia" w:ascii="仿宋" w:hAnsi="仿宋" w:eastAsia="仿宋" w:cs="仿宋"/>
          <w:color w:val="000000"/>
          <w:sz w:val="24"/>
          <w:szCs w:val="24"/>
          <w:lang w:val="en-US" w:eastAsia="zh-CN"/>
        </w:rPr>
        <w:t>4</w:t>
      </w:r>
      <w:r>
        <w:rPr>
          <w:rFonts w:hint="eastAsia" w:ascii="仿宋" w:hAnsi="仿宋" w:eastAsia="仿宋" w:cs="仿宋"/>
          <w:bCs/>
          <w:sz w:val="24"/>
          <w:szCs w:val="24"/>
        </w:rPr>
        <w:t>份，电子文档（光盘）1份，用于开标唱标的“开标一览表”一份。</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、我方愿意提供贵中心可能另外要求的，与投标有关的文件资料，并保证我方已提供和将要提供的文件资料是真实、准确的。</w:t>
      </w:r>
    </w:p>
    <w:p>
      <w:pPr>
        <w:pStyle w:val="23"/>
        <w:spacing w:line="400" w:lineRule="exact"/>
        <w:ind w:firstLine="480" w:firstLineChars="200"/>
        <w:rPr>
          <w:rFonts w:ascii="仿宋" w:hAnsi="仿宋" w:eastAsia="仿宋" w:cs="仿宋"/>
          <w:bCs/>
          <w:sz w:val="24"/>
          <w:szCs w:val="24"/>
        </w:rPr>
      </w:pPr>
    </w:p>
    <w:p>
      <w:pPr>
        <w:pStyle w:val="23"/>
        <w:spacing w:line="400" w:lineRule="exact"/>
        <w:ind w:firstLine="0"/>
        <w:rPr>
          <w:rFonts w:ascii="仿宋" w:hAnsi="仿宋" w:eastAsia="仿宋" w:cs="仿宋"/>
          <w:bCs/>
          <w:sz w:val="24"/>
          <w:szCs w:val="24"/>
        </w:rPr>
      </w:pP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投标人名称：（盖章）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法定代表人或授权代表（签字或盖章）：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通讯地址：</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邮政编码：</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传真：</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日期：</w:t>
      </w: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ascii="宋体" w:hAnsi="宋体"/>
          <w:b/>
          <w:sz w:val="28"/>
          <w:szCs w:val="28"/>
        </w:rPr>
      </w:pPr>
      <w:r>
        <w:rPr>
          <w:rFonts w:hint="eastAsia" w:ascii="宋体" w:hAnsi="宋体"/>
          <w:b/>
          <w:sz w:val="28"/>
          <w:szCs w:val="28"/>
        </w:rPr>
        <w:t>谈判声明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谈判</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谈判</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（三）我方未为本项目前期准备提供设计或咨询服务。</w:t>
      </w:r>
    </w:p>
    <w:p>
      <w:pPr>
        <w:pStyle w:val="20"/>
        <w:adjustRightInd w:val="0"/>
        <w:snapToGrid w:val="0"/>
        <w:spacing w:line="360" w:lineRule="auto"/>
        <w:ind w:firstLine="420" w:firstLineChars="200"/>
        <w:rPr>
          <w:rFonts w:hAnsi="宋体"/>
        </w:rPr>
      </w:pPr>
      <w:r>
        <w:rPr>
          <w:rFonts w:hint="eastAsia" w:hAnsi="宋体"/>
        </w:rPr>
        <w:t>二、我方承诺</w:t>
      </w:r>
    </w:p>
    <w:p>
      <w:pPr>
        <w:pStyle w:val="20"/>
        <w:adjustRightInd w:val="0"/>
        <w:snapToGrid w:val="0"/>
        <w:spacing w:line="360" w:lineRule="auto"/>
        <w:ind w:firstLine="420" w:firstLineChars="200"/>
        <w:rPr>
          <w:rFonts w:hAnsi="宋体"/>
        </w:rPr>
      </w:pPr>
      <w:r>
        <w:rPr>
          <w:rFonts w:hint="eastAsia" w:hAnsi="宋体"/>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highlight w:val="none"/>
        </w:rPr>
      </w:pPr>
    </w:p>
    <w:p>
      <w:pPr>
        <w:adjustRightInd w:val="0"/>
        <w:snapToGrid w:val="0"/>
        <w:spacing w:line="360" w:lineRule="auto"/>
        <w:ind w:firstLine="2723" w:firstLineChars="1297"/>
        <w:rPr>
          <w:rFonts w:ascii="宋体" w:hAnsi="宋体"/>
          <w:szCs w:val="21"/>
          <w:highlight w:val="none"/>
        </w:rPr>
      </w:pPr>
    </w:p>
    <w:p>
      <w:pPr>
        <w:spacing w:line="360" w:lineRule="auto"/>
        <w:ind w:firstLine="3502" w:firstLineChars="1668"/>
        <w:rPr>
          <w:rFonts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lang w:eastAsia="zh-CN"/>
        </w:rPr>
        <w:t>签字或盖章</w:t>
      </w:r>
      <w:r>
        <w:rPr>
          <w:rFonts w:hint="eastAsia" w:ascii="宋体" w:hAnsi="宋体"/>
          <w:szCs w:val="21"/>
          <w:highlight w:val="none"/>
        </w:rPr>
        <w:t>）：</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法定代表人身份证明(法定代表人参加谈判)</w:t>
      </w:r>
    </w:p>
    <w:p>
      <w:pPr>
        <w:snapToGrid w:val="0"/>
        <w:spacing w:line="480" w:lineRule="auto"/>
        <w:rPr>
          <w:rFonts w:ascii="宋体" w:hAnsi="宋体"/>
          <w:szCs w:val="21"/>
          <w:highlight w:val="none"/>
        </w:rPr>
      </w:pP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 w:val="24"/>
          <w:highlight w:val="none"/>
        </w:rPr>
      </w:pPr>
      <w:r>
        <w:rPr>
          <w:rFonts w:ascii="宋体" w:hAnsi="宋体"/>
          <w:szCs w:val="21"/>
          <w:highlight w:val="none"/>
        </w:rPr>
        <w:br w:type="page"/>
      </w:r>
      <w:r>
        <w:rPr>
          <w:rFonts w:hint="eastAsia" w:ascii="宋体" w:hAnsi="宋体"/>
          <w:bCs/>
          <w:sz w:val="24"/>
          <w:highlight w:val="none"/>
        </w:rPr>
        <w:t>附件2</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法定代表人授权书(委托代理人参加谈判)</w:t>
      </w:r>
    </w:p>
    <w:p>
      <w:pPr>
        <w:adjustRightInd w:val="0"/>
        <w:snapToGrid w:val="0"/>
        <w:spacing w:line="360" w:lineRule="auto"/>
        <w:jc w:val="center"/>
        <w:rPr>
          <w:rFonts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谈判</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utoSpaceDE w:val="0"/>
        <w:autoSpaceDN w:val="0"/>
        <w:adjustRightInd w:val="0"/>
        <w:snapToGrid w:val="0"/>
        <w:spacing w:before="120" w:beforeLines="50" w:line="360" w:lineRule="auto"/>
        <w:jc w:val="left"/>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附：被授权人身份证复印件</w:t>
      </w: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 xml:space="preserve">供应商名称（盖单位章）：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r>
        <w:rPr>
          <w:rFonts w:ascii="宋体" w:hAnsi="宋体"/>
          <w:highlight w:val="none"/>
        </w:rPr>
        <w:br w:type="page"/>
      </w:r>
    </w:p>
    <w:p>
      <w:pPr>
        <w:adjustRightInd w:val="0"/>
        <w:snapToGrid w:val="0"/>
        <w:spacing w:line="360" w:lineRule="auto"/>
        <w:jc w:val="center"/>
        <w:outlineLvl w:val="1"/>
        <w:rPr>
          <w:rFonts w:ascii="宋体" w:hAnsi="宋体"/>
          <w:b/>
          <w:sz w:val="28"/>
          <w:szCs w:val="28"/>
          <w:highlight w:val="none"/>
        </w:rPr>
      </w:pPr>
      <w:bookmarkStart w:id="182" w:name="_Toc477277621"/>
      <w:bookmarkStart w:id="183" w:name="_Toc420948024"/>
      <w:bookmarkStart w:id="184" w:name="_Toc17739"/>
      <w:r>
        <w:rPr>
          <w:rFonts w:hint="eastAsia" w:ascii="宋体" w:hAnsi="宋体"/>
          <w:b/>
          <w:sz w:val="28"/>
          <w:szCs w:val="28"/>
          <w:highlight w:val="none"/>
        </w:rPr>
        <w:t>三、保证金</w:t>
      </w:r>
      <w:bookmarkEnd w:id="182"/>
      <w:bookmarkEnd w:id="183"/>
      <w:bookmarkEnd w:id="184"/>
    </w:p>
    <w:p>
      <w:pPr>
        <w:pStyle w:val="20"/>
        <w:adjustRightInd w:val="0"/>
        <w:snapToGrid w:val="0"/>
        <w:spacing w:before="120" w:beforeLines="50" w:line="360" w:lineRule="auto"/>
        <w:rPr>
          <w:rFonts w:hAnsi="宋体"/>
          <w:highlight w:val="none"/>
        </w:rPr>
      </w:pPr>
    </w:p>
    <w:p>
      <w:pPr>
        <w:spacing w:line="480" w:lineRule="exact"/>
        <w:rPr>
          <w:rFonts w:ascii="宋体" w:hAnsi="宋体"/>
          <w:sz w:val="24"/>
          <w:highlight w:val="none"/>
        </w:rPr>
      </w:pPr>
      <w:r>
        <w:rPr>
          <w:rFonts w:hint="eastAsia" w:ascii="宋体" w:hAnsi="宋体"/>
          <w:sz w:val="24"/>
          <w:highlight w:val="none"/>
        </w:rPr>
        <w:t>附件3：</w:t>
      </w:r>
    </w:p>
    <w:p>
      <w:pPr>
        <w:spacing w:line="480" w:lineRule="exact"/>
        <w:jc w:val="center"/>
        <w:rPr>
          <w:rFonts w:ascii="宋体" w:hAnsi="宋体"/>
          <w:b/>
          <w:bCs/>
          <w:sz w:val="28"/>
          <w:szCs w:val="28"/>
          <w:highlight w:val="none"/>
        </w:rPr>
      </w:pPr>
    </w:p>
    <w:p>
      <w:pPr>
        <w:spacing w:line="480" w:lineRule="exact"/>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保证金缴纳凭证</w:t>
      </w:r>
    </w:p>
    <w:p>
      <w:pPr>
        <w:spacing w:line="480" w:lineRule="exact"/>
        <w:jc w:val="center"/>
        <w:rPr>
          <w:rFonts w:hint="eastAsia" w:ascii="宋体" w:hAnsi="宋体"/>
          <w:b/>
          <w:bCs/>
          <w:color w:val="000000"/>
          <w:sz w:val="28"/>
          <w:szCs w:val="28"/>
          <w:highlight w:val="none"/>
        </w:rPr>
      </w:pPr>
    </w:p>
    <w:p>
      <w:pPr>
        <w:adjustRightInd w:val="0"/>
        <w:snapToGrid w:val="0"/>
        <w:spacing w:line="360" w:lineRule="auto"/>
        <w:jc w:val="center"/>
        <w:rPr>
          <w:rFonts w:ascii="宋体" w:hAnsi="宋体"/>
          <w:b/>
          <w:sz w:val="32"/>
          <w:szCs w:val="32"/>
          <w:highlight w:val="none"/>
        </w:rPr>
      </w:pPr>
    </w:p>
    <w:p>
      <w:pPr>
        <w:adjustRightInd w:val="0"/>
        <w:snapToGrid w:val="0"/>
        <w:spacing w:line="360" w:lineRule="auto"/>
        <w:jc w:val="center"/>
        <w:rPr>
          <w:rFonts w:ascii="宋体" w:hAnsi="宋体"/>
          <w:b/>
          <w:sz w:val="28"/>
          <w:szCs w:val="28"/>
          <w:highlight w:val="none"/>
        </w:rPr>
        <w:sectPr>
          <w:footerReference r:id="rId6" w:type="default"/>
          <w:pgSz w:w="11906" w:h="16838"/>
          <w:pgMar w:top="1440" w:right="1797" w:bottom="1440" w:left="1440" w:header="851" w:footer="992" w:gutter="0"/>
          <w:pgNumType w:fmt="decimal" w:start="1"/>
          <w:cols w:space="720" w:num="1"/>
          <w:docGrid w:linePitch="312" w:charSpace="0"/>
        </w:sectPr>
      </w:pPr>
      <w:bookmarkStart w:id="185" w:name="_Toc420948025"/>
    </w:p>
    <w:p>
      <w:pPr>
        <w:jc w:val="center"/>
        <w:outlineLvl w:val="1"/>
        <w:rPr>
          <w:rFonts w:ascii="宋体" w:hAnsi="宋体"/>
          <w:b/>
          <w:sz w:val="28"/>
          <w:szCs w:val="28"/>
          <w:highlight w:val="none"/>
        </w:rPr>
      </w:pPr>
      <w:bookmarkStart w:id="186" w:name="_Toc477277622"/>
      <w:bookmarkStart w:id="187" w:name="_Toc3020"/>
      <w:r>
        <w:rPr>
          <w:rFonts w:hint="eastAsia" w:ascii="宋体" w:hAnsi="宋体"/>
          <w:b/>
          <w:sz w:val="28"/>
          <w:szCs w:val="28"/>
          <w:highlight w:val="none"/>
        </w:rPr>
        <w:t>四、报价一览表</w:t>
      </w:r>
      <w:bookmarkEnd w:id="186"/>
      <w:bookmarkEnd w:id="187"/>
    </w:p>
    <w:p>
      <w:pPr>
        <w:rPr>
          <w:rFonts w:ascii="宋体" w:hAnsi="宋体"/>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附件4    </w:t>
      </w:r>
    </w:p>
    <w:p>
      <w:pPr>
        <w:adjustRightInd w:val="0"/>
        <w:snapToGrid w:val="0"/>
        <w:jc w:val="center"/>
        <w:rPr>
          <w:rFonts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ascii="宋体" w:hAnsi="宋体"/>
          <w:b/>
          <w:highlight w:val="none"/>
        </w:rPr>
      </w:pPr>
    </w:p>
    <w:p>
      <w:pPr>
        <w:spacing w:line="360" w:lineRule="exact"/>
        <w:jc w:val="left"/>
        <w:rPr>
          <w:rFonts w:ascii="宋体" w:hAnsi="宋体"/>
          <w:b/>
          <w:highlight w:val="none"/>
        </w:rPr>
      </w:pPr>
      <w:r>
        <w:rPr>
          <w:rFonts w:hint="eastAsia" w:ascii="宋体" w:hAnsi="宋体"/>
          <w:b/>
          <w:highlight w:val="none"/>
        </w:rPr>
        <w:t xml:space="preserve">项目名称：                                                                                    项目编号：                                                        </w:t>
      </w:r>
    </w:p>
    <w:p>
      <w:pPr>
        <w:adjustRightInd w:val="0"/>
        <w:snapToGrid w:val="0"/>
        <w:rPr>
          <w:rFonts w:ascii="宋体" w:hAnsi="宋体"/>
          <w:sz w:val="24"/>
          <w:highlight w:val="none"/>
        </w:rPr>
      </w:pPr>
    </w:p>
    <w:tbl>
      <w:tblPr>
        <w:tblStyle w:val="40"/>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总报价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Cs w:val="21"/>
                <w:highlight w:val="none"/>
              </w:rPr>
            </w:pPr>
            <w:r>
              <w:rPr>
                <w:rFonts w:hint="eastAsia" w:ascii="宋体" w:hAnsi="宋体"/>
                <w:szCs w:val="21"/>
                <w:highlight w:val="none"/>
              </w:rPr>
              <w:t xml:space="preserve">大写：           </w:t>
            </w:r>
          </w:p>
          <w:p>
            <w:pPr>
              <w:snapToGrid w:val="0"/>
              <w:spacing w:line="400" w:lineRule="exact"/>
              <w:rPr>
                <w:rFonts w:hint="eastAsia"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r>
              <w:rPr>
                <w:rFonts w:hint="eastAsia" w:ascii="宋体" w:hAnsi="宋体"/>
                <w:szCs w:val="21"/>
                <w:highlight w:val="none"/>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r>
    </w:tbl>
    <w:p>
      <w:pPr>
        <w:adjustRightInd w:val="0"/>
        <w:snapToGrid w:val="0"/>
        <w:spacing w:line="360" w:lineRule="auto"/>
        <w:rPr>
          <w:rFonts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1、报价一经涂改，应在涂改处加盖单位公章或者由法定代表人或授权委托人签字或盖章，否则其响应作无效处理。</w:t>
      </w:r>
    </w:p>
    <w:p>
      <w:pPr>
        <w:spacing w:line="360" w:lineRule="auto"/>
        <w:rPr>
          <w:rFonts w:hint="eastAsia" w:ascii="宋体" w:hAnsi="宋体"/>
          <w:sz w:val="24"/>
          <w:highlight w:val="none"/>
        </w:rPr>
      </w:pPr>
      <w:r>
        <w:rPr>
          <w:rFonts w:hint="eastAsia" w:ascii="宋体" w:hAnsi="宋体"/>
          <w:szCs w:val="21"/>
          <w:highlight w:val="none"/>
        </w:rPr>
        <w:t>2、大写标注：壹、贰、叁、肆、伍、陆、柒、捌、玖、拾、佰、仟、万、亿。</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tabs>
          <w:tab w:val="left" w:pos="3600"/>
        </w:tabs>
        <w:adjustRightInd w:val="0"/>
        <w:snapToGrid w:val="0"/>
        <w:rPr>
          <w:rFonts w:hint="eastAsia" w:ascii="宋体" w:hAnsi="宋体" w:cs="宋体"/>
          <w:bCs/>
          <w:spacing w:val="6"/>
          <w:kern w:val="0"/>
          <w:sz w:val="28"/>
          <w:szCs w:val="28"/>
          <w:highlight w:val="none"/>
        </w:rPr>
      </w:pPr>
      <w:r>
        <w:rPr>
          <w:rFonts w:hint="eastAsia" w:ascii="宋体" w:hAnsi="宋体"/>
          <w:sz w:val="24"/>
          <w:highlight w:val="none"/>
        </w:rPr>
        <w:t>附件5-1</w:t>
      </w:r>
    </w:p>
    <w:p>
      <w:pPr>
        <w:tabs>
          <w:tab w:val="left" w:pos="3600"/>
        </w:tabs>
        <w:adjustRightInd w:val="0"/>
        <w:snapToGrid w:val="0"/>
        <w:jc w:val="center"/>
        <w:rPr>
          <w:rFonts w:hint="eastAsia" w:ascii="宋体" w:hAnsi="宋体" w:cs="宋体"/>
          <w:kern w:val="0"/>
          <w:sz w:val="28"/>
          <w:szCs w:val="28"/>
          <w:highlight w:val="none"/>
        </w:rPr>
      </w:pPr>
      <w:r>
        <w:rPr>
          <w:rFonts w:hint="eastAsia" w:ascii="宋体" w:hAnsi="宋体" w:cs="宋体"/>
          <w:bCs/>
          <w:spacing w:val="6"/>
          <w:kern w:val="0"/>
          <w:sz w:val="28"/>
          <w:szCs w:val="28"/>
          <w:highlight w:val="none"/>
        </w:rPr>
        <w:t>中小企业声明函</w:t>
      </w:r>
    </w:p>
    <w:p>
      <w:pPr>
        <w:widowControl/>
        <w:adjustRightInd w:val="0"/>
        <w:snapToGrid w:val="0"/>
        <w:spacing w:before="156" w:beforeLines="50"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本公司郑重声明，根据《政府采购促进中小企业发展暂行办法》（财库[2011]181号）的规定，本公司为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（请填写：中型、小型、微型）企业。即，本公司同时满足以下条件：</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2.本公司参加</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单位的</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 xml:space="preserve"> 项目采购活动提供本企业制造的货物，由本企业承担工程、提供服务，或者提供其他</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（请填写：中型、小型、微型）企业制造的货物。本条所称货物不包括使用大型企业注册商标的货物。</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本公司对上述声明的真实性负责。如有虚假，将依法承担相应责任。</w:t>
      </w:r>
    </w:p>
    <w:p>
      <w:pPr>
        <w:widowControl/>
        <w:adjustRightInd w:val="0"/>
        <w:snapToGrid w:val="0"/>
        <w:spacing w:line="360" w:lineRule="auto"/>
        <w:ind w:firstLine="420" w:firstLineChars="200"/>
        <w:jc w:val="left"/>
        <w:rPr>
          <w:rFonts w:hint="eastAsia" w:ascii="宋体" w:hAnsi="宋体" w:cs="宋体"/>
          <w:kern w:val="0"/>
          <w:szCs w:val="21"/>
          <w:highlight w:val="none"/>
        </w:rPr>
      </w:pPr>
    </w:p>
    <w:p>
      <w:pPr>
        <w:widowControl/>
        <w:adjustRightInd w:val="0"/>
        <w:snapToGrid w:val="0"/>
        <w:spacing w:line="360" w:lineRule="auto"/>
        <w:ind w:firstLine="444" w:firstLineChars="200"/>
        <w:jc w:val="center"/>
        <w:rPr>
          <w:rFonts w:hint="eastAsia" w:ascii="宋体" w:hAnsi="宋体"/>
          <w:szCs w:val="21"/>
          <w:highlight w:val="none"/>
        </w:rPr>
      </w:pPr>
      <w:r>
        <w:rPr>
          <w:rFonts w:hint="eastAsia" w:ascii="宋体" w:hAnsi="宋体" w:cs="宋体"/>
          <w:spacing w:val="6"/>
          <w:kern w:val="0"/>
          <w:szCs w:val="21"/>
          <w:highlight w:val="none"/>
        </w:rPr>
        <w:t xml:space="preserve">           </w:t>
      </w:r>
    </w:p>
    <w:p>
      <w:pPr>
        <w:adjustRightInd w:val="0"/>
        <w:snapToGrid w:val="0"/>
        <w:spacing w:line="360" w:lineRule="auto"/>
        <w:ind w:firstLine="4935" w:firstLineChars="2350"/>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ind w:firstLine="4725" w:firstLineChars="2250"/>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rPr>
      </w:pPr>
      <w:r>
        <w:rPr>
          <w:rFonts w:hint="eastAsia" w:ascii="宋体" w:hAnsi="宋体"/>
          <w:szCs w:val="21"/>
          <w:highlight w:val="none"/>
        </w:rPr>
        <w:t>说明：1、填写前请认真阅读</w:t>
      </w:r>
      <w:r>
        <w:rPr>
          <w:rFonts w:hint="eastAsia" w:ascii="宋体" w:hAnsi="宋体" w:cs="宋体"/>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spacing w:val="6"/>
          <w:szCs w:val="21"/>
          <w:highlight w:val="none"/>
        </w:rPr>
        <w:t>《财政部</w:t>
      </w:r>
      <w:r>
        <w:rPr>
          <w:rFonts w:hint="eastAsia" w:ascii="宋体" w:hAnsi="宋体"/>
          <w:szCs w:val="21"/>
          <w:highlight w:val="none"/>
        </w:rPr>
        <w:t xml:space="preserve"> </w:t>
      </w:r>
      <w:r>
        <w:rPr>
          <w:rFonts w:hint="eastAsia" w:ascii="宋体" w:hAnsi="宋体"/>
          <w:spacing w:val="6"/>
          <w:szCs w:val="21"/>
          <w:highlight w:val="none"/>
        </w:rPr>
        <w:t>工业和信息化部</w:t>
      </w:r>
      <w:r>
        <w:rPr>
          <w:rFonts w:hint="eastAsia" w:ascii="宋体" w:hAnsi="宋体"/>
          <w:bCs/>
          <w:szCs w:val="21"/>
          <w:highlight w:val="none"/>
        </w:rPr>
        <w:t>关于印发＜政府采购促进中小企业发展暂</w:t>
      </w:r>
      <w:r>
        <w:rPr>
          <w:rFonts w:hint="eastAsia" w:ascii="宋体" w:hAnsi="宋体"/>
          <w:bCs/>
          <w:szCs w:val="21"/>
        </w:rPr>
        <w:t>行办法＞的通知》(</w:t>
      </w:r>
      <w:r>
        <w:rPr>
          <w:rFonts w:hint="eastAsia" w:ascii="宋体" w:hAnsi="宋体"/>
          <w:szCs w:val="21"/>
        </w:rPr>
        <w:t>财库[2011]181号)相关规定。</w:t>
      </w:r>
    </w:p>
    <w:p>
      <w:pPr>
        <w:adjustRightInd w:val="0"/>
        <w:snapToGrid w:val="0"/>
        <w:spacing w:line="360" w:lineRule="auto"/>
        <w:ind w:firstLine="525" w:firstLineChars="250"/>
        <w:rPr>
          <w:rFonts w:hint="eastAsia" w:ascii="宋体" w:hAnsi="宋体"/>
          <w:szCs w:val="21"/>
        </w:rPr>
      </w:pPr>
      <w:r>
        <w:rPr>
          <w:rFonts w:hint="eastAsia" w:ascii="宋体" w:hAnsi="宋体"/>
          <w:szCs w:val="21"/>
        </w:rPr>
        <w:t>2、中小企业部分提供其他中小企业制造货物的应另附说明，并与后面的报价一栏表保持一致。</w:t>
      </w:r>
    </w:p>
    <w:p>
      <w:pPr>
        <w:adjustRightInd w:val="0"/>
        <w:snapToGrid w:val="0"/>
        <w:spacing w:line="360" w:lineRule="auto"/>
        <w:ind w:firstLine="525" w:firstLineChars="250"/>
        <w:rPr>
          <w:rFonts w:hint="eastAsia" w:ascii="宋体" w:hAnsi="宋体"/>
          <w:szCs w:val="21"/>
        </w:rPr>
      </w:pPr>
      <w:r>
        <w:rPr>
          <w:rFonts w:hint="eastAsia" w:ascii="宋体" w:hAnsi="宋体"/>
          <w:szCs w:val="21"/>
        </w:rPr>
        <w:t>3、未按上述要求提供、填写的，评审时不予以考虑。</w:t>
      </w:r>
    </w:p>
    <w:p>
      <w:pPr>
        <w:tabs>
          <w:tab w:val="left" w:pos="3600"/>
        </w:tabs>
        <w:adjustRightInd w:val="0"/>
        <w:snapToGrid w:val="0"/>
        <w:rPr>
          <w:rFonts w:hint="eastAsia" w:ascii="宋体" w:hAnsi="宋体" w:cs="宋体"/>
          <w:bCs/>
          <w:spacing w:val="6"/>
          <w:kern w:val="0"/>
          <w:sz w:val="28"/>
          <w:szCs w:val="28"/>
        </w:rPr>
      </w:pPr>
      <w:r>
        <w:rPr>
          <w:rFonts w:hAnsi="宋体"/>
          <w:b/>
        </w:rPr>
        <w:br w:type="page"/>
      </w:r>
      <w:r>
        <w:rPr>
          <w:rFonts w:hint="eastAsia" w:ascii="宋体" w:hAnsi="宋体"/>
          <w:sz w:val="24"/>
        </w:rPr>
        <w:t>附件5-2</w:t>
      </w:r>
    </w:p>
    <w:p>
      <w:pPr>
        <w:jc w:val="center"/>
        <w:rPr>
          <w:rFonts w:hint="eastAsia" w:hAnsi="宋体"/>
          <w:b/>
        </w:rPr>
      </w:pPr>
    </w:p>
    <w:p>
      <w:pPr>
        <w:jc w:val="center"/>
        <w:rPr>
          <w:rFonts w:hint="eastAsia" w:hAnsi="宋体"/>
          <w:b/>
        </w:rPr>
      </w:pPr>
    </w:p>
    <w:p>
      <w:pPr>
        <w:spacing w:line="440" w:lineRule="exact"/>
        <w:ind w:firstLine="420"/>
        <w:jc w:val="center"/>
        <w:rPr>
          <w:rFonts w:hint="eastAsia" w:hAnsi="宋体"/>
          <w:b/>
        </w:rPr>
      </w:pPr>
      <w:r>
        <w:rPr>
          <w:rFonts w:hint="eastAsia" w:ascii="宋体" w:hAnsi="宋体" w:cs="宋体"/>
          <w:bCs/>
          <w:spacing w:val="6"/>
          <w:kern w:val="0"/>
          <w:sz w:val="28"/>
          <w:szCs w:val="28"/>
        </w:rPr>
        <w:t>中小企业证明材料</w:t>
      </w:r>
    </w:p>
    <w:p>
      <w:pPr>
        <w:spacing w:line="440" w:lineRule="exact"/>
        <w:ind w:firstLine="420"/>
        <w:rPr>
          <w:rFonts w:hint="eastAsia" w:hAnsi="宋体"/>
          <w:b/>
        </w:rPr>
      </w:pPr>
    </w:p>
    <w:p>
      <w:pPr>
        <w:spacing w:line="440" w:lineRule="exact"/>
        <w:ind w:firstLine="420"/>
        <w:rPr>
          <w:rFonts w:hint="eastAsia" w:ascii="宋体" w:hAnsi="宋体"/>
          <w:szCs w:val="21"/>
        </w:rPr>
      </w:pPr>
      <w:r>
        <w:rPr>
          <w:rFonts w:hint="eastAsia" w:ascii="宋体" w:hAnsi="宋体"/>
          <w:szCs w:val="21"/>
        </w:rPr>
        <w:t>1.供应商工商行政注册地管理部门出具的小微企业证明材料；</w:t>
      </w:r>
    </w:p>
    <w:p>
      <w:pPr>
        <w:shd w:val="clear" w:color="auto" w:fill="FFFFFF"/>
        <w:adjustRightInd w:val="0"/>
        <w:snapToGrid w:val="0"/>
        <w:spacing w:line="360" w:lineRule="auto"/>
        <w:ind w:firstLine="420" w:firstLineChars="200"/>
        <w:rPr>
          <w:rFonts w:hint="eastAsia" w:ascii="宋体" w:hAnsi="宋体"/>
          <w:szCs w:val="21"/>
        </w:rPr>
      </w:pPr>
    </w:p>
    <w:p>
      <w:pPr>
        <w:shd w:val="clear" w:color="auto" w:fill="FFFFFF"/>
        <w:adjustRightInd w:val="0"/>
        <w:snapToGrid w:val="0"/>
        <w:spacing w:line="360" w:lineRule="auto"/>
        <w:ind w:firstLine="420" w:firstLineChars="200"/>
        <w:rPr>
          <w:rFonts w:ascii="宋体" w:hAnsi="宋体"/>
          <w:b/>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szCs w:val="21"/>
        </w:rPr>
        <w:t>2.证明材料</w:t>
      </w:r>
      <w:r>
        <w:rPr>
          <w:rFonts w:hint="eastAsia" w:hAnsi="宋体"/>
        </w:rPr>
        <w:t>加盖供应商公章。</w:t>
      </w:r>
    </w:p>
    <w:p>
      <w:pPr>
        <w:adjustRightInd w:val="0"/>
        <w:snapToGrid w:val="0"/>
        <w:spacing w:line="360" w:lineRule="auto"/>
        <w:jc w:val="center"/>
        <w:outlineLvl w:val="1"/>
        <w:rPr>
          <w:rFonts w:hint="eastAsia" w:ascii="宋体" w:hAnsi="宋体"/>
          <w:b/>
          <w:bCs/>
          <w:sz w:val="28"/>
          <w:szCs w:val="28"/>
        </w:rPr>
      </w:pPr>
      <w:bookmarkStart w:id="188" w:name="_Toc28943"/>
      <w:bookmarkStart w:id="189" w:name="_Toc477277623"/>
      <w:r>
        <w:rPr>
          <w:rFonts w:hint="eastAsia" w:ascii="宋体" w:hAnsi="宋体"/>
          <w:b/>
          <w:sz w:val="28"/>
          <w:szCs w:val="28"/>
        </w:rPr>
        <w:t>五、供应商基本情况</w:t>
      </w:r>
      <w:bookmarkEnd w:id="188"/>
      <w:bookmarkEnd w:id="189"/>
    </w:p>
    <w:p>
      <w:pPr>
        <w:adjustRightInd w:val="0"/>
        <w:snapToGrid w:val="0"/>
        <w:spacing w:line="360" w:lineRule="auto"/>
        <w:ind w:right="24"/>
        <w:rPr>
          <w:rFonts w:hint="eastAsia" w:ascii="宋体" w:hAnsi="宋体"/>
          <w:sz w:val="24"/>
        </w:rPr>
      </w:pPr>
      <w:r>
        <w:rPr>
          <w:rFonts w:hint="eastAsia" w:ascii="宋体" w:hAnsi="宋体"/>
          <w:bCs/>
          <w:sz w:val="24"/>
        </w:rPr>
        <w:t>附件6</w:t>
      </w:r>
    </w:p>
    <w:p>
      <w:pPr>
        <w:adjustRightInd w:val="0"/>
        <w:snapToGrid w:val="0"/>
        <w:spacing w:line="360" w:lineRule="auto"/>
        <w:jc w:val="center"/>
        <w:rPr>
          <w:rFonts w:hint="eastAsia" w:ascii="宋体" w:hAnsi="宋体"/>
          <w:sz w:val="28"/>
          <w:szCs w:val="28"/>
        </w:rPr>
      </w:pPr>
      <w:r>
        <w:rPr>
          <w:rFonts w:hint="eastAsia" w:ascii="宋体" w:hAnsi="宋体"/>
          <w:sz w:val="28"/>
          <w:szCs w:val="28"/>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4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rPr>
              <w:t>供应商</w:t>
            </w:r>
            <w:r>
              <w:rPr>
                <w:rFonts w:ascii="宋体" w:hAnsi="宋体"/>
                <w:szCs w:val="21"/>
              </w:rPr>
              <w:t>名称</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法定代表人</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邮政编码</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委托代理</w:t>
            </w:r>
            <w:r>
              <w:rPr>
                <w:rFonts w:ascii="宋体" w:hAnsi="宋体"/>
                <w:szCs w:val="21"/>
              </w:rPr>
              <w:t>人</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电子邮箱</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员工总人数</w:t>
            </w: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固定电话</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noWrap w:val="0"/>
            <w:vAlign w:val="center"/>
          </w:tcPr>
          <w:p>
            <w:pPr>
              <w:topLinePunct/>
              <w:spacing w:line="440" w:lineRule="exact"/>
              <w:jc w:val="center"/>
              <w:rPr>
                <w:rFonts w:ascii="宋体" w:hAnsi="宋体"/>
                <w:szCs w:val="21"/>
              </w:rPr>
            </w:pPr>
            <w:r>
              <w:rPr>
                <w:rFonts w:ascii="宋体" w:hAnsi="宋体"/>
                <w:szCs w:val="21"/>
              </w:rPr>
              <w:t>等级</w:t>
            </w:r>
          </w:p>
        </w:tc>
        <w:tc>
          <w:tcPr>
            <w:tcW w:w="1083" w:type="dxa"/>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3060" w:type="dxa"/>
            <w:gridSpan w:val="2"/>
            <w:noWrap w:val="0"/>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8"/>
            <w:noWrap w:val="0"/>
            <w:vAlign w:val="center"/>
          </w:tcPr>
          <w:p>
            <w:pPr>
              <w:topLinePunct/>
              <w:spacing w:line="440" w:lineRule="exact"/>
              <w:rPr>
                <w:rFonts w:hint="eastAsia" w:ascii="宋体" w:hAnsi="宋体"/>
                <w:szCs w:val="21"/>
              </w:rPr>
            </w:pPr>
          </w:p>
        </w:tc>
      </w:tr>
    </w:tbl>
    <w:p>
      <w:pPr>
        <w:adjustRightInd w:val="0"/>
        <w:snapToGrid w:val="0"/>
        <w:spacing w:line="360" w:lineRule="auto"/>
        <w:jc w:val="center"/>
        <w:rPr>
          <w:rFonts w:hint="eastAsia" w:ascii="宋体" w:hAnsi="宋体"/>
          <w:sz w:val="24"/>
        </w:rPr>
      </w:pPr>
    </w:p>
    <w:p>
      <w:pPr>
        <w:spacing w:line="480" w:lineRule="exact"/>
        <w:rPr>
          <w:rFonts w:hint="eastAsia" w:ascii="宋体" w:hAnsi="宋体"/>
          <w:sz w:val="32"/>
          <w:szCs w:val="32"/>
        </w:rPr>
      </w:pPr>
    </w:p>
    <w:p>
      <w:pPr>
        <w:spacing w:line="480" w:lineRule="exact"/>
        <w:rPr>
          <w:rFonts w:ascii="宋体" w:hAnsi="宋体"/>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rPr>
          <w:rFonts w:hint="eastAsia" w:ascii="宋体" w:hAnsi="宋体"/>
          <w:b/>
          <w:sz w:val="24"/>
        </w:rPr>
      </w:pPr>
      <w:r>
        <w:rPr>
          <w:rFonts w:hint="eastAsia" w:ascii="宋体" w:hAnsi="宋体"/>
          <w:bCs/>
          <w:sz w:val="24"/>
        </w:rPr>
        <w:t>附件7</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拟投入本项目的人员一览表</w:t>
      </w:r>
    </w:p>
    <w:p>
      <w:pPr>
        <w:spacing w:line="420" w:lineRule="exact"/>
        <w:jc w:val="center"/>
        <w:rPr>
          <w:rFonts w:hint="eastAsia" w:ascii="宋体" w:hAnsi="宋体"/>
          <w:b/>
          <w:szCs w:val="21"/>
        </w:rPr>
      </w:pPr>
    </w:p>
    <w:tbl>
      <w:tblPr>
        <w:tblStyle w:val="40"/>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exact"/>
          <w:jc w:val="center"/>
        </w:trPr>
        <w:tc>
          <w:tcPr>
            <w:tcW w:w="1276" w:type="dxa"/>
            <w:noWrap w:val="0"/>
            <w:vAlign w:val="center"/>
          </w:tcPr>
          <w:p>
            <w:pPr>
              <w:jc w:val="center"/>
              <w:rPr>
                <w:rFonts w:hint="eastAsia" w:ascii="宋体" w:hAnsi="宋体"/>
                <w:szCs w:val="21"/>
              </w:rPr>
            </w:pPr>
            <w:r>
              <w:rPr>
                <w:rFonts w:hint="eastAsia" w:ascii="宋体" w:hAnsi="宋体"/>
                <w:szCs w:val="21"/>
              </w:rPr>
              <w:t>职责分工</w:t>
            </w:r>
          </w:p>
        </w:tc>
        <w:tc>
          <w:tcPr>
            <w:tcW w:w="8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执业</w:t>
            </w:r>
          </w:p>
          <w:p>
            <w:pPr>
              <w:jc w:val="center"/>
              <w:rPr>
                <w:rFonts w:hint="eastAsia" w:ascii="宋体" w:hAnsi="宋体" w:eastAsia="宋体"/>
                <w:szCs w:val="21"/>
                <w:highlight w:val="none"/>
                <w:lang w:eastAsia="zh-CN"/>
              </w:rPr>
            </w:pPr>
            <w:r>
              <w:rPr>
                <w:rFonts w:hint="eastAsia" w:ascii="宋体" w:hAnsi="宋体"/>
                <w:szCs w:val="21"/>
                <w:highlight w:val="none"/>
              </w:rPr>
              <w:t>资格证</w:t>
            </w:r>
            <w:r>
              <w:rPr>
                <w:rFonts w:hint="eastAsia" w:ascii="宋体" w:hAnsi="宋体"/>
                <w:szCs w:val="21"/>
                <w:highlight w:val="none"/>
                <w:lang w:eastAsia="zh-CN"/>
              </w:rPr>
              <w:t>（</w:t>
            </w:r>
            <w:r>
              <w:rPr>
                <w:rFonts w:hint="eastAsia" w:ascii="宋体" w:hAnsi="宋体"/>
                <w:szCs w:val="21"/>
                <w:highlight w:val="none"/>
                <w:lang w:val="en-US" w:eastAsia="zh-CN"/>
              </w:rPr>
              <w:t>编号</w:t>
            </w:r>
            <w:r>
              <w:rPr>
                <w:rFonts w:hint="eastAsia" w:ascii="宋体" w:hAnsi="宋体"/>
                <w:szCs w:val="21"/>
                <w:highlight w:val="none"/>
                <w:lang w:eastAsia="zh-CN"/>
              </w:rPr>
              <w:t>）</w:t>
            </w:r>
          </w:p>
        </w:tc>
        <w:tc>
          <w:tcPr>
            <w:tcW w:w="986"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证件</w:t>
            </w:r>
          </w:p>
          <w:p>
            <w:pPr>
              <w:jc w:val="center"/>
              <w:rPr>
                <w:rFonts w:hint="eastAsia" w:ascii="宋体" w:hAnsi="宋体"/>
                <w:szCs w:val="21"/>
                <w:highlight w:val="none"/>
              </w:rPr>
            </w:pPr>
            <w:r>
              <w:rPr>
                <w:rFonts w:hint="eastAsia" w:ascii="宋体" w:hAnsi="宋体"/>
                <w:szCs w:val="21"/>
                <w:highlight w:val="none"/>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szCs w:val="21"/>
              </w:rPr>
            </w:pPr>
            <w:r>
              <w:rPr>
                <w:rFonts w:hint="eastAsia" w:ascii="宋体" w:hAnsi="宋体"/>
                <w:szCs w:val="21"/>
              </w:rPr>
              <w:t>项目负责人</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161"/>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161"/>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161"/>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ind w:firstLine="420" w:firstLineChars="200"/>
        <w:rPr>
          <w:rFonts w:hint="eastAsia" w:ascii="宋体" w:hAnsi="宋体"/>
        </w:rPr>
      </w:pPr>
      <w:r>
        <w:rPr>
          <w:rFonts w:hint="eastAsia" w:ascii="宋体" w:hAnsi="宋体"/>
        </w:rPr>
        <w:t>注：1、后附全部人员</w:t>
      </w:r>
      <w:r>
        <w:rPr>
          <w:rFonts w:hint="eastAsia" w:ascii="宋体" w:hAnsi="宋体"/>
          <w:lang w:eastAsia="zh-CN"/>
        </w:rPr>
        <w:t>身份证、资质</w:t>
      </w:r>
      <w:r>
        <w:rPr>
          <w:rFonts w:hint="eastAsia" w:ascii="宋体" w:hAnsi="宋体"/>
        </w:rPr>
        <w:t>证件复印件、</w:t>
      </w:r>
      <w:r>
        <w:rPr>
          <w:rFonts w:hint="eastAsia" w:ascii="宋体" w:hAnsi="宋体"/>
          <w:lang w:eastAsia="zh-CN"/>
        </w:rPr>
        <w:t>近半年社保证明</w:t>
      </w:r>
      <w:r>
        <w:rPr>
          <w:rFonts w:hint="eastAsia" w:ascii="宋体" w:hAnsi="宋体"/>
        </w:rPr>
        <w:t>，加盖单位公章。</w:t>
      </w: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hint="eastAsia" w:ascii="宋体" w:hAnsi="宋体"/>
        </w:rPr>
      </w:pPr>
    </w:p>
    <w:p>
      <w:pPr>
        <w:adjustRightInd w:val="0"/>
        <w:snapToGrid w:val="0"/>
        <w:ind w:left="-88" w:leftChars="-42" w:firstLine="315" w:firstLineChars="150"/>
        <w:rPr>
          <w:rFonts w:hint="eastAsia" w:ascii="宋体" w:hAnsi="宋体"/>
        </w:rPr>
      </w:pPr>
    </w:p>
    <w:p>
      <w:pPr>
        <w:adjustRightInd w:val="0"/>
        <w:snapToGrid w:val="0"/>
        <w:spacing w:line="360" w:lineRule="auto"/>
        <w:ind w:right="24"/>
        <w:rPr>
          <w:rFonts w:hint="eastAsia" w:ascii="宋体" w:hAnsi="宋体"/>
          <w:b/>
          <w:sz w:val="24"/>
        </w:rPr>
      </w:pPr>
      <w:r>
        <w:rPr>
          <w:rFonts w:ascii="宋体" w:hAnsi="宋体"/>
          <w:bCs/>
          <w:sz w:val="28"/>
          <w:szCs w:val="28"/>
        </w:rPr>
        <w:br w:type="page"/>
      </w:r>
      <w:r>
        <w:rPr>
          <w:rFonts w:hint="eastAsia" w:ascii="宋体" w:hAnsi="宋体"/>
          <w:bCs/>
          <w:sz w:val="24"/>
        </w:rPr>
        <w:t>附件8</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拟投入本项目的项目负责人简历表</w:t>
      </w:r>
    </w:p>
    <w:p>
      <w:pPr>
        <w:rPr>
          <w:rFonts w:hint="eastAsia" w:ascii="宋体" w:hAnsi="宋体"/>
          <w:b/>
          <w:szCs w:val="21"/>
        </w:rPr>
      </w:pPr>
    </w:p>
    <w:tbl>
      <w:tblPr>
        <w:tblStyle w:val="40"/>
        <w:tblW w:w="838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ascii="宋体" w:hAnsi="宋体"/>
                <w:szCs w:val="21"/>
              </w:rPr>
              <w:t>从事项目</w:t>
            </w:r>
          </w:p>
          <w:p>
            <w:pPr>
              <w:jc w:val="center"/>
              <w:rPr>
                <w:rFonts w:ascii="宋体" w:hAnsi="宋体"/>
                <w:szCs w:val="21"/>
              </w:rPr>
            </w:pPr>
            <w:r>
              <w:rPr>
                <w:rFonts w:hint="eastAsia" w:ascii="宋体" w:hAnsi="宋体"/>
                <w:szCs w:val="21"/>
              </w:rPr>
              <w:t>负责</w:t>
            </w:r>
            <w:r>
              <w:rPr>
                <w:rFonts w:ascii="宋体" w:hAnsi="宋体"/>
                <w:szCs w:val="21"/>
              </w:rPr>
              <w:t>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目前正在服务</w:t>
            </w:r>
            <w:r>
              <w:rPr>
                <w:rFonts w:ascii="宋体" w:hAnsi="宋体"/>
                <w:szCs w:val="21"/>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r>
    </w:tbl>
    <w:p>
      <w:pPr>
        <w:rPr>
          <w:rFonts w:hint="eastAsia" w:ascii="宋体" w:hAnsi="宋体"/>
          <w:b/>
          <w:szCs w:val="21"/>
        </w:rPr>
      </w:pPr>
    </w:p>
    <w:p>
      <w:pPr>
        <w:rPr>
          <w:rFonts w:hint="eastAsia" w:ascii="宋体" w:hAnsi="宋体"/>
          <w:b/>
          <w:szCs w:val="21"/>
        </w:rPr>
      </w:pPr>
    </w:p>
    <w:p>
      <w:pPr>
        <w:spacing w:line="400" w:lineRule="exact"/>
        <w:rPr>
          <w:rFonts w:hint="eastAsia" w:ascii="宋体" w:hAnsi="宋体"/>
          <w:lang w:val="en-GB"/>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pStyle w:val="20"/>
        <w:snapToGrid w:val="0"/>
        <w:spacing w:before="295" w:after="295"/>
        <w:rPr>
          <w:rFonts w:hAnsi="宋体"/>
          <w:b/>
        </w:rPr>
        <w:sectPr>
          <w:headerReference r:id="rId7" w:type="default"/>
          <w:footerReference r:id="rId8" w:type="even"/>
          <w:pgSz w:w="11906" w:h="16838"/>
          <w:pgMar w:top="1440" w:right="1800" w:bottom="1440" w:left="1800" w:header="851" w:footer="992" w:gutter="0"/>
          <w:pgNumType w:fmt="decimal"/>
          <w:cols w:space="720" w:num="1"/>
          <w:docGrid w:type="lines" w:linePitch="312" w:charSpace="0"/>
        </w:sectPr>
      </w:pPr>
      <w:r>
        <w:rPr>
          <w:rFonts w:hint="eastAsia" w:hAnsi="宋体"/>
        </w:rPr>
        <w:t xml:space="preserve">日          期： </w:t>
      </w:r>
      <w:r>
        <w:rPr>
          <w:rFonts w:hint="eastAsia" w:hAnsi="宋体"/>
          <w:u w:val="single"/>
        </w:rPr>
        <w:t xml:space="preserve">     </w:t>
      </w:r>
      <w:r>
        <w:rPr>
          <w:rFonts w:hint="eastAsia" w:hAnsi="宋体"/>
        </w:rPr>
        <w:t xml:space="preserve"> 年 </w:t>
      </w:r>
      <w:r>
        <w:rPr>
          <w:rFonts w:hint="eastAsia" w:hAnsi="宋体"/>
          <w:u w:val="single"/>
        </w:rPr>
        <w:t xml:space="preserve">    </w:t>
      </w:r>
      <w:r>
        <w:rPr>
          <w:rFonts w:hint="eastAsia" w:hAnsi="宋体"/>
        </w:rPr>
        <w:t xml:space="preserve"> 月 </w:t>
      </w:r>
      <w:r>
        <w:rPr>
          <w:rFonts w:hint="eastAsia" w:hAnsi="宋体"/>
          <w:u w:val="single"/>
        </w:rPr>
        <w:t xml:space="preserve">   </w:t>
      </w:r>
      <w:r>
        <w:rPr>
          <w:rFonts w:hint="eastAsia" w:hAnsi="宋体"/>
        </w:rPr>
        <w:t xml:space="preserve"> 日</w:t>
      </w:r>
    </w:p>
    <w:p>
      <w:pPr>
        <w:adjustRightInd w:val="0"/>
        <w:snapToGrid w:val="0"/>
        <w:spacing w:line="360" w:lineRule="auto"/>
        <w:ind w:right="24"/>
        <w:rPr>
          <w:rFonts w:hint="eastAsia" w:ascii="宋体" w:hAnsi="宋体"/>
          <w:bCs/>
          <w:sz w:val="24"/>
        </w:rPr>
      </w:pPr>
      <w:r>
        <w:rPr>
          <w:rFonts w:hint="eastAsia" w:ascii="宋体" w:hAnsi="宋体"/>
          <w:bCs/>
          <w:sz w:val="24"/>
        </w:rPr>
        <w:t>附件9</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拟投入本项目的设备表</w:t>
      </w:r>
    </w:p>
    <w:p>
      <w:pPr>
        <w:autoSpaceDE w:val="0"/>
        <w:autoSpaceDN w:val="0"/>
        <w:adjustRightInd w:val="0"/>
        <w:jc w:val="center"/>
        <w:rPr>
          <w:rFonts w:hint="eastAsia" w:ascii="宋体" w:hAnsi="宋体"/>
          <w:b/>
          <w:szCs w:val="21"/>
        </w:rPr>
      </w:pPr>
    </w:p>
    <w:tbl>
      <w:tblPr>
        <w:tblStyle w:val="4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序号</w:t>
            </w: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设备、软件名称</w:t>
            </w: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规格型号</w:t>
            </w: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主要功能</w:t>
            </w: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使用年限</w:t>
            </w: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单位</w:t>
            </w: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数量</w:t>
            </w: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bl>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ind w:right="24"/>
        <w:rPr>
          <w:rFonts w:hint="eastAsia"/>
          <w:b/>
          <w:sz w:val="24"/>
        </w:rPr>
      </w:pPr>
      <w:r>
        <w:rPr>
          <w:rFonts w:hAnsi="宋体"/>
          <w:bCs/>
          <w:sz w:val="28"/>
          <w:szCs w:val="28"/>
        </w:rPr>
        <w:br w:type="page"/>
      </w:r>
      <w:r>
        <w:rPr>
          <w:rFonts w:hint="eastAsia" w:ascii="宋体" w:hAnsi="宋体"/>
          <w:bCs/>
          <w:sz w:val="24"/>
        </w:rPr>
        <w:t>附件10</w:t>
      </w:r>
    </w:p>
    <w:p>
      <w:pPr>
        <w:pStyle w:val="20"/>
        <w:snapToGrid w:val="0"/>
        <w:spacing w:before="295" w:after="295"/>
        <w:jc w:val="center"/>
        <w:rPr>
          <w:rFonts w:hint="eastAsia" w:hAnsi="宋体"/>
          <w:sz w:val="28"/>
          <w:szCs w:val="28"/>
        </w:rPr>
      </w:pPr>
      <w:r>
        <w:rPr>
          <w:rFonts w:hint="eastAsia" w:hAnsi="宋体"/>
          <w:sz w:val="28"/>
          <w:szCs w:val="28"/>
        </w:rPr>
        <w:t>供应商主要业绩</w:t>
      </w:r>
    </w:p>
    <w:p>
      <w:pPr>
        <w:jc w:val="center"/>
        <w:rPr>
          <w:rFonts w:hint="eastAsia" w:ascii="宋体" w:hAnsi="宋体"/>
          <w:b/>
          <w:szCs w:val="21"/>
        </w:rPr>
      </w:pPr>
    </w:p>
    <w:p>
      <w:pPr>
        <w:numPr>
          <w:ilvl w:val="0"/>
          <w:numId w:val="7"/>
        </w:numPr>
        <w:jc w:val="center"/>
        <w:rPr>
          <w:rFonts w:hint="eastAsia" w:ascii="宋体" w:hAnsi="宋体"/>
          <w:b/>
          <w:szCs w:val="21"/>
        </w:rPr>
      </w:pPr>
      <w:r>
        <w:rPr>
          <w:rFonts w:ascii="宋体" w:hAnsi="宋体"/>
          <w:b/>
          <w:szCs w:val="21"/>
        </w:rPr>
        <w:t>已</w:t>
      </w:r>
      <w:r>
        <w:rPr>
          <w:rFonts w:hint="eastAsia" w:ascii="宋体" w:hAnsi="宋体"/>
          <w:b/>
          <w:szCs w:val="21"/>
        </w:rPr>
        <w:t>完成类似</w:t>
      </w:r>
      <w:r>
        <w:rPr>
          <w:rFonts w:ascii="宋体" w:hAnsi="宋体"/>
          <w:b/>
          <w:szCs w:val="21"/>
        </w:rPr>
        <w:t>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62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宋体" w:hAnsi="宋体"/>
                <w:szCs w:val="21"/>
              </w:rPr>
            </w:pPr>
            <w:r>
              <w:rPr>
                <w:rFonts w:hint="eastAsia" w:ascii="宋体" w:hAnsi="宋体"/>
                <w:szCs w:val="21"/>
              </w:rPr>
              <w:t>说明：附近三年证明材料。提供中标通知书、成交通知书或合同协议书复印件。</w:t>
            </w:r>
          </w:p>
        </w:tc>
      </w:tr>
    </w:tbl>
    <w:p>
      <w:pPr>
        <w:spacing w:line="360" w:lineRule="auto"/>
        <w:ind w:left="1" w:hanging="1"/>
        <w:jc w:val="center"/>
        <w:rPr>
          <w:rFonts w:hint="eastAsia" w:ascii="宋体" w:hAnsi="宋体"/>
          <w:b/>
          <w:szCs w:val="21"/>
        </w:rPr>
      </w:pPr>
    </w:p>
    <w:p>
      <w:pPr>
        <w:numPr>
          <w:ilvl w:val="0"/>
          <w:numId w:val="7"/>
        </w:numPr>
        <w:spacing w:line="360" w:lineRule="auto"/>
        <w:jc w:val="center"/>
        <w:rPr>
          <w:rFonts w:hint="eastAsia" w:ascii="宋体" w:hAnsi="宋体"/>
          <w:b/>
          <w:szCs w:val="21"/>
        </w:rPr>
      </w:pPr>
      <w:r>
        <w:rPr>
          <w:rFonts w:ascii="宋体" w:hAnsi="宋体"/>
          <w:b/>
          <w:szCs w:val="21"/>
        </w:rPr>
        <w:t>目前正在</w:t>
      </w:r>
      <w:r>
        <w:rPr>
          <w:rFonts w:hint="eastAsia" w:ascii="宋体" w:hAnsi="宋体"/>
          <w:b/>
          <w:szCs w:val="21"/>
        </w:rPr>
        <w:t>完成</w:t>
      </w:r>
      <w:r>
        <w:rPr>
          <w:rFonts w:ascii="宋体" w:hAnsi="宋体"/>
          <w:b/>
          <w:szCs w:val="21"/>
        </w:rPr>
        <w:t>的项目一览表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80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90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ascii="宋体" w:hAnsi="宋体"/>
                <w:szCs w:val="21"/>
              </w:rPr>
            </w:pPr>
            <w:r>
              <w:rPr>
                <w:rFonts w:hint="eastAsia" w:ascii="宋体" w:hAnsi="宋体"/>
                <w:szCs w:val="21"/>
              </w:rPr>
              <w:t>说明：附证明材料。提供中标通知书、成交通知书或合同协议书复印件</w:t>
            </w:r>
          </w:p>
        </w:tc>
      </w:tr>
    </w:tbl>
    <w:p>
      <w:pPr>
        <w:spacing w:line="440" w:lineRule="exact"/>
        <w:jc w:val="right"/>
        <w:rPr>
          <w:rFonts w:hint="eastAsia" w:ascii="宋体" w:hAnsi="宋体"/>
          <w:szCs w:val="21"/>
        </w:rPr>
      </w:pPr>
    </w:p>
    <w:p>
      <w:pPr>
        <w:spacing w:line="440" w:lineRule="exact"/>
        <w:jc w:val="right"/>
        <w:rPr>
          <w:rFonts w:hint="eastAsia" w:ascii="宋体" w:hAnsi="宋体"/>
          <w:szCs w:val="21"/>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480" w:lineRule="auto"/>
        <w:jc w:val="left"/>
        <w:rPr>
          <w:rFonts w:hint="eastAsia" w:ascii="宋体" w:hAnsi="宋体"/>
          <w:b/>
          <w:bCs/>
          <w:sz w:val="24"/>
        </w:rPr>
      </w:pPr>
    </w:p>
    <w:p>
      <w:pPr>
        <w:jc w:val="center"/>
        <w:outlineLvl w:val="1"/>
        <w:rPr>
          <w:rFonts w:hint="eastAsia" w:hAnsi="宋体"/>
          <w:b/>
        </w:rPr>
      </w:pPr>
    </w:p>
    <w:p>
      <w:pPr>
        <w:jc w:val="center"/>
        <w:outlineLvl w:val="1"/>
        <w:rPr>
          <w:rFonts w:hint="eastAsia" w:ascii="宋体" w:hAnsi="宋体"/>
          <w:b/>
          <w:sz w:val="28"/>
          <w:szCs w:val="28"/>
        </w:rPr>
        <w:sectPr>
          <w:headerReference r:id="rId9" w:type="default"/>
          <w:footerReference r:id="rId10" w:type="even"/>
          <w:pgSz w:w="11906" w:h="16838"/>
          <w:pgMar w:top="1440" w:right="1797" w:bottom="1440" w:left="1440" w:header="851" w:footer="992" w:gutter="0"/>
          <w:pgNumType w:fmt="decimal"/>
          <w:cols w:space="720" w:num="1"/>
          <w:docGrid w:linePitch="312" w:charSpace="0"/>
        </w:sectPr>
      </w:pPr>
    </w:p>
    <w:bookmarkEnd w:id="185"/>
    <w:p>
      <w:pPr>
        <w:adjustRightInd w:val="0"/>
        <w:snapToGrid w:val="0"/>
        <w:spacing w:line="360" w:lineRule="auto"/>
        <w:jc w:val="center"/>
        <w:outlineLvl w:val="1"/>
        <w:rPr>
          <w:rFonts w:hint="eastAsia" w:ascii="宋体" w:hAnsi="宋体" w:eastAsia="宋体"/>
          <w:b/>
          <w:sz w:val="28"/>
          <w:szCs w:val="28"/>
          <w:highlight w:val="none"/>
          <w:lang w:eastAsia="zh-CN"/>
        </w:rPr>
      </w:pPr>
      <w:bookmarkStart w:id="190" w:name="_Toc8032"/>
      <w:r>
        <w:rPr>
          <w:rFonts w:hint="eastAsia" w:ascii="宋体" w:hAnsi="宋体"/>
          <w:b/>
          <w:sz w:val="28"/>
          <w:szCs w:val="28"/>
          <w:highlight w:val="none"/>
          <w:lang w:eastAsia="zh-CN"/>
        </w:rPr>
        <w:t>六、供应商资格审查材料</w:t>
      </w:r>
      <w:bookmarkEnd w:id="190"/>
    </w:p>
    <w:p>
      <w:pPr>
        <w:autoSpaceDE w:val="0"/>
        <w:autoSpaceDN w:val="0"/>
        <w:adjustRightInd w:val="0"/>
        <w:spacing w:line="400" w:lineRule="exact"/>
        <w:jc w:val="left"/>
        <w:rPr>
          <w:rFonts w:hint="eastAsia" w:ascii="仿宋" w:hAnsi="仿宋" w:eastAsia="仿宋" w:cs="宋体"/>
          <w:b/>
          <w:bCs/>
          <w:color w:val="000000" w:themeColor="text1"/>
          <w:kern w:val="0"/>
          <w:sz w:val="24"/>
          <w:szCs w:val="24"/>
          <w:highlight w:val="none"/>
          <w:lang w:val="zh-CN"/>
        </w:rPr>
      </w:pPr>
      <w:bookmarkStart w:id="191" w:name="_Toc420948028"/>
      <w:bookmarkStart w:id="192" w:name="_Toc467688156"/>
      <w:bookmarkStart w:id="193" w:name="_Toc477277625"/>
      <w:r>
        <w:rPr>
          <w:rFonts w:hint="eastAsia" w:ascii="仿宋" w:hAnsi="仿宋" w:eastAsia="仿宋" w:cs="宋体"/>
          <w:b/>
          <w:bCs/>
          <w:color w:val="000000" w:themeColor="text1"/>
          <w:kern w:val="0"/>
          <w:sz w:val="24"/>
          <w:szCs w:val="24"/>
          <w:highlight w:val="none"/>
          <w:lang w:val="zh-CN"/>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rPr>
      </w:pPr>
      <w:r>
        <w:rPr>
          <w:rFonts w:hint="eastAsia" w:ascii="仿宋" w:hAnsi="仿宋" w:eastAsia="仿宋" w:cs="宋体"/>
          <w:b/>
          <w:bCs/>
          <w:color w:val="000000" w:themeColor="text1"/>
          <w:kern w:val="0"/>
          <w:sz w:val="24"/>
          <w:szCs w:val="24"/>
          <w:highlight w:val="none"/>
          <w:lang w:val="zh-CN"/>
        </w:rPr>
        <w:t>（2）、法定代表人应携带《法定代表人身份证明》及身份证原件（法定代表人近6个月的社保个人明细表），委托代理人应携带《法人代表授权委托书》及身份证原件（被委托人近6个月的社保个人明细表）；</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rPr>
      </w:pPr>
      <w:r>
        <w:rPr>
          <w:rFonts w:hint="eastAsia" w:ascii="仿宋" w:hAnsi="仿宋" w:eastAsia="仿宋" w:cs="宋体"/>
          <w:b/>
          <w:bCs/>
          <w:color w:val="000000" w:themeColor="text1"/>
          <w:kern w:val="0"/>
          <w:sz w:val="24"/>
          <w:szCs w:val="24"/>
          <w:lang w:val="zh-CN"/>
        </w:rPr>
        <w:t>（3）、投标企业须提供20</w:t>
      </w:r>
      <w:r>
        <w:rPr>
          <w:rFonts w:hint="eastAsia" w:ascii="仿宋" w:hAnsi="仿宋" w:eastAsia="仿宋" w:cs="宋体"/>
          <w:b/>
          <w:bCs/>
          <w:color w:val="000000" w:themeColor="text1"/>
          <w:kern w:val="0"/>
          <w:sz w:val="24"/>
          <w:szCs w:val="24"/>
          <w:lang w:val="en-US" w:eastAsia="zh-CN"/>
        </w:rPr>
        <w:t>20</w:t>
      </w:r>
      <w:r>
        <w:rPr>
          <w:rFonts w:hint="eastAsia" w:ascii="仿宋" w:hAnsi="仿宋" w:eastAsia="仿宋" w:cs="宋体"/>
          <w:b/>
          <w:bCs/>
          <w:color w:val="000000" w:themeColor="text1"/>
          <w:kern w:val="0"/>
          <w:sz w:val="24"/>
          <w:szCs w:val="24"/>
          <w:lang w:val="zh-CN"/>
        </w:rPr>
        <w:t>年财务审计报告（2021年成立的公司可不提供）；</w:t>
      </w:r>
    </w:p>
    <w:p>
      <w:pPr>
        <w:adjustRightInd w:val="0"/>
        <w:snapToGrid w:val="0"/>
        <w:spacing w:line="360" w:lineRule="auto"/>
        <w:jc w:val="both"/>
        <w:outlineLvl w:val="1"/>
        <w:rPr>
          <w:rFonts w:hint="eastAsia" w:ascii="仿宋" w:hAnsi="仿宋" w:eastAsia="仿宋" w:cs="宋体"/>
          <w:b/>
          <w:bCs/>
          <w:color w:val="000000" w:themeColor="text1"/>
          <w:kern w:val="0"/>
          <w:sz w:val="24"/>
          <w:szCs w:val="24"/>
          <w:lang w:val="zh-CN"/>
        </w:rPr>
      </w:pPr>
      <w:bookmarkStart w:id="194" w:name="_Toc8400"/>
      <w:r>
        <w:rPr>
          <w:rFonts w:hint="eastAsia" w:ascii="仿宋" w:hAnsi="仿宋" w:eastAsia="仿宋" w:cs="宋体"/>
          <w:b/>
          <w:bCs/>
          <w:color w:val="000000" w:themeColor="text1"/>
          <w:kern w:val="0"/>
          <w:sz w:val="24"/>
          <w:szCs w:val="24"/>
          <w:lang w:val="zh-CN"/>
        </w:rPr>
        <w:t> （</w:t>
      </w:r>
      <w:r>
        <w:rPr>
          <w:rFonts w:hint="eastAsia" w:ascii="仿宋" w:hAnsi="仿宋" w:eastAsia="仿宋" w:cs="宋体"/>
          <w:b/>
          <w:bCs/>
          <w:color w:val="000000" w:themeColor="text1"/>
          <w:kern w:val="0"/>
          <w:sz w:val="24"/>
          <w:szCs w:val="24"/>
          <w:lang w:val="en-US" w:eastAsia="zh-CN"/>
        </w:rPr>
        <w:t>4</w:t>
      </w:r>
      <w:r>
        <w:rPr>
          <w:rFonts w:hint="eastAsia" w:ascii="仿宋" w:hAnsi="仿宋" w:eastAsia="仿宋" w:cs="宋体"/>
          <w:b/>
          <w:bCs/>
          <w:color w:val="000000" w:themeColor="text1"/>
          <w:kern w:val="0"/>
          <w:sz w:val="24"/>
          <w:szCs w:val="24"/>
          <w:lang w:val="zh-CN"/>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之间任意时刻的查询）。</w:t>
      </w:r>
      <w:bookmarkEnd w:id="194"/>
    </w:p>
    <w:p>
      <w:pPr>
        <w:pStyle w:val="29"/>
        <w:rPr>
          <w:rFonts w:hint="eastAsia"/>
        </w:rPr>
      </w:pPr>
      <w:r>
        <w:rPr>
          <w:rFonts w:hint="eastAsia" w:ascii="仿宋" w:hAnsi="仿宋" w:eastAsia="仿宋" w:cs="宋体"/>
          <w:b/>
          <w:bCs/>
          <w:color w:val="000000" w:themeColor="text1"/>
          <w:kern w:val="0"/>
          <w:sz w:val="24"/>
          <w:szCs w:val="24"/>
          <w:lang w:val="zh-CN"/>
        </w:rPr>
        <w:t>（</w:t>
      </w:r>
      <w:r>
        <w:rPr>
          <w:rFonts w:hint="eastAsia" w:ascii="仿宋" w:hAnsi="仿宋" w:eastAsia="仿宋" w:cs="宋体"/>
          <w:b/>
          <w:bCs/>
          <w:color w:val="000000" w:themeColor="text1"/>
          <w:kern w:val="0"/>
          <w:sz w:val="24"/>
          <w:szCs w:val="24"/>
          <w:lang w:val="en-US" w:eastAsia="zh-CN"/>
        </w:rPr>
        <w:t>5</w:t>
      </w:r>
      <w:r>
        <w:rPr>
          <w:rFonts w:hint="eastAsia" w:ascii="仿宋" w:hAnsi="仿宋" w:eastAsia="仿宋" w:cs="宋体"/>
          <w:b/>
          <w:bCs/>
          <w:color w:val="000000" w:themeColor="text1"/>
          <w:kern w:val="0"/>
          <w:sz w:val="24"/>
          <w:szCs w:val="24"/>
          <w:lang w:val="zh-CN"/>
        </w:rPr>
        <w:t>）投标保证金收据</w:t>
      </w: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bookmarkStart w:id="195" w:name="_Toc17226"/>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ascii="宋体" w:hAnsi="宋体"/>
          <w:b/>
          <w:sz w:val="28"/>
          <w:szCs w:val="28"/>
        </w:rPr>
      </w:pPr>
      <w:r>
        <w:rPr>
          <w:rFonts w:hint="eastAsia" w:ascii="宋体" w:hAnsi="宋体"/>
          <w:b/>
          <w:sz w:val="28"/>
          <w:szCs w:val="28"/>
        </w:rPr>
        <w:t>七、</w:t>
      </w:r>
      <w:bookmarkEnd w:id="191"/>
      <w:r>
        <w:rPr>
          <w:rFonts w:hint="eastAsia" w:ascii="宋体" w:hAnsi="宋体"/>
          <w:b/>
          <w:sz w:val="28"/>
          <w:szCs w:val="28"/>
          <w:lang w:eastAsia="zh-CN"/>
        </w:rPr>
        <w:t>设计实施</w:t>
      </w:r>
      <w:r>
        <w:rPr>
          <w:rFonts w:hint="eastAsia" w:ascii="宋体" w:hAnsi="宋体"/>
          <w:b/>
          <w:sz w:val="28"/>
          <w:szCs w:val="28"/>
        </w:rPr>
        <w:t>方案</w:t>
      </w:r>
      <w:bookmarkEnd w:id="192"/>
      <w:bookmarkEnd w:id="193"/>
      <w:bookmarkEnd w:id="195"/>
    </w:p>
    <w:p>
      <w:pPr>
        <w:adjustRightInd w:val="0"/>
        <w:snapToGrid w:val="0"/>
        <w:spacing w:line="360" w:lineRule="auto"/>
        <w:ind w:left="-88" w:leftChars="-42" w:firstLine="210" w:firstLineChars="100"/>
        <w:rPr>
          <w:rFonts w:ascii="宋体" w:hAnsi="宋体"/>
          <w:szCs w:val="21"/>
        </w:rPr>
      </w:pPr>
    </w:p>
    <w:p>
      <w:pPr>
        <w:autoSpaceDE w:val="0"/>
        <w:autoSpaceDN w:val="0"/>
        <w:ind w:right="-20" w:firstLine="190" w:firstLineChars="78"/>
        <w:jc w:val="left"/>
        <w:outlineLvl w:val="0"/>
        <w:rPr>
          <w:rFonts w:hint="default" w:ascii="宋体" w:hAnsi="宋体"/>
          <w:color w:val="000000"/>
          <w:kern w:val="0"/>
          <w:sz w:val="24"/>
        </w:rPr>
      </w:pPr>
      <w:bookmarkStart w:id="196" w:name="_Toc17327"/>
      <w:r>
        <w:rPr>
          <w:rFonts w:ascii="宋体" w:hAnsi="宋体"/>
          <w:color w:val="000000"/>
          <w:spacing w:val="2"/>
          <w:kern w:val="0"/>
          <w:sz w:val="24"/>
        </w:rPr>
        <w:t>主</w:t>
      </w:r>
      <w:r>
        <w:rPr>
          <w:rFonts w:ascii="宋体" w:hAnsi="宋体"/>
          <w:color w:val="000000"/>
          <w:kern w:val="0"/>
          <w:sz w:val="24"/>
        </w:rPr>
        <w:t>要内容包括：</w:t>
      </w:r>
      <w:bookmarkEnd w:id="196"/>
    </w:p>
    <w:p>
      <w:pPr>
        <w:autoSpaceDE w:val="0"/>
        <w:autoSpaceDN w:val="0"/>
        <w:spacing w:before="69"/>
        <w:ind w:right="-20" w:firstLine="187" w:firstLineChars="78"/>
        <w:jc w:val="left"/>
        <w:rPr>
          <w:rFonts w:hint="default" w:ascii="宋体" w:hAnsi="宋体"/>
          <w:color w:val="000000"/>
          <w:kern w:val="0"/>
          <w:sz w:val="24"/>
        </w:rPr>
      </w:pPr>
      <w:r>
        <w:rPr>
          <w:rFonts w:hint="default" w:ascii="宋体" w:hAnsi="宋体"/>
          <w:color w:val="000000"/>
          <w:kern w:val="0"/>
          <w:sz w:val="24"/>
        </w:rPr>
        <w:t>1.</w:t>
      </w:r>
      <w:r>
        <w:rPr>
          <w:rFonts w:ascii="宋体" w:hAnsi="宋体"/>
          <w:color w:val="000000"/>
          <w:kern w:val="0"/>
          <w:sz w:val="24"/>
        </w:rPr>
        <w:t>对招标项目的理解</w:t>
      </w:r>
    </w:p>
    <w:p>
      <w:pPr>
        <w:autoSpaceDE w:val="0"/>
        <w:autoSpaceDN w:val="0"/>
        <w:spacing w:before="67" w:line="283" w:lineRule="auto"/>
        <w:ind w:right="-20" w:firstLine="187" w:firstLineChars="78"/>
        <w:jc w:val="left"/>
        <w:rPr>
          <w:rFonts w:hint="default" w:ascii="宋体" w:hAnsi="宋体"/>
          <w:color w:val="000000"/>
          <w:kern w:val="0"/>
          <w:sz w:val="24"/>
        </w:rPr>
      </w:pPr>
      <w:r>
        <w:rPr>
          <w:rFonts w:hint="default" w:ascii="宋体" w:hAnsi="宋体"/>
          <w:color w:val="000000"/>
          <w:kern w:val="0"/>
          <w:sz w:val="24"/>
        </w:rPr>
        <w:t>2.</w:t>
      </w:r>
      <w:r>
        <w:rPr>
          <w:rFonts w:ascii="宋体" w:hAnsi="宋体"/>
          <w:color w:val="000000"/>
          <w:kern w:val="0"/>
          <w:sz w:val="24"/>
        </w:rPr>
        <w:t>对招标项目设计的特点</w:t>
      </w:r>
      <w:r>
        <w:rPr>
          <w:rFonts w:ascii="宋体" w:hAnsi="宋体"/>
          <w:color w:val="000000"/>
          <w:spacing w:val="-10"/>
          <w:kern w:val="0"/>
          <w:sz w:val="24"/>
        </w:rPr>
        <w:t>、</w:t>
      </w:r>
      <w:r>
        <w:rPr>
          <w:rFonts w:ascii="宋体" w:hAnsi="宋体"/>
          <w:color w:val="000000"/>
          <w:kern w:val="0"/>
          <w:sz w:val="24"/>
        </w:rPr>
        <w:t>关键性技术问</w:t>
      </w:r>
      <w:r>
        <w:rPr>
          <w:rFonts w:ascii="宋体" w:hAnsi="宋体"/>
          <w:color w:val="000000"/>
          <w:spacing w:val="1"/>
          <w:kern w:val="0"/>
          <w:sz w:val="24"/>
        </w:rPr>
        <w:t>题</w:t>
      </w:r>
      <w:r>
        <w:rPr>
          <w:rFonts w:ascii="宋体" w:hAnsi="宋体"/>
          <w:color w:val="000000"/>
          <w:kern w:val="0"/>
          <w:sz w:val="24"/>
        </w:rPr>
        <w:t>的认识及其对策措</w:t>
      </w:r>
      <w:r>
        <w:rPr>
          <w:rFonts w:ascii="宋体" w:hAnsi="宋体"/>
          <w:color w:val="000000"/>
          <w:spacing w:val="-10"/>
          <w:kern w:val="0"/>
          <w:sz w:val="24"/>
        </w:rPr>
        <w:t>施</w:t>
      </w:r>
      <w:r>
        <w:rPr>
          <w:rFonts w:ascii="宋体" w:hAnsi="宋体"/>
          <w:color w:val="000000"/>
          <w:kern w:val="0"/>
          <w:sz w:val="24"/>
        </w:rPr>
        <w:t>（附必要的图 纸，如需要）</w:t>
      </w:r>
    </w:p>
    <w:p>
      <w:pPr>
        <w:autoSpaceDE w:val="0"/>
        <w:autoSpaceDN w:val="0"/>
        <w:spacing w:before="44"/>
        <w:ind w:right="-20" w:firstLine="187" w:firstLineChars="78"/>
        <w:jc w:val="left"/>
        <w:rPr>
          <w:rFonts w:hint="default" w:ascii="宋体" w:hAnsi="宋体"/>
          <w:color w:val="000000"/>
          <w:kern w:val="0"/>
          <w:sz w:val="24"/>
        </w:rPr>
      </w:pPr>
      <w:r>
        <w:rPr>
          <w:rFonts w:hint="default" w:ascii="宋体" w:hAnsi="宋体"/>
          <w:color w:val="000000"/>
          <w:kern w:val="0"/>
          <w:sz w:val="24"/>
        </w:rPr>
        <w:t>3.</w:t>
      </w:r>
      <w:r>
        <w:rPr>
          <w:rFonts w:ascii="宋体" w:hAnsi="宋体"/>
          <w:color w:val="000000"/>
          <w:kern w:val="0"/>
          <w:sz w:val="24"/>
        </w:rPr>
        <w:t>设计工作量及计划安排</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4.</w:t>
      </w:r>
      <w:r>
        <w:rPr>
          <w:rFonts w:ascii="宋体" w:hAnsi="宋体"/>
          <w:color w:val="000000"/>
          <w:kern w:val="0"/>
          <w:sz w:val="24"/>
        </w:rPr>
        <w:t>招标项目设计的质量保证措施、进度保证措施</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5.</w:t>
      </w:r>
      <w:r>
        <w:rPr>
          <w:rFonts w:ascii="宋体" w:hAnsi="宋体"/>
          <w:color w:val="000000"/>
          <w:kern w:val="0"/>
          <w:sz w:val="24"/>
        </w:rPr>
        <w:t>后续服务的安排及保证措施</w:t>
      </w:r>
    </w:p>
    <w:p>
      <w:pPr>
        <w:topLinePunct/>
        <w:spacing w:line="440" w:lineRule="exact"/>
        <w:rPr>
          <w:rFonts w:hint="eastAsia" w:ascii="宋体" w:hAnsi="宋体"/>
          <w:sz w:val="24"/>
        </w:rPr>
      </w:pPr>
      <w:r>
        <w:rPr>
          <w:rFonts w:ascii="宋体" w:hAnsi="宋体"/>
          <w:sz w:val="24"/>
        </w:rPr>
        <w:br w:type="page"/>
      </w:r>
      <w:bookmarkStart w:id="197" w:name="_Toc420948030"/>
      <w:bookmarkStart w:id="198" w:name="_Toc467688157"/>
    </w:p>
    <w:p>
      <w:pPr>
        <w:adjustRightInd w:val="0"/>
        <w:snapToGrid w:val="0"/>
        <w:spacing w:line="360" w:lineRule="auto"/>
        <w:jc w:val="center"/>
        <w:outlineLvl w:val="1"/>
        <w:rPr>
          <w:rFonts w:hint="eastAsia" w:ascii="宋体" w:hAnsi="宋体"/>
          <w:b/>
          <w:sz w:val="28"/>
          <w:szCs w:val="28"/>
        </w:rPr>
      </w:pPr>
      <w:bookmarkStart w:id="199" w:name="_Toc13939"/>
      <w:bookmarkStart w:id="200" w:name="_Toc477277626"/>
      <w:r>
        <w:rPr>
          <w:rFonts w:hint="eastAsia" w:ascii="宋体" w:hAnsi="宋体"/>
          <w:b/>
          <w:sz w:val="28"/>
          <w:szCs w:val="28"/>
        </w:rPr>
        <w:t>八、</w:t>
      </w:r>
      <w:bookmarkEnd w:id="197"/>
      <w:bookmarkStart w:id="201" w:name="_Toc420948032"/>
      <w:r>
        <w:rPr>
          <w:rFonts w:hint="eastAsia" w:ascii="宋体" w:hAnsi="宋体"/>
          <w:b/>
          <w:sz w:val="28"/>
          <w:szCs w:val="28"/>
        </w:rPr>
        <w:t>供应商认为需要提供的其它资料</w:t>
      </w:r>
      <w:bookmarkEnd w:id="198"/>
      <w:bookmarkEnd w:id="199"/>
      <w:bookmarkEnd w:id="200"/>
      <w:bookmarkEnd w:id="201"/>
    </w:p>
    <w:p>
      <w:pPr>
        <w:rPr>
          <w:rFonts w:ascii="宋体" w:hAnsi="宋体"/>
        </w:rPr>
      </w:pPr>
    </w:p>
    <w:p>
      <w:pPr>
        <w:spacing w:line="400" w:lineRule="exact"/>
        <w:jc w:val="center"/>
        <w:rPr>
          <w:rFonts w:ascii="宋体" w:hAnsi="宋体" w:cs="宋体"/>
          <w:sz w:val="28"/>
          <w:szCs w:val="20"/>
        </w:rPr>
      </w:pPr>
    </w:p>
    <w:p>
      <w:pPr>
        <w:spacing w:line="400" w:lineRule="exact"/>
        <w:jc w:val="center"/>
      </w:pPr>
    </w:p>
    <w:p>
      <w:pPr>
        <w:adjustRightInd w:val="0"/>
        <w:snapToGrid w:val="0"/>
        <w:spacing w:line="360" w:lineRule="auto"/>
        <w:jc w:val="center"/>
        <w:outlineLvl w:val="1"/>
      </w:pPr>
    </w:p>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rPr>
          <w:rFonts w:hint="eastAsia" w:ascii="仿宋" w:hAnsi="仿宋" w:eastAsia="仿宋" w:cs="仿宋"/>
          <w:szCs w:val="22"/>
        </w:rPr>
      </w:pPr>
    </w:p>
    <w:p>
      <w:pPr>
        <w:pStyle w:val="29"/>
        <w:rPr>
          <w:rFonts w:hint="eastAsia"/>
        </w:rPr>
      </w:pPr>
    </w:p>
    <w:bookmarkEnd w:id="176"/>
    <w:bookmarkEnd w:id="177"/>
    <w:bookmarkEnd w:id="178"/>
    <w:p>
      <w:pPr>
        <w:spacing w:line="400" w:lineRule="exact"/>
        <w:rPr>
          <w:rFonts w:ascii="仿宋" w:hAnsi="仿宋" w:eastAsia="仿宋" w:cs="仿宋"/>
          <w:szCs w:val="21"/>
        </w:rPr>
      </w:pPr>
    </w:p>
    <w:p>
      <w:pPr>
        <w:rPr>
          <w:rFonts w:ascii="仿宋" w:hAnsi="仿宋" w:eastAsia="仿宋" w:cs="仿宋"/>
        </w:rPr>
      </w:pPr>
      <w:bookmarkStart w:id="202" w:name="_Toc512251740"/>
      <w:bookmarkStart w:id="203" w:name="_Toc217446092"/>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3"/>
        <w:numPr>
          <w:ilvl w:val="0"/>
          <w:numId w:val="6"/>
        </w:numPr>
        <w:ind w:left="0" w:leftChars="0" w:firstLine="0" w:firstLineChars="0"/>
        <w:rPr>
          <w:rFonts w:ascii="仿宋" w:hAnsi="仿宋" w:eastAsia="仿宋" w:cs="仿宋"/>
        </w:rPr>
      </w:pPr>
      <w:r>
        <w:rPr>
          <w:rFonts w:hint="eastAsia" w:ascii="仿宋" w:hAnsi="仿宋" w:eastAsia="仿宋" w:cs="仿宋"/>
          <w:color w:val="FF0000"/>
        </w:rPr>
        <w:t>采购技术规格</w:t>
      </w:r>
      <w:r>
        <w:rPr>
          <w:rFonts w:hint="eastAsia" w:ascii="仿宋" w:hAnsi="仿宋" w:eastAsia="仿宋" w:cs="仿宋"/>
          <w:color w:val="FF0000"/>
          <w:lang w:eastAsia="zh-CN"/>
        </w:rPr>
        <w:t>要求</w:t>
      </w:r>
    </w:p>
    <w:bookmarkEnd w:id="202"/>
    <w:bookmarkEnd w:id="203"/>
    <w:tbl>
      <w:tblPr>
        <w:tblStyle w:val="40"/>
        <w:tblW w:w="9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3546"/>
        <w:gridCol w:w="3109"/>
        <w:gridCol w:w="1132"/>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35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31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11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计量单位</w:t>
            </w:r>
          </w:p>
        </w:tc>
        <w:tc>
          <w:tcPr>
            <w:tcW w:w="109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第一部分：机电设备及安装工程</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自动化控制系统设备</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管理中心（通信机房）</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通信机房</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服务器（至强处理器，1T硬盘，16G内存）</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KAM切换器（8路输入）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核心交换机（带三层管理，千兆接口）</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接入交换机（千兆接口）</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UPS不间断电源（6KVA，2小时）</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服务器机柜（42U标准机柜，1100*2000*600）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显示大屏（55寸*3，3.8mm拼接大屏）</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固定IP地址（50M带宽）</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工作站（I5处理器，1T硬盘，4G内存，22寸显示器）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操作台（3联操作台）</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打印机（A4激光打印机）</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自动化计量设施</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干渠标准断面量水点</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雷达水位计（0-30m量程，485通讯）</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204" w:name="_Toc9586"/>
            <w:bookmarkStart w:id="205" w:name="_Toc217446096"/>
            <w:bookmarkStart w:id="206" w:name="_Toc406749998"/>
            <w:r>
              <w:rPr>
                <w:rFonts w:hint="eastAsia" w:ascii="宋体" w:hAnsi="宋体" w:eastAsia="宋体" w:cs="宋体"/>
                <w:i w:val="0"/>
                <w:iCs w:val="0"/>
                <w:color w:val="000000"/>
                <w:kern w:val="0"/>
                <w:sz w:val="21"/>
                <w:szCs w:val="21"/>
                <w:u w:val="none"/>
                <w:lang w:val="en-US" w:eastAsia="zh-CN" w:bidi="ar"/>
              </w:rPr>
              <w:t>23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水情图像采集摄像机（串口摄像机，485接口）</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RTU（GPRS模块）（12V供电，自带GPRS通讯功能，具有模拟量采集功能及图像采集功能，485接口通讯）</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设备箱（内含空开，集线槽，接线端子，配线等）</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立杆（5米，φ219）</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信号线（RVVP8*0.5）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电源线(RVV2*0.75)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信号防雷器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直流电源防雷器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太阳能电池板(12V 40W)</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铅酸蓄电池(12V 38AH)</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太阳能充电控制器12V 10A</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GPRS通信卡（5年）</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水位流量关系率定</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水情监测站围栏</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测桥钢架结构</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闸门控制系统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渠首</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闸门控制单元（1控1）（能够远程控制启闭机开启关闭）</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启闭机配套设备</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上限位计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下限位计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闸位计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荷重传感器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电源线（RVV3*4.0）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电源线（RVV8*0.5）</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信号线（RVVP16*0.12）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电源防雷器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辅材（闸门控制系统）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软件系统建设</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服务器操作系统（Windows Server 2012）</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数据库（SQL SERVER 2008）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灌区信息采集处理系统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灌区量测水管理系统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灌区水情监测拍照系统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移动智能终端应用系统</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系统综合展示平台</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通讯设备</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对讲机</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外部观测设备</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水准仪</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63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经纬仪</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水准基点、标准点</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4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安全文明施工费用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安全文明施工费用</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4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项目名称</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金额（元）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消防设备预留金</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预留金</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81361.75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bl>
    <w:p>
      <w:pPr>
        <w:pStyle w:val="2"/>
        <w:rPr>
          <w:rFonts w:hint="eastAsia" w:ascii="仿宋" w:hAnsi="仿宋" w:eastAsia="宋体" w:cs="仿宋"/>
          <w:lang w:eastAsia="zh-CN"/>
        </w:rPr>
      </w:pPr>
      <w:r>
        <w:rPr>
          <w:rFonts w:hint="eastAsia" w:ascii="仿宋" w:hAnsi="仿宋" w:eastAsia="仿宋" w:cs="仿宋"/>
          <w:b/>
          <w:bCs/>
        </w:rPr>
        <w:t>备注</w:t>
      </w:r>
      <w:r>
        <w:rPr>
          <w:rFonts w:hint="eastAsia" w:ascii="仿宋" w:hAnsi="仿宋" w:eastAsia="仿宋" w:cs="仿宋"/>
          <w:b/>
          <w:bCs/>
          <w:lang w:eastAsia="zh-CN"/>
        </w:rPr>
        <w:t>：</w:t>
      </w:r>
      <w:r>
        <w:rPr>
          <w:rFonts w:hint="eastAsia" w:ascii="Times New Roman" w:hAnsi="Times New Roman" w:cs="Times New Roman"/>
          <w:b/>
          <w:bCs/>
          <w:color w:val="000000"/>
          <w:spacing w:val="0"/>
          <w:w w:val="100"/>
          <w:position w:val="0"/>
          <w:sz w:val="22"/>
          <w:szCs w:val="22"/>
          <w:lang w:val="en-US" w:eastAsia="zh-CN" w:bidi="en-US"/>
        </w:rPr>
        <w:t>技术参数中加“</w:t>
      </w:r>
      <w:r>
        <w:rPr>
          <w:rFonts w:hint="eastAsia"/>
          <w:b/>
          <w:bCs/>
          <w:color w:val="000000"/>
          <w:spacing w:val="0"/>
          <w:w w:val="100"/>
          <w:position w:val="0"/>
          <w:highlight w:val="none"/>
        </w:rPr>
        <w:t>★</w:t>
      </w:r>
      <w:r>
        <w:rPr>
          <w:rFonts w:hint="eastAsia" w:ascii="Times New Roman" w:hAnsi="Times New Roman" w:cs="Times New Roman"/>
          <w:b/>
          <w:bCs/>
          <w:color w:val="000000"/>
          <w:spacing w:val="0"/>
          <w:w w:val="100"/>
          <w:position w:val="0"/>
          <w:sz w:val="22"/>
          <w:szCs w:val="22"/>
          <w:highlight w:val="none"/>
          <w:lang w:val="en-US" w:eastAsia="zh-CN" w:bidi="en-US"/>
        </w:rPr>
        <w:t>”产</w:t>
      </w:r>
      <w:r>
        <w:rPr>
          <w:rFonts w:hint="eastAsia" w:ascii="Times New Roman" w:hAnsi="Times New Roman" w:cs="Times New Roman"/>
          <w:b/>
          <w:bCs/>
          <w:color w:val="000000"/>
          <w:spacing w:val="0"/>
          <w:w w:val="100"/>
          <w:position w:val="0"/>
          <w:sz w:val="22"/>
          <w:szCs w:val="22"/>
          <w:lang w:val="en-US" w:eastAsia="zh-CN" w:bidi="en-US"/>
        </w:rPr>
        <w:t>品，投标人若为经销商的需提供</w:t>
      </w:r>
      <w:r>
        <w:rPr>
          <w:b/>
          <w:bCs/>
          <w:color w:val="000000"/>
          <w:spacing w:val="0"/>
          <w:w w:val="100"/>
          <w:position w:val="0"/>
        </w:rPr>
        <w:t>制造厂家的授权书；涉及机电设备（产品）的强制性</w:t>
      </w:r>
      <w:r>
        <w:rPr>
          <w:rFonts w:ascii="Times New Roman" w:hAnsi="Times New Roman" w:eastAsia="Times New Roman" w:cs="Times New Roman"/>
          <w:b/>
          <w:bCs/>
          <w:color w:val="000000"/>
          <w:spacing w:val="0"/>
          <w:w w:val="100"/>
          <w:position w:val="0"/>
          <w:sz w:val="22"/>
          <w:szCs w:val="22"/>
          <w:lang w:val="en-US" w:eastAsia="en-US" w:bidi="en-US"/>
        </w:rPr>
        <w:t>3C</w:t>
      </w:r>
      <w:r>
        <w:rPr>
          <w:b/>
          <w:bCs/>
          <w:color w:val="000000"/>
          <w:spacing w:val="0"/>
          <w:w w:val="100"/>
          <w:position w:val="0"/>
        </w:rPr>
        <w:t xml:space="preserve">认证标志；供货产品的 鉴定书（或出厂合格证）；产品获得的国优、部优等荣誉证书（如有）。售后服务等材料的复印件、 </w:t>
      </w:r>
      <w:r>
        <w:rPr>
          <w:rFonts w:ascii="Times New Roman" w:hAnsi="Times New Roman" w:eastAsia="Times New Roman" w:cs="Times New Roman"/>
          <w:b/>
          <w:bCs/>
          <w:color w:val="000000"/>
          <w:spacing w:val="0"/>
          <w:w w:val="100"/>
          <w:position w:val="0"/>
          <w:sz w:val="22"/>
          <w:szCs w:val="22"/>
          <w:lang w:val="en-US" w:eastAsia="en-US" w:bidi="en-US"/>
        </w:rPr>
        <w:t>ISO</w:t>
      </w:r>
      <w:r>
        <w:rPr>
          <w:b/>
          <w:bCs/>
          <w:color w:val="000000"/>
          <w:spacing w:val="0"/>
          <w:w w:val="100"/>
          <w:position w:val="0"/>
        </w:rPr>
        <w:t>系质量管理体系认证证书复印件或其它证明材料</w:t>
      </w:r>
      <w:r>
        <w:rPr>
          <w:rFonts w:hint="eastAsia"/>
          <w:b/>
          <w:bCs/>
          <w:color w:val="000000"/>
          <w:spacing w:val="0"/>
          <w:w w:val="100"/>
          <w:position w:val="0"/>
          <w:lang w:eastAsia="zh-CN"/>
        </w:rPr>
        <w:t>。</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bookmarkStart w:id="207" w:name="_Toc1235"/>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ascii="仿宋" w:hAnsi="仿宋" w:eastAsia="仿宋" w:cs="仿宋"/>
        </w:rPr>
      </w:pPr>
      <w:r>
        <w:rPr>
          <w:rFonts w:hint="eastAsia" w:ascii="仿宋" w:hAnsi="仿宋" w:eastAsia="仿宋" w:cs="仿宋"/>
        </w:rPr>
        <w:t>第六章 评标办法</w:t>
      </w:r>
      <w:bookmarkEnd w:id="204"/>
      <w:bookmarkEnd w:id="205"/>
      <w:bookmarkEnd w:id="206"/>
      <w:bookmarkEnd w:id="207"/>
      <w:bookmarkStart w:id="208" w:name="_Toc183682415"/>
      <w:bookmarkStart w:id="209" w:name="_Toc217446097"/>
      <w:bookmarkStart w:id="210" w:name="_Toc208849007"/>
      <w:bookmarkStart w:id="211" w:name="_Toc183582280"/>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ind w:firstLine="0"/>
        <w:rPr>
          <w:rFonts w:ascii="仿宋" w:hAnsi="仿宋" w:eastAsia="仿宋" w:cs="仿宋"/>
        </w:rPr>
      </w:pPr>
    </w:p>
    <w:p>
      <w:pPr>
        <w:pStyle w:val="2"/>
        <w:rPr>
          <w:rFonts w:ascii="仿宋" w:hAnsi="仿宋" w:eastAsia="仿宋" w:cs="仿宋"/>
        </w:rPr>
      </w:pPr>
    </w:p>
    <w:bookmarkEnd w:id="208"/>
    <w:bookmarkEnd w:id="209"/>
    <w:bookmarkEnd w:id="210"/>
    <w:bookmarkEnd w:id="211"/>
    <w:p>
      <w:pPr>
        <w:spacing w:line="400" w:lineRule="exact"/>
        <w:rPr>
          <w:rFonts w:ascii="仿宋" w:hAnsi="仿宋" w:eastAsia="仿宋" w:cs="仿宋"/>
          <w:b/>
          <w:kern w:val="0"/>
        </w:rPr>
      </w:pPr>
    </w:p>
    <w:p>
      <w:pPr>
        <w:spacing w:line="400" w:lineRule="exact"/>
        <w:rPr>
          <w:rFonts w:ascii="仿宋" w:hAnsi="仿宋" w:eastAsia="仿宋" w:cs="仿宋"/>
          <w:b/>
          <w:kern w:val="0"/>
        </w:rPr>
      </w:pPr>
    </w:p>
    <w:p>
      <w:pPr>
        <w:widowControl/>
        <w:jc w:val="left"/>
        <w:rPr>
          <w:rFonts w:ascii="仿宋" w:hAnsi="仿宋" w:eastAsia="仿宋" w:cs="仿宋"/>
          <w:b/>
          <w:kern w:val="0"/>
        </w:rPr>
      </w:pPr>
      <w:r>
        <w:rPr>
          <w:rFonts w:hint="eastAsia" w:ascii="仿宋" w:hAnsi="仿宋" w:eastAsia="仿宋" w:cs="仿宋"/>
          <w:b/>
          <w:kern w:val="0"/>
        </w:rPr>
        <w:br w:type="page"/>
      </w:r>
    </w:p>
    <w:p>
      <w:pPr>
        <w:spacing w:line="400" w:lineRule="exact"/>
        <w:rPr>
          <w:rFonts w:ascii="仿宋" w:hAnsi="仿宋" w:eastAsia="仿宋" w:cs="仿宋"/>
          <w:b/>
          <w:kern w:val="0"/>
        </w:rPr>
      </w:pPr>
      <w:r>
        <w:rPr>
          <w:rFonts w:hint="eastAsia" w:ascii="仿宋" w:hAnsi="仿宋" w:eastAsia="仿宋" w:cs="仿宋"/>
          <w:b/>
          <w:kern w:val="0"/>
        </w:rPr>
        <w:t>（一）开标</w:t>
      </w:r>
    </w:p>
    <w:p>
      <w:pPr>
        <w:spacing w:line="400" w:lineRule="exact"/>
        <w:ind w:firstLine="420" w:firstLineChars="200"/>
        <w:rPr>
          <w:rFonts w:ascii="仿宋" w:hAnsi="仿宋" w:eastAsia="仿宋" w:cs="仿宋"/>
          <w:kern w:val="0"/>
        </w:rPr>
      </w:pPr>
      <w:r>
        <w:rPr>
          <w:rFonts w:hint="eastAsia" w:ascii="仿宋" w:hAnsi="仿宋" w:eastAsia="仿宋" w:cs="仿宋"/>
        </w:rPr>
        <w:t>1.招标方将按投标方须知所规定的投标时间、地点开标。</w:t>
      </w:r>
      <w:r>
        <w:rPr>
          <w:rFonts w:hint="eastAsia" w:ascii="仿宋" w:hAnsi="仿宋" w:eastAsia="仿宋" w:cs="仿宋"/>
          <w:kern w:val="0"/>
        </w:rPr>
        <w:t>开标仪式由招标代理机构主持，有关监督人员和工作人员参加。</w:t>
      </w:r>
      <w:r>
        <w:rPr>
          <w:rFonts w:hint="eastAsia" w:ascii="仿宋" w:hAnsi="仿宋" w:eastAsia="仿宋" w:cs="仿宋"/>
        </w:rPr>
        <w:t>投标方法定代表人或者持投标方法定代表人授权委托书的授权代表</w:t>
      </w:r>
      <w:r>
        <w:rPr>
          <w:rFonts w:hint="eastAsia" w:ascii="仿宋" w:hAnsi="仿宋" w:eastAsia="仿宋" w:cs="仿宋"/>
          <w:kern w:val="0"/>
        </w:rPr>
        <w:t>必须凭证件原件、保证金收据等证明文件参加</w:t>
      </w:r>
      <w:r>
        <w:rPr>
          <w:rFonts w:hint="eastAsia" w:ascii="仿宋" w:hAnsi="仿宋" w:eastAsia="仿宋" w:cs="仿宋"/>
        </w:rPr>
        <w:t>开标并签名报到以证明其出席。</w:t>
      </w:r>
    </w:p>
    <w:p>
      <w:pPr>
        <w:spacing w:line="400" w:lineRule="exact"/>
        <w:ind w:firstLine="420" w:firstLineChars="200"/>
        <w:rPr>
          <w:rFonts w:ascii="仿宋" w:hAnsi="仿宋" w:eastAsia="仿宋" w:cs="仿宋"/>
          <w:kern w:val="0"/>
        </w:rPr>
      </w:pPr>
      <w:r>
        <w:rPr>
          <w:rFonts w:hint="eastAsia" w:ascii="仿宋" w:hAnsi="仿宋" w:eastAsia="仿宋" w:cs="仿宋"/>
        </w:rPr>
        <w:t>2.首先打开申请“撤回”投标材料的投标方的撤回通知书，而该投标方的投标文件将不予开封。随后，按投标文件递交的逆顺序，逐一拆封唱标，唱“开标一览表”内容以及招标方认为合适的其他内容。</w:t>
      </w:r>
    </w:p>
    <w:p>
      <w:pPr>
        <w:spacing w:line="400" w:lineRule="exact"/>
        <w:ind w:firstLine="315" w:firstLineChars="150"/>
        <w:rPr>
          <w:rFonts w:ascii="仿宋" w:hAnsi="仿宋" w:eastAsia="仿宋" w:cs="仿宋"/>
          <w:kern w:val="0"/>
        </w:rPr>
      </w:pPr>
      <w:r>
        <w:rPr>
          <w:rFonts w:hint="eastAsia" w:ascii="仿宋" w:hAnsi="仿宋" w:eastAsia="仿宋" w:cs="仿宋"/>
          <w:kern w:val="0"/>
        </w:rPr>
        <w:t>3.凡有下列情况之一者，投标文件将视为无效：</w:t>
      </w:r>
    </w:p>
    <w:p>
      <w:pPr>
        <w:spacing w:line="400" w:lineRule="exact"/>
        <w:ind w:firstLine="371" w:firstLineChars="177"/>
        <w:rPr>
          <w:rFonts w:ascii="仿宋" w:hAnsi="仿宋" w:eastAsia="仿宋" w:cs="仿宋"/>
        </w:rPr>
      </w:pPr>
      <w:r>
        <w:rPr>
          <w:rFonts w:hint="eastAsia" w:ascii="仿宋" w:hAnsi="仿宋" w:eastAsia="仿宋" w:cs="仿宋"/>
        </w:rPr>
        <w:t>(1)投标文件未按竞争性谈判文件要求规定密封和标记，未按规定胶装的；</w:t>
      </w:r>
    </w:p>
    <w:p>
      <w:pPr>
        <w:spacing w:line="400" w:lineRule="exact"/>
        <w:ind w:firstLine="371" w:firstLineChars="177"/>
        <w:rPr>
          <w:rFonts w:ascii="仿宋" w:hAnsi="仿宋" w:eastAsia="仿宋" w:cs="仿宋"/>
        </w:rPr>
      </w:pPr>
      <w:r>
        <w:rPr>
          <w:rFonts w:hint="eastAsia" w:ascii="仿宋" w:hAnsi="仿宋" w:eastAsia="仿宋" w:cs="仿宋"/>
        </w:rPr>
        <w:t>(2)规定的投标时间外送达的投标文件；</w:t>
      </w:r>
    </w:p>
    <w:p>
      <w:pPr>
        <w:spacing w:line="400" w:lineRule="exact"/>
        <w:ind w:firstLine="371" w:firstLineChars="177"/>
        <w:rPr>
          <w:rFonts w:ascii="仿宋" w:hAnsi="仿宋" w:eastAsia="仿宋" w:cs="仿宋"/>
        </w:rPr>
      </w:pPr>
      <w:r>
        <w:rPr>
          <w:rFonts w:hint="eastAsia" w:ascii="仿宋" w:hAnsi="仿宋" w:eastAsia="仿宋" w:cs="仿宋"/>
        </w:rPr>
        <w:t>(3)未经法定代表人或其授权代表人签字和未加盖投标单位法人单位公章的；</w:t>
      </w:r>
    </w:p>
    <w:p>
      <w:pPr>
        <w:spacing w:line="400" w:lineRule="exact"/>
        <w:ind w:firstLine="371" w:firstLineChars="177"/>
        <w:rPr>
          <w:rFonts w:ascii="仿宋" w:hAnsi="仿宋" w:eastAsia="仿宋" w:cs="仿宋"/>
        </w:rPr>
      </w:pPr>
      <w:r>
        <w:rPr>
          <w:rFonts w:hint="eastAsia" w:ascii="仿宋" w:hAnsi="仿宋" w:eastAsia="仿宋" w:cs="仿宋"/>
        </w:rPr>
        <w:t>(4)投标方法定代表人或者其授权代表人不能亲自到达开标地点；</w:t>
      </w:r>
    </w:p>
    <w:p>
      <w:pPr>
        <w:spacing w:line="400" w:lineRule="exact"/>
        <w:ind w:firstLine="371" w:firstLineChars="177"/>
        <w:rPr>
          <w:rFonts w:ascii="仿宋" w:hAnsi="仿宋" w:eastAsia="仿宋" w:cs="仿宋"/>
        </w:rPr>
      </w:pPr>
      <w:r>
        <w:rPr>
          <w:rFonts w:hint="eastAsia" w:ascii="仿宋" w:hAnsi="仿宋" w:eastAsia="仿宋" w:cs="仿宋"/>
        </w:rPr>
        <w:t>(5)投标文件经符合性鉴定认为实质不响应竞争性谈判文件要求的；</w:t>
      </w:r>
    </w:p>
    <w:p>
      <w:pPr>
        <w:spacing w:line="400" w:lineRule="exact"/>
        <w:ind w:firstLine="371" w:firstLineChars="177"/>
        <w:rPr>
          <w:rFonts w:ascii="仿宋" w:hAnsi="仿宋" w:eastAsia="仿宋" w:cs="仿宋"/>
        </w:rPr>
      </w:pPr>
      <w:r>
        <w:rPr>
          <w:rFonts w:hint="eastAsia" w:ascii="仿宋" w:hAnsi="仿宋" w:eastAsia="仿宋" w:cs="仿宋"/>
        </w:rPr>
        <w:t>(6)弄虚作假、隐瞒真实情况的。</w:t>
      </w:r>
    </w:p>
    <w:p>
      <w:pPr>
        <w:spacing w:line="400" w:lineRule="exact"/>
        <w:ind w:firstLine="371" w:firstLineChars="177"/>
        <w:rPr>
          <w:rFonts w:ascii="仿宋" w:hAnsi="仿宋" w:eastAsia="仿宋" w:cs="仿宋"/>
        </w:rPr>
      </w:pPr>
      <w:r>
        <w:rPr>
          <w:rFonts w:hint="eastAsia" w:ascii="仿宋" w:hAnsi="仿宋" w:eastAsia="仿宋" w:cs="仿宋"/>
        </w:rPr>
        <w:t>(7)未按规定格式填写，内容不全或字迹模糊辨认不清。</w:t>
      </w:r>
    </w:p>
    <w:p>
      <w:pPr>
        <w:spacing w:line="400" w:lineRule="exact"/>
        <w:ind w:firstLine="315" w:firstLineChars="150"/>
        <w:rPr>
          <w:rFonts w:ascii="仿宋" w:hAnsi="仿宋" w:eastAsia="仿宋" w:cs="仿宋"/>
          <w:kern w:val="0"/>
        </w:rPr>
      </w:pPr>
      <w:r>
        <w:rPr>
          <w:rFonts w:hint="eastAsia" w:ascii="仿宋" w:hAnsi="仿宋" w:eastAsia="仿宋" w:cs="仿宋"/>
          <w:kern w:val="0"/>
        </w:rPr>
        <w:t>4.招标代理机构将做开标</w:t>
      </w:r>
      <w:r>
        <w:rPr>
          <w:rFonts w:hint="eastAsia" w:ascii="仿宋" w:hAnsi="仿宋" w:eastAsia="仿宋" w:cs="仿宋"/>
        </w:rPr>
        <w:t>记录</w:t>
      </w:r>
      <w:r>
        <w:rPr>
          <w:rFonts w:hint="eastAsia" w:ascii="仿宋" w:hAnsi="仿宋" w:eastAsia="仿宋" w:cs="仿宋"/>
          <w:kern w:val="0"/>
        </w:rPr>
        <w:t>（包括投标方名称、投标文件的密封性和完整性是否符合规定、投标报价等）。</w:t>
      </w:r>
    </w:p>
    <w:p>
      <w:pPr>
        <w:spacing w:line="400" w:lineRule="exact"/>
        <w:rPr>
          <w:rFonts w:ascii="仿宋" w:hAnsi="仿宋" w:eastAsia="仿宋" w:cs="仿宋"/>
          <w:b/>
          <w:kern w:val="0"/>
        </w:rPr>
      </w:pPr>
      <w:r>
        <w:rPr>
          <w:rFonts w:hint="eastAsia" w:ascii="仿宋" w:hAnsi="仿宋" w:eastAsia="仿宋" w:cs="仿宋"/>
          <w:b/>
          <w:kern w:val="0"/>
        </w:rPr>
        <w:t>(二)废标条款</w:t>
      </w:r>
    </w:p>
    <w:p>
      <w:pPr>
        <w:spacing w:line="400" w:lineRule="exact"/>
        <w:ind w:firstLine="371" w:firstLineChars="177"/>
        <w:rPr>
          <w:rFonts w:ascii="仿宋" w:hAnsi="仿宋" w:eastAsia="仿宋" w:cs="仿宋"/>
          <w:kern w:val="0"/>
        </w:rPr>
      </w:pPr>
      <w:r>
        <w:rPr>
          <w:rFonts w:hint="eastAsia" w:ascii="仿宋" w:hAnsi="仿宋" w:eastAsia="仿宋" w:cs="仿宋"/>
          <w:kern w:val="0"/>
        </w:rPr>
        <w:t>1.符合专业条件的供应商或者对竞争性谈判文件作实质响应的供应商不足三家的。</w:t>
      </w:r>
    </w:p>
    <w:p>
      <w:pPr>
        <w:spacing w:line="400" w:lineRule="exact"/>
        <w:ind w:firstLine="371" w:firstLineChars="177"/>
        <w:rPr>
          <w:rFonts w:ascii="仿宋" w:hAnsi="仿宋" w:eastAsia="仿宋" w:cs="仿宋"/>
          <w:kern w:val="0"/>
        </w:rPr>
      </w:pPr>
      <w:r>
        <w:rPr>
          <w:rFonts w:hint="eastAsia" w:ascii="仿宋" w:hAnsi="仿宋" w:eastAsia="仿宋" w:cs="仿宋"/>
          <w:kern w:val="0"/>
        </w:rPr>
        <w:t>2.出现影响采购公正的违法、违规行为的。</w:t>
      </w:r>
    </w:p>
    <w:p>
      <w:pPr>
        <w:spacing w:line="400" w:lineRule="exact"/>
        <w:ind w:firstLine="371" w:firstLineChars="177"/>
        <w:rPr>
          <w:rFonts w:ascii="仿宋" w:hAnsi="仿宋" w:eastAsia="仿宋" w:cs="仿宋"/>
          <w:kern w:val="0"/>
        </w:rPr>
      </w:pPr>
      <w:r>
        <w:rPr>
          <w:rFonts w:hint="eastAsia" w:ascii="仿宋" w:hAnsi="仿宋" w:eastAsia="仿宋" w:cs="仿宋"/>
          <w:kern w:val="0"/>
        </w:rPr>
        <w:t>3.投标人的报价均超过了采购预算,采购人不能支付的。</w:t>
      </w:r>
    </w:p>
    <w:p>
      <w:pPr>
        <w:spacing w:line="400" w:lineRule="exact"/>
        <w:ind w:firstLine="371" w:firstLineChars="177"/>
        <w:rPr>
          <w:rFonts w:ascii="仿宋" w:hAnsi="仿宋" w:eastAsia="仿宋" w:cs="仿宋"/>
          <w:kern w:val="0"/>
        </w:rPr>
      </w:pPr>
      <w:r>
        <w:rPr>
          <w:rFonts w:hint="eastAsia" w:ascii="仿宋" w:hAnsi="仿宋" w:eastAsia="仿宋" w:cs="仿宋"/>
          <w:kern w:val="0"/>
        </w:rPr>
        <w:t>4.因重大变故,采购任务取消的。</w:t>
      </w:r>
    </w:p>
    <w:p>
      <w:pPr>
        <w:spacing w:line="400" w:lineRule="exact"/>
        <w:ind w:firstLine="371" w:firstLineChars="177"/>
        <w:rPr>
          <w:rFonts w:ascii="仿宋" w:hAnsi="仿宋" w:eastAsia="仿宋" w:cs="仿宋"/>
          <w:kern w:val="0"/>
        </w:rPr>
      </w:pPr>
      <w:r>
        <w:rPr>
          <w:rFonts w:hint="eastAsia" w:ascii="仿宋" w:hAnsi="仿宋" w:eastAsia="仿宋" w:cs="仿宋"/>
          <w:kern w:val="0"/>
        </w:rPr>
        <w:t>5.废标后,采购人应当将废标理由通知所投标人</w:t>
      </w:r>
    </w:p>
    <w:p>
      <w:pPr>
        <w:spacing w:line="400" w:lineRule="exact"/>
        <w:rPr>
          <w:rFonts w:ascii="仿宋" w:hAnsi="仿宋" w:eastAsia="仿宋" w:cs="仿宋"/>
          <w:b/>
        </w:rPr>
      </w:pPr>
      <w:r>
        <w:rPr>
          <w:rFonts w:hint="eastAsia" w:ascii="仿宋" w:hAnsi="仿宋" w:eastAsia="仿宋" w:cs="仿宋"/>
          <w:b/>
        </w:rPr>
        <w:t>(三)评标</w:t>
      </w:r>
    </w:p>
    <w:p>
      <w:pPr>
        <w:spacing w:line="400" w:lineRule="exact"/>
        <w:ind w:firstLine="420" w:firstLineChars="200"/>
        <w:rPr>
          <w:rFonts w:ascii="仿宋" w:hAnsi="仿宋" w:eastAsia="仿宋" w:cs="仿宋"/>
        </w:rPr>
      </w:pPr>
      <w:r>
        <w:rPr>
          <w:rFonts w:hint="eastAsia" w:ascii="仿宋" w:hAnsi="仿宋" w:eastAsia="仿宋" w:cs="仿宋"/>
        </w:rPr>
        <w:t>1.在投标文件的审查、澄清、评价和比较以及授予合同的过程中，投标单位对招标单位施加影响的任何行为，都将导致取消其投标资格。</w:t>
      </w:r>
    </w:p>
    <w:p>
      <w:pPr>
        <w:spacing w:line="400" w:lineRule="exact"/>
        <w:ind w:firstLine="420" w:firstLineChars="200"/>
        <w:rPr>
          <w:rFonts w:ascii="仿宋" w:hAnsi="仿宋" w:eastAsia="仿宋" w:cs="仿宋"/>
        </w:rPr>
      </w:pPr>
      <w:r>
        <w:rPr>
          <w:rFonts w:hint="eastAsia" w:ascii="仿宋" w:hAnsi="仿宋" w:eastAsia="仿宋" w:cs="仿宋"/>
        </w:rPr>
        <w:t>2.为有助于投标的审查、评价和比较，投标人授权代表可应招标人的提问对其提供货物的生产制造情况、产品技术性能、配置、特殊优点和售后服务等进行简要说明和澄清。有关澄清的要求和答复原则上应采用书面形式，但投标价格（校核时发现的算术错误除外）和其它实质性的内容不得更改。</w:t>
      </w:r>
    </w:p>
    <w:p>
      <w:pPr>
        <w:spacing w:line="400" w:lineRule="exact"/>
        <w:ind w:firstLine="420" w:firstLineChars="200"/>
        <w:rPr>
          <w:rFonts w:ascii="仿宋" w:hAnsi="仿宋" w:eastAsia="仿宋" w:cs="仿宋"/>
        </w:rPr>
      </w:pPr>
      <w:r>
        <w:rPr>
          <w:rFonts w:hint="eastAsia" w:ascii="仿宋" w:hAnsi="仿宋" w:eastAsia="仿宋" w:cs="仿宋"/>
        </w:rPr>
        <w:t>3.招标人将首先审查每份投标书是否实质响应了竞争性谈判文件的要求。实质上响应的投标应该是与竞争性谈判文件的全部条款、条件和规格相符，没有重大偏离或保留。 如果投标书实质上没有响应竞争性谈判文件的要求，将予以拒绝，投标人不得通过修改或撤销不合要求的偏离或保留而使其投标成为响应性的投标。</w:t>
      </w:r>
    </w:p>
    <w:p>
      <w:pPr>
        <w:spacing w:line="400" w:lineRule="exact"/>
        <w:ind w:firstLine="420" w:firstLineChars="200"/>
        <w:rPr>
          <w:rFonts w:ascii="仿宋" w:hAnsi="仿宋" w:eastAsia="仿宋" w:cs="仿宋"/>
        </w:rPr>
      </w:pPr>
      <w:r>
        <w:rPr>
          <w:rFonts w:hint="eastAsia" w:ascii="仿宋" w:hAnsi="仿宋" w:eastAsia="仿宋" w:cs="仿宋"/>
        </w:rPr>
        <w:t>4.招标人将对确定为实质上响应的投标进行审核，看其是否有计算上或累加上的算术错误，修正错误的原则如下：</w:t>
      </w:r>
    </w:p>
    <w:p>
      <w:pPr>
        <w:spacing w:line="400" w:lineRule="exact"/>
        <w:ind w:firstLine="315" w:firstLineChars="150"/>
        <w:rPr>
          <w:rFonts w:ascii="仿宋" w:hAnsi="仿宋" w:eastAsia="仿宋" w:cs="仿宋"/>
        </w:rPr>
      </w:pPr>
      <w:r>
        <w:rPr>
          <w:rFonts w:hint="eastAsia" w:ascii="仿宋" w:hAnsi="仿宋" w:eastAsia="仿宋" w:cs="仿宋"/>
        </w:rPr>
        <w:t>（1）如果投标函和开标一览表中用数字表示的金额和用文字表示的金额不一致时，应以文字表示的金额为准;</w:t>
      </w:r>
    </w:p>
    <w:p>
      <w:pPr>
        <w:spacing w:line="400" w:lineRule="exact"/>
        <w:ind w:firstLine="420" w:firstLineChars="200"/>
        <w:rPr>
          <w:rFonts w:ascii="仿宋" w:hAnsi="仿宋" w:eastAsia="仿宋" w:cs="仿宋"/>
        </w:rPr>
      </w:pPr>
      <w:r>
        <w:rPr>
          <w:rFonts w:hint="eastAsia" w:ascii="仿宋" w:hAnsi="仿宋" w:eastAsia="仿宋" w:cs="仿宋"/>
        </w:rPr>
        <w:t>（2）当单价与数量的乘积和总价不一致时，一般以单价为基础修改总价。只有招标人认为单价有明显的小数点错误时，才能以标出的总价为准，并修改单价。</w:t>
      </w:r>
    </w:p>
    <w:p>
      <w:pPr>
        <w:spacing w:line="400" w:lineRule="exact"/>
        <w:ind w:firstLine="525" w:firstLineChars="250"/>
        <w:rPr>
          <w:rFonts w:ascii="仿宋" w:hAnsi="仿宋" w:eastAsia="仿宋" w:cs="仿宋"/>
        </w:rPr>
      </w:pPr>
      <w:r>
        <w:rPr>
          <w:rFonts w:hint="eastAsia" w:ascii="仿宋" w:hAnsi="仿宋" w:eastAsia="仿宋" w:cs="仿宋"/>
        </w:rPr>
        <w:t>5.竞争性谈判文件提供的工艺、材料、设备、参考的商标或样本目录号码等仅作为说明并没有限制性，投标人在投标中可以选用替代标准，但这些替代标准要优于或相当于技术规格中要求的标准，以满足采购单位的需要。</w:t>
      </w:r>
    </w:p>
    <w:p>
      <w:pPr>
        <w:spacing w:line="400" w:lineRule="exact"/>
        <w:ind w:firstLine="525" w:firstLineChars="250"/>
        <w:rPr>
          <w:rFonts w:ascii="仿宋" w:hAnsi="仿宋" w:eastAsia="仿宋" w:cs="仿宋"/>
        </w:rPr>
      </w:pPr>
      <w:r>
        <w:rPr>
          <w:rFonts w:hint="eastAsia" w:ascii="仿宋" w:hAnsi="仿宋" w:eastAsia="仿宋" w:cs="仿宋"/>
        </w:rPr>
        <w:t>6.判断投标文件的响应性仅基于投标文件本身而不靠外部证据。</w:t>
      </w:r>
    </w:p>
    <w:p>
      <w:pPr>
        <w:spacing w:line="400" w:lineRule="exact"/>
        <w:rPr>
          <w:rFonts w:ascii="仿宋" w:hAnsi="仿宋" w:eastAsia="仿宋" w:cs="仿宋"/>
          <w:b/>
        </w:rPr>
      </w:pPr>
      <w:r>
        <w:rPr>
          <w:rFonts w:hint="eastAsia" w:ascii="仿宋" w:hAnsi="仿宋" w:eastAsia="仿宋" w:cs="仿宋"/>
          <w:b/>
        </w:rPr>
        <w:t>(四)评标办法</w:t>
      </w:r>
    </w:p>
    <w:p>
      <w:pPr>
        <w:spacing w:line="400" w:lineRule="exact"/>
        <w:ind w:firstLine="422" w:firstLineChars="200"/>
        <w:rPr>
          <w:rFonts w:ascii="仿宋" w:hAnsi="仿宋" w:eastAsia="仿宋" w:cs="仿宋"/>
        </w:rPr>
      </w:pPr>
      <w:r>
        <w:rPr>
          <w:rFonts w:hint="eastAsia" w:ascii="仿宋" w:hAnsi="仿宋" w:eastAsia="仿宋" w:cs="仿宋"/>
          <w:b/>
          <w:bCs/>
        </w:rPr>
        <w:t>评标时将采用最低评标价法</w:t>
      </w:r>
      <w:r>
        <w:rPr>
          <w:rFonts w:hint="eastAsia" w:ascii="仿宋" w:hAnsi="仿宋" w:eastAsia="仿宋" w:cs="仿宋"/>
        </w:rPr>
        <w:t>。最低评标价法、是指以价格为主要因素确定中标候供应商的评标办法，即在全部满足竞争性谈判文件的实质性要求的前提下，依据统一的价格要素评定最低报价，以提出最低报价的投标人作为中标候选供应商的评标办法。</w:t>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1.资格性审查</w:t>
      </w:r>
    </w:p>
    <w:tbl>
      <w:tblPr>
        <w:tblStyle w:val="40"/>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70" w:type="dxa"/>
            <w:tcBorders>
              <w:top w:val="single" w:color="auto" w:sz="4" w:space="0"/>
              <w:left w:val="single" w:color="auto" w:sz="4"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690" w:type="dxa"/>
            <w:tcBorders>
              <w:top w:val="single" w:color="auto" w:sz="4" w:space="0"/>
              <w:left w:val="single" w:color="auto" w:sz="4" w:space="0"/>
              <w:bottom w:val="single" w:color="auto" w:sz="6" w:space="0"/>
              <w:right w:val="single" w:color="auto" w:sz="6" w:space="0"/>
            </w:tcBorders>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400" w:lineRule="exact"/>
              <w:ind w:right="-38" w:rightChars="-18"/>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szCs w:val="21"/>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是否具备有效的营业执照副本</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是否具备20</w:t>
            </w:r>
            <w:r>
              <w:rPr>
                <w:rFonts w:hint="eastAsia" w:ascii="仿宋" w:hAnsi="仿宋" w:eastAsia="仿宋" w:cs="仿宋"/>
                <w:b/>
                <w:bCs/>
                <w:spacing w:val="-2"/>
                <w:szCs w:val="21"/>
                <w:lang w:val="en-US" w:eastAsia="zh-CN"/>
              </w:rPr>
              <w:t>20</w:t>
            </w:r>
            <w:r>
              <w:rPr>
                <w:rFonts w:hint="eastAsia" w:ascii="仿宋" w:hAnsi="仿宋" w:eastAsia="仿宋" w:cs="仿宋"/>
                <w:b/>
                <w:bCs/>
                <w:spacing w:val="-2"/>
                <w:szCs w:val="21"/>
              </w:rPr>
              <w:t>年度财务审计报告</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是否具备依法缴纳税收和社会保障资金的良好记录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val="en-US" w:eastAsia="zh-CN"/>
              </w:rPr>
              <w:t>4</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color w:val="000000" w:themeColor="text1"/>
                <w:spacing w:val="-2"/>
                <w:szCs w:val="21"/>
                <w:lang w:eastAsia="zh-CN"/>
              </w:rPr>
            </w:pPr>
            <w:r>
              <w:rPr>
                <w:rFonts w:hint="eastAsia" w:ascii="仿宋" w:hAnsi="仿宋" w:eastAsia="仿宋" w:cs="仿宋"/>
                <w:b/>
                <w:bCs/>
                <w:color w:val="000000" w:themeColor="text1"/>
                <w:spacing w:val="-2"/>
                <w:szCs w:val="21"/>
                <w:lang w:eastAsia="zh-CN"/>
              </w:rPr>
              <w:t>“信用中国”网站（www.creditchina.gov.cn）、中国政府采购网（www.ccgp.gov.cn）、国家企业信用信息公示系统（http://www.gsxt.gov.cn）被列入失信被执行人、重大税收违法案件当事人名单、政府采购严重违法失信行为记录名单的（尚在处罚期内的）、经营异常名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5</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rPr>
            </w:pPr>
            <w:r>
              <w:rPr>
                <w:rFonts w:hint="eastAsia" w:ascii="仿宋" w:hAnsi="仿宋" w:eastAsia="仿宋" w:cs="仿宋"/>
                <w:b/>
                <w:bCs/>
                <w:spacing w:val="-2"/>
                <w:szCs w:val="21"/>
              </w:rPr>
              <w:t>拥有能够保障项目实施和服务的技术支持和</w:t>
            </w:r>
            <w:r>
              <w:rPr>
                <w:rFonts w:hint="eastAsia" w:ascii="仿宋" w:hAnsi="仿宋" w:eastAsia="仿宋" w:cs="仿宋"/>
                <w:b/>
                <w:bCs/>
                <w:spacing w:val="-2"/>
                <w:szCs w:val="21"/>
                <w:lang w:val="en-US" w:eastAsia="zh-CN"/>
              </w:rPr>
              <w:t>后续</w:t>
            </w:r>
            <w:r>
              <w:rPr>
                <w:rFonts w:hint="eastAsia" w:ascii="仿宋" w:hAnsi="仿宋" w:eastAsia="仿宋" w:cs="仿宋"/>
                <w:b/>
                <w:bCs/>
                <w:spacing w:val="-2"/>
                <w:szCs w:val="21"/>
              </w:rPr>
              <w:t>服务能力</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6</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lang w:eastAsia="zh-CN"/>
              </w:rPr>
            </w:pPr>
            <w:r>
              <w:rPr>
                <w:rFonts w:hint="eastAsia" w:ascii="仿宋" w:hAnsi="仿宋" w:eastAsia="仿宋" w:cs="仿宋"/>
                <w:b/>
                <w:bCs/>
                <w:spacing w:val="-2"/>
                <w:szCs w:val="21"/>
              </w:rPr>
              <w:t>是否</w:t>
            </w:r>
            <w:r>
              <w:rPr>
                <w:rFonts w:hint="eastAsia" w:ascii="仿宋" w:hAnsi="仿宋" w:eastAsia="仿宋" w:cs="仿宋"/>
                <w:b/>
                <w:bCs/>
                <w:spacing w:val="-2"/>
                <w:szCs w:val="21"/>
                <w:lang w:eastAsia="zh-CN"/>
              </w:rPr>
              <w:t>按招标文件要求提供有效保证金</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val="en-US" w:eastAsia="zh-CN"/>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b/>
                <w:bCs/>
                <w:spacing w:val="-2"/>
                <w:szCs w:val="21"/>
                <w:lang w:val="en-US" w:eastAsia="zh-CN"/>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FF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6" w:space="0"/>
              <w:bottom w:val="single" w:color="auto" w:sz="12" w:space="0"/>
              <w:right w:val="single" w:color="auto" w:sz="12" w:space="0"/>
            </w:tcBorders>
          </w:tcPr>
          <w:p>
            <w:pPr>
              <w:spacing w:line="400" w:lineRule="exact"/>
              <w:jc w:val="center"/>
              <w:rPr>
                <w:rFonts w:ascii="仿宋" w:hAnsi="仿宋" w:eastAsia="仿宋" w:cs="仿宋"/>
                <w:color w:val="000000"/>
                <w:szCs w:val="21"/>
              </w:rPr>
            </w:pPr>
          </w:p>
        </w:tc>
      </w:tr>
    </w:tbl>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br w:type="page"/>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2.符合性审查</w:t>
      </w:r>
    </w:p>
    <w:tbl>
      <w:tblPr>
        <w:tblStyle w:val="40"/>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244"/>
        <w:gridCol w:w="851"/>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912"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2977"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912"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51" w:type="dxa"/>
            <w:tcBorders>
              <w:top w:val="single" w:color="auto" w:sz="4" w:space="0"/>
              <w:left w:val="single" w:color="auto" w:sz="4" w:space="0"/>
              <w:bottom w:val="single" w:color="auto" w:sz="6" w:space="0"/>
              <w:right w:val="single" w:color="auto" w:sz="4"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709" w:type="dxa"/>
            <w:tcBorders>
              <w:top w:val="single" w:color="auto" w:sz="4" w:space="0"/>
              <w:left w:val="single" w:color="auto" w:sz="4" w:space="0"/>
              <w:bottom w:val="single" w:color="auto" w:sz="6" w:space="0"/>
              <w:right w:val="single" w:color="auto" w:sz="6"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400" w:lineRule="exact"/>
              <w:ind w:firstLine="34" w:firstLineChars="16"/>
              <w:jc w:val="center"/>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highlight w:val="none"/>
              </w:rPr>
              <w:t>是否提供</w:t>
            </w:r>
            <w:r>
              <w:rPr>
                <w:rFonts w:hint="eastAsia" w:ascii="仿宋" w:hAnsi="仿宋" w:eastAsia="仿宋" w:cs="仿宋"/>
                <w:color w:val="000000"/>
                <w:spacing w:val="-2"/>
                <w:szCs w:val="21"/>
                <w:highlight w:val="none"/>
                <w:lang w:val="en-US" w:eastAsia="zh-CN"/>
              </w:rPr>
              <w:t>谈判</w:t>
            </w:r>
            <w:r>
              <w:rPr>
                <w:rFonts w:hint="eastAsia" w:ascii="仿宋" w:hAnsi="仿宋" w:eastAsia="仿宋" w:cs="仿宋"/>
                <w:color w:val="000000"/>
                <w:spacing w:val="-2"/>
                <w:szCs w:val="21"/>
                <w:highlight w:val="none"/>
              </w:rPr>
              <w:t>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投标函是否有单位盖章及法定代表人或法定代表人授权的代理人签字或盖章的；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是否提供法人授权委托书的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是否按规定提交投标文件分数，正本1份  副本</w:t>
            </w:r>
            <w:r>
              <w:rPr>
                <w:rFonts w:hint="eastAsia" w:ascii="仿宋" w:hAnsi="仿宋" w:eastAsia="仿宋" w:cs="仿宋"/>
                <w:color w:val="000000"/>
                <w:spacing w:val="-2"/>
                <w:szCs w:val="21"/>
                <w:lang w:val="en-US" w:eastAsia="zh-CN"/>
              </w:rPr>
              <w:t>4</w:t>
            </w:r>
            <w:r>
              <w:rPr>
                <w:rFonts w:hint="eastAsia" w:ascii="仿宋" w:hAnsi="仿宋" w:eastAsia="仿宋" w:cs="仿宋"/>
                <w:color w:val="000000"/>
                <w:spacing w:val="-2"/>
                <w:szCs w:val="21"/>
              </w:rPr>
              <w:t>份，电子版1份，开标一览表1份；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是否按规定的格式填写，内容不全或关键字迹模糊、无法辨认的；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投标文件是否按照竞争性谈判文件要求编写、装订；</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投标有效期是否满足竞争性谈判文件要求的；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8</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auto"/>
                <w:spacing w:val="-2"/>
                <w:szCs w:val="21"/>
              </w:rPr>
              <w:t>投标人所报</w:t>
            </w:r>
            <w:r>
              <w:rPr>
                <w:rFonts w:hint="eastAsia" w:ascii="仿宋" w:hAnsi="仿宋" w:eastAsia="仿宋" w:cs="仿宋"/>
                <w:color w:val="auto"/>
                <w:spacing w:val="-2"/>
                <w:szCs w:val="21"/>
                <w:lang w:eastAsia="zh-CN"/>
              </w:rPr>
              <w:t>服务期</w:t>
            </w:r>
            <w:r>
              <w:rPr>
                <w:rFonts w:hint="eastAsia" w:ascii="仿宋" w:hAnsi="仿宋" w:eastAsia="仿宋" w:cs="仿宋"/>
                <w:color w:val="auto"/>
                <w:spacing w:val="-2"/>
                <w:szCs w:val="21"/>
              </w:rPr>
              <w:t>限是否</w:t>
            </w:r>
            <w:r>
              <w:rPr>
                <w:rFonts w:hint="eastAsia" w:ascii="仿宋" w:hAnsi="仿宋" w:eastAsia="仿宋" w:cs="仿宋"/>
                <w:color w:val="auto"/>
                <w:spacing w:val="-2"/>
                <w:szCs w:val="21"/>
                <w:lang w:eastAsia="zh-CN"/>
              </w:rPr>
              <w:t>满足</w:t>
            </w:r>
            <w:r>
              <w:rPr>
                <w:rFonts w:hint="eastAsia" w:ascii="仿宋" w:hAnsi="仿宋" w:eastAsia="仿宋" w:cs="仿宋"/>
                <w:color w:val="auto"/>
                <w:spacing w:val="-2"/>
                <w:szCs w:val="21"/>
              </w:rPr>
              <w:t>竞争性谈判文件规定期限的；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9</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zCs w:val="21"/>
              </w:rPr>
              <w:t>投标报价是否超过预算金额；</w:t>
            </w:r>
          </w:p>
        </w:tc>
        <w:tc>
          <w:tcPr>
            <w:tcW w:w="851" w:type="dxa"/>
            <w:tcBorders>
              <w:top w:val="single" w:color="auto" w:sz="6" w:space="0"/>
              <w:left w:val="single" w:color="auto" w:sz="4" w:space="0"/>
              <w:bottom w:val="single" w:color="auto" w:sz="6" w:space="0"/>
              <w:right w:val="single" w:color="auto" w:sz="4"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是否只有一个有效报价，未提交选择性报价。</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color w:val="000000"/>
                <w:spacing w:val="-2"/>
                <w:szCs w:val="21"/>
                <w:highlight w:val="none"/>
                <w:lang w:val="en-US" w:eastAsia="zh-CN"/>
              </w:rPr>
            </w:pPr>
            <w:r>
              <w:rPr>
                <w:rFonts w:hint="eastAsia" w:ascii="仿宋" w:hAnsi="仿宋" w:eastAsia="仿宋" w:cs="仿宋"/>
                <w:color w:val="000000"/>
                <w:spacing w:val="-2"/>
                <w:szCs w:val="21"/>
                <w:highlight w:val="none"/>
              </w:rPr>
              <w:t>投标文件载明的</w:t>
            </w:r>
            <w:r>
              <w:rPr>
                <w:rFonts w:hint="eastAsia" w:ascii="仿宋" w:hAnsi="仿宋" w:eastAsia="仿宋" w:cs="仿宋"/>
                <w:color w:val="000000"/>
                <w:spacing w:val="-2"/>
                <w:szCs w:val="21"/>
                <w:highlight w:val="none"/>
                <w:lang w:val="en-US" w:eastAsia="zh-CN"/>
              </w:rPr>
              <w:t>实施方案</w:t>
            </w:r>
            <w:r>
              <w:rPr>
                <w:rFonts w:hint="eastAsia" w:ascii="仿宋" w:hAnsi="仿宋" w:eastAsia="仿宋" w:cs="仿宋"/>
                <w:color w:val="000000"/>
                <w:spacing w:val="-2"/>
                <w:szCs w:val="21"/>
                <w:highlight w:val="none"/>
              </w:rPr>
              <w:t>是否符合竞争性谈判文件要求；</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投标文件是否附有招标人不能接受的条件；</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是否有不符合竞争性谈判文件中规定的其他实质性要求；</w:t>
            </w:r>
          </w:p>
        </w:tc>
        <w:tc>
          <w:tcPr>
            <w:tcW w:w="851"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投标人是否有违法招标投标纪律的。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6912"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51"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6" w:space="0"/>
              <w:bottom w:val="single" w:color="auto" w:sz="12" w:space="0"/>
              <w:right w:val="single" w:color="auto" w:sz="12" w:space="0"/>
            </w:tcBorders>
          </w:tcPr>
          <w:p>
            <w:pPr>
              <w:spacing w:line="400" w:lineRule="exact"/>
              <w:rPr>
                <w:rFonts w:ascii="仿宋" w:hAnsi="仿宋" w:eastAsia="仿宋" w:cs="仿宋"/>
                <w:color w:val="000000"/>
                <w:szCs w:val="21"/>
              </w:rPr>
            </w:pPr>
          </w:p>
        </w:tc>
      </w:tr>
    </w:tbl>
    <w:p>
      <w:pPr>
        <w:spacing w:line="400" w:lineRule="exact"/>
        <w:rPr>
          <w:rFonts w:ascii="仿宋" w:hAnsi="仿宋" w:eastAsia="仿宋" w:cs="仿宋"/>
          <w:b/>
          <w:kern w:val="0"/>
        </w:rPr>
      </w:pPr>
      <w:bookmarkStart w:id="212" w:name="_Toc425350900"/>
      <w:r>
        <w:rPr>
          <w:rFonts w:hint="eastAsia" w:ascii="仿宋" w:hAnsi="仿宋" w:eastAsia="仿宋" w:cs="仿宋"/>
          <w:b/>
          <w:kern w:val="0"/>
        </w:rPr>
        <w:t>（五）定标</w:t>
      </w:r>
      <w:bookmarkEnd w:id="212"/>
    </w:p>
    <w:p>
      <w:pPr>
        <w:pStyle w:val="2"/>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定标，谈判小组按照采购人需求（谈判内容）从投标人投标文件同时满足的情况下进行最终二次报价，按照最终报价由低到高顺序推荐中标候选人，招标结束后向中标方以书面形式出具中标通知书。在签署了合同协议书后，中标通知书将构成合同的一个组成部分，对招标方和投标方具有同等法律效力。招标方无义务向未中标人解释落标原因和退还投标文件。</w:t>
      </w: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0"/>
        <w:rPr>
          <w:rFonts w:ascii="仿宋" w:hAnsi="仿宋" w:eastAsia="仿宋" w:cs="仿宋"/>
          <w:b/>
          <w:bCs/>
          <w:color w:val="000000"/>
          <w:szCs w:val="21"/>
        </w:rPr>
      </w:pPr>
    </w:p>
    <w:p>
      <w:pPr>
        <w:pStyle w:val="3"/>
        <w:numPr>
          <w:ilvl w:val="0"/>
          <w:numId w:val="8"/>
        </w:numPr>
      </w:pPr>
      <w:bookmarkStart w:id="213" w:name="_Toc31957"/>
      <w:bookmarkStart w:id="214" w:name="_Toc406749999"/>
      <w:bookmarkStart w:id="215" w:name="_Toc15659"/>
      <w:r>
        <w:rPr>
          <w:rFonts w:hint="eastAsia" w:ascii="仿宋" w:hAnsi="仿宋" w:eastAsia="仿宋" w:cs="仿宋"/>
        </w:rPr>
        <w:t>合同主要条款</w:t>
      </w:r>
      <w:bookmarkEnd w:id="213"/>
      <w:bookmarkEnd w:id="214"/>
      <w:r>
        <w:rPr>
          <w:rFonts w:hint="eastAsia" w:ascii="仿宋" w:hAnsi="仿宋" w:eastAsia="仿宋" w:cs="仿宋"/>
          <w:lang w:val="en-US" w:eastAsia="zh-CN"/>
        </w:rPr>
        <w:t>(仅供参考）</w:t>
      </w:r>
      <w:bookmarkEnd w:id="215"/>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widowControl/>
        <w:jc w:val="left"/>
        <w:rPr>
          <w:rFonts w:ascii="仿宋" w:hAnsi="仿宋" w:eastAsia="仿宋" w:cs="仿宋"/>
          <w:szCs w:val="21"/>
        </w:rPr>
      </w:pPr>
    </w:p>
    <w:p>
      <w:pPr>
        <w:pStyle w:val="103"/>
        <w:ind w:firstLine="420"/>
        <w:rPr>
          <w:rFonts w:ascii="仿宋" w:hAnsi="仿宋" w:eastAsia="仿宋" w:cs="仿宋"/>
          <w:sz w:val="21"/>
          <w:szCs w:val="21"/>
        </w:rPr>
      </w:pPr>
      <w:r>
        <w:rPr>
          <w:rFonts w:hint="eastAsia" w:ascii="仿宋" w:hAnsi="仿宋" w:eastAsia="仿宋" w:cs="仿宋"/>
          <w:sz w:val="21"/>
          <w:szCs w:val="21"/>
        </w:rPr>
        <w:t xml:space="preserve">合同编号：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签订地点：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签订时间：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采购人（甲方）：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供应商（乙方）：                                          </w:t>
      </w:r>
    </w:p>
    <w:p>
      <w:pPr>
        <w:spacing w:line="400" w:lineRule="exact"/>
        <w:rPr>
          <w:rFonts w:ascii="仿宋" w:hAnsi="仿宋" w:eastAsia="仿宋" w:cs="仿宋"/>
          <w:szCs w:val="21"/>
        </w:rPr>
      </w:pPr>
    </w:p>
    <w:p>
      <w:pPr>
        <w:pStyle w:val="103"/>
        <w:ind w:firstLine="420"/>
        <w:rPr>
          <w:rFonts w:ascii="仿宋" w:hAnsi="仿宋" w:eastAsia="仿宋" w:cs="仿宋"/>
          <w:sz w:val="21"/>
          <w:szCs w:val="21"/>
        </w:rPr>
      </w:pPr>
      <w:r>
        <w:rPr>
          <w:rFonts w:hint="eastAsia" w:ascii="仿宋" w:hAnsi="仿宋" w:eastAsia="仿宋" w:cs="仿宋"/>
          <w:sz w:val="21"/>
          <w:szCs w:val="21"/>
        </w:rPr>
        <w:t>根据《中华人民共和国政府采购法》、《中华人民共和国合同法》及</w:t>
      </w:r>
      <w:r>
        <w:rPr>
          <w:rFonts w:hint="eastAsia" w:ascii="仿宋" w:hAnsi="仿宋" w:eastAsia="仿宋" w:cs="仿宋"/>
          <w:color w:val="000000"/>
          <w:sz w:val="21"/>
          <w:szCs w:val="21"/>
        </w:rPr>
        <w:t>XX</w:t>
      </w:r>
      <w:r>
        <w:rPr>
          <w:rFonts w:hint="eastAsia" w:ascii="仿宋" w:hAnsi="仿宋" w:eastAsia="仿宋" w:cs="仿宋"/>
          <w:sz w:val="21"/>
          <w:szCs w:val="21"/>
        </w:rPr>
        <w:t>政府采购中心采购项目（项目编号：</w:t>
      </w:r>
      <w:r>
        <w:rPr>
          <w:rFonts w:hint="eastAsia" w:ascii="仿宋" w:hAnsi="仿宋" w:eastAsia="仿宋" w:cs="仿宋"/>
          <w:color w:val="000000"/>
          <w:sz w:val="21"/>
          <w:szCs w:val="21"/>
        </w:rPr>
        <w:t>XX</w:t>
      </w:r>
      <w:r>
        <w:rPr>
          <w:rFonts w:hint="eastAsia" w:ascii="仿宋" w:hAnsi="仿宋" w:eastAsia="仿宋" w:cs="仿宋"/>
          <w:sz w:val="21"/>
          <w:szCs w:val="21"/>
        </w:rPr>
        <w:t>）的《竞争性谈判文件》、乙方的《投标文件》及《中标通知书》，甲、乙双方同意签订本合同。详细技术说明及其他有关合同项目的特定信息由合同附件予以说明，合同附件及本项目的竞争性谈判文件、投标文件、《中标通知书》等均为本合同不可分割的部分。双方同意共同遵守如下条款：</w:t>
      </w:r>
    </w:p>
    <w:p>
      <w:pPr>
        <w:rPr>
          <w:rFonts w:ascii="仿宋" w:hAnsi="仿宋" w:eastAsia="仿宋" w:cs="仿宋"/>
          <w:b/>
        </w:rPr>
      </w:pPr>
      <w:bookmarkStart w:id="216" w:name="_Toc217446107"/>
      <w:r>
        <w:rPr>
          <w:rFonts w:hint="eastAsia" w:ascii="仿宋" w:hAnsi="仿宋" w:eastAsia="仿宋" w:cs="仿宋"/>
          <w:b/>
        </w:rPr>
        <w:t>一、合同货物</w:t>
      </w:r>
      <w:bookmarkEnd w:id="216"/>
    </w:p>
    <w:tbl>
      <w:tblPr>
        <w:tblStyle w:val="40"/>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规格</w:t>
            </w:r>
          </w:p>
          <w:p>
            <w:pPr>
              <w:spacing w:line="400" w:lineRule="exact"/>
              <w:jc w:val="center"/>
              <w:rPr>
                <w:rFonts w:ascii="仿宋" w:hAnsi="仿宋" w:eastAsia="仿宋" w:cs="仿宋"/>
                <w:szCs w:val="21"/>
              </w:rPr>
            </w:pPr>
            <w:r>
              <w:rPr>
                <w:rFonts w:hint="eastAsia" w:ascii="仿宋" w:hAnsi="仿宋" w:eastAsia="仿宋" w:cs="仿宋"/>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Cs w:val="21"/>
              </w:rPr>
            </w:pPr>
            <w:r>
              <w:rPr>
                <w:rFonts w:hint="eastAsia" w:ascii="仿宋" w:hAnsi="仿宋" w:eastAsia="仿宋" w:cs="仿宋"/>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仿宋" w:hAnsi="仿宋" w:eastAsia="仿宋" w:cs="仿宋"/>
                <w:szCs w:val="21"/>
              </w:rPr>
            </w:pPr>
            <w:r>
              <w:rPr>
                <w:rFonts w:hint="eastAsia" w:ascii="仿宋" w:hAnsi="仿宋" w:eastAsia="仿宋" w:cs="仿宋"/>
                <w:szCs w:val="21"/>
              </w:rPr>
              <w:t>单价</w:t>
            </w:r>
          </w:p>
          <w:p>
            <w:pPr>
              <w:spacing w:line="400" w:lineRule="exact"/>
              <w:jc w:val="center"/>
              <w:rPr>
                <w:rFonts w:ascii="仿宋" w:hAnsi="仿宋" w:eastAsia="仿宋" w:cs="仿宋"/>
                <w:szCs w:val="21"/>
              </w:rPr>
            </w:pPr>
            <w:r>
              <w:rPr>
                <w:rFonts w:hint="eastAsia" w:ascii="仿宋" w:hAnsi="仿宋" w:eastAsia="仿宋" w:cs="仿宋"/>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总价</w:t>
            </w:r>
          </w:p>
          <w:p>
            <w:pPr>
              <w:spacing w:line="400" w:lineRule="exact"/>
              <w:rPr>
                <w:rFonts w:ascii="仿宋" w:hAnsi="仿宋" w:eastAsia="仿宋" w:cs="仿宋"/>
                <w:szCs w:val="21"/>
              </w:rPr>
            </w:pPr>
            <w:r>
              <w:rPr>
                <w:rFonts w:hint="eastAsia" w:ascii="仿宋" w:hAnsi="仿宋" w:eastAsia="仿宋" w:cs="仿宋"/>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随机</w:t>
            </w:r>
          </w:p>
          <w:p>
            <w:pPr>
              <w:spacing w:line="400" w:lineRule="exact"/>
              <w:jc w:val="center"/>
              <w:rPr>
                <w:rFonts w:ascii="仿宋" w:hAnsi="仿宋" w:eastAsia="仿宋" w:cs="仿宋"/>
                <w:szCs w:val="21"/>
              </w:rPr>
            </w:pPr>
            <w:r>
              <w:rPr>
                <w:rFonts w:hint="eastAsia" w:ascii="仿宋" w:hAnsi="仿宋" w:eastAsia="仿宋" w:cs="仿宋"/>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bl>
    <w:p>
      <w:pPr>
        <w:rPr>
          <w:rFonts w:ascii="仿宋" w:hAnsi="仿宋" w:eastAsia="仿宋" w:cs="仿宋"/>
          <w:b/>
        </w:rPr>
      </w:pPr>
      <w:bookmarkStart w:id="217" w:name="_Toc217446108"/>
      <w:r>
        <w:rPr>
          <w:rFonts w:hint="eastAsia" w:ascii="仿宋" w:hAnsi="仿宋" w:eastAsia="仿宋" w:cs="仿宋"/>
          <w:b/>
        </w:rPr>
        <w:t>二、合同总价</w:t>
      </w:r>
      <w:bookmarkEnd w:id="217"/>
    </w:p>
    <w:p>
      <w:pPr>
        <w:pStyle w:val="2"/>
        <w:spacing w:line="400" w:lineRule="exact"/>
        <w:ind w:firstLine="367" w:firstLineChars="175"/>
        <w:rPr>
          <w:rFonts w:ascii="仿宋" w:hAnsi="仿宋" w:eastAsia="仿宋" w:cs="仿宋"/>
          <w:szCs w:val="21"/>
        </w:rPr>
      </w:pPr>
      <w:r>
        <w:rPr>
          <w:rFonts w:hint="eastAsia" w:ascii="仿宋" w:hAnsi="仿宋" w:eastAsia="仿宋" w:cs="仿宋"/>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rFonts w:ascii="仿宋" w:hAnsi="仿宋" w:eastAsia="仿宋" w:cs="仿宋"/>
          <w:b/>
        </w:rPr>
      </w:pPr>
      <w:bookmarkStart w:id="218" w:name="_Toc217446109"/>
      <w:r>
        <w:rPr>
          <w:rFonts w:hint="eastAsia" w:ascii="仿宋" w:hAnsi="仿宋" w:eastAsia="仿宋" w:cs="仿宋"/>
          <w:b/>
        </w:rPr>
        <w:t>三、质量要求</w:t>
      </w:r>
      <w:bookmarkEnd w:id="218"/>
    </w:p>
    <w:p>
      <w:pPr>
        <w:pStyle w:val="103"/>
        <w:ind w:firstLine="420"/>
        <w:rPr>
          <w:rFonts w:ascii="仿宋" w:hAnsi="仿宋" w:eastAsia="仿宋" w:cs="仿宋"/>
          <w:sz w:val="21"/>
          <w:szCs w:val="21"/>
        </w:rPr>
      </w:pPr>
      <w:r>
        <w:rPr>
          <w:rFonts w:hint="eastAsia" w:ascii="仿宋" w:hAnsi="仿宋" w:eastAsia="仿宋" w:cs="仿宋"/>
          <w:sz w:val="21"/>
          <w:szCs w:val="21"/>
        </w:rPr>
        <w:t>1、乙方须提供全新的货物（含零部件、配件等），表面无划伤、无碰撞痕迹，且权属清楚，不得侵害他人的知识产权。</w:t>
      </w:r>
    </w:p>
    <w:p>
      <w:pPr>
        <w:pStyle w:val="103"/>
        <w:ind w:firstLine="420"/>
        <w:rPr>
          <w:rFonts w:ascii="仿宋" w:hAnsi="仿宋" w:eastAsia="仿宋" w:cs="仿宋"/>
          <w:sz w:val="21"/>
          <w:szCs w:val="21"/>
        </w:rPr>
      </w:pPr>
      <w:r>
        <w:rPr>
          <w:rFonts w:hint="eastAsia" w:ascii="仿宋" w:hAnsi="仿宋" w:eastAsia="仿宋" w:cs="仿宋"/>
          <w:sz w:val="21"/>
          <w:szCs w:val="21"/>
        </w:rPr>
        <w:t>货物必须符合或优于国家（行业）标准，以及本项目竞争性谈判文件的质量要求和技术指标与出厂标准。</w:t>
      </w:r>
    </w:p>
    <w:p>
      <w:pPr>
        <w:pStyle w:val="103"/>
        <w:ind w:firstLine="420"/>
        <w:rPr>
          <w:rFonts w:ascii="仿宋" w:hAnsi="仿宋" w:eastAsia="仿宋" w:cs="仿宋"/>
          <w:sz w:val="21"/>
          <w:szCs w:val="21"/>
        </w:rPr>
      </w:pPr>
      <w:r>
        <w:rPr>
          <w:rFonts w:hint="eastAsia" w:ascii="仿宋" w:hAnsi="仿宋" w:eastAsia="仿宋" w:cs="仿宋"/>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103"/>
        <w:ind w:firstLine="420"/>
        <w:rPr>
          <w:rFonts w:ascii="仿宋" w:hAnsi="仿宋" w:eastAsia="仿宋" w:cs="仿宋"/>
          <w:sz w:val="21"/>
          <w:szCs w:val="21"/>
        </w:rPr>
      </w:pPr>
      <w:r>
        <w:rPr>
          <w:rFonts w:hint="eastAsia" w:ascii="仿宋" w:hAnsi="仿宋" w:eastAsia="仿宋" w:cs="仿宋"/>
          <w:sz w:val="21"/>
          <w:szCs w:val="21"/>
        </w:rPr>
        <w:t>4、货物制造质量出现问题，乙方应负责三包（包修、包换、包退），费用由乙方负担，甲方有权到乙方生产场地检查货物质量和生产进度。</w:t>
      </w:r>
    </w:p>
    <w:p>
      <w:pPr>
        <w:pStyle w:val="103"/>
        <w:ind w:firstLine="420"/>
        <w:rPr>
          <w:rFonts w:ascii="仿宋" w:hAnsi="仿宋" w:eastAsia="仿宋" w:cs="仿宋"/>
          <w:sz w:val="21"/>
          <w:szCs w:val="21"/>
        </w:rPr>
      </w:pPr>
      <w:r>
        <w:rPr>
          <w:rFonts w:hint="eastAsia" w:ascii="仿宋" w:hAnsi="仿宋" w:eastAsia="仿宋" w:cs="仿宋"/>
          <w:sz w:val="21"/>
          <w:szCs w:val="21"/>
        </w:rPr>
        <w:t>5、货到现场后由于甲方保管不当造成的质量问题，乙方亦应负责修理，但费用由甲方负担。</w:t>
      </w:r>
    </w:p>
    <w:p>
      <w:pPr>
        <w:rPr>
          <w:rFonts w:ascii="仿宋" w:hAnsi="仿宋" w:eastAsia="仿宋" w:cs="仿宋"/>
          <w:b/>
        </w:rPr>
      </w:pPr>
      <w:bookmarkStart w:id="219" w:name="_Toc217446110"/>
      <w:r>
        <w:rPr>
          <w:rFonts w:hint="eastAsia" w:ascii="仿宋" w:hAnsi="仿宋" w:eastAsia="仿宋" w:cs="仿宋"/>
          <w:b/>
        </w:rPr>
        <w:t>四、交货及验收</w:t>
      </w:r>
      <w:bookmarkEnd w:id="219"/>
    </w:p>
    <w:p>
      <w:pPr>
        <w:pStyle w:val="103"/>
        <w:ind w:firstLine="420"/>
        <w:rPr>
          <w:rFonts w:ascii="仿宋" w:hAnsi="仿宋" w:eastAsia="仿宋" w:cs="仿宋"/>
          <w:sz w:val="21"/>
          <w:szCs w:val="21"/>
        </w:rPr>
      </w:pPr>
      <w:r>
        <w:rPr>
          <w:rFonts w:hint="eastAsia" w:ascii="仿宋" w:hAnsi="仿宋" w:eastAsia="仿宋" w:cs="仿宋"/>
          <w:sz w:val="21"/>
          <w:szCs w:val="21"/>
        </w:rPr>
        <w:t>1、乙方交货期限为合同签订生效后的</w:t>
      </w:r>
      <w:r>
        <w:rPr>
          <w:rFonts w:hint="eastAsia" w:ascii="仿宋" w:hAnsi="仿宋" w:eastAsia="仿宋" w:cs="仿宋"/>
          <w:color w:val="000000"/>
          <w:sz w:val="21"/>
          <w:szCs w:val="21"/>
        </w:rPr>
        <w:t>XX</w:t>
      </w:r>
      <w:r>
        <w:rPr>
          <w:rFonts w:hint="eastAsia" w:ascii="仿宋" w:hAnsi="仿宋" w:eastAsia="仿宋" w:cs="仿宋"/>
          <w:sz w:val="21"/>
          <w:szCs w:val="21"/>
        </w:rPr>
        <w:t>日内，在合同签订生效之日起</w:t>
      </w:r>
      <w:r>
        <w:rPr>
          <w:rFonts w:hint="eastAsia" w:ascii="仿宋" w:hAnsi="仿宋" w:eastAsia="仿宋" w:cs="仿宋"/>
          <w:color w:val="000000"/>
          <w:sz w:val="21"/>
          <w:szCs w:val="21"/>
        </w:rPr>
        <w:t>XX</w:t>
      </w:r>
      <w:r>
        <w:rPr>
          <w:rFonts w:hint="eastAsia" w:ascii="仿宋" w:hAnsi="仿宋" w:eastAsia="仿宋" w:cs="仿宋"/>
          <w:sz w:val="21"/>
          <w:szCs w:val="21"/>
        </w:rPr>
        <w:t>天内交货到甲方指定地点，随即在</w:t>
      </w:r>
      <w:r>
        <w:rPr>
          <w:rFonts w:hint="eastAsia" w:ascii="仿宋" w:hAnsi="仿宋" w:eastAsia="仿宋" w:cs="仿宋"/>
          <w:color w:val="000000"/>
          <w:sz w:val="21"/>
          <w:szCs w:val="21"/>
        </w:rPr>
        <w:t>XX</w:t>
      </w:r>
      <w:r>
        <w:rPr>
          <w:rFonts w:hint="eastAsia" w:ascii="仿宋" w:hAnsi="仿宋" w:eastAsia="仿宋" w:cs="仿宋"/>
          <w:sz w:val="21"/>
          <w:szCs w:val="21"/>
        </w:rPr>
        <w:t>日内全部完成安装调试验收合格交付使用，并且最迟应在</w:t>
      </w:r>
      <w:r>
        <w:rPr>
          <w:rFonts w:hint="eastAsia" w:ascii="仿宋" w:hAnsi="仿宋" w:eastAsia="仿宋" w:cs="仿宋"/>
          <w:color w:val="000000"/>
          <w:sz w:val="21"/>
          <w:szCs w:val="21"/>
        </w:rPr>
        <w:t>XX</w:t>
      </w:r>
      <w:r>
        <w:rPr>
          <w:rFonts w:hint="eastAsia" w:ascii="仿宋" w:hAnsi="仿宋" w:eastAsia="仿宋" w:cs="仿宋"/>
          <w:sz w:val="21"/>
          <w:szCs w:val="21"/>
        </w:rPr>
        <w:t>年</w:t>
      </w:r>
      <w:r>
        <w:rPr>
          <w:rFonts w:hint="eastAsia" w:ascii="仿宋" w:hAnsi="仿宋" w:eastAsia="仿宋" w:cs="仿宋"/>
          <w:color w:val="000000"/>
          <w:sz w:val="21"/>
          <w:szCs w:val="21"/>
        </w:rPr>
        <w:t>XX</w:t>
      </w:r>
      <w:r>
        <w:rPr>
          <w:rFonts w:hint="eastAsia" w:ascii="仿宋" w:hAnsi="仿宋" w:eastAsia="仿宋" w:cs="仿宋"/>
          <w:sz w:val="21"/>
          <w:szCs w:val="21"/>
        </w:rPr>
        <w:t>月</w:t>
      </w:r>
      <w:r>
        <w:rPr>
          <w:rFonts w:hint="eastAsia" w:ascii="仿宋" w:hAnsi="仿宋" w:eastAsia="仿宋" w:cs="仿宋"/>
          <w:color w:val="000000"/>
          <w:sz w:val="21"/>
          <w:szCs w:val="21"/>
        </w:rPr>
        <w:t>XX</w:t>
      </w:r>
      <w:r>
        <w:rPr>
          <w:rFonts w:hint="eastAsia" w:ascii="仿宋" w:hAnsi="仿宋" w:eastAsia="仿宋" w:cs="仿宋"/>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103"/>
        <w:ind w:firstLine="420"/>
        <w:rPr>
          <w:rFonts w:ascii="仿宋" w:hAnsi="仿宋" w:eastAsia="仿宋" w:cs="仿宋"/>
          <w:sz w:val="21"/>
          <w:szCs w:val="21"/>
        </w:rPr>
      </w:pPr>
      <w:r>
        <w:rPr>
          <w:rFonts w:hint="eastAsia" w:ascii="仿宋" w:hAnsi="仿宋" w:eastAsia="仿宋" w:cs="仿宋"/>
          <w:sz w:val="21"/>
          <w:szCs w:val="21"/>
        </w:rPr>
        <w:t>2、验收由甲方组织，乙方配合进行：具体由甲乙双方约定</w:t>
      </w:r>
    </w:p>
    <w:p>
      <w:pPr>
        <w:rPr>
          <w:rFonts w:ascii="仿宋" w:hAnsi="仿宋" w:eastAsia="仿宋" w:cs="仿宋"/>
          <w:b/>
        </w:rPr>
      </w:pPr>
      <w:bookmarkStart w:id="220" w:name="_Toc217446111"/>
      <w:r>
        <w:rPr>
          <w:rFonts w:hint="eastAsia" w:ascii="仿宋" w:hAnsi="仿宋" w:eastAsia="仿宋" w:cs="仿宋"/>
          <w:b/>
        </w:rPr>
        <w:t>五、付款方式</w:t>
      </w:r>
      <w:bookmarkEnd w:id="220"/>
    </w:p>
    <w:p>
      <w:pPr>
        <w:ind w:firstLine="420" w:firstLineChars="200"/>
        <w:rPr>
          <w:rFonts w:ascii="仿宋" w:hAnsi="仿宋" w:eastAsia="仿宋" w:cs="仿宋"/>
          <w:bCs/>
          <w:color w:val="000000" w:themeColor="text1"/>
        </w:rPr>
      </w:pPr>
      <w:bookmarkStart w:id="221" w:name="_Toc217446112"/>
      <w:r>
        <w:rPr>
          <w:rFonts w:hint="eastAsia" w:ascii="仿宋" w:hAnsi="仿宋" w:eastAsia="仿宋" w:cs="仿宋"/>
          <w:bCs/>
          <w:color w:val="000000" w:themeColor="text1"/>
        </w:rPr>
        <w:t>按照甲方要求和规定进行拟定</w:t>
      </w:r>
    </w:p>
    <w:p>
      <w:pPr>
        <w:rPr>
          <w:rFonts w:ascii="仿宋" w:hAnsi="仿宋" w:eastAsia="仿宋" w:cs="仿宋"/>
          <w:b/>
        </w:rPr>
      </w:pPr>
      <w:r>
        <w:rPr>
          <w:rFonts w:hint="eastAsia" w:ascii="仿宋" w:hAnsi="仿宋" w:eastAsia="仿宋" w:cs="仿宋"/>
          <w:b/>
        </w:rPr>
        <w:t>六、售后服务</w:t>
      </w:r>
      <w:bookmarkEnd w:id="221"/>
    </w:p>
    <w:p>
      <w:pPr>
        <w:pStyle w:val="103"/>
        <w:ind w:firstLine="420"/>
        <w:rPr>
          <w:rFonts w:ascii="仿宋" w:hAnsi="仿宋" w:eastAsia="仿宋" w:cs="仿宋"/>
          <w:sz w:val="21"/>
          <w:szCs w:val="21"/>
        </w:rPr>
      </w:pPr>
      <w:r>
        <w:rPr>
          <w:rFonts w:hint="eastAsia" w:ascii="仿宋" w:hAnsi="仿宋" w:eastAsia="仿宋" w:cs="仿宋"/>
          <w:sz w:val="21"/>
          <w:szCs w:val="21"/>
        </w:rPr>
        <w:t>1、质保期为验收合格后</w:t>
      </w:r>
      <w:r>
        <w:rPr>
          <w:rFonts w:hint="eastAsia" w:ascii="仿宋" w:hAnsi="仿宋" w:eastAsia="仿宋" w:cs="仿宋"/>
          <w:color w:val="000000"/>
          <w:sz w:val="21"/>
          <w:szCs w:val="21"/>
        </w:rPr>
        <w:t>XX</w:t>
      </w:r>
      <w:r>
        <w:rPr>
          <w:rFonts w:hint="eastAsia" w:ascii="仿宋" w:hAnsi="仿宋" w:eastAsia="仿宋" w:cs="仿宋"/>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103"/>
        <w:ind w:firstLine="420"/>
        <w:rPr>
          <w:rFonts w:ascii="仿宋" w:hAnsi="仿宋" w:eastAsia="仿宋" w:cs="仿宋"/>
          <w:sz w:val="21"/>
          <w:szCs w:val="21"/>
        </w:rPr>
      </w:pPr>
      <w:r>
        <w:rPr>
          <w:rFonts w:hint="eastAsia" w:ascii="仿宋" w:hAnsi="仿宋" w:eastAsia="仿宋" w:cs="仿宋"/>
          <w:sz w:val="21"/>
          <w:szCs w:val="21"/>
        </w:rPr>
        <w:t>2、乙方须指派专人负责与甲方联系售后服务事宜。 </w:t>
      </w:r>
    </w:p>
    <w:p>
      <w:pPr>
        <w:rPr>
          <w:rFonts w:ascii="仿宋" w:hAnsi="仿宋" w:eastAsia="仿宋" w:cs="仿宋"/>
          <w:b/>
        </w:rPr>
      </w:pPr>
      <w:bookmarkStart w:id="222" w:name="_Toc217446113"/>
      <w:r>
        <w:rPr>
          <w:rFonts w:hint="eastAsia" w:ascii="仿宋" w:hAnsi="仿宋" w:eastAsia="仿宋" w:cs="仿宋"/>
          <w:b/>
        </w:rPr>
        <w:t>七、违约责任</w:t>
      </w:r>
      <w:bookmarkEnd w:id="222"/>
    </w:p>
    <w:p>
      <w:pPr>
        <w:pStyle w:val="103"/>
        <w:ind w:firstLine="420"/>
      </w:pPr>
      <w:r>
        <w:rPr>
          <w:rFonts w:hint="eastAsia" w:ascii="仿宋" w:hAnsi="仿宋" w:eastAsia="仿宋" w:cs="仿宋"/>
          <w:sz w:val="21"/>
          <w:szCs w:val="21"/>
        </w:rPr>
        <w:t>具体由甲乙双方约定</w:t>
      </w:r>
    </w:p>
    <w:p>
      <w:pPr>
        <w:rPr>
          <w:rFonts w:ascii="仿宋" w:hAnsi="仿宋" w:eastAsia="仿宋" w:cs="仿宋"/>
          <w:b/>
        </w:rPr>
      </w:pPr>
      <w:bookmarkStart w:id="223" w:name="_Toc217446114"/>
      <w:r>
        <w:rPr>
          <w:rFonts w:hint="eastAsia" w:ascii="仿宋" w:hAnsi="仿宋" w:eastAsia="仿宋" w:cs="仿宋"/>
          <w:b/>
        </w:rPr>
        <w:t>八、争议解决办法</w:t>
      </w:r>
      <w:bookmarkEnd w:id="223"/>
    </w:p>
    <w:p>
      <w:pPr>
        <w:pStyle w:val="103"/>
        <w:ind w:firstLine="420"/>
        <w:rPr>
          <w:rFonts w:ascii="仿宋" w:hAnsi="仿宋" w:eastAsia="仿宋" w:cs="仿宋"/>
          <w:sz w:val="21"/>
          <w:szCs w:val="21"/>
        </w:rPr>
      </w:pPr>
      <w:r>
        <w:rPr>
          <w:rFonts w:hint="eastAsia" w:ascii="仿宋" w:hAnsi="仿宋" w:eastAsia="仿宋" w:cs="仿宋"/>
          <w:sz w:val="21"/>
          <w:szCs w:val="21"/>
        </w:rPr>
        <w:t>1、因货物的质量问题发生争议，由质量技术监督部门或其指定的质量鉴定机构进行质量鉴定。货物符合标准的，鉴定费由甲方承担；货物不符合质量标准的，鉴定费由乙方承担。</w:t>
      </w:r>
    </w:p>
    <w:p>
      <w:pPr>
        <w:pStyle w:val="103"/>
        <w:ind w:firstLine="420"/>
        <w:rPr>
          <w:rFonts w:ascii="仿宋" w:hAnsi="仿宋" w:eastAsia="仿宋" w:cs="仿宋"/>
          <w:sz w:val="21"/>
          <w:szCs w:val="21"/>
        </w:rPr>
      </w:pPr>
      <w:r>
        <w:rPr>
          <w:rFonts w:hint="eastAsia" w:ascii="仿宋" w:hAnsi="仿宋" w:eastAsia="仿宋" w:cs="仿宋"/>
          <w:sz w:val="21"/>
          <w:szCs w:val="21"/>
        </w:rPr>
        <w:t>2、合同履行期间,若双方发生争议，可协商或由有关部门调解解决，协商或调解不成的，由当事人依法维护其合法权益。</w:t>
      </w:r>
    </w:p>
    <w:p>
      <w:pPr>
        <w:rPr>
          <w:rFonts w:ascii="仿宋" w:hAnsi="仿宋" w:eastAsia="仿宋" w:cs="仿宋"/>
          <w:b/>
        </w:rPr>
      </w:pPr>
      <w:bookmarkStart w:id="224" w:name="_Toc217446115"/>
      <w:r>
        <w:rPr>
          <w:rFonts w:hint="eastAsia" w:ascii="仿宋" w:hAnsi="仿宋" w:eastAsia="仿宋" w:cs="仿宋"/>
          <w:b/>
        </w:rPr>
        <w:t>九、其他</w:t>
      </w:r>
      <w:bookmarkEnd w:id="224"/>
    </w:p>
    <w:p>
      <w:pPr>
        <w:pStyle w:val="103"/>
        <w:ind w:firstLine="420"/>
        <w:rPr>
          <w:rFonts w:ascii="仿宋" w:hAnsi="仿宋" w:eastAsia="仿宋" w:cs="仿宋"/>
          <w:sz w:val="21"/>
          <w:szCs w:val="21"/>
        </w:rPr>
      </w:pPr>
      <w:r>
        <w:rPr>
          <w:rFonts w:hint="eastAsia" w:ascii="仿宋" w:hAnsi="仿宋" w:eastAsia="仿宋" w:cs="仿宋"/>
          <w:sz w:val="21"/>
          <w:szCs w:val="21"/>
        </w:rPr>
        <w:t>1、如有未尽事宜，由双方依法订立补充合同。</w:t>
      </w:r>
    </w:p>
    <w:p>
      <w:pPr>
        <w:pStyle w:val="103"/>
        <w:ind w:firstLine="420"/>
        <w:rPr>
          <w:rFonts w:ascii="仿宋" w:hAnsi="仿宋" w:eastAsia="仿宋" w:cs="仿宋"/>
          <w:sz w:val="21"/>
          <w:szCs w:val="21"/>
        </w:rPr>
      </w:pPr>
      <w:r>
        <w:rPr>
          <w:rFonts w:hint="eastAsia" w:ascii="仿宋" w:hAnsi="仿宋" w:eastAsia="仿宋" w:cs="仿宋"/>
          <w:sz w:val="21"/>
          <w:szCs w:val="21"/>
        </w:rPr>
        <w:t>2、本合同一式六份，自双方签章之日起生效。甲方三份，乙方、政府采购管理部门、采购代理机构各一份。</w:t>
      </w:r>
    </w:p>
    <w:p>
      <w:pPr>
        <w:spacing w:line="400" w:lineRule="exact"/>
        <w:rPr>
          <w:rFonts w:ascii="仿宋" w:hAnsi="仿宋" w:eastAsia="仿宋" w:cs="仿宋"/>
          <w:szCs w:val="21"/>
        </w:rPr>
      </w:pP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甲方：   （盖章）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乙方：   （盖章）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法定代表人（授权代表）：            法定代表人（授权代表）：</w:t>
      </w:r>
    </w:p>
    <w:p>
      <w:pPr>
        <w:spacing w:line="400" w:lineRule="exact"/>
        <w:ind w:firstLine="420" w:firstLineChars="200"/>
        <w:rPr>
          <w:rFonts w:ascii="仿宋" w:hAnsi="仿宋" w:eastAsia="仿宋" w:cs="仿宋"/>
          <w:szCs w:val="21"/>
        </w:rPr>
      </w:pPr>
      <w:r>
        <w:rPr>
          <w:rFonts w:hint="eastAsia" w:ascii="仿宋" w:hAnsi="仿宋" w:eastAsia="仿宋" w:cs="仿宋"/>
          <w:szCs w:val="21"/>
        </w:rPr>
        <w:t>地    址：                         地    址：</w:t>
      </w:r>
    </w:p>
    <w:p>
      <w:pPr>
        <w:spacing w:line="400" w:lineRule="exact"/>
        <w:ind w:firstLine="420" w:firstLineChars="200"/>
        <w:rPr>
          <w:rFonts w:ascii="仿宋" w:hAnsi="仿宋" w:eastAsia="仿宋" w:cs="仿宋"/>
          <w:szCs w:val="21"/>
        </w:rPr>
      </w:pPr>
      <w:r>
        <w:rPr>
          <w:rFonts w:hint="eastAsia" w:ascii="仿宋" w:hAnsi="仿宋" w:eastAsia="仿宋" w:cs="仿宋"/>
          <w:szCs w:val="21"/>
        </w:rPr>
        <w:t>开户银行：                         开户银行：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账号：                             账号：</w:t>
      </w:r>
    </w:p>
    <w:p>
      <w:pPr>
        <w:spacing w:line="400" w:lineRule="exact"/>
        <w:ind w:firstLine="420" w:firstLineChars="200"/>
        <w:rPr>
          <w:rFonts w:ascii="仿宋" w:hAnsi="仿宋" w:eastAsia="仿宋" w:cs="仿宋"/>
          <w:szCs w:val="21"/>
        </w:rPr>
      </w:pPr>
      <w:r>
        <w:rPr>
          <w:rFonts w:hint="eastAsia" w:ascii="仿宋" w:hAnsi="仿宋" w:eastAsia="仿宋" w:cs="仿宋"/>
          <w:szCs w:val="21"/>
        </w:rPr>
        <w:t>电    话：                         电    话：</w:t>
      </w:r>
    </w:p>
    <w:p>
      <w:pPr>
        <w:spacing w:line="400" w:lineRule="exact"/>
        <w:ind w:firstLine="420" w:firstLineChars="200"/>
        <w:rPr>
          <w:rFonts w:ascii="仿宋" w:hAnsi="仿宋" w:eastAsia="仿宋" w:cs="仿宋"/>
          <w:szCs w:val="21"/>
        </w:rPr>
      </w:pPr>
      <w:r>
        <w:rPr>
          <w:rFonts w:hint="eastAsia" w:ascii="仿宋" w:hAnsi="仿宋" w:eastAsia="仿宋" w:cs="仿宋"/>
          <w:szCs w:val="21"/>
        </w:rPr>
        <w:t>传    真：                         传    真：</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w:t>
      </w:r>
      <w:r>
        <w:rPr>
          <w:rFonts w:hint="eastAsia" w:ascii="仿宋" w:hAnsi="仿宋" w:eastAsia="仿宋" w:cs="仿宋"/>
          <w:szCs w:val="21"/>
        </w:rPr>
        <w:t xml:space="preserve">日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XX日</w:t>
      </w:r>
    </w:p>
    <w:p>
      <w:pPr>
        <w:widowControl/>
        <w:jc w:val="left"/>
        <w:rPr>
          <w:rFonts w:ascii="仿宋" w:hAnsi="仿宋" w:eastAsia="仿宋" w:cs="仿宋"/>
          <w:color w:val="000000"/>
          <w:szCs w:val="21"/>
        </w:rPr>
      </w:pPr>
      <w:r>
        <w:rPr>
          <w:rFonts w:hint="eastAsia" w:ascii="仿宋" w:hAnsi="仿宋" w:eastAsia="仿宋" w:cs="仿宋"/>
          <w:color w:val="000000"/>
          <w:szCs w:val="21"/>
        </w:rPr>
        <w:br w:type="page"/>
      </w:r>
    </w:p>
    <w:p>
      <w:pPr>
        <w:pStyle w:val="3"/>
        <w:rPr>
          <w:rFonts w:ascii="仿宋" w:hAnsi="仿宋" w:eastAsia="仿宋" w:cs="仿宋"/>
        </w:rPr>
      </w:pPr>
      <w:bookmarkStart w:id="225" w:name="_Toc15868"/>
      <w:r>
        <w:rPr>
          <w:rFonts w:hint="eastAsia" w:ascii="仿宋" w:hAnsi="仿宋" w:eastAsia="仿宋" w:cs="仿宋"/>
        </w:rPr>
        <w:t>第八章    补充说明</w:t>
      </w:r>
      <w:bookmarkEnd w:id="225"/>
    </w:p>
    <w:p>
      <w:pPr>
        <w:widowControl/>
        <w:spacing w:line="360" w:lineRule="auto"/>
        <w:jc w:val="left"/>
        <w:rPr>
          <w:rFonts w:ascii="仿宋" w:hAnsi="仿宋" w:eastAsia="仿宋" w:cs="仿宋"/>
          <w:sz w:val="24"/>
        </w:rPr>
      </w:pPr>
      <w:r>
        <w:rPr>
          <w:rFonts w:hint="eastAsia" w:ascii="仿宋" w:hAnsi="仿宋" w:eastAsia="仿宋" w:cs="仿宋"/>
          <w:sz w:val="24"/>
        </w:rPr>
        <w:t>1、中标方必须严格遵守合同要求，保质、保量、按时完成服务任务。</w:t>
      </w:r>
    </w:p>
    <w:p>
      <w:pPr>
        <w:widowControl/>
        <w:spacing w:line="360" w:lineRule="auto"/>
        <w:jc w:val="left"/>
        <w:rPr>
          <w:rFonts w:ascii="仿宋" w:hAnsi="仿宋" w:eastAsia="仿宋" w:cs="仿宋"/>
          <w:sz w:val="24"/>
        </w:rPr>
      </w:pPr>
      <w:r>
        <w:rPr>
          <w:rFonts w:hint="eastAsia" w:ascii="仿宋" w:hAnsi="仿宋" w:eastAsia="仿宋" w:cs="仿宋"/>
          <w:sz w:val="24"/>
        </w:rPr>
        <w:t>2、中标方交货时不得弄虚作假，如发现类似问题，</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有权终止合同，一切经济损失由中标方承担。</w:t>
      </w:r>
    </w:p>
    <w:p>
      <w:pPr>
        <w:widowControl/>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lang w:eastAsia="zh-CN"/>
        </w:rPr>
        <w:t xml:space="preserve">墨玉县水管总站 </w:t>
      </w:r>
      <w:r>
        <w:rPr>
          <w:rFonts w:hint="eastAsia" w:ascii="仿宋" w:hAnsi="仿宋" w:eastAsia="仿宋" w:cs="仿宋"/>
          <w:sz w:val="24"/>
        </w:rPr>
        <w:t>负责对所提供服务、质量等要求的监督，中标方违反合同要求，出现质量、数量等问题，</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有权终止合同，拒绝付款，并扣留履约保证金。</w:t>
      </w:r>
    </w:p>
    <w:p>
      <w:pPr>
        <w:widowControl/>
        <w:spacing w:line="360" w:lineRule="auto"/>
        <w:jc w:val="left"/>
        <w:rPr>
          <w:rFonts w:ascii="仿宋" w:hAnsi="仿宋" w:eastAsia="仿宋" w:cs="仿宋"/>
          <w:sz w:val="24"/>
        </w:rPr>
      </w:pPr>
      <w:r>
        <w:rPr>
          <w:rFonts w:hint="eastAsia" w:ascii="仿宋" w:hAnsi="仿宋" w:eastAsia="仿宋" w:cs="仿宋"/>
          <w:sz w:val="24"/>
        </w:rPr>
        <w:t>4、投标人所报服务价格，应包括服务到达</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指定地点运输费用。</w:t>
      </w:r>
    </w:p>
    <w:p>
      <w:pPr>
        <w:widowControl/>
        <w:spacing w:line="360" w:lineRule="auto"/>
        <w:jc w:val="left"/>
        <w:rPr>
          <w:rFonts w:ascii="仿宋" w:hAnsi="仿宋" w:eastAsia="仿宋" w:cs="仿宋"/>
          <w:sz w:val="24"/>
        </w:rPr>
      </w:pPr>
      <w:r>
        <w:rPr>
          <w:rFonts w:hint="eastAsia" w:ascii="仿宋" w:hAnsi="仿宋" w:eastAsia="仿宋" w:cs="仿宋"/>
          <w:sz w:val="24"/>
        </w:rPr>
        <w:t>5、中标方必须保证签订服务合同后按</w:t>
      </w:r>
      <w:r>
        <w:rPr>
          <w:rFonts w:hint="eastAsia" w:ascii="仿宋" w:hAnsi="仿宋" w:eastAsia="仿宋" w:cs="仿宋"/>
          <w:b/>
          <w:bCs/>
          <w:sz w:val="24"/>
          <w:lang w:eastAsia="zh-CN"/>
        </w:rPr>
        <w:t xml:space="preserve">墨玉县水管总站 </w:t>
      </w:r>
      <w:r>
        <w:rPr>
          <w:rFonts w:hint="eastAsia" w:ascii="仿宋" w:hAnsi="仿宋" w:eastAsia="仿宋" w:cs="仿宋"/>
          <w:sz w:val="24"/>
        </w:rPr>
        <w:t>要求时间内完成服务任务，中标方不得以任何方式为由（含不可抗拒因素）拖延；所有运费、装卸费等费用由中标方承担。</w:t>
      </w:r>
    </w:p>
    <w:p>
      <w:pPr>
        <w:widowControl/>
        <w:spacing w:line="360" w:lineRule="auto"/>
        <w:jc w:val="left"/>
        <w:rPr>
          <w:rFonts w:ascii="仿宋" w:hAnsi="仿宋" w:eastAsia="仿宋" w:cs="仿宋"/>
          <w:b/>
          <w:sz w:val="24"/>
        </w:rPr>
      </w:pPr>
      <w:r>
        <w:rPr>
          <w:rFonts w:hint="eastAsia" w:ascii="仿宋" w:hAnsi="仿宋" w:eastAsia="仿宋" w:cs="仿宋"/>
          <w:b/>
          <w:sz w:val="24"/>
        </w:rPr>
        <w:t>6、中标人不得违反竞争性谈判文件、投标文件中的约定、承诺或借故拖延合同的签订，否则将被取消中标资格（并没收履约保证金）。</w:t>
      </w:r>
      <w:r>
        <w:rPr>
          <w:rFonts w:hint="eastAsia" w:ascii="仿宋" w:hAnsi="仿宋" w:eastAsia="仿宋" w:cs="仿宋"/>
          <w:b/>
          <w:bCs/>
          <w:sz w:val="24"/>
          <w:lang w:eastAsia="zh-CN"/>
        </w:rPr>
        <w:t xml:space="preserve">墨玉县水管总站 </w:t>
      </w:r>
      <w:r>
        <w:rPr>
          <w:rFonts w:hint="eastAsia" w:ascii="仿宋" w:hAnsi="仿宋" w:eastAsia="仿宋" w:cs="仿宋"/>
          <w:b/>
          <w:sz w:val="24"/>
        </w:rPr>
        <w:t>将在预备中标人中选择新中标人或重新招标。</w:t>
      </w:r>
    </w:p>
    <w:p>
      <w:pPr>
        <w:spacing w:line="400" w:lineRule="exact"/>
        <w:ind w:firstLine="420" w:firstLineChars="200"/>
        <w:rPr>
          <w:rFonts w:ascii="仿宋" w:hAnsi="仿宋" w:eastAsia="仿宋" w:cs="仿宋"/>
          <w:szCs w:val="21"/>
        </w:rPr>
      </w:pPr>
    </w:p>
    <w:sectPr>
      <w:headerReference r:id="rId11" w:type="default"/>
      <w:footerReference r:id="rId12" w:type="default"/>
      <w:pgSz w:w="11906" w:h="16838"/>
      <w:pgMar w:top="1134" w:right="1134" w:bottom="1134" w:left="1134" w:header="851" w:footer="851" w:gutter="0"/>
      <w:pgNumType w:fmt="decimal"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rFonts w:hint="eastAsia" w:cs="宋体" w:asciiTheme="minorEastAsia" w:hAnsiTheme="minorEastAsia"/>
        <w:color w:val="000000"/>
        <w:kern w:val="0"/>
        <w:szCs w:val="21"/>
      </w:rPr>
      <w:t>新疆金玖恩项目管理咨询有限公司</w:t>
    </w: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MVC4WAgAAFQQAAA4AAABkcnMvZTJvRG9jLnhtbK1TzY7TMBC+I/EO&#10;lu80aVcs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3lGim0KLT92+nH79OP7+Sq0hPa/0MURuLuNC9NR3aPNx7XMaq&#10;u8qpuKMeAj+IPl7IFV0gPD6aTqbTHC4O33AAfvb43Dof3gmjSDQK6tC9RCo7rH3oQ4eQ+Js2q0bK&#10;1EGpSVvQ66vX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JTFQuFgIAABUEAAAOAAAAAAAA&#10;AAEAIAAAAB8BAABkcnMvZTJvRG9jLnhtbFBLBQYAAAAABgAGAFkBAACn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- 40 -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2F68"/>
    <w:multiLevelType w:val="singleLevel"/>
    <w:tmpl w:val="AF582F68"/>
    <w:lvl w:ilvl="0" w:tentative="0">
      <w:start w:val="3"/>
      <w:numFmt w:val="chineseCounting"/>
      <w:suff w:val="space"/>
      <w:lvlText w:val="第%1章"/>
      <w:lvlJc w:val="left"/>
      <w:rPr>
        <w:rFonts w:hint="eastAsia"/>
      </w:rPr>
    </w:lvl>
  </w:abstractNum>
  <w:abstractNum w:abstractNumId="1">
    <w:nsid w:val="DBA0A081"/>
    <w:multiLevelType w:val="singleLevel"/>
    <w:tmpl w:val="DBA0A081"/>
    <w:lvl w:ilvl="0" w:tentative="0">
      <w:start w:val="7"/>
      <w:numFmt w:val="chineseCounting"/>
      <w:suff w:val="space"/>
      <w:lvlText w:val="第%1章"/>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1080"/>
        </w:tabs>
        <w:ind w:left="1080" w:hanging="7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4">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9DFB8E"/>
    <w:multiLevelType w:val="singleLevel"/>
    <w:tmpl w:val="4F9DFB8E"/>
    <w:lvl w:ilvl="0" w:tentative="0">
      <w:start w:val="1"/>
      <w:numFmt w:val="chineseCounting"/>
      <w:suff w:val="space"/>
      <w:lvlText w:val="第%1章"/>
      <w:lvlJc w:val="left"/>
      <w:rPr>
        <w:rFonts w:hint="eastAsia"/>
      </w:rPr>
    </w:lvl>
  </w:abstractNum>
  <w:abstractNum w:abstractNumId="6">
    <w:nsid w:val="5A68E1C1"/>
    <w:multiLevelType w:val="singleLevel"/>
    <w:tmpl w:val="5A68E1C1"/>
    <w:lvl w:ilvl="0" w:tentative="0">
      <w:start w:val="1"/>
      <w:numFmt w:val="decimal"/>
      <w:suff w:val="nothing"/>
      <w:lvlText w:val="%1、"/>
      <w:lvlJc w:val="left"/>
    </w:lvl>
  </w:abstractNum>
  <w:abstractNum w:abstractNumId="7">
    <w:nsid w:val="6E230785"/>
    <w:multiLevelType w:val="multilevel"/>
    <w:tmpl w:val="6E230785"/>
    <w:lvl w:ilvl="0" w:tentative="0">
      <w:start w:val="1"/>
      <w:numFmt w:val="bullet"/>
      <w:pStyle w:val="155"/>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7"/>
  </w:num>
  <w:num w:numId="3">
    <w:abstractNumId w:val="2"/>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57ED"/>
    <w:rsid w:val="00000D6E"/>
    <w:rsid w:val="00006D7B"/>
    <w:rsid w:val="00007894"/>
    <w:rsid w:val="000109BE"/>
    <w:rsid w:val="000161BA"/>
    <w:rsid w:val="000255C2"/>
    <w:rsid w:val="000302E7"/>
    <w:rsid w:val="0003088C"/>
    <w:rsid w:val="00031BA6"/>
    <w:rsid w:val="00045BA2"/>
    <w:rsid w:val="00050D88"/>
    <w:rsid w:val="000522E2"/>
    <w:rsid w:val="00053B0E"/>
    <w:rsid w:val="00053D25"/>
    <w:rsid w:val="000614C6"/>
    <w:rsid w:val="0006519A"/>
    <w:rsid w:val="00067155"/>
    <w:rsid w:val="00071643"/>
    <w:rsid w:val="00075614"/>
    <w:rsid w:val="00080953"/>
    <w:rsid w:val="0008441B"/>
    <w:rsid w:val="00085E9C"/>
    <w:rsid w:val="00086FB5"/>
    <w:rsid w:val="0008742D"/>
    <w:rsid w:val="00093B19"/>
    <w:rsid w:val="00096AFB"/>
    <w:rsid w:val="000A2E8B"/>
    <w:rsid w:val="000A6F32"/>
    <w:rsid w:val="000B177D"/>
    <w:rsid w:val="000B4578"/>
    <w:rsid w:val="000B50B4"/>
    <w:rsid w:val="000B7530"/>
    <w:rsid w:val="000C24A3"/>
    <w:rsid w:val="000C5688"/>
    <w:rsid w:val="000C5AFF"/>
    <w:rsid w:val="000D2972"/>
    <w:rsid w:val="000D57DD"/>
    <w:rsid w:val="000D7469"/>
    <w:rsid w:val="000E739E"/>
    <w:rsid w:val="000F0049"/>
    <w:rsid w:val="00100667"/>
    <w:rsid w:val="00101128"/>
    <w:rsid w:val="00102B65"/>
    <w:rsid w:val="001046FD"/>
    <w:rsid w:val="00106252"/>
    <w:rsid w:val="001070A7"/>
    <w:rsid w:val="0010760C"/>
    <w:rsid w:val="00107E71"/>
    <w:rsid w:val="00111110"/>
    <w:rsid w:val="00112A87"/>
    <w:rsid w:val="001135D5"/>
    <w:rsid w:val="001143FD"/>
    <w:rsid w:val="00122721"/>
    <w:rsid w:val="00122B21"/>
    <w:rsid w:val="00127BEC"/>
    <w:rsid w:val="00127E6A"/>
    <w:rsid w:val="00132A04"/>
    <w:rsid w:val="00135A5C"/>
    <w:rsid w:val="0013673B"/>
    <w:rsid w:val="00141F68"/>
    <w:rsid w:val="00143489"/>
    <w:rsid w:val="00143D88"/>
    <w:rsid w:val="0014561B"/>
    <w:rsid w:val="0014596E"/>
    <w:rsid w:val="00150142"/>
    <w:rsid w:val="001512AA"/>
    <w:rsid w:val="00151B20"/>
    <w:rsid w:val="00154C4B"/>
    <w:rsid w:val="00156E25"/>
    <w:rsid w:val="00157499"/>
    <w:rsid w:val="00163AC8"/>
    <w:rsid w:val="00163EB6"/>
    <w:rsid w:val="00166C46"/>
    <w:rsid w:val="001726C2"/>
    <w:rsid w:val="00173A36"/>
    <w:rsid w:val="00173AE1"/>
    <w:rsid w:val="001744B6"/>
    <w:rsid w:val="00175C14"/>
    <w:rsid w:val="00180156"/>
    <w:rsid w:val="001804A9"/>
    <w:rsid w:val="0018083F"/>
    <w:rsid w:val="0018757D"/>
    <w:rsid w:val="001941E6"/>
    <w:rsid w:val="001961DE"/>
    <w:rsid w:val="001972CF"/>
    <w:rsid w:val="001A3E2A"/>
    <w:rsid w:val="001A441B"/>
    <w:rsid w:val="001A4B0E"/>
    <w:rsid w:val="001A7D22"/>
    <w:rsid w:val="001B0650"/>
    <w:rsid w:val="001B21B1"/>
    <w:rsid w:val="001B363C"/>
    <w:rsid w:val="001B4FC8"/>
    <w:rsid w:val="001B6D57"/>
    <w:rsid w:val="001C0E10"/>
    <w:rsid w:val="001C56C5"/>
    <w:rsid w:val="001C60A9"/>
    <w:rsid w:val="001C6327"/>
    <w:rsid w:val="001C7627"/>
    <w:rsid w:val="001D4713"/>
    <w:rsid w:val="001D53B1"/>
    <w:rsid w:val="001E09F3"/>
    <w:rsid w:val="001E21FA"/>
    <w:rsid w:val="001E24AD"/>
    <w:rsid w:val="001E24DE"/>
    <w:rsid w:val="001E492C"/>
    <w:rsid w:val="001F0207"/>
    <w:rsid w:val="001F24FE"/>
    <w:rsid w:val="001F2943"/>
    <w:rsid w:val="001F31C9"/>
    <w:rsid w:val="001F35AD"/>
    <w:rsid w:val="001F4794"/>
    <w:rsid w:val="001F7B10"/>
    <w:rsid w:val="00202E7A"/>
    <w:rsid w:val="0020370E"/>
    <w:rsid w:val="00204A28"/>
    <w:rsid w:val="00205E23"/>
    <w:rsid w:val="0021033A"/>
    <w:rsid w:val="00210AD2"/>
    <w:rsid w:val="0021284D"/>
    <w:rsid w:val="00213050"/>
    <w:rsid w:val="002156D4"/>
    <w:rsid w:val="00215DBD"/>
    <w:rsid w:val="00220206"/>
    <w:rsid w:val="0022292E"/>
    <w:rsid w:val="00224FEC"/>
    <w:rsid w:val="0022760E"/>
    <w:rsid w:val="002332FC"/>
    <w:rsid w:val="00236F0E"/>
    <w:rsid w:val="00245575"/>
    <w:rsid w:val="002474FC"/>
    <w:rsid w:val="002504BE"/>
    <w:rsid w:val="002509EA"/>
    <w:rsid w:val="002519A1"/>
    <w:rsid w:val="002604C1"/>
    <w:rsid w:val="00260FAF"/>
    <w:rsid w:val="002665D3"/>
    <w:rsid w:val="00266A4B"/>
    <w:rsid w:val="00266FC8"/>
    <w:rsid w:val="00267517"/>
    <w:rsid w:val="00270128"/>
    <w:rsid w:val="00274FA7"/>
    <w:rsid w:val="00276BD5"/>
    <w:rsid w:val="00281955"/>
    <w:rsid w:val="00282D2B"/>
    <w:rsid w:val="002850D3"/>
    <w:rsid w:val="00286451"/>
    <w:rsid w:val="00291B9E"/>
    <w:rsid w:val="0029577E"/>
    <w:rsid w:val="00295FC6"/>
    <w:rsid w:val="002A1DE5"/>
    <w:rsid w:val="002A29C0"/>
    <w:rsid w:val="002A32DB"/>
    <w:rsid w:val="002B1974"/>
    <w:rsid w:val="002C10BF"/>
    <w:rsid w:val="002C1739"/>
    <w:rsid w:val="002C66C4"/>
    <w:rsid w:val="002D31F1"/>
    <w:rsid w:val="002D4503"/>
    <w:rsid w:val="002D520F"/>
    <w:rsid w:val="002D70ED"/>
    <w:rsid w:val="002D71BA"/>
    <w:rsid w:val="002D7F17"/>
    <w:rsid w:val="002E0A78"/>
    <w:rsid w:val="002F4520"/>
    <w:rsid w:val="002F5470"/>
    <w:rsid w:val="002F5AD3"/>
    <w:rsid w:val="002F708F"/>
    <w:rsid w:val="003004DA"/>
    <w:rsid w:val="00300A8E"/>
    <w:rsid w:val="00302AD9"/>
    <w:rsid w:val="0030410F"/>
    <w:rsid w:val="003065FB"/>
    <w:rsid w:val="003068AD"/>
    <w:rsid w:val="0030690D"/>
    <w:rsid w:val="00307D77"/>
    <w:rsid w:val="00307D87"/>
    <w:rsid w:val="00311939"/>
    <w:rsid w:val="00311CF8"/>
    <w:rsid w:val="00313117"/>
    <w:rsid w:val="003235DF"/>
    <w:rsid w:val="003276C8"/>
    <w:rsid w:val="00331F45"/>
    <w:rsid w:val="00332A85"/>
    <w:rsid w:val="0033356C"/>
    <w:rsid w:val="003339FE"/>
    <w:rsid w:val="003345DE"/>
    <w:rsid w:val="00336329"/>
    <w:rsid w:val="00341659"/>
    <w:rsid w:val="003445BB"/>
    <w:rsid w:val="00347FA2"/>
    <w:rsid w:val="003504FD"/>
    <w:rsid w:val="00354164"/>
    <w:rsid w:val="003541BB"/>
    <w:rsid w:val="003552C4"/>
    <w:rsid w:val="00357535"/>
    <w:rsid w:val="0036047B"/>
    <w:rsid w:val="0036241C"/>
    <w:rsid w:val="00366229"/>
    <w:rsid w:val="0036797D"/>
    <w:rsid w:val="00371E60"/>
    <w:rsid w:val="003743A2"/>
    <w:rsid w:val="0037541C"/>
    <w:rsid w:val="003758F5"/>
    <w:rsid w:val="00377C14"/>
    <w:rsid w:val="0038141C"/>
    <w:rsid w:val="003912D1"/>
    <w:rsid w:val="0039440D"/>
    <w:rsid w:val="003945C0"/>
    <w:rsid w:val="00394B2A"/>
    <w:rsid w:val="00396060"/>
    <w:rsid w:val="003A2261"/>
    <w:rsid w:val="003A2E27"/>
    <w:rsid w:val="003B0CC5"/>
    <w:rsid w:val="003B3A98"/>
    <w:rsid w:val="003B7F1A"/>
    <w:rsid w:val="003C00FC"/>
    <w:rsid w:val="003C36F6"/>
    <w:rsid w:val="003C47AF"/>
    <w:rsid w:val="003C6803"/>
    <w:rsid w:val="003D6BAC"/>
    <w:rsid w:val="003D71B7"/>
    <w:rsid w:val="003D7838"/>
    <w:rsid w:val="003E1E93"/>
    <w:rsid w:val="003E5049"/>
    <w:rsid w:val="003F321D"/>
    <w:rsid w:val="003F4664"/>
    <w:rsid w:val="003F49B5"/>
    <w:rsid w:val="00401871"/>
    <w:rsid w:val="00401900"/>
    <w:rsid w:val="00405403"/>
    <w:rsid w:val="00410A8C"/>
    <w:rsid w:val="00410E05"/>
    <w:rsid w:val="00414119"/>
    <w:rsid w:val="00415C27"/>
    <w:rsid w:val="00420975"/>
    <w:rsid w:val="004249EC"/>
    <w:rsid w:val="004254FD"/>
    <w:rsid w:val="00426E24"/>
    <w:rsid w:val="00430657"/>
    <w:rsid w:val="00430A81"/>
    <w:rsid w:val="004311FC"/>
    <w:rsid w:val="00435144"/>
    <w:rsid w:val="00436658"/>
    <w:rsid w:val="004366BA"/>
    <w:rsid w:val="00436E8D"/>
    <w:rsid w:val="0044348C"/>
    <w:rsid w:val="00444EB1"/>
    <w:rsid w:val="0045063F"/>
    <w:rsid w:val="0045086F"/>
    <w:rsid w:val="00451887"/>
    <w:rsid w:val="00451D80"/>
    <w:rsid w:val="00454AE5"/>
    <w:rsid w:val="00455098"/>
    <w:rsid w:val="004551F8"/>
    <w:rsid w:val="004579E8"/>
    <w:rsid w:val="0046286B"/>
    <w:rsid w:val="00464ADF"/>
    <w:rsid w:val="0047281E"/>
    <w:rsid w:val="004773B4"/>
    <w:rsid w:val="00482B14"/>
    <w:rsid w:val="00485BF5"/>
    <w:rsid w:val="00495547"/>
    <w:rsid w:val="00496E2D"/>
    <w:rsid w:val="004A58E0"/>
    <w:rsid w:val="004A73F6"/>
    <w:rsid w:val="004A7406"/>
    <w:rsid w:val="004B1093"/>
    <w:rsid w:val="004B1389"/>
    <w:rsid w:val="004B2E8C"/>
    <w:rsid w:val="004B4B08"/>
    <w:rsid w:val="004C22F2"/>
    <w:rsid w:val="004D01AA"/>
    <w:rsid w:val="004D68F3"/>
    <w:rsid w:val="004D7FC8"/>
    <w:rsid w:val="004E3C44"/>
    <w:rsid w:val="004E609A"/>
    <w:rsid w:val="004E7366"/>
    <w:rsid w:val="004F0FF4"/>
    <w:rsid w:val="004F3F66"/>
    <w:rsid w:val="004F5839"/>
    <w:rsid w:val="004F6577"/>
    <w:rsid w:val="005012FC"/>
    <w:rsid w:val="005034E4"/>
    <w:rsid w:val="00506643"/>
    <w:rsid w:val="00506DAB"/>
    <w:rsid w:val="00511959"/>
    <w:rsid w:val="00511FD4"/>
    <w:rsid w:val="005121F1"/>
    <w:rsid w:val="0051296B"/>
    <w:rsid w:val="00512F6B"/>
    <w:rsid w:val="00514ED0"/>
    <w:rsid w:val="00522627"/>
    <w:rsid w:val="005257C3"/>
    <w:rsid w:val="005267E4"/>
    <w:rsid w:val="00531B7B"/>
    <w:rsid w:val="00531F2A"/>
    <w:rsid w:val="00533507"/>
    <w:rsid w:val="00533656"/>
    <w:rsid w:val="00536A08"/>
    <w:rsid w:val="0054618C"/>
    <w:rsid w:val="0054667D"/>
    <w:rsid w:val="005570FF"/>
    <w:rsid w:val="0057551A"/>
    <w:rsid w:val="00576478"/>
    <w:rsid w:val="0058023E"/>
    <w:rsid w:val="00581126"/>
    <w:rsid w:val="005819F7"/>
    <w:rsid w:val="00582E0F"/>
    <w:rsid w:val="0058427B"/>
    <w:rsid w:val="005842A2"/>
    <w:rsid w:val="00587AD5"/>
    <w:rsid w:val="00587B48"/>
    <w:rsid w:val="00591CCB"/>
    <w:rsid w:val="00597EEA"/>
    <w:rsid w:val="005A0742"/>
    <w:rsid w:val="005A415E"/>
    <w:rsid w:val="005A4749"/>
    <w:rsid w:val="005A663E"/>
    <w:rsid w:val="005B2817"/>
    <w:rsid w:val="005B5B77"/>
    <w:rsid w:val="005C15CB"/>
    <w:rsid w:val="005C375F"/>
    <w:rsid w:val="005C54E2"/>
    <w:rsid w:val="005C7864"/>
    <w:rsid w:val="005C7C94"/>
    <w:rsid w:val="005D630D"/>
    <w:rsid w:val="005D7EB2"/>
    <w:rsid w:val="005E5D27"/>
    <w:rsid w:val="005E758F"/>
    <w:rsid w:val="005F2084"/>
    <w:rsid w:val="005F36F5"/>
    <w:rsid w:val="005F5204"/>
    <w:rsid w:val="005F5F92"/>
    <w:rsid w:val="005F6C70"/>
    <w:rsid w:val="00600B37"/>
    <w:rsid w:val="006017B7"/>
    <w:rsid w:val="006018EC"/>
    <w:rsid w:val="0060251F"/>
    <w:rsid w:val="00603A90"/>
    <w:rsid w:val="006050AD"/>
    <w:rsid w:val="006057C7"/>
    <w:rsid w:val="006077BB"/>
    <w:rsid w:val="00613376"/>
    <w:rsid w:val="00613453"/>
    <w:rsid w:val="0061386D"/>
    <w:rsid w:val="006142C2"/>
    <w:rsid w:val="006146F5"/>
    <w:rsid w:val="006154BA"/>
    <w:rsid w:val="0061579C"/>
    <w:rsid w:val="006162FF"/>
    <w:rsid w:val="00621D90"/>
    <w:rsid w:val="00622148"/>
    <w:rsid w:val="006236CE"/>
    <w:rsid w:val="00624395"/>
    <w:rsid w:val="00624BA0"/>
    <w:rsid w:val="00624CF9"/>
    <w:rsid w:val="00626724"/>
    <w:rsid w:val="00630C94"/>
    <w:rsid w:val="0063158E"/>
    <w:rsid w:val="00635CD2"/>
    <w:rsid w:val="0064099D"/>
    <w:rsid w:val="00641EB2"/>
    <w:rsid w:val="00645AD7"/>
    <w:rsid w:val="0065359C"/>
    <w:rsid w:val="00654616"/>
    <w:rsid w:val="00657DB1"/>
    <w:rsid w:val="00662237"/>
    <w:rsid w:val="00664706"/>
    <w:rsid w:val="006652F6"/>
    <w:rsid w:val="00673445"/>
    <w:rsid w:val="00673F7E"/>
    <w:rsid w:val="00674011"/>
    <w:rsid w:val="00682E52"/>
    <w:rsid w:val="00682FB7"/>
    <w:rsid w:val="00683EEF"/>
    <w:rsid w:val="006879A6"/>
    <w:rsid w:val="0069036B"/>
    <w:rsid w:val="00690CAC"/>
    <w:rsid w:val="006942B3"/>
    <w:rsid w:val="006949C4"/>
    <w:rsid w:val="00697346"/>
    <w:rsid w:val="006A5F43"/>
    <w:rsid w:val="006A6582"/>
    <w:rsid w:val="006B0992"/>
    <w:rsid w:val="006B7F3F"/>
    <w:rsid w:val="006C2A5A"/>
    <w:rsid w:val="006C2D67"/>
    <w:rsid w:val="006E1EE9"/>
    <w:rsid w:val="006E2174"/>
    <w:rsid w:val="006E4860"/>
    <w:rsid w:val="006E6126"/>
    <w:rsid w:val="006F4371"/>
    <w:rsid w:val="00702934"/>
    <w:rsid w:val="00703EFF"/>
    <w:rsid w:val="00707A7F"/>
    <w:rsid w:val="00712C2C"/>
    <w:rsid w:val="00722A04"/>
    <w:rsid w:val="00724F9D"/>
    <w:rsid w:val="007333E4"/>
    <w:rsid w:val="007375FE"/>
    <w:rsid w:val="00741B30"/>
    <w:rsid w:val="00741BCE"/>
    <w:rsid w:val="007430E2"/>
    <w:rsid w:val="00744EF6"/>
    <w:rsid w:val="00751677"/>
    <w:rsid w:val="007544E5"/>
    <w:rsid w:val="00757636"/>
    <w:rsid w:val="00760FBB"/>
    <w:rsid w:val="00761A27"/>
    <w:rsid w:val="007651EB"/>
    <w:rsid w:val="0077109D"/>
    <w:rsid w:val="00771596"/>
    <w:rsid w:val="00772BEC"/>
    <w:rsid w:val="00773B8D"/>
    <w:rsid w:val="00776A92"/>
    <w:rsid w:val="0078194E"/>
    <w:rsid w:val="0078280D"/>
    <w:rsid w:val="00782F35"/>
    <w:rsid w:val="00784340"/>
    <w:rsid w:val="00784DD2"/>
    <w:rsid w:val="007863D3"/>
    <w:rsid w:val="007871B7"/>
    <w:rsid w:val="00787FBF"/>
    <w:rsid w:val="007A0A60"/>
    <w:rsid w:val="007A3FE5"/>
    <w:rsid w:val="007B2B52"/>
    <w:rsid w:val="007B38EF"/>
    <w:rsid w:val="007C207C"/>
    <w:rsid w:val="007C2ABC"/>
    <w:rsid w:val="007C4338"/>
    <w:rsid w:val="007D1501"/>
    <w:rsid w:val="007D2884"/>
    <w:rsid w:val="007D3FEA"/>
    <w:rsid w:val="007D50B1"/>
    <w:rsid w:val="007E0ADE"/>
    <w:rsid w:val="007E0D08"/>
    <w:rsid w:val="007E22BB"/>
    <w:rsid w:val="007E2631"/>
    <w:rsid w:val="007E4BDA"/>
    <w:rsid w:val="007E50FA"/>
    <w:rsid w:val="007E7008"/>
    <w:rsid w:val="007F3139"/>
    <w:rsid w:val="007F3826"/>
    <w:rsid w:val="007F5C36"/>
    <w:rsid w:val="007F6F73"/>
    <w:rsid w:val="007F75F4"/>
    <w:rsid w:val="008018BB"/>
    <w:rsid w:val="00801982"/>
    <w:rsid w:val="008024CD"/>
    <w:rsid w:val="00802514"/>
    <w:rsid w:val="0081001C"/>
    <w:rsid w:val="0081495A"/>
    <w:rsid w:val="00821BF4"/>
    <w:rsid w:val="00821F42"/>
    <w:rsid w:val="008221D5"/>
    <w:rsid w:val="00822F8A"/>
    <w:rsid w:val="00831DB3"/>
    <w:rsid w:val="00842602"/>
    <w:rsid w:val="00842DF3"/>
    <w:rsid w:val="0084537A"/>
    <w:rsid w:val="00847557"/>
    <w:rsid w:val="008514E0"/>
    <w:rsid w:val="00851F22"/>
    <w:rsid w:val="008526B7"/>
    <w:rsid w:val="0085642D"/>
    <w:rsid w:val="00856DDE"/>
    <w:rsid w:val="0086011F"/>
    <w:rsid w:val="008606CA"/>
    <w:rsid w:val="008629FF"/>
    <w:rsid w:val="008654FE"/>
    <w:rsid w:val="00870274"/>
    <w:rsid w:val="00870C03"/>
    <w:rsid w:val="0087255E"/>
    <w:rsid w:val="00875FA6"/>
    <w:rsid w:val="008771CE"/>
    <w:rsid w:val="008773CF"/>
    <w:rsid w:val="00877617"/>
    <w:rsid w:val="00884406"/>
    <w:rsid w:val="008911FF"/>
    <w:rsid w:val="00891530"/>
    <w:rsid w:val="008A3E7A"/>
    <w:rsid w:val="008A7B2A"/>
    <w:rsid w:val="008B1099"/>
    <w:rsid w:val="008B576A"/>
    <w:rsid w:val="008B6BA3"/>
    <w:rsid w:val="008B7FCC"/>
    <w:rsid w:val="008C3E25"/>
    <w:rsid w:val="008C4090"/>
    <w:rsid w:val="008C5900"/>
    <w:rsid w:val="008C6BD4"/>
    <w:rsid w:val="008C6F0A"/>
    <w:rsid w:val="008C7B28"/>
    <w:rsid w:val="008C7B30"/>
    <w:rsid w:val="008D7CD6"/>
    <w:rsid w:val="008E63EF"/>
    <w:rsid w:val="008E67C1"/>
    <w:rsid w:val="008E6A42"/>
    <w:rsid w:val="008E6DB2"/>
    <w:rsid w:val="008E792C"/>
    <w:rsid w:val="008F032F"/>
    <w:rsid w:val="008F3615"/>
    <w:rsid w:val="0090013F"/>
    <w:rsid w:val="00901B87"/>
    <w:rsid w:val="00906935"/>
    <w:rsid w:val="00910278"/>
    <w:rsid w:val="00910C26"/>
    <w:rsid w:val="00912401"/>
    <w:rsid w:val="00912E7A"/>
    <w:rsid w:val="00916EB3"/>
    <w:rsid w:val="00917506"/>
    <w:rsid w:val="00925FB7"/>
    <w:rsid w:val="009269C1"/>
    <w:rsid w:val="00931A3B"/>
    <w:rsid w:val="00941D4A"/>
    <w:rsid w:val="009506D2"/>
    <w:rsid w:val="009509FF"/>
    <w:rsid w:val="009535BD"/>
    <w:rsid w:val="00960A14"/>
    <w:rsid w:val="009637B7"/>
    <w:rsid w:val="00963C8E"/>
    <w:rsid w:val="009712AB"/>
    <w:rsid w:val="00972649"/>
    <w:rsid w:val="00973314"/>
    <w:rsid w:val="00973494"/>
    <w:rsid w:val="00973B73"/>
    <w:rsid w:val="00975E2D"/>
    <w:rsid w:val="0098004C"/>
    <w:rsid w:val="00987211"/>
    <w:rsid w:val="0098778D"/>
    <w:rsid w:val="009902D6"/>
    <w:rsid w:val="00992ACF"/>
    <w:rsid w:val="009974CC"/>
    <w:rsid w:val="009A213D"/>
    <w:rsid w:val="009A3809"/>
    <w:rsid w:val="009A4456"/>
    <w:rsid w:val="009A6D6E"/>
    <w:rsid w:val="009B2F6D"/>
    <w:rsid w:val="009B5580"/>
    <w:rsid w:val="009C05B7"/>
    <w:rsid w:val="009C0CA1"/>
    <w:rsid w:val="009C7A34"/>
    <w:rsid w:val="009D13CB"/>
    <w:rsid w:val="009D501D"/>
    <w:rsid w:val="009D5D2D"/>
    <w:rsid w:val="009D6ED0"/>
    <w:rsid w:val="009E12D2"/>
    <w:rsid w:val="009E33E9"/>
    <w:rsid w:val="009E3FBC"/>
    <w:rsid w:val="009E7B3E"/>
    <w:rsid w:val="009F4F2F"/>
    <w:rsid w:val="009F547D"/>
    <w:rsid w:val="009F5660"/>
    <w:rsid w:val="009F60F8"/>
    <w:rsid w:val="009F7583"/>
    <w:rsid w:val="009F7A1D"/>
    <w:rsid w:val="00A0359B"/>
    <w:rsid w:val="00A0503A"/>
    <w:rsid w:val="00A11F54"/>
    <w:rsid w:val="00A11F6A"/>
    <w:rsid w:val="00A1230B"/>
    <w:rsid w:val="00A148FF"/>
    <w:rsid w:val="00A14B1F"/>
    <w:rsid w:val="00A14FA2"/>
    <w:rsid w:val="00A31B9A"/>
    <w:rsid w:val="00A363C0"/>
    <w:rsid w:val="00A40A97"/>
    <w:rsid w:val="00A414CF"/>
    <w:rsid w:val="00A43699"/>
    <w:rsid w:val="00A44108"/>
    <w:rsid w:val="00A462BE"/>
    <w:rsid w:val="00A52F2E"/>
    <w:rsid w:val="00A56063"/>
    <w:rsid w:val="00A568A0"/>
    <w:rsid w:val="00A62CF3"/>
    <w:rsid w:val="00A66A7E"/>
    <w:rsid w:val="00A73AAE"/>
    <w:rsid w:val="00A83078"/>
    <w:rsid w:val="00A84260"/>
    <w:rsid w:val="00A847D6"/>
    <w:rsid w:val="00A8558E"/>
    <w:rsid w:val="00A90E2D"/>
    <w:rsid w:val="00A93247"/>
    <w:rsid w:val="00A9325B"/>
    <w:rsid w:val="00A95B8E"/>
    <w:rsid w:val="00A975CA"/>
    <w:rsid w:val="00AA1DA2"/>
    <w:rsid w:val="00AA36E0"/>
    <w:rsid w:val="00AA4D13"/>
    <w:rsid w:val="00AB3EDC"/>
    <w:rsid w:val="00AB73B7"/>
    <w:rsid w:val="00AC189B"/>
    <w:rsid w:val="00AC2574"/>
    <w:rsid w:val="00AC3C73"/>
    <w:rsid w:val="00AC3F1E"/>
    <w:rsid w:val="00AC412C"/>
    <w:rsid w:val="00AC52DA"/>
    <w:rsid w:val="00AC5FBE"/>
    <w:rsid w:val="00AD2422"/>
    <w:rsid w:val="00AD49F0"/>
    <w:rsid w:val="00AD64FA"/>
    <w:rsid w:val="00AD6E69"/>
    <w:rsid w:val="00AD7A45"/>
    <w:rsid w:val="00AE0353"/>
    <w:rsid w:val="00AE34EE"/>
    <w:rsid w:val="00AE4BB9"/>
    <w:rsid w:val="00AF61D4"/>
    <w:rsid w:val="00AF6BE5"/>
    <w:rsid w:val="00AF74A7"/>
    <w:rsid w:val="00B009B0"/>
    <w:rsid w:val="00B01EB1"/>
    <w:rsid w:val="00B02D83"/>
    <w:rsid w:val="00B0491C"/>
    <w:rsid w:val="00B064E9"/>
    <w:rsid w:val="00B07CC1"/>
    <w:rsid w:val="00B17254"/>
    <w:rsid w:val="00B17280"/>
    <w:rsid w:val="00B20876"/>
    <w:rsid w:val="00B2170C"/>
    <w:rsid w:val="00B2532C"/>
    <w:rsid w:val="00B303FF"/>
    <w:rsid w:val="00B365CC"/>
    <w:rsid w:val="00B3671F"/>
    <w:rsid w:val="00B37032"/>
    <w:rsid w:val="00B4066F"/>
    <w:rsid w:val="00B4078A"/>
    <w:rsid w:val="00B420AD"/>
    <w:rsid w:val="00B429BE"/>
    <w:rsid w:val="00B45480"/>
    <w:rsid w:val="00B456CE"/>
    <w:rsid w:val="00B47FC5"/>
    <w:rsid w:val="00B51C67"/>
    <w:rsid w:val="00B51CE5"/>
    <w:rsid w:val="00B57F66"/>
    <w:rsid w:val="00B61A74"/>
    <w:rsid w:val="00B724C7"/>
    <w:rsid w:val="00B73CA4"/>
    <w:rsid w:val="00B81D7F"/>
    <w:rsid w:val="00B86B77"/>
    <w:rsid w:val="00B8751F"/>
    <w:rsid w:val="00B90C36"/>
    <w:rsid w:val="00B9440C"/>
    <w:rsid w:val="00B956C7"/>
    <w:rsid w:val="00B97418"/>
    <w:rsid w:val="00B97452"/>
    <w:rsid w:val="00BB56E9"/>
    <w:rsid w:val="00BB624A"/>
    <w:rsid w:val="00BB643B"/>
    <w:rsid w:val="00BC3CF9"/>
    <w:rsid w:val="00BC5366"/>
    <w:rsid w:val="00BD3E16"/>
    <w:rsid w:val="00BD4735"/>
    <w:rsid w:val="00BD7BB8"/>
    <w:rsid w:val="00BD7C0E"/>
    <w:rsid w:val="00BE4EB5"/>
    <w:rsid w:val="00BE5132"/>
    <w:rsid w:val="00BE53E5"/>
    <w:rsid w:val="00BE5B1D"/>
    <w:rsid w:val="00BE762C"/>
    <w:rsid w:val="00BF2CA1"/>
    <w:rsid w:val="00BF4408"/>
    <w:rsid w:val="00BF5BC4"/>
    <w:rsid w:val="00C03940"/>
    <w:rsid w:val="00C03A67"/>
    <w:rsid w:val="00C05204"/>
    <w:rsid w:val="00C11AB1"/>
    <w:rsid w:val="00C13AB5"/>
    <w:rsid w:val="00C14341"/>
    <w:rsid w:val="00C15A7F"/>
    <w:rsid w:val="00C17D67"/>
    <w:rsid w:val="00C23B99"/>
    <w:rsid w:val="00C264B0"/>
    <w:rsid w:val="00C34A34"/>
    <w:rsid w:val="00C3633B"/>
    <w:rsid w:val="00C36569"/>
    <w:rsid w:val="00C368A4"/>
    <w:rsid w:val="00C37FAD"/>
    <w:rsid w:val="00C40A86"/>
    <w:rsid w:val="00C42DF1"/>
    <w:rsid w:val="00C46BE6"/>
    <w:rsid w:val="00C476B3"/>
    <w:rsid w:val="00C478BA"/>
    <w:rsid w:val="00C50557"/>
    <w:rsid w:val="00C5076F"/>
    <w:rsid w:val="00C52FFE"/>
    <w:rsid w:val="00C56747"/>
    <w:rsid w:val="00C56F39"/>
    <w:rsid w:val="00C60489"/>
    <w:rsid w:val="00C639C5"/>
    <w:rsid w:val="00C6557D"/>
    <w:rsid w:val="00C678A5"/>
    <w:rsid w:val="00C709B4"/>
    <w:rsid w:val="00C71EE9"/>
    <w:rsid w:val="00C73419"/>
    <w:rsid w:val="00C74840"/>
    <w:rsid w:val="00C768C6"/>
    <w:rsid w:val="00C874F4"/>
    <w:rsid w:val="00C87C06"/>
    <w:rsid w:val="00C922D2"/>
    <w:rsid w:val="00C92B51"/>
    <w:rsid w:val="00CA0C3E"/>
    <w:rsid w:val="00CA32FD"/>
    <w:rsid w:val="00CA5407"/>
    <w:rsid w:val="00CA63FA"/>
    <w:rsid w:val="00CB657F"/>
    <w:rsid w:val="00CC1481"/>
    <w:rsid w:val="00CC2251"/>
    <w:rsid w:val="00CD2E23"/>
    <w:rsid w:val="00CD5182"/>
    <w:rsid w:val="00CD597B"/>
    <w:rsid w:val="00CE0013"/>
    <w:rsid w:val="00CE70E0"/>
    <w:rsid w:val="00CF797B"/>
    <w:rsid w:val="00CF7A75"/>
    <w:rsid w:val="00D06116"/>
    <w:rsid w:val="00D0752C"/>
    <w:rsid w:val="00D11292"/>
    <w:rsid w:val="00D15738"/>
    <w:rsid w:val="00D179E0"/>
    <w:rsid w:val="00D26086"/>
    <w:rsid w:val="00D270B4"/>
    <w:rsid w:val="00D31B94"/>
    <w:rsid w:val="00D31C6D"/>
    <w:rsid w:val="00D31DD8"/>
    <w:rsid w:val="00D34420"/>
    <w:rsid w:val="00D3523E"/>
    <w:rsid w:val="00D36D93"/>
    <w:rsid w:val="00D3722C"/>
    <w:rsid w:val="00D429C5"/>
    <w:rsid w:val="00D43243"/>
    <w:rsid w:val="00D62F9D"/>
    <w:rsid w:val="00D649D2"/>
    <w:rsid w:val="00D64CF2"/>
    <w:rsid w:val="00D6719E"/>
    <w:rsid w:val="00D67566"/>
    <w:rsid w:val="00D74B71"/>
    <w:rsid w:val="00D76FED"/>
    <w:rsid w:val="00D80CDE"/>
    <w:rsid w:val="00D82021"/>
    <w:rsid w:val="00D87B0F"/>
    <w:rsid w:val="00D91E2E"/>
    <w:rsid w:val="00D9652B"/>
    <w:rsid w:val="00DA2DFF"/>
    <w:rsid w:val="00DA64D3"/>
    <w:rsid w:val="00DB2D55"/>
    <w:rsid w:val="00DB3A63"/>
    <w:rsid w:val="00DB71D8"/>
    <w:rsid w:val="00DC0554"/>
    <w:rsid w:val="00DC0ED4"/>
    <w:rsid w:val="00DC2C15"/>
    <w:rsid w:val="00DC4BD8"/>
    <w:rsid w:val="00DC7C47"/>
    <w:rsid w:val="00DD1B67"/>
    <w:rsid w:val="00DD22B8"/>
    <w:rsid w:val="00DD42DE"/>
    <w:rsid w:val="00DD57C8"/>
    <w:rsid w:val="00DD5B98"/>
    <w:rsid w:val="00DD6BC6"/>
    <w:rsid w:val="00DD7BCD"/>
    <w:rsid w:val="00DE105E"/>
    <w:rsid w:val="00DE1D38"/>
    <w:rsid w:val="00DE2157"/>
    <w:rsid w:val="00DE2A7A"/>
    <w:rsid w:val="00DE3817"/>
    <w:rsid w:val="00DE55D5"/>
    <w:rsid w:val="00DE74FD"/>
    <w:rsid w:val="00DF2FE3"/>
    <w:rsid w:val="00DF6C66"/>
    <w:rsid w:val="00E04542"/>
    <w:rsid w:val="00E06FEC"/>
    <w:rsid w:val="00E1068C"/>
    <w:rsid w:val="00E12030"/>
    <w:rsid w:val="00E1610F"/>
    <w:rsid w:val="00E21BC5"/>
    <w:rsid w:val="00E24C35"/>
    <w:rsid w:val="00E2578F"/>
    <w:rsid w:val="00E3014F"/>
    <w:rsid w:val="00E3078D"/>
    <w:rsid w:val="00E318EB"/>
    <w:rsid w:val="00E31AB0"/>
    <w:rsid w:val="00E35468"/>
    <w:rsid w:val="00E37BD1"/>
    <w:rsid w:val="00E44EC9"/>
    <w:rsid w:val="00E45191"/>
    <w:rsid w:val="00E54212"/>
    <w:rsid w:val="00E559E5"/>
    <w:rsid w:val="00E55C95"/>
    <w:rsid w:val="00E64EDF"/>
    <w:rsid w:val="00E679F2"/>
    <w:rsid w:val="00E75239"/>
    <w:rsid w:val="00E80C84"/>
    <w:rsid w:val="00E81C69"/>
    <w:rsid w:val="00E8404A"/>
    <w:rsid w:val="00E84951"/>
    <w:rsid w:val="00E90133"/>
    <w:rsid w:val="00E91D2A"/>
    <w:rsid w:val="00E921B2"/>
    <w:rsid w:val="00E96FC1"/>
    <w:rsid w:val="00EA0839"/>
    <w:rsid w:val="00EA14DC"/>
    <w:rsid w:val="00EA2331"/>
    <w:rsid w:val="00EA7039"/>
    <w:rsid w:val="00EA787C"/>
    <w:rsid w:val="00EB0555"/>
    <w:rsid w:val="00EB2329"/>
    <w:rsid w:val="00EB2AB1"/>
    <w:rsid w:val="00EB624B"/>
    <w:rsid w:val="00EB6A34"/>
    <w:rsid w:val="00EC5DD5"/>
    <w:rsid w:val="00EC6573"/>
    <w:rsid w:val="00ED07A1"/>
    <w:rsid w:val="00ED1728"/>
    <w:rsid w:val="00ED1B72"/>
    <w:rsid w:val="00ED2FCB"/>
    <w:rsid w:val="00ED4EAC"/>
    <w:rsid w:val="00ED6D50"/>
    <w:rsid w:val="00ED7C6F"/>
    <w:rsid w:val="00EE16E6"/>
    <w:rsid w:val="00EF3023"/>
    <w:rsid w:val="00EF4234"/>
    <w:rsid w:val="00EF5471"/>
    <w:rsid w:val="00EF7944"/>
    <w:rsid w:val="00F04E8F"/>
    <w:rsid w:val="00F06655"/>
    <w:rsid w:val="00F06C4D"/>
    <w:rsid w:val="00F10162"/>
    <w:rsid w:val="00F104FE"/>
    <w:rsid w:val="00F12690"/>
    <w:rsid w:val="00F14205"/>
    <w:rsid w:val="00F14E59"/>
    <w:rsid w:val="00F162FD"/>
    <w:rsid w:val="00F25B1B"/>
    <w:rsid w:val="00F27B2D"/>
    <w:rsid w:val="00F27DED"/>
    <w:rsid w:val="00F30040"/>
    <w:rsid w:val="00F30F7B"/>
    <w:rsid w:val="00F350DC"/>
    <w:rsid w:val="00F374D6"/>
    <w:rsid w:val="00F408B2"/>
    <w:rsid w:val="00F42FCE"/>
    <w:rsid w:val="00F479D1"/>
    <w:rsid w:val="00F5111D"/>
    <w:rsid w:val="00F52261"/>
    <w:rsid w:val="00F532ED"/>
    <w:rsid w:val="00F53DB5"/>
    <w:rsid w:val="00F542AF"/>
    <w:rsid w:val="00F55021"/>
    <w:rsid w:val="00F557ED"/>
    <w:rsid w:val="00F57CFC"/>
    <w:rsid w:val="00F62A54"/>
    <w:rsid w:val="00F64B61"/>
    <w:rsid w:val="00F678F9"/>
    <w:rsid w:val="00F67E9F"/>
    <w:rsid w:val="00F70577"/>
    <w:rsid w:val="00F70631"/>
    <w:rsid w:val="00F71737"/>
    <w:rsid w:val="00F75A3D"/>
    <w:rsid w:val="00F77771"/>
    <w:rsid w:val="00F77FB8"/>
    <w:rsid w:val="00F82C49"/>
    <w:rsid w:val="00F83366"/>
    <w:rsid w:val="00F83F79"/>
    <w:rsid w:val="00F90012"/>
    <w:rsid w:val="00F901A5"/>
    <w:rsid w:val="00F93AD0"/>
    <w:rsid w:val="00F93FAF"/>
    <w:rsid w:val="00F9686B"/>
    <w:rsid w:val="00F976E2"/>
    <w:rsid w:val="00FA4507"/>
    <w:rsid w:val="00FA7738"/>
    <w:rsid w:val="00FB4E37"/>
    <w:rsid w:val="00FB4F75"/>
    <w:rsid w:val="00FB5D14"/>
    <w:rsid w:val="00FB63EC"/>
    <w:rsid w:val="00FC102F"/>
    <w:rsid w:val="00FC54AB"/>
    <w:rsid w:val="00FC58E7"/>
    <w:rsid w:val="00FD1FF5"/>
    <w:rsid w:val="00FD2BE5"/>
    <w:rsid w:val="00FD3DFF"/>
    <w:rsid w:val="00FD43C5"/>
    <w:rsid w:val="00FD649F"/>
    <w:rsid w:val="00FD657C"/>
    <w:rsid w:val="00FD71E5"/>
    <w:rsid w:val="00FE11AD"/>
    <w:rsid w:val="00FE3BD3"/>
    <w:rsid w:val="00FE69E4"/>
    <w:rsid w:val="00FE6C2E"/>
    <w:rsid w:val="00FE7455"/>
    <w:rsid w:val="00FF13C7"/>
    <w:rsid w:val="00FF4EC1"/>
    <w:rsid w:val="00FF5E29"/>
    <w:rsid w:val="0100556D"/>
    <w:rsid w:val="01385DE9"/>
    <w:rsid w:val="01C62562"/>
    <w:rsid w:val="01D45B8B"/>
    <w:rsid w:val="02183ED1"/>
    <w:rsid w:val="023E309E"/>
    <w:rsid w:val="025E75EC"/>
    <w:rsid w:val="02751B84"/>
    <w:rsid w:val="02793207"/>
    <w:rsid w:val="027C095D"/>
    <w:rsid w:val="027D2D90"/>
    <w:rsid w:val="02B46E63"/>
    <w:rsid w:val="02E56BB2"/>
    <w:rsid w:val="032B70FA"/>
    <w:rsid w:val="034406DA"/>
    <w:rsid w:val="038D100F"/>
    <w:rsid w:val="038D76BF"/>
    <w:rsid w:val="03A54222"/>
    <w:rsid w:val="03A636C1"/>
    <w:rsid w:val="04017105"/>
    <w:rsid w:val="048528F7"/>
    <w:rsid w:val="049D4172"/>
    <w:rsid w:val="04E73017"/>
    <w:rsid w:val="04E96BA6"/>
    <w:rsid w:val="04F25439"/>
    <w:rsid w:val="052A0979"/>
    <w:rsid w:val="053D35FB"/>
    <w:rsid w:val="056B574A"/>
    <w:rsid w:val="0599566E"/>
    <w:rsid w:val="059F0DD2"/>
    <w:rsid w:val="05E63000"/>
    <w:rsid w:val="05F36774"/>
    <w:rsid w:val="05FB157F"/>
    <w:rsid w:val="06362257"/>
    <w:rsid w:val="06526309"/>
    <w:rsid w:val="068F6A53"/>
    <w:rsid w:val="06A25AB9"/>
    <w:rsid w:val="06AD06FB"/>
    <w:rsid w:val="06D5783E"/>
    <w:rsid w:val="06E130A0"/>
    <w:rsid w:val="073C666A"/>
    <w:rsid w:val="07684BC4"/>
    <w:rsid w:val="077A3735"/>
    <w:rsid w:val="081A66A2"/>
    <w:rsid w:val="08534DEA"/>
    <w:rsid w:val="0854639F"/>
    <w:rsid w:val="08666A3E"/>
    <w:rsid w:val="089276E5"/>
    <w:rsid w:val="08933F04"/>
    <w:rsid w:val="08CB1E78"/>
    <w:rsid w:val="08E565F8"/>
    <w:rsid w:val="08E63BE4"/>
    <w:rsid w:val="08E8376E"/>
    <w:rsid w:val="08EC4507"/>
    <w:rsid w:val="08F9463E"/>
    <w:rsid w:val="090752F5"/>
    <w:rsid w:val="0934027E"/>
    <w:rsid w:val="093B2B06"/>
    <w:rsid w:val="093F3C37"/>
    <w:rsid w:val="095115DC"/>
    <w:rsid w:val="0951766A"/>
    <w:rsid w:val="095A7E0B"/>
    <w:rsid w:val="099917A2"/>
    <w:rsid w:val="09AE0D03"/>
    <w:rsid w:val="09F56303"/>
    <w:rsid w:val="09FA30ED"/>
    <w:rsid w:val="0A012D2A"/>
    <w:rsid w:val="0A0A0C31"/>
    <w:rsid w:val="0A0F218D"/>
    <w:rsid w:val="0A1965CE"/>
    <w:rsid w:val="0A3A5116"/>
    <w:rsid w:val="0A3E60BF"/>
    <w:rsid w:val="0A5D1F3A"/>
    <w:rsid w:val="0A7A0E6A"/>
    <w:rsid w:val="0A7E1980"/>
    <w:rsid w:val="0AB60DAC"/>
    <w:rsid w:val="0ACA5AAD"/>
    <w:rsid w:val="0AF02DB2"/>
    <w:rsid w:val="0B065707"/>
    <w:rsid w:val="0B2334E8"/>
    <w:rsid w:val="0B386F3D"/>
    <w:rsid w:val="0B505547"/>
    <w:rsid w:val="0B602252"/>
    <w:rsid w:val="0B710D77"/>
    <w:rsid w:val="0BCF3779"/>
    <w:rsid w:val="0C4C609B"/>
    <w:rsid w:val="0C5105CE"/>
    <w:rsid w:val="0C5A2092"/>
    <w:rsid w:val="0C5A4DB6"/>
    <w:rsid w:val="0C5D156C"/>
    <w:rsid w:val="0C7D3292"/>
    <w:rsid w:val="0CB23A55"/>
    <w:rsid w:val="0CC35BA6"/>
    <w:rsid w:val="0CC43584"/>
    <w:rsid w:val="0CD273B9"/>
    <w:rsid w:val="0D241A43"/>
    <w:rsid w:val="0D335C92"/>
    <w:rsid w:val="0D7314C0"/>
    <w:rsid w:val="0DA240D0"/>
    <w:rsid w:val="0DB50B13"/>
    <w:rsid w:val="0DD70BB2"/>
    <w:rsid w:val="0DF356D2"/>
    <w:rsid w:val="0E1345BD"/>
    <w:rsid w:val="0E7B74FF"/>
    <w:rsid w:val="0E9A69D1"/>
    <w:rsid w:val="0EA96EF7"/>
    <w:rsid w:val="0F181637"/>
    <w:rsid w:val="0F2869FF"/>
    <w:rsid w:val="0FB53F52"/>
    <w:rsid w:val="103D0829"/>
    <w:rsid w:val="10492DC9"/>
    <w:rsid w:val="104A7A0C"/>
    <w:rsid w:val="10677DB3"/>
    <w:rsid w:val="109265C6"/>
    <w:rsid w:val="10CF6D01"/>
    <w:rsid w:val="10E34367"/>
    <w:rsid w:val="11694B9B"/>
    <w:rsid w:val="118528AF"/>
    <w:rsid w:val="11893F0E"/>
    <w:rsid w:val="12395225"/>
    <w:rsid w:val="132D6C24"/>
    <w:rsid w:val="134A7D5A"/>
    <w:rsid w:val="13795818"/>
    <w:rsid w:val="13930C51"/>
    <w:rsid w:val="13BD5994"/>
    <w:rsid w:val="13D01A5C"/>
    <w:rsid w:val="13D663B6"/>
    <w:rsid w:val="142F5E7F"/>
    <w:rsid w:val="147A73CF"/>
    <w:rsid w:val="15074FB3"/>
    <w:rsid w:val="151E46CF"/>
    <w:rsid w:val="1542564E"/>
    <w:rsid w:val="155611D1"/>
    <w:rsid w:val="155B40AB"/>
    <w:rsid w:val="15A55913"/>
    <w:rsid w:val="15B247B6"/>
    <w:rsid w:val="15DB6224"/>
    <w:rsid w:val="15F8055E"/>
    <w:rsid w:val="16AE2EE6"/>
    <w:rsid w:val="16BB251C"/>
    <w:rsid w:val="1708064A"/>
    <w:rsid w:val="171E19D1"/>
    <w:rsid w:val="175A481A"/>
    <w:rsid w:val="175A6EB3"/>
    <w:rsid w:val="17813F5A"/>
    <w:rsid w:val="17D14E1A"/>
    <w:rsid w:val="180418B3"/>
    <w:rsid w:val="181B4534"/>
    <w:rsid w:val="183E697C"/>
    <w:rsid w:val="185F0CB3"/>
    <w:rsid w:val="18651A86"/>
    <w:rsid w:val="186772BA"/>
    <w:rsid w:val="186B0632"/>
    <w:rsid w:val="189118CB"/>
    <w:rsid w:val="189C3A85"/>
    <w:rsid w:val="18E87990"/>
    <w:rsid w:val="18EB2DB9"/>
    <w:rsid w:val="19880D19"/>
    <w:rsid w:val="19E5750D"/>
    <w:rsid w:val="1A1252BD"/>
    <w:rsid w:val="1A157AAB"/>
    <w:rsid w:val="1A2E1A32"/>
    <w:rsid w:val="1A477A90"/>
    <w:rsid w:val="1ABA191A"/>
    <w:rsid w:val="1AC86FA9"/>
    <w:rsid w:val="1ACF19DD"/>
    <w:rsid w:val="1B5941E5"/>
    <w:rsid w:val="1B612DBD"/>
    <w:rsid w:val="1B62013C"/>
    <w:rsid w:val="1B6458B8"/>
    <w:rsid w:val="1B652664"/>
    <w:rsid w:val="1BBE54CE"/>
    <w:rsid w:val="1BC710C3"/>
    <w:rsid w:val="1BFB25C9"/>
    <w:rsid w:val="1C1A0699"/>
    <w:rsid w:val="1C2A6D08"/>
    <w:rsid w:val="1C514056"/>
    <w:rsid w:val="1C5D028E"/>
    <w:rsid w:val="1C601310"/>
    <w:rsid w:val="1C883BCB"/>
    <w:rsid w:val="1C8B5662"/>
    <w:rsid w:val="1C930837"/>
    <w:rsid w:val="1C95159D"/>
    <w:rsid w:val="1D020417"/>
    <w:rsid w:val="1D2833EF"/>
    <w:rsid w:val="1D3E3A9A"/>
    <w:rsid w:val="1D894296"/>
    <w:rsid w:val="1DC31D81"/>
    <w:rsid w:val="1DE03110"/>
    <w:rsid w:val="1DF73FBD"/>
    <w:rsid w:val="1E393D0D"/>
    <w:rsid w:val="1E3D7831"/>
    <w:rsid w:val="1E433468"/>
    <w:rsid w:val="1E4632F1"/>
    <w:rsid w:val="1E550A65"/>
    <w:rsid w:val="1E6432EF"/>
    <w:rsid w:val="1E664F5A"/>
    <w:rsid w:val="1E80535D"/>
    <w:rsid w:val="1E8C4506"/>
    <w:rsid w:val="1F3C684C"/>
    <w:rsid w:val="1F483D38"/>
    <w:rsid w:val="1F490BFA"/>
    <w:rsid w:val="1F9D701C"/>
    <w:rsid w:val="1FE424E2"/>
    <w:rsid w:val="200A2651"/>
    <w:rsid w:val="202067DC"/>
    <w:rsid w:val="20407F91"/>
    <w:rsid w:val="20497076"/>
    <w:rsid w:val="204C40F1"/>
    <w:rsid w:val="20743C67"/>
    <w:rsid w:val="207843D8"/>
    <w:rsid w:val="20960101"/>
    <w:rsid w:val="20C340C8"/>
    <w:rsid w:val="20D72CA5"/>
    <w:rsid w:val="20D93CC3"/>
    <w:rsid w:val="212B645B"/>
    <w:rsid w:val="214334D8"/>
    <w:rsid w:val="217E6947"/>
    <w:rsid w:val="22425551"/>
    <w:rsid w:val="22564CE8"/>
    <w:rsid w:val="22817088"/>
    <w:rsid w:val="22A20F54"/>
    <w:rsid w:val="22B95FF6"/>
    <w:rsid w:val="22FB74C9"/>
    <w:rsid w:val="233B157A"/>
    <w:rsid w:val="2369099B"/>
    <w:rsid w:val="236E21C8"/>
    <w:rsid w:val="2389233E"/>
    <w:rsid w:val="23FE7107"/>
    <w:rsid w:val="24033D68"/>
    <w:rsid w:val="24137E5A"/>
    <w:rsid w:val="24D1226C"/>
    <w:rsid w:val="24FE7373"/>
    <w:rsid w:val="25364DED"/>
    <w:rsid w:val="25D849AD"/>
    <w:rsid w:val="26232FA3"/>
    <w:rsid w:val="263B691F"/>
    <w:rsid w:val="263F5F97"/>
    <w:rsid w:val="26884DF0"/>
    <w:rsid w:val="26885EE8"/>
    <w:rsid w:val="26B3274C"/>
    <w:rsid w:val="26C76B5B"/>
    <w:rsid w:val="26CD4278"/>
    <w:rsid w:val="26D243A2"/>
    <w:rsid w:val="274C2541"/>
    <w:rsid w:val="275330CD"/>
    <w:rsid w:val="275F12C5"/>
    <w:rsid w:val="27655469"/>
    <w:rsid w:val="27880166"/>
    <w:rsid w:val="279273FE"/>
    <w:rsid w:val="279C1B98"/>
    <w:rsid w:val="283A707E"/>
    <w:rsid w:val="284A55D4"/>
    <w:rsid w:val="288141A6"/>
    <w:rsid w:val="28AD177E"/>
    <w:rsid w:val="28C566E9"/>
    <w:rsid w:val="28CD3ED8"/>
    <w:rsid w:val="28F17D0E"/>
    <w:rsid w:val="29236DB2"/>
    <w:rsid w:val="29600E8C"/>
    <w:rsid w:val="297918EA"/>
    <w:rsid w:val="29897978"/>
    <w:rsid w:val="29AB4518"/>
    <w:rsid w:val="29CC4B0C"/>
    <w:rsid w:val="29CF05A6"/>
    <w:rsid w:val="29D352B3"/>
    <w:rsid w:val="29FD49A4"/>
    <w:rsid w:val="2A226370"/>
    <w:rsid w:val="2A297714"/>
    <w:rsid w:val="2A2A5704"/>
    <w:rsid w:val="2A2C3F1B"/>
    <w:rsid w:val="2A74307D"/>
    <w:rsid w:val="2AAD770B"/>
    <w:rsid w:val="2AAF55DC"/>
    <w:rsid w:val="2AC605C5"/>
    <w:rsid w:val="2ACE5CBF"/>
    <w:rsid w:val="2B2F7417"/>
    <w:rsid w:val="2B433A06"/>
    <w:rsid w:val="2B53249D"/>
    <w:rsid w:val="2B580DDB"/>
    <w:rsid w:val="2B851DC4"/>
    <w:rsid w:val="2C0709C6"/>
    <w:rsid w:val="2C280B1A"/>
    <w:rsid w:val="2C5D5DA1"/>
    <w:rsid w:val="2CB54880"/>
    <w:rsid w:val="2CC733E6"/>
    <w:rsid w:val="2CD37E23"/>
    <w:rsid w:val="2D184B21"/>
    <w:rsid w:val="2DB53242"/>
    <w:rsid w:val="2DE505BC"/>
    <w:rsid w:val="2DF27A06"/>
    <w:rsid w:val="2E1144BD"/>
    <w:rsid w:val="2E3F057A"/>
    <w:rsid w:val="2E655197"/>
    <w:rsid w:val="2E9B4ED4"/>
    <w:rsid w:val="2EA71514"/>
    <w:rsid w:val="2ECD4193"/>
    <w:rsid w:val="2EE427C1"/>
    <w:rsid w:val="2EED741A"/>
    <w:rsid w:val="2F0B4396"/>
    <w:rsid w:val="2F1D5608"/>
    <w:rsid w:val="2F3A7AC9"/>
    <w:rsid w:val="2F3C79DA"/>
    <w:rsid w:val="2F6B1195"/>
    <w:rsid w:val="2F743094"/>
    <w:rsid w:val="2F933914"/>
    <w:rsid w:val="2F9F08DE"/>
    <w:rsid w:val="2FAB5032"/>
    <w:rsid w:val="2FDE7A55"/>
    <w:rsid w:val="30021CA1"/>
    <w:rsid w:val="30170CC8"/>
    <w:rsid w:val="30377177"/>
    <w:rsid w:val="30434066"/>
    <w:rsid w:val="30742641"/>
    <w:rsid w:val="30E96E6F"/>
    <w:rsid w:val="310F4A80"/>
    <w:rsid w:val="31232CC8"/>
    <w:rsid w:val="316E1D89"/>
    <w:rsid w:val="31BC2E92"/>
    <w:rsid w:val="322A272A"/>
    <w:rsid w:val="32370DFC"/>
    <w:rsid w:val="323B333A"/>
    <w:rsid w:val="32861093"/>
    <w:rsid w:val="32DC72DD"/>
    <w:rsid w:val="32F15524"/>
    <w:rsid w:val="331A3C8D"/>
    <w:rsid w:val="33233CF5"/>
    <w:rsid w:val="33416230"/>
    <w:rsid w:val="335D6F6B"/>
    <w:rsid w:val="3376374E"/>
    <w:rsid w:val="33B446EC"/>
    <w:rsid w:val="33CE1C76"/>
    <w:rsid w:val="34204DA6"/>
    <w:rsid w:val="34237776"/>
    <w:rsid w:val="34605DC5"/>
    <w:rsid w:val="3471713A"/>
    <w:rsid w:val="34BB3FD2"/>
    <w:rsid w:val="34C67F90"/>
    <w:rsid w:val="350D3C9B"/>
    <w:rsid w:val="352B7A8C"/>
    <w:rsid w:val="35565710"/>
    <w:rsid w:val="355B03DE"/>
    <w:rsid w:val="35680CF4"/>
    <w:rsid w:val="35A46ACE"/>
    <w:rsid w:val="35E755D0"/>
    <w:rsid w:val="36501CA6"/>
    <w:rsid w:val="367E1530"/>
    <w:rsid w:val="369C1450"/>
    <w:rsid w:val="36A05599"/>
    <w:rsid w:val="36E91D53"/>
    <w:rsid w:val="37583C91"/>
    <w:rsid w:val="37BA4125"/>
    <w:rsid w:val="37BD41FD"/>
    <w:rsid w:val="37F32203"/>
    <w:rsid w:val="38076E2B"/>
    <w:rsid w:val="380E1104"/>
    <w:rsid w:val="384E2EE2"/>
    <w:rsid w:val="385630FA"/>
    <w:rsid w:val="38995E3B"/>
    <w:rsid w:val="38C53030"/>
    <w:rsid w:val="38CD7874"/>
    <w:rsid w:val="3914232D"/>
    <w:rsid w:val="392D4B42"/>
    <w:rsid w:val="39543C81"/>
    <w:rsid w:val="396D6FC2"/>
    <w:rsid w:val="39CE6F61"/>
    <w:rsid w:val="39E30255"/>
    <w:rsid w:val="39EA616F"/>
    <w:rsid w:val="3A133E6E"/>
    <w:rsid w:val="3A537186"/>
    <w:rsid w:val="3A602DFC"/>
    <w:rsid w:val="3A94565B"/>
    <w:rsid w:val="3A966C08"/>
    <w:rsid w:val="3AB543EC"/>
    <w:rsid w:val="3ABC510F"/>
    <w:rsid w:val="3AC35873"/>
    <w:rsid w:val="3B3D43CB"/>
    <w:rsid w:val="3B403AD8"/>
    <w:rsid w:val="3B410A61"/>
    <w:rsid w:val="3B420B3C"/>
    <w:rsid w:val="3B676E2A"/>
    <w:rsid w:val="3B7A44F6"/>
    <w:rsid w:val="3B8232A5"/>
    <w:rsid w:val="3BCC7A5D"/>
    <w:rsid w:val="3BF601A5"/>
    <w:rsid w:val="3CC016EB"/>
    <w:rsid w:val="3CDC68C8"/>
    <w:rsid w:val="3CDD1F50"/>
    <w:rsid w:val="3CFC5CA9"/>
    <w:rsid w:val="3D0D5612"/>
    <w:rsid w:val="3D17139B"/>
    <w:rsid w:val="3D39063C"/>
    <w:rsid w:val="3D762867"/>
    <w:rsid w:val="3DA674CB"/>
    <w:rsid w:val="3DCC4085"/>
    <w:rsid w:val="3DD65DAE"/>
    <w:rsid w:val="3DEA0403"/>
    <w:rsid w:val="3DF50D58"/>
    <w:rsid w:val="3E020C64"/>
    <w:rsid w:val="3E03245A"/>
    <w:rsid w:val="3E1D44A9"/>
    <w:rsid w:val="3E1F026D"/>
    <w:rsid w:val="3E2F535E"/>
    <w:rsid w:val="3E540E08"/>
    <w:rsid w:val="3E893C7A"/>
    <w:rsid w:val="3EA3761C"/>
    <w:rsid w:val="3EA8132F"/>
    <w:rsid w:val="3EBB70F5"/>
    <w:rsid w:val="3EDF370F"/>
    <w:rsid w:val="3EFE7806"/>
    <w:rsid w:val="3F1729E4"/>
    <w:rsid w:val="3F2263D9"/>
    <w:rsid w:val="3F88369E"/>
    <w:rsid w:val="3F96640E"/>
    <w:rsid w:val="3F9A588C"/>
    <w:rsid w:val="3FE231D6"/>
    <w:rsid w:val="400E6E05"/>
    <w:rsid w:val="4047527D"/>
    <w:rsid w:val="40622831"/>
    <w:rsid w:val="408B0125"/>
    <w:rsid w:val="40901CCB"/>
    <w:rsid w:val="40CF14F6"/>
    <w:rsid w:val="40DF56BA"/>
    <w:rsid w:val="412B5F1E"/>
    <w:rsid w:val="41A66C94"/>
    <w:rsid w:val="41AC2646"/>
    <w:rsid w:val="41B24A9C"/>
    <w:rsid w:val="41CF44D7"/>
    <w:rsid w:val="41D371EF"/>
    <w:rsid w:val="41E7767D"/>
    <w:rsid w:val="42013955"/>
    <w:rsid w:val="426D7785"/>
    <w:rsid w:val="427B271E"/>
    <w:rsid w:val="427F41C4"/>
    <w:rsid w:val="42805BAF"/>
    <w:rsid w:val="42843F32"/>
    <w:rsid w:val="429337A4"/>
    <w:rsid w:val="42964C3A"/>
    <w:rsid w:val="42A72267"/>
    <w:rsid w:val="43021290"/>
    <w:rsid w:val="43133DC1"/>
    <w:rsid w:val="43520714"/>
    <w:rsid w:val="43994A80"/>
    <w:rsid w:val="43AE1DEC"/>
    <w:rsid w:val="43FB3302"/>
    <w:rsid w:val="441F4643"/>
    <w:rsid w:val="4425181D"/>
    <w:rsid w:val="443E729C"/>
    <w:rsid w:val="44657D59"/>
    <w:rsid w:val="44743825"/>
    <w:rsid w:val="448B2571"/>
    <w:rsid w:val="450541E6"/>
    <w:rsid w:val="452240BE"/>
    <w:rsid w:val="4525077F"/>
    <w:rsid w:val="4531688F"/>
    <w:rsid w:val="45334D5D"/>
    <w:rsid w:val="455E119A"/>
    <w:rsid w:val="45844E1E"/>
    <w:rsid w:val="45851A96"/>
    <w:rsid w:val="459F5154"/>
    <w:rsid w:val="45C24E59"/>
    <w:rsid w:val="45D16AA3"/>
    <w:rsid w:val="45F73DD2"/>
    <w:rsid w:val="46952E53"/>
    <w:rsid w:val="469B1440"/>
    <w:rsid w:val="46E8288B"/>
    <w:rsid w:val="47016359"/>
    <w:rsid w:val="474639B1"/>
    <w:rsid w:val="487C3DAD"/>
    <w:rsid w:val="48E15838"/>
    <w:rsid w:val="48FF4F14"/>
    <w:rsid w:val="49024217"/>
    <w:rsid w:val="493951A8"/>
    <w:rsid w:val="499E6F73"/>
    <w:rsid w:val="49B0028D"/>
    <w:rsid w:val="4A2860BF"/>
    <w:rsid w:val="4A2A430A"/>
    <w:rsid w:val="4A361D3D"/>
    <w:rsid w:val="4A3870D1"/>
    <w:rsid w:val="4A644259"/>
    <w:rsid w:val="4A6A1B17"/>
    <w:rsid w:val="4AA161D9"/>
    <w:rsid w:val="4AD71913"/>
    <w:rsid w:val="4B241816"/>
    <w:rsid w:val="4B325147"/>
    <w:rsid w:val="4B372288"/>
    <w:rsid w:val="4B4E03BE"/>
    <w:rsid w:val="4B6B40FE"/>
    <w:rsid w:val="4B87052D"/>
    <w:rsid w:val="4BB37886"/>
    <w:rsid w:val="4BB80E0B"/>
    <w:rsid w:val="4BD709A8"/>
    <w:rsid w:val="4BDA7DB8"/>
    <w:rsid w:val="4C6E6DFB"/>
    <w:rsid w:val="4CA91B64"/>
    <w:rsid w:val="4CB62ACA"/>
    <w:rsid w:val="4CC911F8"/>
    <w:rsid w:val="4CF4783D"/>
    <w:rsid w:val="4D0206AE"/>
    <w:rsid w:val="4D141606"/>
    <w:rsid w:val="4D1F4983"/>
    <w:rsid w:val="4D341C6D"/>
    <w:rsid w:val="4D424B1D"/>
    <w:rsid w:val="4D6E38B4"/>
    <w:rsid w:val="4DBF454C"/>
    <w:rsid w:val="4E09555A"/>
    <w:rsid w:val="4E1C1016"/>
    <w:rsid w:val="4E217F1C"/>
    <w:rsid w:val="4E413624"/>
    <w:rsid w:val="4E584C00"/>
    <w:rsid w:val="4E7640E1"/>
    <w:rsid w:val="4E930E61"/>
    <w:rsid w:val="4F0E3E23"/>
    <w:rsid w:val="4F183A99"/>
    <w:rsid w:val="4F241719"/>
    <w:rsid w:val="4F88261F"/>
    <w:rsid w:val="4F8F1158"/>
    <w:rsid w:val="4FED0228"/>
    <w:rsid w:val="50204F64"/>
    <w:rsid w:val="50471E77"/>
    <w:rsid w:val="50610E23"/>
    <w:rsid w:val="506965B5"/>
    <w:rsid w:val="507B0018"/>
    <w:rsid w:val="507C754E"/>
    <w:rsid w:val="507E1AA0"/>
    <w:rsid w:val="50A47CC4"/>
    <w:rsid w:val="50EA1A31"/>
    <w:rsid w:val="51736BF4"/>
    <w:rsid w:val="51BC77F1"/>
    <w:rsid w:val="52046037"/>
    <w:rsid w:val="522928A6"/>
    <w:rsid w:val="523419FE"/>
    <w:rsid w:val="523622B3"/>
    <w:rsid w:val="52394EC2"/>
    <w:rsid w:val="526B113C"/>
    <w:rsid w:val="52D33774"/>
    <w:rsid w:val="52FA602C"/>
    <w:rsid w:val="534F5E3A"/>
    <w:rsid w:val="53556668"/>
    <w:rsid w:val="53792788"/>
    <w:rsid w:val="53851958"/>
    <w:rsid w:val="53A7232E"/>
    <w:rsid w:val="53AF13BD"/>
    <w:rsid w:val="53B97309"/>
    <w:rsid w:val="53CF6B20"/>
    <w:rsid w:val="53DC062D"/>
    <w:rsid w:val="53E0588E"/>
    <w:rsid w:val="541B115C"/>
    <w:rsid w:val="54616524"/>
    <w:rsid w:val="54730F68"/>
    <w:rsid w:val="547652CC"/>
    <w:rsid w:val="547E2B92"/>
    <w:rsid w:val="54BA59AA"/>
    <w:rsid w:val="54C47FF1"/>
    <w:rsid w:val="54F74BC5"/>
    <w:rsid w:val="54FB41C8"/>
    <w:rsid w:val="551B38D2"/>
    <w:rsid w:val="555477DF"/>
    <w:rsid w:val="556B2568"/>
    <w:rsid w:val="55894D3B"/>
    <w:rsid w:val="5591023E"/>
    <w:rsid w:val="55D02EAD"/>
    <w:rsid w:val="55D145F5"/>
    <w:rsid w:val="565B0208"/>
    <w:rsid w:val="56684521"/>
    <w:rsid w:val="56986E69"/>
    <w:rsid w:val="56A425FA"/>
    <w:rsid w:val="56F129E9"/>
    <w:rsid w:val="57666F31"/>
    <w:rsid w:val="576D12AB"/>
    <w:rsid w:val="577874ED"/>
    <w:rsid w:val="57AC0450"/>
    <w:rsid w:val="57B84C84"/>
    <w:rsid w:val="57CD4BF5"/>
    <w:rsid w:val="57EA05F7"/>
    <w:rsid w:val="57F510AB"/>
    <w:rsid w:val="580827F0"/>
    <w:rsid w:val="58B0602D"/>
    <w:rsid w:val="58B936C5"/>
    <w:rsid w:val="58FF1E21"/>
    <w:rsid w:val="59654AE3"/>
    <w:rsid w:val="596A2D07"/>
    <w:rsid w:val="59770560"/>
    <w:rsid w:val="598D73F9"/>
    <w:rsid w:val="5993763E"/>
    <w:rsid w:val="59B60E85"/>
    <w:rsid w:val="59F80238"/>
    <w:rsid w:val="5A201F6E"/>
    <w:rsid w:val="5A563180"/>
    <w:rsid w:val="5A6136D9"/>
    <w:rsid w:val="5AA6453D"/>
    <w:rsid w:val="5ABD6B40"/>
    <w:rsid w:val="5AE150B2"/>
    <w:rsid w:val="5B1B32BC"/>
    <w:rsid w:val="5B264889"/>
    <w:rsid w:val="5B3E6C52"/>
    <w:rsid w:val="5B635197"/>
    <w:rsid w:val="5BAF5ADC"/>
    <w:rsid w:val="5BBE485E"/>
    <w:rsid w:val="5BC929D9"/>
    <w:rsid w:val="5C194360"/>
    <w:rsid w:val="5C1E1D28"/>
    <w:rsid w:val="5C35592A"/>
    <w:rsid w:val="5C5058AA"/>
    <w:rsid w:val="5CA51B45"/>
    <w:rsid w:val="5CE84D3B"/>
    <w:rsid w:val="5CFB7B6F"/>
    <w:rsid w:val="5D0141E5"/>
    <w:rsid w:val="5D1A6871"/>
    <w:rsid w:val="5D517F31"/>
    <w:rsid w:val="5D614A38"/>
    <w:rsid w:val="5DBA4B82"/>
    <w:rsid w:val="5DF76B0D"/>
    <w:rsid w:val="5DFE78C8"/>
    <w:rsid w:val="5E0D5AF8"/>
    <w:rsid w:val="5E255F63"/>
    <w:rsid w:val="5E5009F6"/>
    <w:rsid w:val="5E5A64F5"/>
    <w:rsid w:val="5E6A56FF"/>
    <w:rsid w:val="5E95292E"/>
    <w:rsid w:val="5EB73C91"/>
    <w:rsid w:val="5EF1003F"/>
    <w:rsid w:val="5EF95FD0"/>
    <w:rsid w:val="5F7532FD"/>
    <w:rsid w:val="5FA16F8A"/>
    <w:rsid w:val="5FC04D42"/>
    <w:rsid w:val="5FDE5545"/>
    <w:rsid w:val="5FEA7D8C"/>
    <w:rsid w:val="5FF7082B"/>
    <w:rsid w:val="6080721C"/>
    <w:rsid w:val="60AD7664"/>
    <w:rsid w:val="60B0340C"/>
    <w:rsid w:val="60D80A2D"/>
    <w:rsid w:val="6111547A"/>
    <w:rsid w:val="61371D33"/>
    <w:rsid w:val="613A12AA"/>
    <w:rsid w:val="613B356D"/>
    <w:rsid w:val="61924297"/>
    <w:rsid w:val="61996816"/>
    <w:rsid w:val="61B97191"/>
    <w:rsid w:val="61D45B87"/>
    <w:rsid w:val="624C072F"/>
    <w:rsid w:val="625001BE"/>
    <w:rsid w:val="62750A67"/>
    <w:rsid w:val="62952102"/>
    <w:rsid w:val="629A64D4"/>
    <w:rsid w:val="62CA3407"/>
    <w:rsid w:val="62E62B6D"/>
    <w:rsid w:val="62F7235B"/>
    <w:rsid w:val="631A6A40"/>
    <w:rsid w:val="6322192D"/>
    <w:rsid w:val="632C1C70"/>
    <w:rsid w:val="63477C82"/>
    <w:rsid w:val="635004F4"/>
    <w:rsid w:val="63E335D6"/>
    <w:rsid w:val="63FC0E60"/>
    <w:rsid w:val="64045A16"/>
    <w:rsid w:val="64365886"/>
    <w:rsid w:val="644B0346"/>
    <w:rsid w:val="649515A8"/>
    <w:rsid w:val="64E966C0"/>
    <w:rsid w:val="652D5065"/>
    <w:rsid w:val="652E01AD"/>
    <w:rsid w:val="65695556"/>
    <w:rsid w:val="657C0005"/>
    <w:rsid w:val="65BA3837"/>
    <w:rsid w:val="668E74EA"/>
    <w:rsid w:val="668F4E94"/>
    <w:rsid w:val="66A32718"/>
    <w:rsid w:val="66A43E66"/>
    <w:rsid w:val="66D80366"/>
    <w:rsid w:val="66D8577C"/>
    <w:rsid w:val="66DC2552"/>
    <w:rsid w:val="66E7771A"/>
    <w:rsid w:val="671B27DC"/>
    <w:rsid w:val="673B23D4"/>
    <w:rsid w:val="673E138C"/>
    <w:rsid w:val="675D5CD8"/>
    <w:rsid w:val="6788137F"/>
    <w:rsid w:val="678D7A27"/>
    <w:rsid w:val="67D11F4E"/>
    <w:rsid w:val="6810558D"/>
    <w:rsid w:val="68537E37"/>
    <w:rsid w:val="68916524"/>
    <w:rsid w:val="68B76283"/>
    <w:rsid w:val="68C824C3"/>
    <w:rsid w:val="694A3015"/>
    <w:rsid w:val="69610B24"/>
    <w:rsid w:val="69860378"/>
    <w:rsid w:val="69B75DDE"/>
    <w:rsid w:val="69EC0815"/>
    <w:rsid w:val="6A393D06"/>
    <w:rsid w:val="6A6342E6"/>
    <w:rsid w:val="6A9D6460"/>
    <w:rsid w:val="6AAC18D8"/>
    <w:rsid w:val="6ACB4DA4"/>
    <w:rsid w:val="6AEB64B9"/>
    <w:rsid w:val="6B0B419D"/>
    <w:rsid w:val="6B0B7E19"/>
    <w:rsid w:val="6B126446"/>
    <w:rsid w:val="6B377082"/>
    <w:rsid w:val="6B715DBA"/>
    <w:rsid w:val="6BE54C31"/>
    <w:rsid w:val="6BFB4ECF"/>
    <w:rsid w:val="6C3E619B"/>
    <w:rsid w:val="6C77544E"/>
    <w:rsid w:val="6C8311C1"/>
    <w:rsid w:val="6C8A7A71"/>
    <w:rsid w:val="6C8F5939"/>
    <w:rsid w:val="6CEA7D04"/>
    <w:rsid w:val="6D5709D9"/>
    <w:rsid w:val="6D702F4C"/>
    <w:rsid w:val="6DC75A39"/>
    <w:rsid w:val="6DE76DF8"/>
    <w:rsid w:val="6DEF35CA"/>
    <w:rsid w:val="6E0E0EAC"/>
    <w:rsid w:val="6E56388C"/>
    <w:rsid w:val="6E8B314D"/>
    <w:rsid w:val="6ECA0374"/>
    <w:rsid w:val="6ECB4D4A"/>
    <w:rsid w:val="6ECF4E6D"/>
    <w:rsid w:val="6EDB49D3"/>
    <w:rsid w:val="6EF83DFA"/>
    <w:rsid w:val="6F2D728E"/>
    <w:rsid w:val="6F521C95"/>
    <w:rsid w:val="6F611DCF"/>
    <w:rsid w:val="6F6426DD"/>
    <w:rsid w:val="6F972A44"/>
    <w:rsid w:val="6FFC2524"/>
    <w:rsid w:val="700C6BA6"/>
    <w:rsid w:val="70441702"/>
    <w:rsid w:val="704E0919"/>
    <w:rsid w:val="70AA61C5"/>
    <w:rsid w:val="70E33D76"/>
    <w:rsid w:val="710E32F5"/>
    <w:rsid w:val="713257A2"/>
    <w:rsid w:val="71474B8C"/>
    <w:rsid w:val="71A56169"/>
    <w:rsid w:val="71D50CBF"/>
    <w:rsid w:val="722250D7"/>
    <w:rsid w:val="72352BAF"/>
    <w:rsid w:val="723A4AA2"/>
    <w:rsid w:val="727A0329"/>
    <w:rsid w:val="72882A96"/>
    <w:rsid w:val="729C38F5"/>
    <w:rsid w:val="72CC49CF"/>
    <w:rsid w:val="730A4B83"/>
    <w:rsid w:val="73153FB7"/>
    <w:rsid w:val="73467BFD"/>
    <w:rsid w:val="738A77AC"/>
    <w:rsid w:val="73ED6584"/>
    <w:rsid w:val="74174348"/>
    <w:rsid w:val="746747CA"/>
    <w:rsid w:val="74675EF5"/>
    <w:rsid w:val="74A23491"/>
    <w:rsid w:val="74A5102C"/>
    <w:rsid w:val="74C05DBF"/>
    <w:rsid w:val="74D43EC1"/>
    <w:rsid w:val="754C2344"/>
    <w:rsid w:val="757D58CB"/>
    <w:rsid w:val="757F1AF6"/>
    <w:rsid w:val="7598320B"/>
    <w:rsid w:val="75A41DDF"/>
    <w:rsid w:val="75B12BBF"/>
    <w:rsid w:val="760A0BF1"/>
    <w:rsid w:val="761D2A65"/>
    <w:rsid w:val="762F674E"/>
    <w:rsid w:val="76461BAA"/>
    <w:rsid w:val="764C604D"/>
    <w:rsid w:val="766D0882"/>
    <w:rsid w:val="76945583"/>
    <w:rsid w:val="76AE1C48"/>
    <w:rsid w:val="76B62D86"/>
    <w:rsid w:val="76B65109"/>
    <w:rsid w:val="76C76E1E"/>
    <w:rsid w:val="77311AB4"/>
    <w:rsid w:val="775B713B"/>
    <w:rsid w:val="7760366D"/>
    <w:rsid w:val="77825902"/>
    <w:rsid w:val="77844C83"/>
    <w:rsid w:val="779A4193"/>
    <w:rsid w:val="77BB60D4"/>
    <w:rsid w:val="77C359D2"/>
    <w:rsid w:val="77EF598A"/>
    <w:rsid w:val="787C31A4"/>
    <w:rsid w:val="788E1ABD"/>
    <w:rsid w:val="78B2146E"/>
    <w:rsid w:val="78C82238"/>
    <w:rsid w:val="795723B1"/>
    <w:rsid w:val="799F4318"/>
    <w:rsid w:val="79A627F7"/>
    <w:rsid w:val="79BD7013"/>
    <w:rsid w:val="79C92A2E"/>
    <w:rsid w:val="79D832D2"/>
    <w:rsid w:val="7A081BF3"/>
    <w:rsid w:val="7A08504B"/>
    <w:rsid w:val="7AD053E5"/>
    <w:rsid w:val="7AFD02B0"/>
    <w:rsid w:val="7B336908"/>
    <w:rsid w:val="7BC04E83"/>
    <w:rsid w:val="7C350EA9"/>
    <w:rsid w:val="7C64482A"/>
    <w:rsid w:val="7C6C2290"/>
    <w:rsid w:val="7C7E5775"/>
    <w:rsid w:val="7C8E0753"/>
    <w:rsid w:val="7CC30B2C"/>
    <w:rsid w:val="7CD720AD"/>
    <w:rsid w:val="7D25330D"/>
    <w:rsid w:val="7D25518B"/>
    <w:rsid w:val="7D282AC9"/>
    <w:rsid w:val="7D2F5AF2"/>
    <w:rsid w:val="7D55583B"/>
    <w:rsid w:val="7D5B20BC"/>
    <w:rsid w:val="7D6A3E46"/>
    <w:rsid w:val="7D6A61D1"/>
    <w:rsid w:val="7DB03DCA"/>
    <w:rsid w:val="7DBA7B5E"/>
    <w:rsid w:val="7DC63EF4"/>
    <w:rsid w:val="7DF16B83"/>
    <w:rsid w:val="7E0B7345"/>
    <w:rsid w:val="7E1C274C"/>
    <w:rsid w:val="7E6B7E12"/>
    <w:rsid w:val="7E9228F4"/>
    <w:rsid w:val="7EB03CF5"/>
    <w:rsid w:val="7ECE5356"/>
    <w:rsid w:val="7EEA54DC"/>
    <w:rsid w:val="7F0E2BE0"/>
    <w:rsid w:val="7F17055B"/>
    <w:rsid w:val="7F23336E"/>
    <w:rsid w:val="7F445D8D"/>
    <w:rsid w:val="7F495082"/>
    <w:rsid w:val="7F5852B3"/>
    <w:rsid w:val="7F8B091A"/>
    <w:rsid w:val="7F8E30A9"/>
    <w:rsid w:val="7FD52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qFormat="1" w:uiPriority="99"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0"/>
    <w:pPr>
      <w:keepNext/>
      <w:keepLines/>
      <w:spacing w:before="340" w:after="330" w:line="576" w:lineRule="auto"/>
      <w:jc w:val="center"/>
      <w:outlineLvl w:val="0"/>
    </w:pPr>
    <w:rPr>
      <w:b/>
      <w:kern w:val="44"/>
      <w:sz w:val="32"/>
    </w:rPr>
  </w:style>
  <w:style w:type="paragraph" w:styleId="4">
    <w:name w:val="heading 2"/>
    <w:basedOn w:val="1"/>
    <w:next w:val="1"/>
    <w:link w:val="60"/>
    <w:unhideWhenUsed/>
    <w:qFormat/>
    <w:uiPriority w:val="0"/>
    <w:pPr>
      <w:keepNext/>
      <w:keepLines/>
      <w:spacing w:before="260" w:after="260" w:line="400" w:lineRule="exact"/>
      <w:jc w:val="center"/>
      <w:outlineLvl w:val="1"/>
    </w:pPr>
    <w:rPr>
      <w:rFonts w:ascii="Arial" w:hAnsi="Arial"/>
      <w:b/>
      <w:sz w:val="24"/>
    </w:rPr>
  </w:style>
  <w:style w:type="paragraph" w:styleId="5">
    <w:name w:val="heading 3"/>
    <w:basedOn w:val="1"/>
    <w:next w:val="2"/>
    <w:link w:val="61"/>
    <w:unhideWhenUsed/>
    <w:qFormat/>
    <w:uiPriority w:val="0"/>
    <w:pPr>
      <w:keepNext/>
      <w:keepLines/>
      <w:spacing w:before="260" w:after="260" w:line="400" w:lineRule="exact"/>
      <w:outlineLvl w:val="2"/>
    </w:pPr>
    <w:rPr>
      <w:b/>
      <w:sz w:val="24"/>
    </w:rPr>
  </w:style>
  <w:style w:type="paragraph" w:styleId="6">
    <w:name w:val="heading 4"/>
    <w:basedOn w:val="1"/>
    <w:next w:val="1"/>
    <w:link w:val="62"/>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2"/>
    <w:link w:val="63"/>
    <w:unhideWhenUsed/>
    <w:qFormat/>
    <w:uiPriority w:val="0"/>
    <w:pPr>
      <w:keepNext/>
      <w:keepLines/>
      <w:numPr>
        <w:ilvl w:val="4"/>
        <w:numId w:val="1"/>
      </w:numPr>
      <w:spacing w:before="280" w:after="290" w:line="374" w:lineRule="auto"/>
      <w:outlineLvl w:val="4"/>
    </w:pPr>
    <w:rPr>
      <w:b/>
      <w:sz w:val="28"/>
      <w:szCs w:val="24"/>
    </w:rPr>
  </w:style>
  <w:style w:type="paragraph" w:styleId="8">
    <w:name w:val="heading 6"/>
    <w:basedOn w:val="1"/>
    <w:next w:val="2"/>
    <w:link w:val="64"/>
    <w:unhideWhenUsed/>
    <w:qFormat/>
    <w:uiPriority w:val="0"/>
    <w:pPr>
      <w:keepNext/>
      <w:keepLines/>
      <w:numPr>
        <w:ilvl w:val="5"/>
        <w:numId w:val="1"/>
      </w:numPr>
      <w:spacing w:before="240" w:after="64" w:line="319" w:lineRule="auto"/>
      <w:outlineLvl w:val="5"/>
    </w:pPr>
    <w:rPr>
      <w:rFonts w:ascii="Arial" w:hAnsi="Arial" w:eastAsia="黑体"/>
      <w:b/>
      <w:sz w:val="24"/>
      <w:szCs w:val="24"/>
    </w:rPr>
  </w:style>
  <w:style w:type="paragraph" w:styleId="9">
    <w:name w:val="heading 7"/>
    <w:basedOn w:val="1"/>
    <w:next w:val="2"/>
    <w:link w:val="65"/>
    <w:unhideWhenUsed/>
    <w:qFormat/>
    <w:uiPriority w:val="0"/>
    <w:pPr>
      <w:keepNext/>
      <w:keepLines/>
      <w:numPr>
        <w:ilvl w:val="6"/>
        <w:numId w:val="1"/>
      </w:numPr>
      <w:spacing w:before="240" w:after="64" w:line="319" w:lineRule="auto"/>
      <w:outlineLvl w:val="6"/>
    </w:pPr>
    <w:rPr>
      <w:b/>
      <w:sz w:val="24"/>
      <w:szCs w:val="24"/>
    </w:rPr>
  </w:style>
  <w:style w:type="paragraph" w:styleId="10">
    <w:name w:val="heading 8"/>
    <w:basedOn w:val="1"/>
    <w:next w:val="2"/>
    <w:link w:val="66"/>
    <w:unhideWhenUsed/>
    <w:qFormat/>
    <w:uiPriority w:val="0"/>
    <w:pPr>
      <w:keepNext/>
      <w:keepLines/>
      <w:numPr>
        <w:ilvl w:val="7"/>
        <w:numId w:val="1"/>
      </w:numPr>
      <w:spacing w:before="240" w:after="64" w:line="319" w:lineRule="auto"/>
      <w:outlineLvl w:val="7"/>
    </w:pPr>
    <w:rPr>
      <w:rFonts w:ascii="Arial" w:hAnsi="Arial" w:eastAsia="黑体"/>
      <w:sz w:val="24"/>
      <w:szCs w:val="24"/>
    </w:rPr>
  </w:style>
  <w:style w:type="paragraph" w:styleId="11">
    <w:name w:val="heading 9"/>
    <w:basedOn w:val="1"/>
    <w:next w:val="2"/>
    <w:link w:val="67"/>
    <w:unhideWhenUsed/>
    <w:qFormat/>
    <w:uiPriority w:val="0"/>
    <w:pPr>
      <w:keepNext/>
      <w:keepLines/>
      <w:numPr>
        <w:ilvl w:val="8"/>
        <w:numId w:val="1"/>
      </w:numPr>
      <w:spacing w:before="240" w:after="64" w:line="319" w:lineRule="auto"/>
      <w:outlineLvl w:val="8"/>
    </w:pPr>
    <w:rPr>
      <w:rFonts w:ascii="Arial" w:hAnsi="Arial" w:eastAsia="黑体"/>
      <w:szCs w:val="24"/>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52"/>
    <w:unhideWhenUsed/>
    <w:qFormat/>
    <w:uiPriority w:val="0"/>
    <w:pPr>
      <w:ind w:firstLine="420"/>
    </w:pPr>
  </w:style>
  <w:style w:type="paragraph" w:styleId="12">
    <w:name w:val="toc 7"/>
    <w:basedOn w:val="1"/>
    <w:next w:val="1"/>
    <w:unhideWhenUsed/>
    <w:qFormat/>
    <w:uiPriority w:val="39"/>
    <w:pPr>
      <w:ind w:left="2520" w:leftChars="1200"/>
    </w:pPr>
  </w:style>
  <w:style w:type="paragraph" w:styleId="13">
    <w:name w:val="Document Map"/>
    <w:basedOn w:val="1"/>
    <w:link w:val="70"/>
    <w:unhideWhenUsed/>
    <w:qFormat/>
    <w:uiPriority w:val="0"/>
    <w:pPr>
      <w:shd w:val="clear" w:color="auto" w:fill="000080"/>
    </w:pPr>
  </w:style>
  <w:style w:type="paragraph" w:styleId="14">
    <w:name w:val="annotation text"/>
    <w:basedOn w:val="1"/>
    <w:link w:val="147"/>
    <w:unhideWhenUsed/>
    <w:qFormat/>
    <w:uiPriority w:val="99"/>
    <w:pPr>
      <w:jc w:val="left"/>
    </w:pPr>
  </w:style>
  <w:style w:type="paragraph" w:styleId="15">
    <w:name w:val="Body Text 3"/>
    <w:basedOn w:val="1"/>
    <w:link w:val="71"/>
    <w:unhideWhenUsed/>
    <w:qFormat/>
    <w:uiPriority w:val="0"/>
    <w:pPr>
      <w:spacing w:line="500" w:lineRule="exact"/>
    </w:pPr>
    <w:rPr>
      <w:b/>
      <w:bCs/>
      <w:sz w:val="24"/>
      <w:szCs w:val="24"/>
    </w:rPr>
  </w:style>
  <w:style w:type="paragraph" w:styleId="16">
    <w:name w:val="Body Text"/>
    <w:basedOn w:val="1"/>
    <w:link w:val="68"/>
    <w:unhideWhenUsed/>
    <w:qFormat/>
    <w:uiPriority w:val="0"/>
    <w:pPr>
      <w:spacing w:after="120"/>
    </w:pPr>
  </w:style>
  <w:style w:type="paragraph" w:styleId="17">
    <w:name w:val="Body Text Indent"/>
    <w:basedOn w:val="1"/>
    <w:link w:val="72"/>
    <w:unhideWhenUsed/>
    <w:qFormat/>
    <w:uiPriority w:val="0"/>
    <w:pPr>
      <w:ind w:firstLine="630"/>
    </w:pPr>
    <w:rPr>
      <w:rFonts w:asciiTheme="minorHAnsi" w:hAnsiTheme="minorHAnsi" w:eastAsiaTheme="minorEastAsia" w:cstheme="minorBidi"/>
      <w:sz w:val="32"/>
      <w:szCs w:val="22"/>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73"/>
    <w:unhideWhenUsed/>
    <w:qFormat/>
    <w:uiPriority w:val="0"/>
    <w:rPr>
      <w:rFonts w:ascii="宋体" w:hAnsi="Courier New"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74"/>
    <w:unhideWhenUsed/>
    <w:qFormat/>
    <w:uiPriority w:val="0"/>
    <w:rPr>
      <w:rFonts w:eastAsia="黑体"/>
      <w:sz w:val="36"/>
    </w:rPr>
  </w:style>
  <w:style w:type="paragraph" w:styleId="23">
    <w:name w:val="Body Text Indent 2"/>
    <w:basedOn w:val="1"/>
    <w:link w:val="75"/>
    <w:unhideWhenUsed/>
    <w:qFormat/>
    <w:uiPriority w:val="0"/>
    <w:pPr>
      <w:ind w:firstLine="630"/>
    </w:pPr>
    <w:rPr>
      <w:sz w:val="32"/>
    </w:rPr>
  </w:style>
  <w:style w:type="paragraph" w:styleId="24">
    <w:name w:val="Balloon Text"/>
    <w:basedOn w:val="1"/>
    <w:link w:val="76"/>
    <w:unhideWhenUsed/>
    <w:qFormat/>
    <w:uiPriority w:val="0"/>
    <w:rPr>
      <w:sz w:val="18"/>
      <w:szCs w:val="18"/>
    </w:rPr>
  </w:style>
  <w:style w:type="paragraph" w:styleId="25">
    <w:name w:val="footer"/>
    <w:basedOn w:val="1"/>
    <w:link w:val="77"/>
    <w:unhideWhenUsed/>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6">
    <w:name w:val="header"/>
    <w:basedOn w:val="1"/>
    <w:link w:val="7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List"/>
    <w:basedOn w:val="1"/>
    <w:qFormat/>
    <w:uiPriority w:val="0"/>
    <w:pPr>
      <w:ind w:left="200" w:hanging="200" w:hangingChars="200"/>
    </w:pPr>
  </w:style>
  <w:style w:type="paragraph" w:styleId="30">
    <w:name w:val="toc 6"/>
    <w:basedOn w:val="1"/>
    <w:next w:val="1"/>
    <w:unhideWhenUsed/>
    <w:qFormat/>
    <w:uiPriority w:val="39"/>
    <w:pPr>
      <w:ind w:left="2100" w:leftChars="1000"/>
    </w:pPr>
  </w:style>
  <w:style w:type="paragraph" w:styleId="31">
    <w:name w:val="Body Text Indent 3"/>
    <w:basedOn w:val="1"/>
    <w:link w:val="79"/>
    <w:unhideWhenUsed/>
    <w:qFormat/>
    <w:uiPriority w:val="0"/>
    <w:pPr>
      <w:adjustRightInd w:val="0"/>
      <w:snapToGrid w:val="0"/>
      <w:spacing w:line="360" w:lineRule="auto"/>
      <w:ind w:firstLine="600" w:firstLineChars="200"/>
    </w:pPr>
    <w:rPr>
      <w:rFonts w:ascii="黑体" w:eastAsia="黑体"/>
      <w:sz w:val="30"/>
      <w:szCs w:val="28"/>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80"/>
    <w:unhideWhenUsed/>
    <w:qFormat/>
    <w:uiPriority w:val="0"/>
    <w:pPr>
      <w:spacing w:after="120" w:line="480" w:lineRule="auto"/>
    </w:pPr>
    <w:rPr>
      <w:szCs w:val="24"/>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paragraph" w:styleId="37">
    <w:name w:val="annotation subject"/>
    <w:basedOn w:val="14"/>
    <w:next w:val="14"/>
    <w:link w:val="148"/>
    <w:unhideWhenUsed/>
    <w:qFormat/>
    <w:uiPriority w:val="99"/>
    <w:rPr>
      <w:b/>
      <w:bCs/>
    </w:rPr>
  </w:style>
  <w:style w:type="paragraph" w:styleId="38">
    <w:name w:val="Body Text First Indent"/>
    <w:basedOn w:val="16"/>
    <w:link w:val="69"/>
    <w:unhideWhenUsed/>
    <w:qFormat/>
    <w:uiPriority w:val="0"/>
    <w:pPr>
      <w:ind w:firstLine="420" w:firstLineChars="100"/>
    </w:pPr>
  </w:style>
  <w:style w:type="paragraph" w:styleId="39">
    <w:name w:val="Body Text First Indent 2"/>
    <w:basedOn w:val="17"/>
    <w:qFormat/>
    <w:uiPriority w:val="0"/>
    <w:pPr>
      <w:spacing w:line="360" w:lineRule="auto"/>
      <w:ind w:firstLine="420" w:firstLineChars="200"/>
    </w:pPr>
    <w:rPr>
      <w:rFonts w:ascii="Times New Roman" w:hAnsi="Times New Roman" w:eastAsia="仿宋_GB2312" w:cs="Times New Roman"/>
      <w:spacing w:val="15"/>
      <w:kern w:val="10"/>
      <w:sz w:val="24"/>
      <w:szCs w:val="24"/>
    </w:rPr>
  </w:style>
  <w:style w:type="table" w:styleId="41">
    <w:name w:val="Table Grid"/>
    <w:basedOn w:val="4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autoSpaceDE w:val="0"/>
      <w:autoSpaceDN w:val="0"/>
      <w:adjustRightInd w:val="0"/>
      <w:spacing w:line="360" w:lineRule="auto"/>
      <w:ind w:left="200" w:left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semiHidden/>
    <w:unhideWhenUsed/>
    <w:qFormat/>
    <w:uiPriority w:val="99"/>
    <w:rPr>
      <w:color w:val="800080"/>
      <w:u w:val="none"/>
    </w:rPr>
  </w:style>
  <w:style w:type="character" w:styleId="47">
    <w:name w:val="Emphasis"/>
    <w:basedOn w:val="43"/>
    <w:qFormat/>
    <w:uiPriority w:val="20"/>
    <w:rPr>
      <w:b/>
      <w:bCs/>
    </w:rPr>
  </w:style>
  <w:style w:type="character" w:styleId="48">
    <w:name w:val="HTML Definition"/>
    <w:basedOn w:val="43"/>
    <w:semiHidden/>
    <w:unhideWhenUsed/>
    <w:qFormat/>
    <w:uiPriority w:val="99"/>
  </w:style>
  <w:style w:type="character" w:styleId="49">
    <w:name w:val="HTML Typewriter"/>
    <w:basedOn w:val="43"/>
    <w:semiHidden/>
    <w:unhideWhenUsed/>
    <w:qFormat/>
    <w:uiPriority w:val="99"/>
    <w:rPr>
      <w:rFonts w:ascii="monospace" w:hAnsi="monospace" w:eastAsia="monospace" w:cs="monospace"/>
      <w:sz w:val="20"/>
    </w:rPr>
  </w:style>
  <w:style w:type="character" w:styleId="50">
    <w:name w:val="HTML Acronym"/>
    <w:basedOn w:val="43"/>
    <w:semiHidden/>
    <w:unhideWhenUsed/>
    <w:qFormat/>
    <w:uiPriority w:val="99"/>
  </w:style>
  <w:style w:type="character" w:styleId="51">
    <w:name w:val="HTML Variable"/>
    <w:basedOn w:val="43"/>
    <w:semiHidden/>
    <w:unhideWhenUsed/>
    <w:qFormat/>
    <w:uiPriority w:val="99"/>
  </w:style>
  <w:style w:type="character" w:styleId="52">
    <w:name w:val="Hyperlink"/>
    <w:basedOn w:val="43"/>
    <w:unhideWhenUsed/>
    <w:qFormat/>
    <w:uiPriority w:val="99"/>
    <w:rPr>
      <w:color w:val="0000FF"/>
      <w:u w:val="none"/>
    </w:rPr>
  </w:style>
  <w:style w:type="character" w:styleId="53">
    <w:name w:val="HTML Code"/>
    <w:basedOn w:val="43"/>
    <w:semiHidden/>
    <w:unhideWhenUsed/>
    <w:qFormat/>
    <w:uiPriority w:val="99"/>
    <w:rPr>
      <w:rFonts w:hint="default" w:ascii="monospace" w:hAnsi="monospace" w:eastAsia="monospace" w:cs="monospace"/>
      <w:sz w:val="20"/>
    </w:rPr>
  </w:style>
  <w:style w:type="character" w:styleId="54">
    <w:name w:val="annotation reference"/>
    <w:basedOn w:val="43"/>
    <w:unhideWhenUsed/>
    <w:qFormat/>
    <w:uiPriority w:val="0"/>
    <w:rPr>
      <w:sz w:val="21"/>
      <w:szCs w:val="21"/>
    </w:rPr>
  </w:style>
  <w:style w:type="character" w:styleId="55">
    <w:name w:val="HTML Cite"/>
    <w:basedOn w:val="43"/>
    <w:semiHidden/>
    <w:unhideWhenUsed/>
    <w:uiPriority w:val="99"/>
  </w:style>
  <w:style w:type="character" w:styleId="56">
    <w:name w:val="HTML Keyboard"/>
    <w:basedOn w:val="43"/>
    <w:semiHidden/>
    <w:unhideWhenUsed/>
    <w:uiPriority w:val="99"/>
    <w:rPr>
      <w:rFonts w:hint="default" w:ascii="monospace" w:hAnsi="monospace" w:eastAsia="monospace" w:cs="monospace"/>
      <w:sz w:val="20"/>
    </w:rPr>
  </w:style>
  <w:style w:type="character" w:styleId="57">
    <w:name w:val="HTML Sample"/>
    <w:basedOn w:val="43"/>
    <w:qFormat/>
    <w:uiPriority w:val="0"/>
    <w:rPr>
      <w:rFonts w:hint="default" w:ascii="monospace" w:hAnsi="monospace" w:eastAsia="monospace" w:cs="monospace"/>
    </w:rPr>
  </w:style>
  <w:style w:type="paragraph" w:customStyle="1" w:styleId="58">
    <w:name w:val="Normal Indent1"/>
    <w:basedOn w:val="1"/>
    <w:qFormat/>
    <w:uiPriority w:val="99"/>
    <w:pPr>
      <w:adjustRightInd w:val="0"/>
      <w:snapToGrid w:val="0"/>
      <w:spacing w:line="312" w:lineRule="auto"/>
      <w:ind w:firstLine="420" w:firstLineChars="200"/>
    </w:pPr>
    <w:rPr>
      <w:sz w:val="24"/>
    </w:rPr>
  </w:style>
  <w:style w:type="character" w:customStyle="1" w:styleId="59">
    <w:name w:val="标题 1 Char"/>
    <w:basedOn w:val="43"/>
    <w:link w:val="3"/>
    <w:qFormat/>
    <w:uiPriority w:val="0"/>
    <w:rPr>
      <w:rFonts w:ascii="Times New Roman" w:hAnsi="Times New Roman" w:eastAsia="宋体" w:cs="Times New Roman"/>
      <w:b/>
      <w:kern w:val="44"/>
      <w:sz w:val="32"/>
      <w:szCs w:val="20"/>
    </w:rPr>
  </w:style>
  <w:style w:type="character" w:customStyle="1" w:styleId="60">
    <w:name w:val="标题 2 Char"/>
    <w:basedOn w:val="43"/>
    <w:link w:val="4"/>
    <w:qFormat/>
    <w:uiPriority w:val="9"/>
    <w:rPr>
      <w:rFonts w:ascii="Arial" w:hAnsi="Arial" w:eastAsia="宋体" w:cs="Times New Roman"/>
      <w:b/>
      <w:sz w:val="24"/>
      <w:szCs w:val="20"/>
    </w:rPr>
  </w:style>
  <w:style w:type="character" w:customStyle="1" w:styleId="61">
    <w:name w:val="标题 3 Char"/>
    <w:basedOn w:val="43"/>
    <w:link w:val="5"/>
    <w:qFormat/>
    <w:uiPriority w:val="0"/>
    <w:rPr>
      <w:rFonts w:ascii="Times New Roman" w:hAnsi="Times New Roman" w:eastAsia="宋体" w:cs="Times New Roman"/>
      <w:b/>
      <w:sz w:val="24"/>
      <w:szCs w:val="20"/>
    </w:rPr>
  </w:style>
  <w:style w:type="character" w:customStyle="1" w:styleId="62">
    <w:name w:val="标题 4 Char"/>
    <w:basedOn w:val="43"/>
    <w:link w:val="6"/>
    <w:semiHidden/>
    <w:qFormat/>
    <w:uiPriority w:val="0"/>
    <w:rPr>
      <w:rFonts w:ascii="Arial" w:hAnsi="Arial" w:eastAsia="黑体" w:cs="Times New Roman"/>
      <w:b/>
      <w:bCs/>
      <w:sz w:val="28"/>
      <w:szCs w:val="28"/>
    </w:rPr>
  </w:style>
  <w:style w:type="character" w:customStyle="1" w:styleId="63">
    <w:name w:val="标题 5 Char"/>
    <w:basedOn w:val="43"/>
    <w:link w:val="7"/>
    <w:semiHidden/>
    <w:qFormat/>
    <w:uiPriority w:val="0"/>
    <w:rPr>
      <w:rFonts w:ascii="Times New Roman" w:hAnsi="Times New Roman" w:eastAsia="宋体" w:cs="Times New Roman"/>
      <w:b/>
      <w:sz w:val="28"/>
      <w:szCs w:val="24"/>
    </w:rPr>
  </w:style>
  <w:style w:type="character" w:customStyle="1" w:styleId="64">
    <w:name w:val="标题 6 Char"/>
    <w:basedOn w:val="43"/>
    <w:link w:val="8"/>
    <w:semiHidden/>
    <w:qFormat/>
    <w:uiPriority w:val="0"/>
    <w:rPr>
      <w:rFonts w:ascii="Arial" w:hAnsi="Arial" w:eastAsia="黑体" w:cs="Times New Roman"/>
      <w:b/>
      <w:sz w:val="24"/>
      <w:szCs w:val="24"/>
    </w:rPr>
  </w:style>
  <w:style w:type="character" w:customStyle="1" w:styleId="65">
    <w:name w:val="标题 7 Char"/>
    <w:basedOn w:val="43"/>
    <w:link w:val="9"/>
    <w:semiHidden/>
    <w:qFormat/>
    <w:uiPriority w:val="0"/>
    <w:rPr>
      <w:rFonts w:ascii="Times New Roman" w:hAnsi="Times New Roman" w:eastAsia="宋体" w:cs="Times New Roman"/>
      <w:b/>
      <w:sz w:val="24"/>
      <w:szCs w:val="24"/>
    </w:rPr>
  </w:style>
  <w:style w:type="character" w:customStyle="1" w:styleId="66">
    <w:name w:val="标题 8 Char"/>
    <w:basedOn w:val="43"/>
    <w:link w:val="10"/>
    <w:semiHidden/>
    <w:qFormat/>
    <w:uiPriority w:val="0"/>
    <w:rPr>
      <w:rFonts w:ascii="Arial" w:hAnsi="Arial" w:eastAsia="黑体" w:cs="Times New Roman"/>
      <w:sz w:val="24"/>
      <w:szCs w:val="24"/>
    </w:rPr>
  </w:style>
  <w:style w:type="character" w:customStyle="1" w:styleId="67">
    <w:name w:val="标题 9 Char"/>
    <w:basedOn w:val="43"/>
    <w:link w:val="11"/>
    <w:semiHidden/>
    <w:qFormat/>
    <w:uiPriority w:val="0"/>
    <w:rPr>
      <w:rFonts w:ascii="Arial" w:hAnsi="Arial" w:eastAsia="黑体" w:cs="Times New Roman"/>
      <w:szCs w:val="24"/>
    </w:rPr>
  </w:style>
  <w:style w:type="character" w:customStyle="1" w:styleId="68">
    <w:name w:val="正文文本 Char"/>
    <w:basedOn w:val="43"/>
    <w:link w:val="16"/>
    <w:semiHidden/>
    <w:qFormat/>
    <w:uiPriority w:val="0"/>
    <w:rPr>
      <w:rFonts w:ascii="Times New Roman" w:hAnsi="Times New Roman" w:eastAsia="宋体" w:cs="Times New Roman"/>
      <w:szCs w:val="20"/>
    </w:rPr>
  </w:style>
  <w:style w:type="character" w:customStyle="1" w:styleId="69">
    <w:name w:val="正文首行缩进 Char"/>
    <w:basedOn w:val="68"/>
    <w:link w:val="38"/>
    <w:semiHidden/>
    <w:qFormat/>
    <w:uiPriority w:val="0"/>
    <w:rPr>
      <w:rFonts w:ascii="Times New Roman" w:hAnsi="Times New Roman" w:eastAsia="宋体" w:cs="Times New Roman"/>
      <w:szCs w:val="20"/>
    </w:rPr>
  </w:style>
  <w:style w:type="character" w:customStyle="1" w:styleId="70">
    <w:name w:val="文档结构图 Char"/>
    <w:basedOn w:val="43"/>
    <w:link w:val="13"/>
    <w:semiHidden/>
    <w:qFormat/>
    <w:uiPriority w:val="0"/>
    <w:rPr>
      <w:rFonts w:ascii="Times New Roman" w:hAnsi="Times New Roman" w:eastAsia="宋体" w:cs="Times New Roman"/>
      <w:szCs w:val="20"/>
      <w:shd w:val="clear" w:color="auto" w:fill="000080"/>
    </w:rPr>
  </w:style>
  <w:style w:type="character" w:customStyle="1" w:styleId="71">
    <w:name w:val="正文文本 3 Char"/>
    <w:basedOn w:val="43"/>
    <w:link w:val="15"/>
    <w:semiHidden/>
    <w:qFormat/>
    <w:uiPriority w:val="0"/>
    <w:rPr>
      <w:rFonts w:ascii="Times New Roman" w:hAnsi="Times New Roman" w:eastAsia="宋体" w:cs="Times New Roman"/>
      <w:b/>
      <w:bCs/>
      <w:sz w:val="24"/>
      <w:szCs w:val="24"/>
    </w:rPr>
  </w:style>
  <w:style w:type="character" w:customStyle="1" w:styleId="72">
    <w:name w:val="正文文本缩进 Char"/>
    <w:basedOn w:val="43"/>
    <w:link w:val="17"/>
    <w:semiHidden/>
    <w:qFormat/>
    <w:locked/>
    <w:uiPriority w:val="0"/>
    <w:rPr>
      <w:sz w:val="32"/>
    </w:rPr>
  </w:style>
  <w:style w:type="character" w:customStyle="1" w:styleId="73">
    <w:name w:val="纯文本 Char"/>
    <w:basedOn w:val="43"/>
    <w:link w:val="20"/>
    <w:semiHidden/>
    <w:qFormat/>
    <w:uiPriority w:val="99"/>
    <w:rPr>
      <w:rFonts w:ascii="宋体" w:hAnsi="Courier New" w:eastAsia="宋体" w:cs="Courier New"/>
      <w:szCs w:val="21"/>
    </w:rPr>
  </w:style>
  <w:style w:type="character" w:customStyle="1" w:styleId="74">
    <w:name w:val="日期 Char"/>
    <w:basedOn w:val="43"/>
    <w:link w:val="22"/>
    <w:semiHidden/>
    <w:qFormat/>
    <w:uiPriority w:val="0"/>
    <w:rPr>
      <w:rFonts w:ascii="Times New Roman" w:hAnsi="Times New Roman" w:eastAsia="黑体" w:cs="Times New Roman"/>
      <w:sz w:val="36"/>
      <w:szCs w:val="20"/>
    </w:rPr>
  </w:style>
  <w:style w:type="character" w:customStyle="1" w:styleId="75">
    <w:name w:val="正文文本缩进 2 Char"/>
    <w:basedOn w:val="43"/>
    <w:link w:val="23"/>
    <w:semiHidden/>
    <w:qFormat/>
    <w:uiPriority w:val="0"/>
    <w:rPr>
      <w:rFonts w:ascii="Times New Roman" w:hAnsi="Times New Roman" w:eastAsia="宋体" w:cs="Times New Roman"/>
      <w:sz w:val="32"/>
      <w:szCs w:val="20"/>
    </w:rPr>
  </w:style>
  <w:style w:type="character" w:customStyle="1" w:styleId="76">
    <w:name w:val="批注框文本 Char"/>
    <w:basedOn w:val="43"/>
    <w:link w:val="24"/>
    <w:semiHidden/>
    <w:qFormat/>
    <w:uiPriority w:val="0"/>
    <w:rPr>
      <w:rFonts w:ascii="Times New Roman" w:hAnsi="Times New Roman" w:eastAsia="宋体" w:cs="Times New Roman"/>
      <w:sz w:val="18"/>
      <w:szCs w:val="18"/>
    </w:rPr>
  </w:style>
  <w:style w:type="character" w:customStyle="1" w:styleId="77">
    <w:name w:val="页脚 Char"/>
    <w:basedOn w:val="43"/>
    <w:link w:val="25"/>
    <w:qFormat/>
    <w:locked/>
    <w:uiPriority w:val="99"/>
    <w:rPr>
      <w:sz w:val="18"/>
    </w:rPr>
  </w:style>
  <w:style w:type="character" w:customStyle="1" w:styleId="78">
    <w:name w:val="页眉 Char"/>
    <w:basedOn w:val="43"/>
    <w:link w:val="26"/>
    <w:qFormat/>
    <w:locked/>
    <w:uiPriority w:val="0"/>
    <w:rPr>
      <w:sz w:val="18"/>
    </w:rPr>
  </w:style>
  <w:style w:type="character" w:customStyle="1" w:styleId="79">
    <w:name w:val="正文文本缩进 3 Char"/>
    <w:basedOn w:val="43"/>
    <w:link w:val="31"/>
    <w:semiHidden/>
    <w:qFormat/>
    <w:uiPriority w:val="0"/>
    <w:rPr>
      <w:rFonts w:ascii="黑体" w:hAnsi="Times New Roman" w:eastAsia="黑体" w:cs="Times New Roman"/>
      <w:sz w:val="30"/>
      <w:szCs w:val="28"/>
    </w:rPr>
  </w:style>
  <w:style w:type="character" w:customStyle="1" w:styleId="80">
    <w:name w:val="正文文本 2 Char"/>
    <w:basedOn w:val="43"/>
    <w:link w:val="34"/>
    <w:semiHidden/>
    <w:qFormat/>
    <w:uiPriority w:val="0"/>
    <w:rPr>
      <w:rFonts w:ascii="Times New Roman" w:hAnsi="Times New Roman" w:eastAsia="宋体" w:cs="Times New Roman"/>
      <w:szCs w:val="24"/>
    </w:rPr>
  </w:style>
  <w:style w:type="character" w:customStyle="1" w:styleId="81">
    <w:name w:val="标题 1 Char1"/>
    <w:basedOn w:val="43"/>
    <w:qFormat/>
    <w:uiPriority w:val="0"/>
    <w:rPr>
      <w:b/>
      <w:bCs/>
      <w:kern w:val="44"/>
      <w:sz w:val="44"/>
      <w:szCs w:val="44"/>
    </w:rPr>
  </w:style>
  <w:style w:type="character" w:customStyle="1" w:styleId="82">
    <w:name w:val="标题 4 Char1"/>
    <w:basedOn w:val="43"/>
    <w:semiHidden/>
    <w:qFormat/>
    <w:uiPriority w:val="0"/>
    <w:rPr>
      <w:rFonts w:asciiTheme="majorHAnsi" w:hAnsiTheme="majorHAnsi" w:eastAsiaTheme="majorEastAsia" w:cstheme="majorBidi"/>
      <w:b/>
      <w:bCs/>
      <w:kern w:val="2"/>
      <w:sz w:val="28"/>
      <w:szCs w:val="28"/>
    </w:rPr>
  </w:style>
  <w:style w:type="character" w:customStyle="1" w:styleId="83">
    <w:name w:val="页眉 Char1"/>
    <w:basedOn w:val="43"/>
    <w:semiHidden/>
    <w:qFormat/>
    <w:uiPriority w:val="0"/>
    <w:rPr>
      <w:rFonts w:ascii="Times New Roman" w:hAnsi="Times New Roman" w:eastAsia="宋体" w:cs="Times New Roman"/>
      <w:sz w:val="18"/>
      <w:szCs w:val="18"/>
    </w:rPr>
  </w:style>
  <w:style w:type="character" w:customStyle="1" w:styleId="84">
    <w:name w:val="页脚 Char1"/>
    <w:basedOn w:val="43"/>
    <w:semiHidden/>
    <w:qFormat/>
    <w:uiPriority w:val="0"/>
    <w:rPr>
      <w:rFonts w:ascii="Times New Roman" w:hAnsi="Times New Roman" w:eastAsia="宋体" w:cs="Times New Roman"/>
      <w:sz w:val="18"/>
      <w:szCs w:val="18"/>
    </w:rPr>
  </w:style>
  <w:style w:type="character" w:customStyle="1" w:styleId="85">
    <w:name w:val="正文文本缩进 Char1"/>
    <w:basedOn w:val="43"/>
    <w:semiHidden/>
    <w:qFormat/>
    <w:uiPriority w:val="0"/>
    <w:rPr>
      <w:rFonts w:ascii="Times New Roman" w:hAnsi="Times New Roman" w:eastAsia="宋体" w:cs="Times New Roman"/>
      <w:szCs w:val="20"/>
    </w:rPr>
  </w:style>
  <w:style w:type="paragraph" w:customStyle="1" w:styleId="8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87">
    <w:name w:val="正文文本 21"/>
    <w:basedOn w:val="1"/>
    <w:qFormat/>
    <w:uiPriority w:val="0"/>
    <w:pPr>
      <w:adjustRightInd w:val="0"/>
      <w:spacing w:line="300" w:lineRule="auto"/>
      <w:jc w:val="center"/>
    </w:pPr>
    <w:rPr>
      <w:rFonts w:ascii="宋体" w:hAnsi="宋体"/>
      <w:sz w:val="24"/>
    </w:rPr>
  </w:style>
  <w:style w:type="paragraph" w:customStyle="1" w:styleId="88">
    <w:name w:val="Table Text"/>
    <w:basedOn w:val="1"/>
    <w:qFormat/>
    <w:uiPriority w:val="0"/>
    <w:pPr>
      <w:widowControl/>
      <w:spacing w:before="60" w:after="60"/>
      <w:jc w:val="left"/>
    </w:pPr>
    <w:rPr>
      <w:kern w:val="0"/>
      <w:szCs w:val="24"/>
    </w:rPr>
  </w:style>
  <w:style w:type="paragraph" w:customStyle="1" w:styleId="89">
    <w:name w:val="正文首行缩进两字符"/>
    <w:basedOn w:val="1"/>
    <w:qFormat/>
    <w:uiPriority w:val="0"/>
    <w:pPr>
      <w:spacing w:line="360" w:lineRule="auto"/>
      <w:ind w:firstLine="200" w:firstLineChars="200"/>
    </w:pPr>
    <w:rPr>
      <w:szCs w:val="24"/>
    </w:rPr>
  </w:style>
  <w:style w:type="paragraph" w:customStyle="1" w:styleId="90">
    <w:name w:val="正文缩进1"/>
    <w:basedOn w:val="1"/>
    <w:next w:val="1"/>
    <w:qFormat/>
    <w:uiPriority w:val="0"/>
    <w:pPr>
      <w:widowControl/>
      <w:ind w:firstLine="420"/>
    </w:pPr>
    <w:rPr>
      <w:color w:val="000000"/>
    </w:rPr>
  </w:style>
  <w:style w:type="paragraph" w:customStyle="1" w:styleId="91">
    <w:name w:val="Char1"/>
    <w:basedOn w:val="1"/>
    <w:qFormat/>
    <w:uiPriority w:val="0"/>
    <w:rPr>
      <w:szCs w:val="21"/>
    </w:rPr>
  </w:style>
  <w:style w:type="paragraph" w:customStyle="1" w:styleId="92">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3">
    <w:name w:val="table head"/>
    <w:basedOn w:val="1"/>
    <w:qFormat/>
    <w:uiPriority w:val="0"/>
    <w:pPr>
      <w:keepNext/>
      <w:keepLines/>
      <w:adjustRightInd w:val="0"/>
      <w:spacing w:line="312" w:lineRule="atLeast"/>
      <w:jc w:val="center"/>
    </w:pPr>
    <w:rPr>
      <w:b/>
      <w:kern w:val="0"/>
    </w:rPr>
  </w:style>
  <w:style w:type="paragraph" w:customStyle="1" w:styleId="94">
    <w:name w:val="纯文本1"/>
    <w:basedOn w:val="1"/>
    <w:qFormat/>
    <w:uiPriority w:val="0"/>
    <w:pPr>
      <w:adjustRightInd w:val="0"/>
    </w:pPr>
    <w:rPr>
      <w:rFonts w:ascii="宋体" w:hAnsi="Courier New"/>
    </w:rPr>
  </w:style>
  <w:style w:type="paragraph" w:customStyle="1" w:styleId="9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6">
    <w:name w:val="plain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默认段落字体 Para Char Char Char Char Char Char Char Char Char1 Char Char Char Char"/>
    <w:basedOn w:val="1"/>
    <w:qFormat/>
    <w:uiPriority w:val="0"/>
    <w:rPr>
      <w:rFonts w:ascii="Tahoma" w:hAnsi="Tahoma"/>
      <w:sz w:val="24"/>
    </w:rPr>
  </w:style>
  <w:style w:type="paragraph" w:customStyle="1" w:styleId="98">
    <w:name w:val="Char Char Char Char Char Char"/>
    <w:basedOn w:val="1"/>
    <w:qFormat/>
    <w:uiPriority w:val="0"/>
    <w:rPr>
      <w:rFonts w:ascii="Tahoma" w:hAnsi="Tahoma"/>
      <w:sz w:val="24"/>
    </w:rPr>
  </w:style>
  <w:style w:type="paragraph" w:customStyle="1" w:styleId="99">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01">
    <w:name w:val="Char2 Char Char Char"/>
    <w:basedOn w:val="1"/>
    <w:qFormat/>
    <w:uiPriority w:val="0"/>
    <w:rPr>
      <w:rFonts w:ascii="仿宋_GB2312" w:eastAsia="仿宋_GB2312"/>
      <w:b/>
      <w:sz w:val="32"/>
      <w:szCs w:val="32"/>
    </w:rPr>
  </w:style>
  <w:style w:type="paragraph" w:customStyle="1" w:styleId="10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03">
    <w:name w:val="样式 首行缩进:  2 字符"/>
    <w:basedOn w:val="1"/>
    <w:qFormat/>
    <w:uiPriority w:val="0"/>
    <w:pPr>
      <w:spacing w:line="400" w:lineRule="exact"/>
      <w:ind w:firstLine="200" w:firstLineChars="200"/>
    </w:pPr>
    <w:rPr>
      <w:rFonts w:cs="宋体"/>
      <w:sz w:val="24"/>
      <w:szCs w:val="24"/>
    </w:rPr>
  </w:style>
  <w:style w:type="paragraph" w:customStyle="1" w:styleId="104">
    <w:name w:val="Char Char Char Char Char Char1 Char"/>
    <w:basedOn w:val="13"/>
    <w:qFormat/>
    <w:uiPriority w:val="0"/>
    <w:rPr>
      <w:rFonts w:ascii="Tahoma" w:hAnsi="Tahoma"/>
      <w:sz w:val="24"/>
      <w:szCs w:val="24"/>
    </w:rPr>
  </w:style>
  <w:style w:type="paragraph" w:customStyle="1" w:styleId="105">
    <w:name w:val="表格"/>
    <w:basedOn w:val="1"/>
    <w:qFormat/>
    <w:uiPriority w:val="0"/>
    <w:pPr>
      <w:spacing w:line="400" w:lineRule="exact"/>
    </w:pPr>
    <w:rPr>
      <w:sz w:val="24"/>
      <w:szCs w:val="24"/>
    </w:rPr>
  </w:style>
  <w:style w:type="character" w:customStyle="1" w:styleId="106">
    <w:name w:val="unnamed31"/>
    <w:qFormat/>
    <w:uiPriority w:val="0"/>
    <w:rPr>
      <w:sz w:val="22"/>
      <w:szCs w:val="22"/>
    </w:rPr>
  </w:style>
  <w:style w:type="character" w:customStyle="1" w:styleId="107">
    <w:name w:val="Char Char"/>
    <w:qFormat/>
    <w:uiPriority w:val="0"/>
    <w:rPr>
      <w:rFonts w:hint="eastAsia" w:ascii="宋体" w:hAnsi="宋体" w:eastAsia="宋体"/>
      <w:b/>
      <w:kern w:val="2"/>
      <w:sz w:val="32"/>
      <w:lang w:val="en-US" w:eastAsia="zh-CN" w:bidi="ar-SA"/>
    </w:rPr>
  </w:style>
  <w:style w:type="character" w:customStyle="1" w:styleId="108">
    <w:name w:val="正文首行缩进两字符 Char"/>
    <w:qFormat/>
    <w:uiPriority w:val="0"/>
    <w:rPr>
      <w:rFonts w:hint="eastAsia" w:ascii="宋体" w:hAnsi="宋体" w:eastAsia="宋体"/>
      <w:kern w:val="2"/>
      <w:sz w:val="21"/>
      <w:szCs w:val="24"/>
      <w:lang w:val="en-US" w:eastAsia="zh-CN" w:bidi="ar-SA"/>
    </w:rPr>
  </w:style>
  <w:style w:type="character" w:customStyle="1" w:styleId="109">
    <w:name w:val="标题 3 Char Char Char"/>
    <w:qFormat/>
    <w:uiPriority w:val="0"/>
    <w:rPr>
      <w:rFonts w:hint="eastAsia" w:ascii="宋体" w:hAnsi="宋体" w:eastAsia="宋体"/>
      <w:b/>
      <w:kern w:val="2"/>
      <w:sz w:val="32"/>
      <w:lang w:val="en-US" w:eastAsia="zh-CN" w:bidi="ar-SA"/>
    </w:rPr>
  </w:style>
  <w:style w:type="character" w:customStyle="1" w:styleId="110">
    <w:name w:val="textnorm_chn1"/>
    <w:qFormat/>
    <w:uiPriority w:val="0"/>
    <w:rPr>
      <w:rFonts w:hint="default" w:ascii="Arial" w:hAnsi="Arial" w:cs="Arial"/>
      <w:color w:val="21254A"/>
      <w:sz w:val="22"/>
      <w:szCs w:val="22"/>
    </w:rPr>
  </w:style>
  <w:style w:type="character" w:customStyle="1" w:styleId="111">
    <w:name w:val="样式 小四 行距: 固定值 27 磅 Char Char"/>
    <w:link w:val="112"/>
    <w:qFormat/>
    <w:locked/>
    <w:uiPriority w:val="99"/>
    <w:rPr>
      <w:rFonts w:ascii="宋体" w:hAnsi="Times New Roman" w:eastAsia="宋体" w:cs="Times New Roman"/>
      <w:kern w:val="0"/>
      <w:sz w:val="24"/>
      <w:szCs w:val="20"/>
    </w:rPr>
  </w:style>
  <w:style w:type="paragraph" w:customStyle="1" w:styleId="112">
    <w:name w:val="样式 小四 行距: 固定值 27 磅"/>
    <w:basedOn w:val="1"/>
    <w:link w:val="111"/>
    <w:qFormat/>
    <w:uiPriority w:val="99"/>
    <w:pPr>
      <w:spacing w:line="540" w:lineRule="exact"/>
      <w:ind w:firstLine="480" w:firstLineChars="200"/>
    </w:pPr>
    <w:rPr>
      <w:rFonts w:ascii="宋体"/>
      <w:kern w:val="0"/>
      <w:sz w:val="24"/>
    </w:rPr>
  </w:style>
  <w:style w:type="paragraph" w:customStyle="1" w:styleId="113">
    <w:name w:val="Plain Text1"/>
    <w:basedOn w:val="1"/>
    <w:qFormat/>
    <w:uiPriority w:val="99"/>
    <w:rPr>
      <w:rFonts w:ascii="宋体" w:hAnsi="Courier New" w:cs="Courier New"/>
      <w:szCs w:val="21"/>
    </w:rPr>
  </w:style>
  <w:style w:type="paragraph" w:customStyle="1" w:styleId="114">
    <w:name w:val="Normal Indent11"/>
    <w:basedOn w:val="1"/>
    <w:qFormat/>
    <w:uiPriority w:val="99"/>
    <w:pPr>
      <w:adjustRightInd w:val="0"/>
      <w:snapToGrid w:val="0"/>
      <w:spacing w:line="312" w:lineRule="auto"/>
      <w:ind w:firstLine="420" w:firstLineChars="200"/>
    </w:pPr>
    <w:rPr>
      <w:sz w:val="24"/>
    </w:rPr>
  </w:style>
  <w:style w:type="paragraph" w:customStyle="1" w:styleId="115">
    <w:name w:val="È¡ÀÊ¡ÎÄ¡À¾"/>
    <w:basedOn w:val="1"/>
    <w:qFormat/>
    <w:uiPriority w:val="99"/>
    <w:pPr>
      <w:widowControl/>
      <w:overflowPunct w:val="0"/>
      <w:autoSpaceDE w:val="0"/>
      <w:autoSpaceDN w:val="0"/>
      <w:adjustRightInd w:val="0"/>
      <w:jc w:val="left"/>
    </w:pPr>
    <w:rPr>
      <w:kern w:val="0"/>
      <w:sz w:val="24"/>
    </w:rPr>
  </w:style>
  <w:style w:type="character" w:customStyle="1" w:styleId="116">
    <w:name w:val="font11"/>
    <w:basedOn w:val="43"/>
    <w:qFormat/>
    <w:uiPriority w:val="0"/>
    <w:rPr>
      <w:rFonts w:hint="eastAsia" w:ascii="宋体" w:hAnsi="宋体" w:eastAsia="宋体" w:cs="宋体"/>
      <w:color w:val="000000"/>
      <w:sz w:val="24"/>
      <w:szCs w:val="24"/>
      <w:u w:val="none"/>
    </w:rPr>
  </w:style>
  <w:style w:type="character" w:customStyle="1" w:styleId="117">
    <w:name w:val="font01"/>
    <w:basedOn w:val="43"/>
    <w:qFormat/>
    <w:uiPriority w:val="0"/>
    <w:rPr>
      <w:rFonts w:hint="eastAsia" w:ascii="宋体" w:hAnsi="宋体" w:eastAsia="宋体" w:cs="宋体"/>
      <w:color w:val="000000"/>
      <w:sz w:val="24"/>
      <w:szCs w:val="24"/>
      <w:u w:val="none"/>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font5"/>
    <w:basedOn w:val="1"/>
    <w:qFormat/>
    <w:uiPriority w:val="0"/>
    <w:pPr>
      <w:widowControl/>
      <w:spacing w:before="100" w:beforeAutospacing="1" w:after="100" w:afterAutospacing="1"/>
      <w:jc w:val="left"/>
    </w:pPr>
    <w:rPr>
      <w:b/>
      <w:bCs/>
      <w:color w:val="000000"/>
      <w:kern w:val="0"/>
      <w:szCs w:val="21"/>
    </w:rPr>
  </w:style>
  <w:style w:type="paragraph" w:customStyle="1" w:styleId="120">
    <w:name w:val="font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font8"/>
    <w:basedOn w:val="1"/>
    <w:qFormat/>
    <w:uiPriority w:val="0"/>
    <w:pPr>
      <w:widowControl/>
      <w:spacing w:before="100" w:beforeAutospacing="1" w:after="100" w:afterAutospacing="1"/>
      <w:jc w:val="left"/>
    </w:pPr>
    <w:rPr>
      <w:color w:val="000000"/>
      <w:kern w:val="0"/>
      <w:sz w:val="24"/>
      <w:szCs w:val="24"/>
    </w:rPr>
  </w:style>
  <w:style w:type="paragraph" w:customStyle="1" w:styleId="123">
    <w:name w:val="font9"/>
    <w:basedOn w:val="1"/>
    <w:qFormat/>
    <w:uiPriority w:val="0"/>
    <w:pPr>
      <w:widowControl/>
      <w:spacing w:before="100" w:beforeAutospacing="1" w:after="100" w:afterAutospacing="1"/>
      <w:jc w:val="left"/>
    </w:pPr>
    <w:rPr>
      <w:b/>
      <w:bCs/>
      <w:color w:val="000000"/>
      <w:kern w:val="0"/>
      <w:sz w:val="24"/>
      <w:szCs w:val="24"/>
    </w:rPr>
  </w:style>
  <w:style w:type="paragraph" w:customStyle="1" w:styleId="124">
    <w:name w:val="font10"/>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25">
    <w:name w:val="xl65"/>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32">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8">
    <w:name w:val="xl78"/>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4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4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2">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4">
    <w:name w:val="列出段落1"/>
    <w:basedOn w:val="1"/>
    <w:qFormat/>
    <w:uiPriority w:val="34"/>
    <w:pPr>
      <w:ind w:firstLine="420" w:firstLineChars="200"/>
    </w:pPr>
  </w:style>
  <w:style w:type="paragraph" w:customStyle="1" w:styleId="145">
    <w:name w:val="列出段落2"/>
    <w:basedOn w:val="1"/>
    <w:qFormat/>
    <w:uiPriority w:val="99"/>
    <w:pPr>
      <w:ind w:firstLine="420" w:firstLineChars="200"/>
    </w:pPr>
  </w:style>
  <w:style w:type="paragraph" w:customStyle="1" w:styleId="146">
    <w:name w:val="列出段落3"/>
    <w:basedOn w:val="1"/>
    <w:qFormat/>
    <w:uiPriority w:val="99"/>
    <w:pPr>
      <w:ind w:firstLine="420" w:firstLineChars="200"/>
    </w:pPr>
  </w:style>
  <w:style w:type="character" w:customStyle="1" w:styleId="147">
    <w:name w:val="批注文字 Char"/>
    <w:basedOn w:val="43"/>
    <w:link w:val="14"/>
    <w:semiHidden/>
    <w:qFormat/>
    <w:uiPriority w:val="99"/>
    <w:rPr>
      <w:rFonts w:ascii="Times New Roman" w:hAnsi="Times New Roman" w:eastAsia="宋体" w:cs="Times New Roman"/>
      <w:kern w:val="2"/>
      <w:sz w:val="21"/>
    </w:rPr>
  </w:style>
  <w:style w:type="character" w:customStyle="1" w:styleId="148">
    <w:name w:val="批注主题 Char"/>
    <w:basedOn w:val="147"/>
    <w:link w:val="37"/>
    <w:semiHidden/>
    <w:qFormat/>
    <w:uiPriority w:val="99"/>
    <w:rPr>
      <w:rFonts w:ascii="Times New Roman" w:hAnsi="Times New Roman" w:eastAsia="宋体" w:cs="Times New Roman"/>
      <w:b/>
      <w:bCs/>
      <w:kern w:val="2"/>
      <w:sz w:val="21"/>
    </w:rPr>
  </w:style>
  <w:style w:type="paragraph" w:customStyle="1" w:styleId="149">
    <w:name w:val="_Style 12"/>
    <w:basedOn w:val="1"/>
    <w:qFormat/>
    <w:uiPriority w:val="0"/>
    <w:pPr>
      <w:tabs>
        <w:tab w:val="left" w:pos="360"/>
      </w:tabs>
      <w:ind w:firstLine="420" w:firstLineChars="150"/>
    </w:pPr>
    <w:rPr>
      <w:rFonts w:ascii="Arial" w:hAnsi="Arial" w:cs="Arial"/>
      <w:sz w:val="20"/>
      <w:szCs w:val="24"/>
    </w:rPr>
  </w:style>
  <w:style w:type="character" w:customStyle="1" w:styleId="150">
    <w:name w:val="p141"/>
    <w:qFormat/>
    <w:uiPriority w:val="0"/>
    <w:rPr>
      <w:sz w:val="21"/>
      <w:szCs w:val="21"/>
    </w:rPr>
  </w:style>
  <w:style w:type="paragraph" w:customStyle="1" w:styleId="15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52">
    <w:name w:val="正文缩进 Char"/>
    <w:link w:val="2"/>
    <w:qFormat/>
    <w:uiPriority w:val="0"/>
    <w:rPr>
      <w:rFonts w:ascii="Times New Roman" w:hAnsi="Times New Roman" w:eastAsia="宋体" w:cs="Times New Roman"/>
      <w:kern w:val="2"/>
      <w:sz w:val="21"/>
    </w:rPr>
  </w:style>
  <w:style w:type="paragraph" w:customStyle="1" w:styleId="153">
    <w:name w:val="_Style 5"/>
    <w:basedOn w:val="1"/>
    <w:qFormat/>
    <w:uiPriority w:val="0"/>
    <w:pPr>
      <w:tabs>
        <w:tab w:val="left" w:pos="360"/>
      </w:tabs>
      <w:ind w:firstLine="420" w:firstLineChars="150"/>
    </w:pPr>
    <w:rPr>
      <w:rFonts w:ascii="Calibri" w:hAnsi="Calibri"/>
      <w:szCs w:val="24"/>
    </w:rPr>
  </w:style>
  <w:style w:type="paragraph" w:customStyle="1" w:styleId="154">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155">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cs="Arial"/>
      <w:kern w:val="0"/>
      <w:szCs w:val="21"/>
    </w:rPr>
  </w:style>
  <w:style w:type="paragraph" w:customStyle="1" w:styleId="156">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51"/>
    <w:basedOn w:val="43"/>
    <w:qFormat/>
    <w:uiPriority w:val="0"/>
    <w:rPr>
      <w:rFonts w:hint="eastAsia" w:ascii="宋体" w:hAnsi="宋体" w:eastAsia="宋体" w:cs="宋体"/>
      <w:color w:val="000000"/>
      <w:sz w:val="20"/>
      <w:szCs w:val="20"/>
      <w:u w:val="none"/>
    </w:rPr>
  </w:style>
  <w:style w:type="character" w:customStyle="1" w:styleId="158">
    <w:name w:val="font61"/>
    <w:basedOn w:val="43"/>
    <w:qFormat/>
    <w:uiPriority w:val="0"/>
    <w:rPr>
      <w:rFonts w:hint="eastAsia" w:ascii="宋体" w:hAnsi="宋体" w:eastAsia="宋体" w:cs="宋体"/>
      <w:color w:val="000000"/>
      <w:sz w:val="20"/>
      <w:szCs w:val="20"/>
      <w:u w:val="none"/>
    </w:rPr>
  </w:style>
  <w:style w:type="paragraph" w:customStyle="1" w:styleId="159">
    <w:name w:val="表格内容"/>
    <w:basedOn w:val="1"/>
    <w:qFormat/>
    <w:uiPriority w:val="0"/>
    <w:pPr>
      <w:spacing w:line="0" w:lineRule="atLeast"/>
      <w:jc w:val="center"/>
    </w:pPr>
    <w:rPr>
      <w:szCs w:val="21"/>
    </w:rPr>
  </w:style>
  <w:style w:type="character" w:customStyle="1" w:styleId="160">
    <w:name w:val="font31"/>
    <w:basedOn w:val="43"/>
    <w:qFormat/>
    <w:uiPriority w:val="0"/>
    <w:rPr>
      <w:rFonts w:hint="eastAsia" w:ascii="宋体" w:hAnsi="宋体" w:eastAsia="宋体" w:cs="宋体"/>
      <w:color w:val="000000"/>
      <w:sz w:val="21"/>
      <w:szCs w:val="21"/>
      <w:u w:val="none"/>
    </w:rPr>
  </w:style>
  <w:style w:type="paragraph" w:customStyle="1" w:styleId="161">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character" w:customStyle="1" w:styleId="162">
    <w:name w:val="hover1"/>
    <w:basedOn w:val="43"/>
    <w:uiPriority w:val="0"/>
    <w:rPr>
      <w:color w:val="2590EB"/>
    </w:rPr>
  </w:style>
  <w:style w:type="character" w:customStyle="1" w:styleId="163">
    <w:name w:val="hover2"/>
    <w:basedOn w:val="43"/>
    <w:uiPriority w:val="0"/>
    <w:rPr>
      <w:color w:val="2590EB"/>
    </w:rPr>
  </w:style>
  <w:style w:type="character" w:customStyle="1" w:styleId="164">
    <w:name w:val="hover3"/>
    <w:basedOn w:val="43"/>
    <w:uiPriority w:val="0"/>
  </w:style>
  <w:style w:type="character" w:customStyle="1" w:styleId="165">
    <w:name w:val="hover"/>
    <w:basedOn w:val="43"/>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textRotate="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8B2F-BADF-4D77-9ED2-32122671FD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4216</Words>
  <Characters>24032</Characters>
  <Lines>200</Lines>
  <Paragraphs>56</Paragraphs>
  <TotalTime>5</TotalTime>
  <ScaleCrop>false</ScaleCrop>
  <LinksUpToDate>false</LinksUpToDate>
  <CharactersWithSpaces>28192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2015-04-15T03:08:00Z</dcterms:created>
  <dc:creator>User</dc:creator>
  <cp:lastModifiedBy>x</cp:lastModifiedBy>
  <cp:lastPrinted>2021-08-26T03:58:00Z</cp:lastPrinted>
  <dcterms:modified xsi:type="dcterms:W3CDTF">2021-11-11T05:11:28Z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2A88533DF67944A5BB746BAD25F4F8C5</vt:lpwstr>
  </property>
</Properties>
</file>