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hd w:val="clear" w:color="auto" w:fill="auto"/>
        <w:spacing w:line="360" w:lineRule="auto"/>
        <w:jc w:val="center"/>
        <w:outlineLvl w:val="0"/>
        <w:rPr>
          <w:rFonts w:hint="eastAsia" w:ascii="宋体"/>
          <w:b/>
          <w:color w:val="auto"/>
          <w:sz w:val="32"/>
          <w:szCs w:val="32"/>
          <w:highlight w:val="none"/>
        </w:rPr>
      </w:pPr>
      <w:r>
        <w:rPr>
          <w:rFonts w:hint="eastAsia" w:ascii="宋体"/>
          <w:b/>
          <w:color w:val="auto"/>
          <w:sz w:val="32"/>
          <w:szCs w:val="32"/>
          <w:highlight w:val="none"/>
        </w:rPr>
        <w:t>采购内容</w:t>
      </w:r>
    </w:p>
    <w:p>
      <w:pPr>
        <w:numPr>
          <w:ilvl w:val="0"/>
          <w:numId w:val="0"/>
        </w:numPr>
        <w:shd w:val="clear" w:color="auto" w:fill="auto"/>
        <w:spacing w:line="360" w:lineRule="auto"/>
        <w:ind w:left="420" w:leftChars="0"/>
        <w:jc w:val="left"/>
        <w:rPr>
          <w:rFonts w:hint="eastAsia" w:ascii="宋体" w:hAnsi="宋体"/>
          <w:b/>
          <w:color w:val="auto"/>
          <w:sz w:val="30"/>
          <w:szCs w:val="30"/>
          <w:highlight w:val="none"/>
        </w:rPr>
      </w:pPr>
      <w:r>
        <w:rPr>
          <w:rFonts w:hint="eastAsia" w:ascii="宋体" w:hAnsi="宋体"/>
          <w:b/>
          <w:color w:val="auto"/>
          <w:sz w:val="30"/>
          <w:szCs w:val="30"/>
          <w:highlight w:val="none"/>
        </w:rPr>
        <w:t>采购内容及</w:t>
      </w:r>
      <w:r>
        <w:rPr>
          <w:rFonts w:hint="eastAsia" w:ascii="宋体" w:hAnsi="宋体"/>
          <w:b/>
          <w:color w:val="auto"/>
          <w:sz w:val="30"/>
          <w:szCs w:val="30"/>
          <w:highlight w:val="none"/>
          <w:lang w:eastAsia="zh-CN"/>
        </w:rPr>
        <w:t>相关工作内容</w:t>
      </w:r>
    </w:p>
    <w:p>
      <w:pPr>
        <w:pStyle w:val="3"/>
        <w:keepNext w:val="0"/>
        <w:keepLines w:val="0"/>
        <w:widowControl/>
        <w:suppressLineNumbers w:val="0"/>
        <w:spacing w:before="40" w:beforeAutospacing="0" w:after="0" w:afterAutospacing="0" w:line="360" w:lineRule="auto"/>
        <w:ind w:right="0"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本项目阿克陶县中心城区控制性详细规划编制项目、中心城区20平方公里1:1000地形图测绘、国土空间基础信息平台和一张图系统硬件设备建设等总计申请资金约450万元。</w:t>
      </w:r>
    </w:p>
    <w:p>
      <w:pPr>
        <w:pStyle w:val="3"/>
        <w:keepNext w:val="0"/>
        <w:keepLines w:val="0"/>
        <w:widowControl/>
        <w:suppressLineNumbers w:val="0"/>
        <w:spacing w:before="40" w:beforeAutospacing="0" w:after="0" w:afterAutospacing="0" w:line="360" w:lineRule="auto"/>
        <w:ind w:right="0"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为深入贯彻落实《中共中央国务院关于建立空间规划体系并监督实施的若干意见》（中发〔2019〕18号）、《自然资源部关于开展全国国土空间规划编制工作的通知》（自然资发〔2019〕87号）和自治区人民政府办公厅《关于印发新疆全面开展国土空间规划编制</w:t>
      </w:r>
      <w:bookmarkStart w:id="0" w:name="_GoBack"/>
      <w:bookmarkEnd w:id="0"/>
      <w:r>
        <w:rPr>
          <w:rFonts w:hint="eastAsia" w:ascii="宋体" w:hAnsi="Times New Roman" w:eastAsia="宋体" w:cs="Times New Roman"/>
          <w:color w:val="auto"/>
          <w:kern w:val="2"/>
          <w:sz w:val="21"/>
          <w:szCs w:val="21"/>
          <w:highlight w:val="none"/>
          <w:lang w:val="en-US" w:eastAsia="zh-CN" w:bidi="ar-SA"/>
        </w:rPr>
        <w:t>工作方案的通知》新政办发〔2019〕92号相关要求，在阿克陶县建立国土空间规划体系并监督实施，将主体功能区规划、土地利用规划、城乡规划等空间类规划融合为统一的国土空间规划，实现多规合一，加快建立国土空间规划为基础，以用途管制为手段的国土空间开发保护制度，控制详细规划是自治区“四级三类”国土空间规划体系的重要组织部分，是开展国土空间开发保护活动实施国土空间用途管制核发城乡建设项目规划许可进行各项建设等的法定依据。</w:t>
      </w:r>
    </w:p>
    <w:p>
      <w:pPr>
        <w:pStyle w:val="3"/>
        <w:keepNext w:val="0"/>
        <w:keepLines w:val="0"/>
        <w:widowControl/>
        <w:suppressLineNumbers w:val="0"/>
        <w:spacing w:before="40" w:beforeAutospacing="0" w:after="0" w:afterAutospacing="0" w:line="360" w:lineRule="auto"/>
        <w:ind w:right="0"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本项目编制内容包括阿克陶县中心城区控制性详细规划编制，控制价为390万元，中心城区1:1000地形图测绘，控制价为30万元，国土空间基础信息平台和一张图系统和硬件设备建设，控制价为30万元。投标供应商对上述三部分需分别报价；</w:t>
      </w:r>
    </w:p>
    <w:p>
      <w:pPr>
        <w:pStyle w:val="3"/>
        <w:keepNext w:val="0"/>
        <w:keepLines w:val="0"/>
        <w:widowControl/>
        <w:suppressLineNumbers w:val="0"/>
        <w:spacing w:before="40" w:beforeAutospacing="0" w:after="0" w:afterAutospacing="0" w:line="360" w:lineRule="auto"/>
        <w:ind w:left="0" w:leftChars="0" w:right="0" w:firstLine="0" w:firstLineChars="0"/>
        <w:jc w:val="left"/>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t>工作重点</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本次项自工作方案分为二大阶段，分别为规划统筹研究阶段与控规编制阶段。</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2"/>
          <w:szCs w:val="22"/>
          <w:highlight w:val="none"/>
          <w:lang w:val="en-US" w:eastAsia="zh-CN" w:bidi="ar-SA"/>
        </w:rPr>
      </w:pPr>
      <w:r>
        <w:rPr>
          <w:rFonts w:hint="default" w:ascii="宋体" w:hAnsi="Times New Roman" w:eastAsia="宋体" w:cs="Times New Roman"/>
          <w:b/>
          <w:bCs/>
          <w:color w:val="auto"/>
          <w:kern w:val="2"/>
          <w:sz w:val="22"/>
          <w:szCs w:val="22"/>
          <w:highlight w:val="none"/>
          <w:lang w:val="en-US" w:eastAsia="zh-CN" w:bidi="ar-SA"/>
        </w:rPr>
        <w:t>第一阶段:规划统筹研究</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（1）</w:t>
      </w:r>
      <w:r>
        <w:rPr>
          <w:rFonts w:hint="default" w:ascii="宋体" w:hAnsi="Times New Roman" w:eastAsia="宋体" w:cs="Times New Roman"/>
          <w:b/>
          <w:bCs/>
          <w:color w:val="auto"/>
          <w:kern w:val="2"/>
          <w:sz w:val="21"/>
          <w:szCs w:val="21"/>
          <w:highlight w:val="none"/>
          <w:lang w:val="en-US" w:eastAsia="zh-CN" w:bidi="ar-SA"/>
        </w:rPr>
        <w:t>原有相关控规回顾与实施评估</w:t>
      </w:r>
    </w:p>
    <w:p>
      <w:pPr>
        <w:pStyle w:val="3"/>
        <w:keepNext w:val="0"/>
        <w:keepLines w:val="0"/>
        <w:widowControl/>
        <w:suppressLineNumbers w:val="0"/>
        <w:spacing w:before="40" w:beforeAutospacing="0" w:after="0" w:afterAutospacing="0" w:line="360" w:lineRule="auto"/>
        <w:ind w:right="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对原有法定控规《阿克陶县中心城区控制性详细规划》(2011年)进行回顾与评估，评估原有控规的实施效果与合理性，剖析现状问题的形成原因，分析原有控规的不足与有待再研究的内容，为本轮控规修编提供改进思路和规划调整优化方向。</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（2）</w:t>
      </w:r>
      <w:r>
        <w:rPr>
          <w:rFonts w:hint="default" w:ascii="宋体" w:hAnsi="Times New Roman" w:eastAsia="宋体" w:cs="Times New Roman"/>
          <w:b/>
          <w:bCs/>
          <w:color w:val="auto"/>
          <w:kern w:val="2"/>
          <w:sz w:val="21"/>
          <w:szCs w:val="21"/>
          <w:highlight w:val="none"/>
          <w:lang w:val="en-US" w:eastAsia="zh-CN" w:bidi="ar-SA"/>
        </w:rPr>
        <w:t>现状综合评价</w:t>
      </w:r>
    </w:p>
    <w:p>
      <w:pPr>
        <w:pStyle w:val="3"/>
        <w:keepNext w:val="0"/>
        <w:keepLines w:val="0"/>
        <w:widowControl/>
        <w:suppressLineNumbers w:val="0"/>
        <w:spacing w:before="40" w:beforeAutospacing="0" w:after="0" w:afterAutospacing="0" w:line="360" w:lineRule="auto"/>
        <w:ind w:right="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对接国土空间规划，基于三调用地数据、部门收资数据、百度地图POI数据等为基础，建立现状踏勘工作底图在此基础上结合现状踏勘，实现对规划区现状的全面摸查并通过定性与定量相结合的方式对现状公共服务设施、景观环境、道路交通、基础设施等进行综合评价，对规划策略研究提供有针对性的指导。</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（3）</w:t>
      </w:r>
      <w:r>
        <w:rPr>
          <w:rFonts w:hint="default" w:ascii="宋体" w:hAnsi="Times New Roman" w:eastAsia="宋体" w:cs="Times New Roman"/>
          <w:b/>
          <w:bCs/>
          <w:color w:val="auto"/>
          <w:kern w:val="2"/>
          <w:sz w:val="21"/>
          <w:szCs w:val="21"/>
          <w:highlight w:val="none"/>
          <w:lang w:val="en-US" w:eastAsia="zh-CN" w:bidi="ar-SA"/>
        </w:rPr>
        <w:t>目标定位研究</w:t>
      </w:r>
    </w:p>
    <w:p>
      <w:pPr>
        <w:pStyle w:val="3"/>
        <w:keepNext w:val="0"/>
        <w:keepLines w:val="0"/>
        <w:widowControl/>
        <w:suppressLineNumbers w:val="0"/>
        <w:spacing w:before="40" w:beforeAutospacing="0" w:after="0" w:afterAutospacing="0" w:line="360" w:lineRule="auto"/>
        <w:ind w:right="0" w:firstLine="420" w:firstLineChars="200"/>
        <w:jc w:val="left"/>
        <w:rPr>
          <w:rFonts w:hint="eastAsia" w:ascii="宋体" w:hAnsi="Times New Roman" w:eastAsia="宋体" w:cs="Times New Roman"/>
          <w:b/>
          <w:bCs/>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研究落实“丝绸之路经济带核心区"等战略，以适应喀(什)-阿(图什)一体化以及与克州整体转型发展为核心，对阿克陶中心城区在喀-阿一体化区中所承担的职能以及功能定位进行再思考，提出应对新格局、新趋势下阿克陶的发展定位与目标。</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（4）</w:t>
      </w:r>
      <w:r>
        <w:rPr>
          <w:rFonts w:hint="default" w:ascii="宋体" w:hAnsi="Times New Roman" w:eastAsia="宋体" w:cs="Times New Roman"/>
          <w:b/>
          <w:bCs/>
          <w:color w:val="auto"/>
          <w:kern w:val="2"/>
          <w:sz w:val="21"/>
          <w:szCs w:val="21"/>
          <w:highlight w:val="none"/>
          <w:lang w:val="en-US" w:eastAsia="zh-CN" w:bidi="ar-SA"/>
        </w:rPr>
        <w:t>功能策划研究</w:t>
      </w:r>
    </w:p>
    <w:p>
      <w:pPr>
        <w:pStyle w:val="3"/>
        <w:keepNext w:val="0"/>
        <w:keepLines w:val="0"/>
        <w:widowControl/>
        <w:suppressLineNumbers w:val="0"/>
        <w:spacing w:before="40" w:beforeAutospacing="0" w:after="0" w:afterAutospacing="0" w:line="360" w:lineRule="auto"/>
        <w:ind w:right="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加强城市运营及项目策划研究。通过对用地策划及项目策划，寻求中心城区内部各板块的发展引擎，激发开发建设中的对资源、土地等开发利用的效率，提升中心城区土地价值及发展的吸引力，并结合项目策划进一步优化用地空间结构，对中心城区具体的用地、建筑用途和业态功能布局进行详细的安排，研究合理的各用地占比。</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（5）</w:t>
      </w:r>
      <w:r>
        <w:rPr>
          <w:rFonts w:hint="default" w:ascii="宋体" w:hAnsi="Times New Roman" w:eastAsia="宋体" w:cs="Times New Roman"/>
          <w:b/>
          <w:bCs/>
          <w:color w:val="auto"/>
          <w:kern w:val="2"/>
          <w:sz w:val="21"/>
          <w:szCs w:val="21"/>
          <w:highlight w:val="none"/>
          <w:lang w:val="en-US" w:eastAsia="zh-CN" w:bidi="ar-SA"/>
        </w:rPr>
        <w:t>总体空间布局研究</w:t>
      </w:r>
    </w:p>
    <w:p>
      <w:pPr>
        <w:pStyle w:val="3"/>
        <w:keepNext w:val="0"/>
        <w:keepLines w:val="0"/>
        <w:widowControl/>
        <w:suppressLineNumbers w:val="0"/>
        <w:spacing w:before="40" w:beforeAutospacing="0" w:after="0" w:afterAutospacing="0" w:line="360" w:lineRule="auto"/>
        <w:ind w:right="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实现多规融合语境下的空间布局方案。细化阿克陶国土空间总体规划中的用地安排，结合十四五规划、各类专项规划、项目策划、公共设施配套研究和空间形态方案，强化用地结构、功能梳理，全面优化中心城区功能板块的空间结构，形成最终的用地布局方案。</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（6）</w:t>
      </w:r>
      <w:r>
        <w:rPr>
          <w:rFonts w:hint="default" w:ascii="宋体" w:hAnsi="Times New Roman" w:eastAsia="宋体" w:cs="Times New Roman"/>
          <w:b/>
          <w:bCs/>
          <w:color w:val="auto"/>
          <w:kern w:val="2"/>
          <w:sz w:val="21"/>
          <w:szCs w:val="21"/>
          <w:highlight w:val="none"/>
          <w:lang w:val="en-US" w:eastAsia="zh-CN" w:bidi="ar-SA"/>
        </w:rPr>
        <w:t>关键问题研究</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6.1</w:t>
      </w:r>
      <w:r>
        <w:rPr>
          <w:rFonts w:hint="default" w:ascii="宋体" w:hAnsi="Times New Roman" w:eastAsia="宋体" w:cs="Times New Roman"/>
          <w:color w:val="auto"/>
          <w:kern w:val="2"/>
          <w:sz w:val="21"/>
          <w:szCs w:val="21"/>
          <w:highlight w:val="none"/>
          <w:lang w:val="en-US" w:eastAsia="zh-CN" w:bidi="ar-SA"/>
        </w:rPr>
        <w:t>宜居社区生活圈研究</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按照《社区生活圈规划技术指南》要求，以人民为中心、贯彻新发展理念、突出问题导向和目标导向、强化系统治理、因地制宜构建以人为本、全龄友好的特色城镇社区生活圈，打造“五宜社区”(宜业、宜居、宜游、宜养、宜学)多元功能的空间单元，以提高土地利用效率、实现公共服务设施的均等化供给。</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6.2</w:t>
      </w:r>
      <w:r>
        <w:rPr>
          <w:rFonts w:hint="default" w:ascii="宋体" w:hAnsi="Times New Roman" w:eastAsia="宋体" w:cs="Times New Roman"/>
          <w:color w:val="auto"/>
          <w:kern w:val="2"/>
          <w:sz w:val="21"/>
          <w:szCs w:val="21"/>
          <w:highlight w:val="none"/>
          <w:lang w:val="en-US" w:eastAsia="zh-CN" w:bidi="ar-SA"/>
        </w:rPr>
        <w:t>魅力特色空间塑造研究</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按照《国土空间规划城市设计指南》等要求，运用城市设计手段，以合理的三维空间形态、提升空间品质目标，借助形态组织和环境营造方法，增强城市空间、界面、建筑布局等合理性，塑造具有独特人文魅力的特色空间体系，为控制性详细规划提供支撑与依据。</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6.3</w:t>
      </w:r>
      <w:r>
        <w:rPr>
          <w:rFonts w:hint="default" w:ascii="宋体" w:hAnsi="Times New Roman" w:eastAsia="宋体" w:cs="Times New Roman"/>
          <w:color w:val="auto"/>
          <w:kern w:val="2"/>
          <w:sz w:val="21"/>
          <w:szCs w:val="21"/>
          <w:highlight w:val="none"/>
          <w:lang w:val="en-US" w:eastAsia="zh-CN" w:bidi="ar-SA"/>
        </w:rPr>
        <w:t>道路交通系统的优化全面梳理中心城区现状交通发展情况，优化路网结构，处理好中心城区内部道路与过境交通干道的衔接;规划公共交通及步行交通体系，引导居民采用公交及步行出行，形成安全、连续、便捷、高效的综合高效的交通体系。</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6.4</w:t>
      </w:r>
      <w:r>
        <w:rPr>
          <w:rFonts w:hint="default" w:ascii="宋体" w:hAnsi="Times New Roman" w:eastAsia="宋体" w:cs="Times New Roman"/>
          <w:color w:val="auto"/>
          <w:kern w:val="2"/>
          <w:sz w:val="21"/>
          <w:szCs w:val="21"/>
          <w:highlight w:val="none"/>
          <w:lang w:val="en-US" w:eastAsia="zh-CN" w:bidi="ar-SA"/>
        </w:rPr>
        <w:t>市政基础设施规划</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落实绿色、智能、创新要求，推广绿色低碳的生产生活方式和城市建设运营模式，统筹各专项规划，构建设施配套、功能完备、安全高效的现代化城市市政基础设施体系，提高城市韧性和安全保障水平。</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6.5</w:t>
      </w:r>
      <w:r>
        <w:rPr>
          <w:rFonts w:hint="default" w:ascii="宋体" w:hAnsi="Times New Roman" w:eastAsia="宋体" w:cs="Times New Roman"/>
          <w:color w:val="auto"/>
          <w:kern w:val="2"/>
          <w:sz w:val="21"/>
          <w:szCs w:val="21"/>
          <w:highlight w:val="none"/>
          <w:lang w:val="en-US" w:eastAsia="zh-CN" w:bidi="ar-SA"/>
        </w:rPr>
        <w:t>用地指标研究</w:t>
      </w:r>
    </w:p>
    <w:p>
      <w:pPr>
        <w:pStyle w:val="3"/>
        <w:keepNext w:val="0"/>
        <w:keepLines w:val="0"/>
        <w:widowControl/>
        <w:suppressLineNumbers w:val="0"/>
        <w:spacing w:before="40" w:beforeAutospacing="0" w:after="0" w:afterAutospacing="0" w:line="360" w:lineRule="auto"/>
        <w:ind w:right="0" w:firstLine="210" w:firstLineChars="1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依据国家、自治区相关城市规划技术规范，落实细化强度、高度分区等总体要求，根据各地块的区位条件、交通承载力、基础设施承载力等，确定各地块性质面积、容积率、建筑密度、绿地率、建筑要素、风貌等各项指标，以有效指导地块的建设实施。</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default" w:ascii="宋体" w:hAnsi="Times New Roman" w:eastAsia="宋体" w:cs="Times New Roman"/>
          <w:b/>
          <w:bCs/>
          <w:color w:val="auto"/>
          <w:kern w:val="2"/>
          <w:sz w:val="22"/>
          <w:szCs w:val="22"/>
          <w:highlight w:val="none"/>
          <w:lang w:val="en-US" w:eastAsia="zh-CN" w:bidi="ar-SA"/>
        </w:rPr>
        <w:t>第二阶段:控规成果编制</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（1）</w:t>
      </w:r>
      <w:r>
        <w:rPr>
          <w:rFonts w:hint="default" w:ascii="宋体" w:hAnsi="Times New Roman" w:eastAsia="宋体" w:cs="Times New Roman"/>
          <w:b/>
          <w:bCs/>
          <w:color w:val="auto"/>
          <w:kern w:val="2"/>
          <w:sz w:val="21"/>
          <w:szCs w:val="21"/>
          <w:highlight w:val="none"/>
          <w:lang w:val="en-US" w:eastAsia="zh-CN" w:bidi="ar-SA"/>
        </w:rPr>
        <w:t>明确单元划分与单元控制要求</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作为面向实施的法定规划，规划依据事权划分单元，体现各版块发展意图，合理划定中心城区的控规管理单元。突出承上启下“保底线、定框架、留弹性”的作用，统筹生态保护和城市开发建设，作为统筹生态空间、公益性设施和文化风貌等底线、强化空间引导和落地管控的平台。</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kern w:val="2"/>
          <w:sz w:val="21"/>
          <w:szCs w:val="21"/>
          <w:highlight w:val="none"/>
          <w:lang w:val="en-US" w:eastAsia="zh-CN" w:bidi="ar-SA"/>
        </w:rPr>
        <w:t>（2）</w:t>
      </w:r>
      <w:r>
        <w:rPr>
          <w:rFonts w:hint="default" w:ascii="宋体" w:hAnsi="Times New Roman" w:eastAsia="宋体" w:cs="Times New Roman"/>
          <w:b/>
          <w:bCs/>
          <w:color w:val="auto"/>
          <w:kern w:val="2"/>
          <w:sz w:val="21"/>
          <w:szCs w:val="21"/>
          <w:highlight w:val="none"/>
          <w:lang w:val="en-US" w:eastAsia="zh-CN" w:bidi="ar-SA"/>
        </w:rPr>
        <w:t>各控规单元平衡与各类设施的统筹协调</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协调统筹各控规单元内公共服务、交通、市政设施，形成互动协调机制，并明确单元的总体定位、用地规模、人口容量、功能分区、土地利用、空间布局、道路交通、城市设施、景观环境，保障城市健康发展，并进一步明确单元用途管制的正面清单和负面清单，指导地块层面的规划。</w:t>
      </w:r>
    </w:p>
    <w:p>
      <w:pPr>
        <w:pStyle w:val="3"/>
        <w:keepNext w:val="0"/>
        <w:keepLines w:val="0"/>
        <w:widowControl/>
        <w:numPr>
          <w:ilvl w:val="0"/>
          <w:numId w:val="1"/>
        </w:numPr>
        <w:suppressLineNumbers w:val="0"/>
        <w:spacing w:before="40" w:beforeAutospacing="0" w:after="0" w:afterAutospacing="0" w:line="360" w:lineRule="auto"/>
        <w:ind w:right="0" w:rightChars="0"/>
        <w:jc w:val="left"/>
        <w:rPr>
          <w:rFonts w:hint="default" w:ascii="宋体" w:hAnsi="Times New Roman" w:eastAsia="宋体" w:cs="Times New Roman"/>
          <w:b/>
          <w:bCs/>
          <w:color w:val="auto"/>
          <w:kern w:val="2"/>
          <w:sz w:val="21"/>
          <w:szCs w:val="21"/>
          <w:highlight w:val="none"/>
          <w:lang w:val="en-US" w:eastAsia="zh-CN" w:bidi="ar-SA"/>
        </w:rPr>
      </w:pPr>
      <w:r>
        <w:rPr>
          <w:rFonts w:hint="default" w:ascii="宋体" w:hAnsi="Times New Roman" w:eastAsia="宋体" w:cs="Times New Roman"/>
          <w:b/>
          <w:bCs/>
          <w:color w:val="auto"/>
          <w:kern w:val="2"/>
          <w:sz w:val="21"/>
          <w:szCs w:val="21"/>
          <w:highlight w:val="none"/>
          <w:lang w:val="en-US" w:eastAsia="zh-CN" w:bidi="ar-SA"/>
        </w:rPr>
        <w:t>具体化的控规方案输出</w:t>
      </w:r>
    </w:p>
    <w:p>
      <w:pPr>
        <w:pStyle w:val="3"/>
        <w:keepNext w:val="0"/>
        <w:keepLines w:val="0"/>
        <w:widowControl/>
        <w:numPr>
          <w:ilvl w:val="0"/>
          <w:numId w:val="0"/>
        </w:numPr>
        <w:suppressLineNumbers w:val="0"/>
        <w:spacing w:before="40" w:beforeAutospacing="0" w:after="0" w:afterAutospacing="0" w:line="360" w:lineRule="auto"/>
        <w:ind w:right="0" w:rightChars="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结合单元划分，按照控规单元的刚性要求，深化确定地块用地范围、用地性质面积、容积率、建筑密度、绿地率、建筑要素、风貌等指标，指导具体建设项目规划许可和土地供应手续办理。</w:t>
      </w:r>
    </w:p>
    <w:p>
      <w:pPr>
        <w:pStyle w:val="3"/>
        <w:keepNext w:val="0"/>
        <w:keepLines w:val="0"/>
        <w:widowControl/>
        <w:numPr>
          <w:ilvl w:val="0"/>
          <w:numId w:val="1"/>
        </w:numPr>
        <w:suppressLineNumbers w:val="0"/>
        <w:spacing w:before="40" w:beforeAutospacing="0" w:after="0" w:afterAutospacing="0" w:line="360" w:lineRule="auto"/>
        <w:ind w:right="0" w:rightChars="0"/>
        <w:jc w:val="left"/>
        <w:rPr>
          <w:rFonts w:hint="default" w:ascii="宋体" w:hAnsi="Times New Roman" w:eastAsia="宋体" w:cs="Times New Roman"/>
          <w:b/>
          <w:bCs/>
          <w:color w:val="auto"/>
          <w:kern w:val="2"/>
          <w:sz w:val="21"/>
          <w:szCs w:val="21"/>
          <w:highlight w:val="none"/>
          <w:lang w:val="en-US" w:eastAsia="zh-CN" w:bidi="ar-SA"/>
        </w:rPr>
      </w:pPr>
      <w:r>
        <w:rPr>
          <w:rFonts w:hint="default" w:ascii="宋体" w:hAnsi="Times New Roman" w:eastAsia="宋体" w:cs="Times New Roman"/>
          <w:b/>
          <w:bCs/>
          <w:color w:val="auto"/>
          <w:kern w:val="2"/>
          <w:sz w:val="21"/>
          <w:szCs w:val="21"/>
          <w:highlight w:val="none"/>
          <w:lang w:val="en-US" w:eastAsia="zh-CN" w:bidi="ar-SA"/>
        </w:rPr>
        <w:t>成果形式</w:t>
      </w:r>
    </w:p>
    <w:p>
      <w:pPr>
        <w:pStyle w:val="3"/>
        <w:keepNext w:val="0"/>
        <w:keepLines w:val="0"/>
        <w:widowControl/>
        <w:numPr>
          <w:ilvl w:val="0"/>
          <w:numId w:val="0"/>
        </w:numPr>
        <w:suppressLineNumbers w:val="0"/>
        <w:spacing w:before="40" w:beforeAutospacing="0" w:after="0" w:afterAutospacing="0" w:line="360" w:lineRule="auto"/>
        <w:ind w:leftChars="0" w:right="0" w:rightChars="0"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按照国、自治区控规编制标准进行，成果内容包括控规文本、图纸、图则以及说明书、附件(实施评估、基础资料汇编)。</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包括但不仅限于以下图纸:</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1、土地利用现状图</w:t>
      </w:r>
      <w:r>
        <w:rPr>
          <w:rFonts w:hint="eastAsia" w:ascii="宋体" w:hAnsi="Times New Roman" w:eastAsia="宋体" w:cs="Times New Roman"/>
          <w:color w:val="auto"/>
          <w:kern w:val="2"/>
          <w:sz w:val="21"/>
          <w:szCs w:val="21"/>
          <w:highlight w:val="none"/>
          <w:lang w:val="en-US" w:eastAsia="zh-CN" w:bidi="ar-SA"/>
        </w:rPr>
        <w:t xml:space="preserve">           2、</w:t>
      </w:r>
      <w:r>
        <w:rPr>
          <w:rFonts w:hint="default" w:ascii="宋体" w:hAnsi="Times New Roman" w:eastAsia="宋体" w:cs="Times New Roman"/>
          <w:color w:val="auto"/>
          <w:kern w:val="2"/>
          <w:sz w:val="21"/>
          <w:szCs w:val="21"/>
          <w:highlight w:val="none"/>
          <w:lang w:val="en-US" w:eastAsia="zh-CN" w:bidi="ar-SA"/>
        </w:rPr>
        <w:t>现状道路系统分析图</w:t>
      </w:r>
    </w:p>
    <w:p>
      <w:pPr>
        <w:pStyle w:val="3"/>
        <w:keepNext w:val="0"/>
        <w:keepLines w:val="0"/>
        <w:widowControl/>
        <w:numPr>
          <w:ilvl w:val="0"/>
          <w:numId w:val="0"/>
        </w:numPr>
        <w:suppressLineNumbers w:val="0"/>
        <w:spacing w:before="40" w:beforeAutospacing="0" w:after="0" w:afterAutospacing="0" w:line="360" w:lineRule="auto"/>
        <w:ind w:right="0" w:rightChars="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3、现状建筑分析图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4、用地潜力分析图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5、规划结构分析图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6、土地利用规划图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7、公共服务设施规划图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8、商业服务业设施规划图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9、绿地系统结构图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10、道路系统规划图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11、空间景观规划图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12、城市绿线规划图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13、城市蓝线规划图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14、建高版空伟</w:t>
      </w:r>
      <w:r>
        <w:rPr>
          <w:rFonts w:hint="eastAsia" w:ascii="宋体" w:hAnsi="Times New Roman" w:eastAsia="宋体" w:cs="Times New Roman"/>
          <w:color w:val="auto"/>
          <w:kern w:val="2"/>
          <w:sz w:val="21"/>
          <w:szCs w:val="21"/>
          <w:highlight w:val="none"/>
          <w:lang w:val="en-US" w:eastAsia="zh-CN" w:bidi="ar-SA"/>
        </w:rPr>
        <w:t>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15、开发强度控制图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16、地下空间规划图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17、给水工程规划图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18、电力工程规划图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19、城市单元及街区划分图</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20、容量指标规划图</w:t>
      </w:r>
    </w:p>
    <w:p>
      <w:pPr>
        <w:pStyle w:val="3"/>
        <w:keepNext w:val="0"/>
        <w:keepLines w:val="0"/>
        <w:widowControl/>
        <w:suppressLineNumbers w:val="0"/>
        <w:spacing w:before="40" w:beforeAutospacing="0" w:after="0" w:afterAutospacing="0" w:line="360" w:lineRule="auto"/>
        <w:ind w:right="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21、单元控制图则</w:t>
      </w:r>
      <w:r>
        <w:rPr>
          <w:rFonts w:hint="eastAsia" w:ascii="宋体" w:hAnsi="Times New Roman" w:eastAsia="宋体" w:cs="Times New Roman"/>
          <w:color w:val="auto"/>
          <w:kern w:val="2"/>
          <w:sz w:val="21"/>
          <w:szCs w:val="21"/>
          <w:highlight w:val="none"/>
          <w:lang w:val="en-US" w:eastAsia="zh-CN" w:bidi="ar-SA"/>
        </w:rPr>
        <w:t xml:space="preserve">            </w:t>
      </w:r>
      <w:r>
        <w:rPr>
          <w:rFonts w:hint="default" w:ascii="宋体" w:hAnsi="Times New Roman" w:eastAsia="宋体" w:cs="Times New Roman"/>
          <w:color w:val="auto"/>
          <w:kern w:val="2"/>
          <w:sz w:val="21"/>
          <w:szCs w:val="21"/>
          <w:highlight w:val="none"/>
          <w:lang w:val="en-US" w:eastAsia="zh-CN" w:bidi="ar-SA"/>
        </w:rPr>
        <w:t>22、地块控制图则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2E327"/>
    <w:multiLevelType w:val="singleLevel"/>
    <w:tmpl w:val="4DA2E32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A6CCD"/>
    <w:rsid w:val="117A046A"/>
    <w:rsid w:val="55DA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样式2"/>
    <w:basedOn w:val="1"/>
    <w:uiPriority w:val="0"/>
    <w:pPr>
      <w:jc w:val="both"/>
    </w:pPr>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2021-11-17T08:30:00Z</dcterms:created>
  <dc:creator>Overdose&amp;amp;上瘾</dc:creator>
  <cp:lastModifiedBy>Overdose&amp;amp;上瘾</cp:lastModifiedBy>
  <dcterms:modified xsi:type="dcterms:W3CDTF">2021-11-17T08:32:58Z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06CB33A041FB4E87ADAD2E9269C49946</vt:lpwstr>
  </property>
</Properties>
</file>