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color w:val="auto"/>
          <w:sz w:val="32"/>
          <w:szCs w:val="32"/>
        </w:rPr>
      </w:pPr>
    </w:p>
    <w:p>
      <w:pPr>
        <w:pStyle w:val="18"/>
        <w:rPr>
          <w:rFonts w:hint="eastAsia"/>
        </w:rPr>
      </w:pPr>
    </w:p>
    <w:p>
      <w:pPr>
        <w:pStyle w:val="24"/>
        <w:adjustRightInd w:val="0"/>
        <w:snapToGrid w:val="0"/>
        <w:spacing w:line="360" w:lineRule="auto"/>
        <w:jc w:val="center"/>
        <w:outlineLvl w:val="9"/>
        <w:rPr>
          <w:rFonts w:hint="eastAsia" w:hAnsi="宋体" w:cs="宋体"/>
          <w:b/>
          <w:color w:val="auto"/>
          <w:sz w:val="76"/>
          <w:szCs w:val="84"/>
        </w:rPr>
      </w:pPr>
      <w:r>
        <w:rPr>
          <w:rFonts w:hint="eastAsia" w:hAnsi="宋体" w:cs="宋体"/>
          <w:b/>
          <w:color w:val="auto"/>
          <w:sz w:val="76"/>
          <w:szCs w:val="84"/>
        </w:rPr>
        <w:t>竞争性磋商文件</w:t>
      </w:r>
    </w:p>
    <w:p>
      <w:pPr>
        <w:pStyle w:val="24"/>
        <w:adjustRightInd w:val="0"/>
        <w:snapToGrid w:val="0"/>
        <w:spacing w:line="360" w:lineRule="auto"/>
        <w:jc w:val="center"/>
        <w:outlineLvl w:val="9"/>
        <w:rPr>
          <w:rFonts w:hint="eastAsia" w:hAnsi="宋体" w:eastAsia="宋体" w:cs="Times New Roman"/>
          <w:b/>
          <w:bCs/>
          <w:color w:val="auto"/>
          <w:kern w:val="0"/>
          <w:sz w:val="30"/>
          <w:szCs w:val="30"/>
          <w:u w:val="none"/>
          <w:lang w:val="en-US" w:eastAsia="zh-CN" w:bidi="ar-SA"/>
        </w:rPr>
      </w:pPr>
      <w:r>
        <w:rPr>
          <w:rFonts w:hint="eastAsia" w:hAnsi="宋体" w:eastAsia="宋体" w:cs="Times New Roman"/>
          <w:b/>
          <w:bCs/>
          <w:color w:val="auto"/>
          <w:kern w:val="0"/>
          <w:sz w:val="30"/>
          <w:szCs w:val="30"/>
          <w:u w:val="none"/>
          <w:lang w:val="en-US" w:eastAsia="zh-CN" w:bidi="ar-SA"/>
        </w:rPr>
        <w:t>（项目</w:t>
      </w:r>
      <w:r>
        <w:rPr>
          <w:rFonts w:hint="eastAsia" w:ascii="宋体" w:hAnsi="宋体" w:eastAsia="宋体" w:cs="Times New Roman"/>
          <w:b/>
          <w:bCs/>
          <w:color w:val="auto"/>
          <w:kern w:val="0"/>
          <w:sz w:val="30"/>
          <w:szCs w:val="30"/>
          <w:u w:val="none"/>
          <w:lang w:val="en-US" w:eastAsia="zh-CN" w:bidi="ar-SA"/>
        </w:rPr>
        <w:t>编号：XJQSQZB202</w:t>
      </w:r>
      <w:r>
        <w:rPr>
          <w:rFonts w:hint="eastAsia" w:hAnsi="宋体" w:eastAsia="宋体" w:cs="Times New Roman"/>
          <w:b/>
          <w:bCs/>
          <w:color w:val="auto"/>
          <w:kern w:val="0"/>
          <w:sz w:val="30"/>
          <w:szCs w:val="30"/>
          <w:u w:val="none"/>
          <w:lang w:val="en-US" w:eastAsia="zh-CN" w:bidi="ar-SA"/>
        </w:rPr>
        <w:t>1</w:t>
      </w:r>
      <w:r>
        <w:rPr>
          <w:rFonts w:hint="eastAsia" w:ascii="宋体" w:hAnsi="宋体" w:eastAsia="宋体" w:cs="Times New Roman"/>
          <w:b/>
          <w:bCs/>
          <w:color w:val="auto"/>
          <w:kern w:val="0"/>
          <w:sz w:val="30"/>
          <w:szCs w:val="30"/>
          <w:u w:val="none"/>
          <w:lang w:val="en-US" w:eastAsia="zh-CN" w:bidi="ar-SA"/>
        </w:rPr>
        <w:t>-0</w:t>
      </w:r>
      <w:r>
        <w:rPr>
          <w:rFonts w:hint="eastAsia" w:hAnsi="宋体" w:cs="Times New Roman"/>
          <w:b/>
          <w:bCs/>
          <w:color w:val="auto"/>
          <w:kern w:val="0"/>
          <w:sz w:val="30"/>
          <w:szCs w:val="30"/>
          <w:u w:val="none"/>
          <w:lang w:val="en-US" w:eastAsia="zh-CN" w:bidi="ar-SA"/>
        </w:rPr>
        <w:t>57</w:t>
      </w:r>
      <w:r>
        <w:rPr>
          <w:rFonts w:hint="eastAsia" w:hAnsi="宋体" w:eastAsia="宋体" w:cs="Times New Roman"/>
          <w:b/>
          <w:bCs/>
          <w:color w:val="auto"/>
          <w:kern w:val="0"/>
          <w:sz w:val="30"/>
          <w:szCs w:val="30"/>
          <w:u w:val="none"/>
          <w:lang w:val="en-US" w:eastAsia="zh-CN" w:bidi="ar-SA"/>
        </w:rPr>
        <w:t xml:space="preserve"> ）</w:t>
      </w:r>
    </w:p>
    <w:p>
      <w:pPr>
        <w:pStyle w:val="24"/>
        <w:adjustRightInd w:val="0"/>
        <w:snapToGrid w:val="0"/>
        <w:spacing w:line="360" w:lineRule="auto"/>
        <w:jc w:val="center"/>
        <w:outlineLvl w:val="9"/>
        <w:rPr>
          <w:rFonts w:hint="eastAsia" w:hAnsi="宋体" w:eastAsia="宋体" w:cs="Times New Roman"/>
          <w:b/>
          <w:bCs/>
          <w:color w:val="auto"/>
          <w:kern w:val="0"/>
          <w:sz w:val="30"/>
          <w:szCs w:val="30"/>
          <w:u w:val="none"/>
          <w:lang w:val="en-US" w:eastAsia="zh-CN" w:bidi="ar-SA"/>
        </w:rPr>
      </w:pPr>
    </w:p>
    <w:p>
      <w:pPr>
        <w:pStyle w:val="24"/>
        <w:adjustRightInd w:val="0"/>
        <w:snapToGrid w:val="0"/>
        <w:spacing w:line="360" w:lineRule="auto"/>
        <w:jc w:val="center"/>
        <w:outlineLvl w:val="9"/>
        <w:rPr>
          <w:rFonts w:hint="eastAsia" w:hAnsi="宋体" w:eastAsia="宋体" w:cs="Times New Roman"/>
          <w:b/>
          <w:bCs/>
          <w:color w:val="auto"/>
          <w:kern w:val="0"/>
          <w:sz w:val="30"/>
          <w:szCs w:val="30"/>
          <w:u w:val="none"/>
          <w:lang w:val="en-US" w:eastAsia="zh-CN" w:bidi="ar-SA"/>
        </w:rPr>
      </w:pPr>
    </w:p>
    <w:p>
      <w:pPr>
        <w:pStyle w:val="24"/>
        <w:adjustRightInd w:val="0"/>
        <w:snapToGrid w:val="0"/>
        <w:spacing w:line="360" w:lineRule="auto"/>
        <w:jc w:val="center"/>
        <w:outlineLvl w:val="9"/>
        <w:rPr>
          <w:rFonts w:hint="eastAsia" w:hAnsi="宋体" w:eastAsia="宋体" w:cs="Times New Roman"/>
          <w:b/>
          <w:bCs/>
          <w:color w:val="auto"/>
          <w:kern w:val="0"/>
          <w:sz w:val="30"/>
          <w:szCs w:val="30"/>
          <w:u w:val="none"/>
          <w:lang w:val="en-US" w:eastAsia="zh-CN" w:bidi="ar-SA"/>
        </w:rPr>
      </w:pPr>
    </w:p>
    <w:p>
      <w:pPr>
        <w:pStyle w:val="24"/>
        <w:adjustRightInd w:val="0"/>
        <w:snapToGrid w:val="0"/>
        <w:spacing w:line="360" w:lineRule="auto"/>
        <w:jc w:val="center"/>
        <w:outlineLvl w:val="9"/>
        <w:rPr>
          <w:rFonts w:hint="eastAsia" w:hAnsi="宋体" w:eastAsia="宋体" w:cs="Times New Roman"/>
          <w:b/>
          <w:bCs/>
          <w:color w:val="auto"/>
          <w:kern w:val="0"/>
          <w:sz w:val="30"/>
          <w:szCs w:val="30"/>
          <w:u w:val="none"/>
          <w:lang w:val="en-US" w:eastAsia="zh-CN" w:bidi="ar-SA"/>
        </w:rPr>
      </w:pP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left="2396" w:leftChars="284" w:right="0" w:rightChars="0" w:hanging="1800" w:hangingChars="600"/>
        <w:textAlignment w:val="auto"/>
        <w:outlineLvl w:val="9"/>
        <w:rPr>
          <w:rFonts w:hint="eastAsia" w:ascii="宋体" w:hAnsi="宋体"/>
          <w:color w:val="auto"/>
          <w:kern w:val="0"/>
          <w:sz w:val="30"/>
          <w:szCs w:val="30"/>
          <w:u w:val="single"/>
          <w:lang w:val="en-US" w:eastAsia="zh-CN"/>
        </w:rPr>
      </w:pPr>
      <w:r>
        <w:rPr>
          <w:rFonts w:hint="eastAsia" w:ascii="宋体" w:hAnsi="宋体"/>
          <w:color w:val="auto"/>
          <w:kern w:val="0"/>
          <w:sz w:val="30"/>
          <w:szCs w:val="30"/>
          <w:lang w:eastAsia="zh-CN"/>
        </w:rPr>
        <w:t>项目</w:t>
      </w:r>
      <w:r>
        <w:rPr>
          <w:rFonts w:hint="eastAsia" w:ascii="宋体" w:hAnsi="宋体"/>
          <w:color w:val="auto"/>
          <w:kern w:val="0"/>
          <w:sz w:val="30"/>
          <w:szCs w:val="30"/>
        </w:rPr>
        <w:t>名称</w:t>
      </w:r>
      <w:r>
        <w:rPr>
          <w:rFonts w:hint="eastAsia" w:ascii="宋体" w:hAnsi="宋体"/>
          <w:color w:val="auto"/>
          <w:kern w:val="0"/>
          <w:sz w:val="30"/>
          <w:szCs w:val="30"/>
          <w:lang w:eastAsia="zh-CN"/>
        </w:rPr>
        <w:t>：</w:t>
      </w:r>
      <w:r>
        <w:rPr>
          <w:rFonts w:hint="eastAsia" w:ascii="宋体" w:hAnsi="宋体"/>
          <w:color w:val="auto"/>
          <w:kern w:val="0"/>
          <w:sz w:val="30"/>
          <w:szCs w:val="30"/>
          <w:u w:val="single"/>
          <w:lang w:eastAsia="zh-CN"/>
        </w:rPr>
        <w:t>伊犁师范大学化学基础实验室仪器设备采购项目</w:t>
      </w:r>
      <w:r>
        <w:rPr>
          <w:rFonts w:hint="eastAsia" w:ascii="宋体" w:hAnsi="宋体"/>
          <w:color w:val="auto"/>
          <w:kern w:val="0"/>
          <w:sz w:val="30"/>
          <w:szCs w:val="30"/>
          <w:u w:val="single"/>
          <w:lang w:val="en-US" w:eastAsia="zh-CN"/>
        </w:rPr>
        <w:t xml:space="preserve"> </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color w:val="auto"/>
          <w:kern w:val="0"/>
          <w:sz w:val="30"/>
          <w:szCs w:val="30"/>
        </w:rPr>
      </w:pPr>
      <w:r>
        <w:rPr>
          <w:rFonts w:hint="eastAsia" w:ascii="宋体" w:hAnsi="宋体"/>
          <w:color w:val="auto"/>
          <w:kern w:val="0"/>
          <w:sz w:val="30"/>
          <w:szCs w:val="30"/>
          <w:lang w:eastAsia="zh-CN"/>
        </w:rPr>
        <w:t>采购</w:t>
      </w:r>
      <w:r>
        <w:rPr>
          <w:rFonts w:hint="eastAsia" w:ascii="宋体" w:hAnsi="宋体"/>
          <w:color w:val="auto"/>
          <w:kern w:val="0"/>
          <w:sz w:val="30"/>
          <w:szCs w:val="30"/>
        </w:rPr>
        <w:t>单位：</w:t>
      </w:r>
      <w:r>
        <w:rPr>
          <w:rFonts w:hint="eastAsia" w:ascii="宋体" w:hAnsi="宋体"/>
          <w:color w:val="auto"/>
          <w:kern w:val="0"/>
          <w:sz w:val="30"/>
          <w:szCs w:val="30"/>
          <w:u w:val="single"/>
          <w:lang w:eastAsia="zh-CN"/>
        </w:rPr>
        <w:t>伊犁师范大学</w:t>
      </w:r>
      <w:r>
        <w:rPr>
          <w:rFonts w:hint="eastAsia" w:ascii="宋体" w:hAnsi="宋体"/>
          <w:color w:val="auto"/>
          <w:kern w:val="0"/>
          <w:sz w:val="30"/>
          <w:szCs w:val="30"/>
        </w:rPr>
        <w:t>（盖章）</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bCs/>
          <w:color w:val="auto"/>
          <w:kern w:val="0"/>
          <w:sz w:val="32"/>
          <w:szCs w:val="32"/>
          <w:u w:val="single"/>
        </w:rPr>
      </w:pPr>
      <w:r>
        <w:rPr>
          <w:rFonts w:hint="eastAsia" w:ascii="宋体" w:hAnsi="宋体"/>
          <w:color w:val="auto"/>
          <w:kern w:val="0"/>
          <w:sz w:val="30"/>
          <w:szCs w:val="30"/>
        </w:rPr>
        <w:t>项目联系人：</w:t>
      </w:r>
      <w:r>
        <w:rPr>
          <w:rFonts w:hint="eastAsia" w:ascii="宋体" w:hAnsi="宋体"/>
          <w:color w:val="auto"/>
          <w:kern w:val="0"/>
          <w:sz w:val="30"/>
          <w:szCs w:val="30"/>
          <w:u w:val="single"/>
          <w:lang w:val="en-US" w:eastAsia="zh-CN"/>
        </w:rPr>
        <w:t>王昱博</w:t>
      </w:r>
      <w:r>
        <w:rPr>
          <w:rFonts w:hint="eastAsia"/>
          <w:bCs/>
          <w:color w:val="auto"/>
          <w:sz w:val="32"/>
          <w:szCs w:val="32"/>
          <w:lang w:val="en-US" w:eastAsia="zh-CN"/>
        </w:rPr>
        <w:t xml:space="preserve">   </w:t>
      </w:r>
      <w:r>
        <w:rPr>
          <w:rFonts w:hint="eastAsia" w:ascii="宋体" w:hAnsi="宋体"/>
          <w:color w:val="auto"/>
          <w:kern w:val="0"/>
          <w:sz w:val="30"/>
          <w:szCs w:val="30"/>
        </w:rPr>
        <w:t>联系电话：</w:t>
      </w:r>
      <w:r>
        <w:rPr>
          <w:rFonts w:hint="eastAsia" w:ascii="宋体" w:hAnsi="宋体"/>
          <w:color w:val="auto"/>
          <w:kern w:val="0"/>
          <w:sz w:val="30"/>
          <w:szCs w:val="30"/>
          <w:u w:val="single"/>
          <w:lang w:val="en-US" w:eastAsia="zh-CN"/>
        </w:rPr>
        <w:t xml:space="preserve">18299260502 </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color w:val="auto"/>
          <w:kern w:val="0"/>
          <w:sz w:val="30"/>
          <w:szCs w:val="30"/>
        </w:rPr>
      </w:pPr>
      <w:r>
        <w:rPr>
          <w:rFonts w:hint="eastAsia" w:ascii="宋体" w:hAnsi="宋体"/>
          <w:color w:val="auto"/>
          <w:kern w:val="0"/>
          <w:sz w:val="30"/>
          <w:szCs w:val="30"/>
        </w:rPr>
        <w:t>招标代理机构：</w:t>
      </w:r>
      <w:r>
        <w:rPr>
          <w:rFonts w:hint="eastAsia" w:ascii="宋体" w:hAnsi="宋体"/>
          <w:color w:val="auto"/>
          <w:kern w:val="0"/>
          <w:sz w:val="30"/>
          <w:szCs w:val="30"/>
          <w:u w:val="single"/>
          <w:lang w:eastAsia="zh-CN"/>
        </w:rPr>
        <w:t>新疆齐盛泉工程项目管理有限公司</w:t>
      </w:r>
      <w:r>
        <w:rPr>
          <w:rFonts w:hint="eastAsia" w:ascii="宋体" w:hAnsi="宋体"/>
          <w:color w:val="auto"/>
          <w:kern w:val="0"/>
          <w:sz w:val="30"/>
          <w:szCs w:val="30"/>
        </w:rPr>
        <w:t>（公章）</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bCs/>
          <w:color w:val="auto"/>
          <w:kern w:val="0"/>
          <w:sz w:val="30"/>
          <w:szCs w:val="30"/>
        </w:rPr>
      </w:pPr>
      <w:r>
        <w:rPr>
          <w:rFonts w:hint="eastAsia" w:ascii="宋体" w:hAnsi="宋体"/>
          <w:color w:val="auto"/>
          <w:kern w:val="0"/>
          <w:sz w:val="30"/>
          <w:szCs w:val="30"/>
        </w:rPr>
        <w:t>项目负责人：</w:t>
      </w:r>
      <w:r>
        <w:rPr>
          <w:rFonts w:hint="eastAsia" w:ascii="宋体" w:hAnsi="宋体"/>
          <w:color w:val="auto"/>
          <w:kern w:val="0"/>
          <w:sz w:val="30"/>
          <w:szCs w:val="30"/>
          <w:u w:val="single"/>
        </w:rPr>
        <w:t>高雅、蒋立斌</w:t>
      </w:r>
      <w:r>
        <w:rPr>
          <w:rFonts w:hint="eastAsia" w:ascii="宋体" w:hAnsi="宋体"/>
          <w:color w:val="auto"/>
          <w:kern w:val="0"/>
          <w:sz w:val="30"/>
          <w:szCs w:val="30"/>
        </w:rPr>
        <w:t xml:space="preserve"> </w:t>
      </w:r>
      <w:r>
        <w:rPr>
          <w:rFonts w:hint="eastAsia" w:ascii="宋体" w:hAnsi="宋体"/>
          <w:color w:val="auto"/>
          <w:kern w:val="0"/>
          <w:sz w:val="30"/>
          <w:szCs w:val="30"/>
          <w:lang w:val="en-US" w:eastAsia="zh-CN"/>
        </w:rPr>
        <w:t xml:space="preserve">  </w:t>
      </w:r>
      <w:r>
        <w:rPr>
          <w:rFonts w:hint="eastAsia" w:ascii="宋体" w:hAnsi="宋体"/>
          <w:color w:val="auto"/>
          <w:kern w:val="0"/>
          <w:sz w:val="30"/>
          <w:szCs w:val="30"/>
        </w:rPr>
        <w:t>联系电话：</w:t>
      </w:r>
      <w:r>
        <w:rPr>
          <w:rFonts w:hint="eastAsia" w:ascii="宋体" w:hAnsi="宋体"/>
          <w:color w:val="auto"/>
          <w:kern w:val="0"/>
          <w:sz w:val="30"/>
          <w:szCs w:val="30"/>
          <w:u w:val="single"/>
          <w:lang w:eastAsia="zh-CN"/>
        </w:rPr>
        <w:t>0999-8800077</w:t>
      </w:r>
      <w:r>
        <w:rPr>
          <w:rFonts w:hint="eastAsia" w:ascii="宋体" w:hAnsi="宋体"/>
          <w:color w:val="auto"/>
          <w:kern w:val="0"/>
          <w:sz w:val="30"/>
          <w:szCs w:val="30"/>
          <w:u w:val="single"/>
          <w:lang w:val="en-US" w:eastAsia="zh-CN"/>
        </w:rPr>
        <w:t xml:space="preserve">   </w:t>
      </w:r>
    </w:p>
    <w:p>
      <w:pPr>
        <w:pStyle w:val="24"/>
        <w:spacing w:line="400" w:lineRule="atLeast"/>
        <w:rPr>
          <w:rFonts w:hint="eastAsia" w:ascii="仿宋" w:hAnsi="仿宋" w:eastAsia="仿宋" w:cs="仿宋"/>
          <w:bCs/>
          <w:sz w:val="28"/>
          <w:szCs w:val="28"/>
        </w:rPr>
      </w:pPr>
    </w:p>
    <w:p>
      <w:pPr>
        <w:pStyle w:val="12"/>
        <w:rPr>
          <w:rFonts w:hint="eastAsia"/>
        </w:rPr>
      </w:pPr>
    </w:p>
    <w:p>
      <w:pPr>
        <w:pStyle w:val="12"/>
        <w:rPr>
          <w:rFonts w:hint="eastAsia"/>
        </w:rPr>
      </w:pPr>
    </w:p>
    <w:p>
      <w:pPr>
        <w:pStyle w:val="12"/>
        <w:rPr>
          <w:rFonts w:hint="eastAsia"/>
        </w:rPr>
      </w:pPr>
    </w:p>
    <w:p>
      <w:pPr>
        <w:keepNext w:val="0"/>
        <w:keepLines w:val="0"/>
        <w:pageBreakBefore w:val="0"/>
        <w:widowControl w:val="0"/>
        <w:tabs>
          <w:tab w:val="left" w:pos="4980"/>
        </w:tabs>
        <w:kinsoku/>
        <w:wordWrap/>
        <w:overflowPunct/>
        <w:topLinePunct w:val="0"/>
        <w:bidi w:val="0"/>
        <w:snapToGrid/>
        <w:spacing w:line="900" w:lineRule="exact"/>
        <w:ind w:left="0" w:leftChars="0" w:right="0" w:rightChars="0" w:firstLine="3000" w:firstLineChars="1000"/>
        <w:jc w:val="both"/>
        <w:textAlignment w:val="auto"/>
        <w:outlineLvl w:val="9"/>
        <w:rPr>
          <w:rFonts w:hint="eastAsia" w:ascii="宋体" w:hAnsi="宋体"/>
          <w:bCs/>
          <w:color w:val="auto"/>
          <w:kern w:val="0"/>
          <w:sz w:val="30"/>
          <w:szCs w:val="30"/>
        </w:rPr>
      </w:pPr>
      <w:r>
        <w:rPr>
          <w:rFonts w:hint="eastAsia" w:ascii="宋体" w:hAnsi="宋体"/>
          <w:bCs/>
          <w:color w:val="auto"/>
          <w:kern w:val="0"/>
          <w:sz w:val="30"/>
          <w:szCs w:val="30"/>
          <w:u w:val="none"/>
        </w:rPr>
        <w:t xml:space="preserve"> </w:t>
      </w:r>
      <w:r>
        <w:rPr>
          <w:rFonts w:hint="eastAsia" w:ascii="宋体" w:hAnsi="宋体"/>
          <w:bCs/>
          <w:color w:val="auto"/>
          <w:kern w:val="0"/>
          <w:sz w:val="30"/>
          <w:szCs w:val="30"/>
          <w:u w:val="none"/>
          <w:lang w:val="en-US" w:eastAsia="zh-CN"/>
        </w:rPr>
        <w:t>2021</w:t>
      </w:r>
      <w:r>
        <w:rPr>
          <w:rFonts w:hint="eastAsia" w:ascii="宋体" w:hAnsi="宋体"/>
          <w:bCs/>
          <w:color w:val="auto"/>
          <w:kern w:val="0"/>
          <w:sz w:val="30"/>
          <w:szCs w:val="30"/>
        </w:rPr>
        <w:t>年</w:t>
      </w:r>
      <w:r>
        <w:rPr>
          <w:rFonts w:hint="eastAsia" w:ascii="宋体" w:hAnsi="宋体"/>
          <w:bCs/>
          <w:color w:val="auto"/>
          <w:kern w:val="0"/>
          <w:sz w:val="30"/>
          <w:szCs w:val="30"/>
          <w:u w:val="none"/>
          <w:lang w:val="en-US" w:eastAsia="zh-CN"/>
        </w:rPr>
        <w:t>9</w:t>
      </w:r>
      <w:r>
        <w:rPr>
          <w:rFonts w:hint="eastAsia" w:ascii="宋体" w:hAnsi="宋体"/>
          <w:bCs/>
          <w:color w:val="auto"/>
          <w:kern w:val="0"/>
          <w:sz w:val="30"/>
          <w:szCs w:val="30"/>
          <w:u w:val="none"/>
        </w:rPr>
        <w:t xml:space="preserve">月 </w:t>
      </w:r>
    </w:p>
    <w:p>
      <w:pPr>
        <w:pStyle w:val="24"/>
        <w:adjustRightInd w:val="0"/>
        <w:snapToGrid w:val="0"/>
        <w:spacing w:line="360" w:lineRule="auto"/>
        <w:jc w:val="both"/>
        <w:rPr>
          <w:rFonts w:hint="eastAsia" w:hAnsi="宋体" w:cs="宋体"/>
          <w:b/>
          <w:color w:val="auto"/>
          <w:spacing w:val="160"/>
          <w:sz w:val="36"/>
          <w:szCs w:val="36"/>
        </w:rPr>
      </w:pPr>
    </w:p>
    <w:p>
      <w:pPr>
        <w:pStyle w:val="24"/>
        <w:adjustRightInd w:val="0"/>
        <w:snapToGrid w:val="0"/>
        <w:spacing w:line="360" w:lineRule="auto"/>
        <w:jc w:val="center"/>
        <w:outlineLvl w:val="9"/>
        <w:rPr>
          <w:rFonts w:hint="eastAsia" w:hAnsi="宋体" w:cs="宋体"/>
          <w:b/>
          <w:color w:val="auto"/>
          <w:spacing w:val="160"/>
          <w:sz w:val="36"/>
          <w:szCs w:val="36"/>
        </w:rPr>
        <w:sectPr>
          <w:footerReference r:id="rId5" w:type="first"/>
          <w:headerReference r:id="rId3" w:type="default"/>
          <w:footerReference r:id="rId4" w:type="default"/>
          <w:type w:val="continuous"/>
          <w:pgSz w:w="11906" w:h="16838"/>
          <w:pgMar w:top="1440" w:right="1286" w:bottom="1440" w:left="1800" w:header="851" w:footer="992" w:gutter="0"/>
          <w:pgBorders w:offsetFrom="page">
            <w:top w:val="none" w:sz="0" w:space="0"/>
            <w:left w:val="none" w:sz="0" w:space="0"/>
            <w:bottom w:val="none" w:sz="0" w:space="0"/>
            <w:right w:val="none" w:sz="0" w:space="0"/>
          </w:pgBorders>
          <w:pgNumType w:fmt="numberInDash"/>
          <w:cols w:space="720" w:num="1"/>
          <w:titlePg/>
          <w:docGrid w:type="lines" w:linePitch="312" w:charSpace="0"/>
        </w:sectPr>
      </w:pPr>
    </w:p>
    <w:p>
      <w:pPr>
        <w:pStyle w:val="24"/>
        <w:adjustRightInd w:val="0"/>
        <w:snapToGrid w:val="0"/>
        <w:spacing w:line="360" w:lineRule="auto"/>
        <w:jc w:val="center"/>
        <w:outlineLvl w:val="9"/>
        <w:rPr>
          <w:rFonts w:hint="eastAsia" w:hAnsi="宋体" w:cs="宋体"/>
          <w:b/>
          <w:color w:val="auto"/>
          <w:spacing w:val="160"/>
          <w:sz w:val="36"/>
          <w:szCs w:val="36"/>
        </w:rPr>
      </w:pPr>
      <w:r>
        <w:rPr>
          <w:rFonts w:hint="eastAsia" w:hAnsi="宋体" w:cs="宋体"/>
          <w:b/>
          <w:color w:val="auto"/>
          <w:spacing w:val="160"/>
          <w:sz w:val="36"/>
          <w:szCs w:val="36"/>
        </w:rPr>
        <w:t>目录</w:t>
      </w:r>
    </w:p>
    <w:p>
      <w:pPr>
        <w:pStyle w:val="24"/>
        <w:adjustRightInd w:val="0"/>
        <w:snapToGrid w:val="0"/>
        <w:spacing w:line="360" w:lineRule="auto"/>
        <w:rPr>
          <w:rFonts w:hint="eastAsia" w:hAnsi="宋体" w:cs="宋体"/>
          <w:b/>
          <w:color w:val="auto"/>
          <w:sz w:val="24"/>
          <w:szCs w:val="24"/>
        </w:rPr>
      </w:pP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rPr>
        <w:t>第一章  磋商</w:t>
      </w:r>
      <w:r>
        <w:rPr>
          <w:rFonts w:hint="eastAsia" w:hAnsi="宋体" w:cs="宋体"/>
          <w:b/>
          <w:color w:val="auto"/>
          <w:sz w:val="24"/>
          <w:szCs w:val="24"/>
          <w:lang w:eastAsia="zh-CN"/>
        </w:rPr>
        <w:t>公告</w:t>
      </w:r>
      <w:r>
        <w:rPr>
          <w:rFonts w:hint="eastAsia" w:hAnsi="宋体" w:cs="宋体"/>
          <w:b/>
          <w:color w:val="auto"/>
          <w:sz w:val="24"/>
          <w:szCs w:val="24"/>
        </w:rPr>
        <w:t>…………………………………………………………………1</w:t>
      </w:r>
    </w:p>
    <w:p>
      <w:pPr>
        <w:pStyle w:val="24"/>
        <w:adjustRightInd w:val="0"/>
        <w:snapToGrid w:val="0"/>
        <w:spacing w:line="360" w:lineRule="auto"/>
        <w:outlineLvl w:val="9"/>
        <w:rPr>
          <w:rFonts w:hint="eastAsia" w:hAnsi="宋体" w:eastAsia="宋体" w:cs="宋体"/>
          <w:b/>
          <w:color w:val="auto"/>
          <w:sz w:val="24"/>
          <w:szCs w:val="24"/>
          <w:lang w:eastAsia="zh-CN"/>
        </w:rPr>
      </w:pPr>
      <w:r>
        <w:rPr>
          <w:rFonts w:hint="eastAsia" w:hAnsi="宋体" w:cs="宋体"/>
          <w:b/>
          <w:color w:val="auto"/>
          <w:sz w:val="24"/>
          <w:szCs w:val="24"/>
        </w:rPr>
        <w:t>第二章  磋商须知…………………………………………………………………</w:t>
      </w:r>
      <w:r>
        <w:rPr>
          <w:rFonts w:hint="eastAsia" w:hAnsi="宋体" w:cs="宋体"/>
          <w:b/>
          <w:color w:val="auto"/>
          <w:sz w:val="24"/>
          <w:szCs w:val="24"/>
          <w:lang w:val="en-US" w:eastAsia="zh-CN"/>
        </w:rPr>
        <w:t>4</w:t>
      </w:r>
    </w:p>
    <w:p>
      <w:pPr>
        <w:tabs>
          <w:tab w:val="left" w:pos="1440"/>
        </w:tabs>
        <w:adjustRightInd w:val="0"/>
        <w:snapToGrid w:val="0"/>
        <w:spacing w:line="360" w:lineRule="auto"/>
        <w:ind w:firstLine="480" w:firstLineChars="200"/>
        <w:outlineLvl w:val="9"/>
        <w:rPr>
          <w:rFonts w:hint="eastAsia" w:ascii="宋体" w:hAnsi="宋体" w:eastAsia="宋体" w:cs="宋体"/>
          <w:color w:val="auto"/>
          <w:sz w:val="24"/>
          <w:lang w:eastAsia="zh-CN"/>
        </w:rPr>
      </w:pPr>
      <w:r>
        <w:rPr>
          <w:rFonts w:hint="eastAsia" w:ascii="宋体" w:hAnsi="宋体" w:cs="宋体"/>
          <w:color w:val="auto"/>
          <w:sz w:val="24"/>
        </w:rPr>
        <w:t>磋商须知前附表</w:t>
      </w:r>
      <w:r>
        <w:rPr>
          <w:rFonts w:hint="eastAsia" w:ascii="宋体" w:hAnsi="宋体" w:cs="宋体"/>
          <w:b/>
          <w:color w:val="auto"/>
          <w:sz w:val="24"/>
        </w:rPr>
        <w:t>………………………………………………………………</w:t>
      </w:r>
      <w:r>
        <w:rPr>
          <w:rFonts w:hint="eastAsia" w:ascii="宋体" w:hAnsi="宋体" w:cs="宋体"/>
          <w:b/>
          <w:color w:val="auto"/>
          <w:sz w:val="24"/>
          <w:lang w:val="en-US" w:eastAsia="zh-CN"/>
        </w:rPr>
        <w:t>4</w:t>
      </w:r>
    </w:p>
    <w:p>
      <w:pPr>
        <w:tabs>
          <w:tab w:val="left" w:pos="1440"/>
        </w:tabs>
        <w:adjustRightInd w:val="0"/>
        <w:snapToGrid w:val="0"/>
        <w:spacing w:line="360" w:lineRule="auto"/>
        <w:ind w:firstLine="480" w:firstLineChars="200"/>
        <w:outlineLvl w:val="9"/>
        <w:rPr>
          <w:rFonts w:hint="eastAsia" w:ascii="宋体" w:hAnsi="宋体" w:eastAsia="宋体" w:cs="宋体"/>
          <w:color w:val="auto"/>
          <w:sz w:val="24"/>
          <w:lang w:eastAsia="zh-CN"/>
        </w:rPr>
      </w:pPr>
      <w:r>
        <w:rPr>
          <w:rFonts w:hint="eastAsia" w:ascii="宋体" w:hAnsi="宋体" w:cs="宋体"/>
          <w:color w:val="auto"/>
          <w:sz w:val="24"/>
        </w:rPr>
        <w:t>磋商须知正文</w:t>
      </w:r>
      <w:r>
        <w:rPr>
          <w:rFonts w:hint="eastAsia" w:ascii="宋体" w:hAnsi="宋体" w:cs="宋体"/>
          <w:b/>
          <w:color w:val="auto"/>
          <w:sz w:val="24"/>
        </w:rPr>
        <w:t>…………………………………………………………………</w:t>
      </w:r>
      <w:r>
        <w:rPr>
          <w:rFonts w:hint="eastAsia" w:ascii="宋体" w:hAnsi="宋体" w:cs="宋体"/>
          <w:b/>
          <w:color w:val="auto"/>
          <w:sz w:val="24"/>
          <w:lang w:val="en-US" w:eastAsia="zh-CN"/>
        </w:rPr>
        <w:t>9</w:t>
      </w:r>
    </w:p>
    <w:p>
      <w:pPr>
        <w:tabs>
          <w:tab w:val="left" w:pos="1440"/>
        </w:tabs>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一、说明…</w:t>
      </w:r>
      <w:r>
        <w:rPr>
          <w:rFonts w:hint="eastAsia" w:ascii="宋体" w:hAnsi="宋体" w:cs="宋体"/>
          <w:b/>
          <w:color w:val="auto"/>
          <w:sz w:val="24"/>
        </w:rPr>
        <w:t>…………………………………………………………………</w:t>
      </w:r>
      <w:r>
        <w:rPr>
          <w:rFonts w:hint="eastAsia" w:ascii="宋体" w:hAnsi="宋体" w:cs="宋体"/>
          <w:b/>
          <w:color w:val="auto"/>
          <w:sz w:val="24"/>
          <w:lang w:val="en-US" w:eastAsia="zh-CN"/>
        </w:rPr>
        <w:t>9</w:t>
      </w:r>
    </w:p>
    <w:p>
      <w:pPr>
        <w:tabs>
          <w:tab w:val="left" w:pos="1440"/>
        </w:tabs>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二、</w:t>
      </w:r>
      <w:r>
        <w:rPr>
          <w:rFonts w:hint="eastAsia" w:ascii="宋体" w:hAnsi="宋体" w:cs="宋体"/>
          <w:bCs/>
          <w:color w:val="auto"/>
          <w:sz w:val="24"/>
        </w:rPr>
        <w:t>磋商文件</w:t>
      </w:r>
      <w:r>
        <w:rPr>
          <w:rFonts w:hint="eastAsia" w:ascii="宋体" w:hAnsi="宋体" w:cs="宋体"/>
          <w:b/>
          <w:color w:val="auto"/>
          <w:sz w:val="24"/>
        </w:rPr>
        <w:t>………………………………………………………………</w:t>
      </w:r>
      <w:r>
        <w:rPr>
          <w:rFonts w:hint="eastAsia" w:ascii="宋体" w:hAnsi="宋体" w:cs="宋体"/>
          <w:b/>
          <w:color w:val="auto"/>
          <w:sz w:val="24"/>
          <w:lang w:val="en-US" w:eastAsia="zh-CN"/>
        </w:rPr>
        <w:t>12</w:t>
      </w:r>
    </w:p>
    <w:p>
      <w:pPr>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三、响应文件</w:t>
      </w:r>
      <w:r>
        <w:rPr>
          <w:rFonts w:hint="eastAsia" w:ascii="宋体" w:hAnsi="宋体" w:cs="宋体"/>
          <w:b/>
          <w:color w:val="auto"/>
          <w:sz w:val="24"/>
        </w:rPr>
        <w:t>………………………………………………………………</w:t>
      </w:r>
      <w:r>
        <w:rPr>
          <w:rFonts w:hint="eastAsia" w:ascii="宋体" w:hAnsi="宋体" w:cs="宋体"/>
          <w:b/>
          <w:color w:val="auto"/>
          <w:sz w:val="24"/>
          <w:lang w:val="en-US" w:eastAsia="zh-CN"/>
        </w:rPr>
        <w:t>12</w:t>
      </w:r>
    </w:p>
    <w:p>
      <w:pPr>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四、响应文件的递交</w:t>
      </w:r>
      <w:r>
        <w:rPr>
          <w:rFonts w:hint="eastAsia" w:ascii="宋体" w:hAnsi="宋体" w:cs="宋体"/>
          <w:b/>
          <w:color w:val="auto"/>
          <w:sz w:val="24"/>
        </w:rPr>
        <w:t>………………………………………………………</w:t>
      </w:r>
      <w:r>
        <w:rPr>
          <w:rFonts w:hint="eastAsia" w:ascii="宋体" w:hAnsi="宋体" w:cs="宋体"/>
          <w:b/>
          <w:color w:val="auto"/>
          <w:sz w:val="24"/>
          <w:lang w:eastAsia="zh-CN"/>
        </w:rPr>
        <w:t>1</w:t>
      </w:r>
      <w:r>
        <w:rPr>
          <w:rFonts w:hint="eastAsia" w:ascii="宋体" w:hAnsi="宋体" w:cs="宋体"/>
          <w:b/>
          <w:color w:val="auto"/>
          <w:sz w:val="24"/>
          <w:lang w:val="en-US" w:eastAsia="zh-CN"/>
        </w:rPr>
        <w:t>5</w:t>
      </w:r>
    </w:p>
    <w:p>
      <w:pPr>
        <w:adjustRightInd w:val="0"/>
        <w:snapToGrid w:val="0"/>
        <w:spacing w:line="360" w:lineRule="auto"/>
        <w:ind w:firstLine="720" w:firstLineChars="300"/>
        <w:outlineLvl w:val="9"/>
        <w:rPr>
          <w:rFonts w:hint="default" w:ascii="宋体" w:hAnsi="宋体" w:eastAsia="宋体" w:cs="宋体"/>
          <w:bCs/>
          <w:color w:val="auto"/>
          <w:sz w:val="24"/>
          <w:lang w:val="en-US" w:eastAsia="zh-CN"/>
        </w:rPr>
      </w:pPr>
      <w:r>
        <w:rPr>
          <w:rFonts w:hint="eastAsia" w:ascii="宋体" w:hAnsi="宋体" w:cs="宋体"/>
          <w:bCs/>
          <w:color w:val="auto"/>
          <w:sz w:val="24"/>
        </w:rPr>
        <w:t>五、</w:t>
      </w:r>
      <w:r>
        <w:rPr>
          <w:rFonts w:hint="eastAsia" w:ascii="宋体" w:hAnsi="宋体" w:cs="宋体"/>
          <w:color w:val="auto"/>
          <w:sz w:val="24"/>
        </w:rPr>
        <w:t>响应文件</w:t>
      </w:r>
      <w:r>
        <w:rPr>
          <w:rFonts w:hint="eastAsia" w:ascii="宋体" w:hAnsi="宋体" w:cs="宋体"/>
          <w:bCs/>
          <w:color w:val="auto"/>
          <w:sz w:val="24"/>
        </w:rPr>
        <w:t>的</w:t>
      </w:r>
      <w:r>
        <w:rPr>
          <w:rFonts w:hint="eastAsia" w:ascii="宋体" w:hAnsi="宋体" w:cs="宋体"/>
          <w:color w:val="auto"/>
          <w:sz w:val="24"/>
        </w:rPr>
        <w:t>评审与磋商</w:t>
      </w:r>
      <w:r>
        <w:rPr>
          <w:rFonts w:hint="eastAsia" w:ascii="宋体" w:hAnsi="宋体" w:cs="宋体"/>
          <w:b/>
          <w:color w:val="auto"/>
          <w:sz w:val="24"/>
        </w:rPr>
        <w:t>………………………………………………</w:t>
      </w:r>
      <w:r>
        <w:rPr>
          <w:rFonts w:hint="eastAsia" w:ascii="宋体" w:hAnsi="宋体" w:cs="宋体"/>
          <w:b/>
          <w:color w:val="auto"/>
          <w:sz w:val="24"/>
          <w:lang w:val="en-US" w:eastAsia="zh-CN"/>
        </w:rPr>
        <w:t>15</w:t>
      </w:r>
    </w:p>
    <w:p>
      <w:pPr>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六、成交结果信息公布与授予合同</w:t>
      </w:r>
      <w:r>
        <w:rPr>
          <w:rFonts w:hint="eastAsia" w:ascii="宋体" w:hAnsi="宋体" w:cs="宋体"/>
          <w:b/>
          <w:color w:val="auto"/>
          <w:sz w:val="24"/>
        </w:rPr>
        <w:t>………………………………………</w:t>
      </w:r>
      <w:r>
        <w:rPr>
          <w:rFonts w:hint="eastAsia" w:ascii="宋体" w:hAnsi="宋体" w:cs="宋体"/>
          <w:b/>
          <w:color w:val="auto"/>
          <w:sz w:val="24"/>
          <w:lang w:val="en-US" w:eastAsia="zh-CN"/>
        </w:rPr>
        <w:t>21</w:t>
      </w:r>
    </w:p>
    <w:p>
      <w:pPr>
        <w:adjustRightInd w:val="0"/>
        <w:snapToGrid w:val="0"/>
        <w:spacing w:line="360" w:lineRule="auto"/>
        <w:ind w:firstLine="720" w:firstLineChars="300"/>
        <w:jc w:val="left"/>
        <w:outlineLvl w:val="9"/>
        <w:rPr>
          <w:rFonts w:hint="default" w:ascii="宋体" w:hAnsi="宋体" w:eastAsia="宋体" w:cs="宋体"/>
          <w:b/>
          <w:color w:val="auto"/>
          <w:sz w:val="24"/>
          <w:lang w:val="en-US" w:eastAsia="zh-CN"/>
        </w:rPr>
      </w:pPr>
      <w:r>
        <w:rPr>
          <w:rFonts w:hint="eastAsia" w:ascii="宋体" w:hAnsi="宋体" w:cs="宋体"/>
          <w:color w:val="auto"/>
          <w:sz w:val="24"/>
        </w:rPr>
        <w:t>七、其他规定  ……………………………………………………………</w:t>
      </w:r>
      <w:r>
        <w:rPr>
          <w:rFonts w:hint="eastAsia" w:ascii="宋体" w:hAnsi="宋体" w:cs="宋体"/>
          <w:b/>
          <w:color w:val="auto"/>
          <w:sz w:val="24"/>
          <w:lang w:val="en-US" w:eastAsia="zh-CN"/>
        </w:rPr>
        <w:t>23</w:t>
      </w:r>
    </w:p>
    <w:p>
      <w:pPr>
        <w:adjustRightInd w:val="0"/>
        <w:snapToGrid w:val="0"/>
        <w:spacing w:line="360" w:lineRule="auto"/>
        <w:jc w:val="left"/>
        <w:outlineLvl w:val="9"/>
        <w:rPr>
          <w:rFonts w:hint="default" w:ascii="宋体" w:hAnsi="宋体" w:eastAsia="宋体" w:cs="宋体"/>
          <w:b/>
          <w:color w:val="auto"/>
          <w:sz w:val="24"/>
          <w:lang w:val="en-US" w:eastAsia="zh-CN"/>
        </w:rPr>
      </w:pPr>
      <w:r>
        <w:rPr>
          <w:rFonts w:hint="eastAsia" w:ascii="宋体" w:hAnsi="宋体" w:cs="宋体"/>
          <w:b/>
          <w:color w:val="auto"/>
          <w:sz w:val="24"/>
        </w:rPr>
        <w:t>第三章  磋商办法…………………………………………………………………</w:t>
      </w:r>
      <w:r>
        <w:rPr>
          <w:rFonts w:hint="eastAsia" w:ascii="宋体" w:hAnsi="宋体" w:cs="宋体"/>
          <w:b/>
          <w:color w:val="auto"/>
          <w:sz w:val="24"/>
          <w:lang w:val="en-US" w:eastAsia="zh-CN"/>
        </w:rPr>
        <w:t>24</w:t>
      </w:r>
    </w:p>
    <w:p>
      <w:pPr>
        <w:adjustRightInd w:val="0"/>
        <w:snapToGrid w:val="0"/>
        <w:spacing w:line="360" w:lineRule="auto"/>
        <w:outlineLvl w:val="9"/>
        <w:rPr>
          <w:rFonts w:hint="default" w:ascii="宋体" w:hAnsi="宋体" w:eastAsia="宋体" w:cs="宋体"/>
          <w:b/>
          <w:color w:val="auto"/>
          <w:sz w:val="24"/>
          <w:lang w:val="en-US" w:eastAsia="zh-CN"/>
        </w:rPr>
      </w:pPr>
      <w:r>
        <w:rPr>
          <w:rFonts w:hint="eastAsia" w:ascii="宋体" w:hAnsi="宋体" w:cs="宋体"/>
          <w:b/>
          <w:color w:val="auto"/>
          <w:sz w:val="24"/>
        </w:rPr>
        <w:t>第四章  合同</w:t>
      </w:r>
      <w:r>
        <w:rPr>
          <w:rFonts w:hint="eastAsia" w:ascii="宋体" w:hAnsi="宋体" w:cs="宋体"/>
          <w:b/>
          <w:color w:val="auto"/>
          <w:sz w:val="24"/>
          <w:lang w:eastAsia="zh-CN"/>
        </w:rPr>
        <w:t>条款及</w:t>
      </w:r>
      <w:r>
        <w:rPr>
          <w:rFonts w:hint="eastAsia" w:ascii="宋体" w:hAnsi="宋体" w:cs="宋体"/>
          <w:b/>
          <w:color w:val="auto"/>
          <w:sz w:val="24"/>
        </w:rPr>
        <w:t>格式  ………………………………………………………</w:t>
      </w:r>
      <w:r>
        <w:rPr>
          <w:rFonts w:hint="eastAsia" w:ascii="宋体" w:hAnsi="宋体" w:cs="宋体"/>
          <w:b/>
          <w:color w:val="auto"/>
          <w:sz w:val="24"/>
          <w:lang w:val="en-US" w:eastAsia="zh-CN"/>
        </w:rPr>
        <w:t>32</w:t>
      </w:r>
    </w:p>
    <w:p>
      <w:pPr>
        <w:pStyle w:val="24"/>
        <w:adjustRightInd w:val="0"/>
        <w:snapToGrid w:val="0"/>
        <w:spacing w:line="360" w:lineRule="auto"/>
        <w:outlineLvl w:val="9"/>
        <w:rPr>
          <w:rFonts w:hint="default" w:hAnsi="宋体" w:eastAsia="宋体" w:cs="宋体"/>
          <w:b/>
          <w:color w:val="auto"/>
          <w:sz w:val="24"/>
          <w:szCs w:val="24"/>
          <w:lang w:val="en-US" w:eastAsia="zh-CN"/>
        </w:rPr>
      </w:pPr>
      <w:r>
        <w:rPr>
          <w:rFonts w:hint="eastAsia" w:hAnsi="宋体" w:cs="宋体"/>
          <w:b/>
          <w:color w:val="auto"/>
          <w:sz w:val="24"/>
          <w:szCs w:val="24"/>
        </w:rPr>
        <w:t>第五章  采购需求…………………………………………………………………</w:t>
      </w:r>
      <w:r>
        <w:rPr>
          <w:rFonts w:hint="eastAsia" w:hAnsi="宋体" w:cs="宋体"/>
          <w:b/>
          <w:color w:val="auto"/>
          <w:sz w:val="24"/>
          <w:szCs w:val="24"/>
          <w:lang w:val="en-US" w:eastAsia="zh-CN"/>
        </w:rPr>
        <w:t>39</w:t>
      </w:r>
    </w:p>
    <w:p>
      <w:pPr>
        <w:spacing w:line="360" w:lineRule="auto"/>
        <w:outlineLvl w:val="9"/>
        <w:rPr>
          <w:rFonts w:hint="default" w:ascii="宋体" w:hAnsi="宋体" w:eastAsia="宋体" w:cs="宋体"/>
          <w:b/>
          <w:color w:val="auto"/>
          <w:sz w:val="24"/>
          <w:lang w:val="en-US" w:eastAsia="zh-CN"/>
        </w:rPr>
      </w:pPr>
      <w:r>
        <w:rPr>
          <w:rFonts w:hint="eastAsia" w:ascii="宋体" w:hAnsi="宋体" w:cs="宋体"/>
          <w:b/>
          <w:color w:val="auto"/>
          <w:sz w:val="24"/>
        </w:rPr>
        <w:t>第六章  响应文件组成  …………………………………………………………</w:t>
      </w:r>
      <w:r>
        <w:rPr>
          <w:rFonts w:hint="eastAsia" w:ascii="宋体" w:hAnsi="宋体" w:cs="宋体"/>
          <w:b/>
          <w:color w:val="auto"/>
          <w:sz w:val="24"/>
          <w:lang w:val="en-US" w:eastAsia="zh-CN"/>
        </w:rPr>
        <w:t>55</w:t>
      </w:r>
    </w:p>
    <w:p>
      <w:pPr>
        <w:spacing w:line="360" w:lineRule="auto"/>
        <w:rPr>
          <w:rFonts w:hint="eastAsia" w:ascii="宋体" w:hAnsi="宋体" w:cs="宋体"/>
          <w:b/>
          <w:color w:val="auto"/>
          <w:sz w:val="24"/>
        </w:rPr>
      </w:pPr>
    </w:p>
    <w:p>
      <w:pPr>
        <w:spacing w:line="360" w:lineRule="auto"/>
        <w:rPr>
          <w:rFonts w:hint="eastAsia" w:ascii="宋体" w:hAnsi="宋体" w:cs="宋体"/>
          <w:b/>
          <w:color w:val="auto"/>
          <w:sz w:val="24"/>
        </w:rPr>
      </w:pPr>
    </w:p>
    <w:p>
      <w:pPr>
        <w:spacing w:line="360" w:lineRule="auto"/>
        <w:rPr>
          <w:rFonts w:hint="eastAsia" w:ascii="宋体" w:hAnsi="宋体" w:cs="宋体"/>
          <w:b/>
          <w:color w:val="auto"/>
          <w:sz w:val="24"/>
        </w:rPr>
        <w:sectPr>
          <w:footerReference r:id="rId7" w:type="first"/>
          <w:footerReference r:id="rId6" w:type="default"/>
          <w:pgSz w:w="11906" w:h="16838"/>
          <w:pgMar w:top="1440" w:right="1286" w:bottom="1440" w:left="1800" w:header="851" w:footer="992"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tabs>
          <w:tab w:val="center" w:pos="4153"/>
          <w:tab w:val="left" w:pos="6720"/>
        </w:tabs>
        <w:spacing w:line="360" w:lineRule="auto"/>
        <w:jc w:val="center"/>
        <w:outlineLvl w:val="9"/>
        <w:rPr>
          <w:rFonts w:hint="eastAsia" w:ascii="宋体" w:hAnsi="宋体" w:eastAsia="宋体" w:cs="宋体"/>
          <w:b/>
          <w:color w:val="auto"/>
          <w:sz w:val="32"/>
          <w:szCs w:val="32"/>
          <w:lang w:eastAsia="zh-CN"/>
        </w:rPr>
      </w:pPr>
      <w:r>
        <w:rPr>
          <w:rFonts w:hint="eastAsia" w:ascii="宋体" w:hAnsi="宋体" w:cs="宋体"/>
          <w:b/>
          <w:color w:val="auto"/>
          <w:sz w:val="32"/>
          <w:szCs w:val="32"/>
        </w:rPr>
        <w:t>第一章  竞争性磋商公告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ind w:left="0" w:leftChars="0" w:firstLine="560" w:firstLineChars="200"/>
        <w:textAlignment w:val="auto"/>
        <w:rPr>
          <w:rFonts w:hint="eastAsia" w:ascii="仿宋" w:hAnsi="仿宋" w:eastAsia="仿宋" w:cs="仿宋"/>
          <w:sz w:val="28"/>
          <w:szCs w:val="28"/>
          <w:highlight w:val="yellow"/>
        </w:rPr>
      </w:pPr>
      <w:r>
        <w:rPr>
          <w:rFonts w:hint="eastAsia" w:ascii="仿宋" w:hAnsi="仿宋" w:eastAsia="仿宋" w:cs="仿宋"/>
          <w:color w:val="auto"/>
          <w:sz w:val="28"/>
          <w:szCs w:val="28"/>
          <w:u w:val="single"/>
        </w:rPr>
        <w:t>伊犁师范大学化学基础实验室仪器设备采购项目</w:t>
      </w:r>
      <w:r>
        <w:rPr>
          <w:rFonts w:hint="eastAsia" w:ascii="仿宋" w:hAnsi="仿宋" w:eastAsia="仿宋" w:cs="仿宋"/>
          <w:color w:val="auto"/>
          <w:sz w:val="28"/>
          <w:szCs w:val="28"/>
        </w:rPr>
        <w:t>的潜在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应在</w:t>
      </w:r>
      <w:r>
        <w:rPr>
          <w:rFonts w:hint="eastAsia" w:ascii="仿宋" w:hAnsi="仿宋" w:eastAsia="仿宋" w:cs="仿宋"/>
          <w:sz w:val="28"/>
          <w:szCs w:val="28"/>
          <w:u w:val="single"/>
        </w:rPr>
        <w:t>新疆齐盛泉工程项目管理有限公司</w:t>
      </w:r>
      <w:r>
        <w:rPr>
          <w:rFonts w:hint="eastAsia" w:ascii="仿宋" w:hAnsi="仿宋" w:eastAsia="仿宋" w:cs="仿宋"/>
          <w:sz w:val="28"/>
          <w:szCs w:val="28"/>
          <w:u w:val="single"/>
          <w:lang w:eastAsia="zh-CN"/>
        </w:rPr>
        <w:t>（伊宁市解放路77号亚欧国际写字楼15楼）</w:t>
      </w:r>
      <w:r>
        <w:rPr>
          <w:rFonts w:hint="eastAsia" w:ascii="仿宋" w:hAnsi="仿宋" w:eastAsia="仿宋" w:cs="仿宋"/>
          <w:color w:val="auto"/>
          <w:sz w:val="28"/>
          <w:szCs w:val="28"/>
        </w:rPr>
        <w:t>获取</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文件，并于</w:t>
      </w:r>
      <w:r>
        <w:rPr>
          <w:rFonts w:hint="eastAsia" w:ascii="仿宋" w:hAnsi="仿宋" w:eastAsia="仿宋" w:cs="仿宋"/>
          <w:color w:val="auto"/>
          <w:sz w:val="28"/>
          <w:szCs w:val="28"/>
          <w:u w:val="single"/>
        </w:rPr>
        <w:t>2021</w:t>
      </w:r>
      <w:r>
        <w:rPr>
          <w:rFonts w:hint="eastAsia" w:ascii="仿宋" w:hAnsi="仿宋" w:eastAsia="仿宋" w:cs="仿宋"/>
          <w:bCs/>
          <w:color w:val="auto"/>
          <w:sz w:val="28"/>
          <w:szCs w:val="28"/>
          <w:u w:val="single"/>
        </w:rPr>
        <w:t>年</w:t>
      </w:r>
      <w:r>
        <w:rPr>
          <w:rFonts w:hint="eastAsia" w:ascii="仿宋" w:hAnsi="仿宋" w:eastAsia="仿宋" w:cs="仿宋"/>
          <w:bCs/>
          <w:color w:val="auto"/>
          <w:sz w:val="28"/>
          <w:szCs w:val="28"/>
          <w:u w:val="single"/>
          <w:lang w:val="en-US" w:eastAsia="zh-CN"/>
        </w:rPr>
        <w:t>10</w:t>
      </w:r>
      <w:r>
        <w:rPr>
          <w:rFonts w:hint="eastAsia" w:ascii="仿宋" w:hAnsi="仿宋" w:eastAsia="仿宋" w:cs="仿宋"/>
          <w:bCs/>
          <w:color w:val="auto"/>
          <w:sz w:val="28"/>
          <w:szCs w:val="28"/>
          <w:u w:val="single"/>
        </w:rPr>
        <w:t>月</w:t>
      </w:r>
      <w:r>
        <w:rPr>
          <w:rFonts w:hint="eastAsia" w:ascii="仿宋" w:hAnsi="仿宋" w:eastAsia="仿宋" w:cs="仿宋"/>
          <w:bCs/>
          <w:color w:val="auto"/>
          <w:sz w:val="28"/>
          <w:szCs w:val="28"/>
          <w:u w:val="single"/>
          <w:lang w:val="en-US" w:eastAsia="zh-CN"/>
        </w:rPr>
        <w:t>12</w:t>
      </w:r>
      <w:r>
        <w:rPr>
          <w:rFonts w:hint="eastAsia" w:ascii="仿宋" w:hAnsi="仿宋" w:eastAsia="仿宋" w:cs="仿宋"/>
          <w:bCs/>
          <w:color w:val="auto"/>
          <w:sz w:val="28"/>
          <w:szCs w:val="28"/>
          <w:u w:val="single"/>
        </w:rPr>
        <w:t>日</w:t>
      </w:r>
      <w:r>
        <w:rPr>
          <w:rFonts w:hint="eastAsia" w:ascii="仿宋" w:hAnsi="仿宋" w:eastAsia="仿宋" w:cs="仿宋"/>
          <w:bCs/>
          <w:color w:val="auto"/>
          <w:sz w:val="28"/>
          <w:szCs w:val="28"/>
          <w:u w:val="single"/>
          <w:lang w:val="en-US" w:eastAsia="zh-CN"/>
        </w:rPr>
        <w:t>11</w:t>
      </w:r>
      <w:r>
        <w:rPr>
          <w:rFonts w:hint="eastAsia" w:ascii="仿宋" w:hAnsi="仿宋" w:eastAsia="仿宋" w:cs="仿宋"/>
          <w:bCs/>
          <w:color w:val="auto"/>
          <w:sz w:val="28"/>
          <w:szCs w:val="28"/>
          <w:u w:val="single"/>
        </w:rPr>
        <w:t>点</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0分（</w:t>
      </w:r>
      <w:r>
        <w:rPr>
          <w:rFonts w:hint="eastAsia" w:ascii="仿宋" w:hAnsi="仿宋" w:eastAsia="仿宋" w:cs="仿宋"/>
          <w:bCs/>
          <w:sz w:val="28"/>
          <w:szCs w:val="28"/>
        </w:rPr>
        <w:t>北京时间）前</w:t>
      </w:r>
      <w:r>
        <w:rPr>
          <w:rFonts w:ascii="仿宋" w:hAnsi="仿宋" w:eastAsia="仿宋" w:cs="仿宋"/>
          <w:i w:val="0"/>
          <w:iCs w:val="0"/>
          <w:caps w:val="0"/>
          <w:color w:val="000000"/>
          <w:spacing w:val="0"/>
          <w:sz w:val="27"/>
          <w:szCs w:val="27"/>
        </w:rPr>
        <w:t>提交响应文件</w:t>
      </w:r>
      <w:r>
        <w:rPr>
          <w:rFonts w:hint="eastAsia" w:ascii="仿宋" w:hAnsi="仿宋" w:eastAsia="仿宋" w:cs="仿宋"/>
          <w:sz w:val="28"/>
          <w:szCs w:val="28"/>
        </w:rPr>
        <w:t>。</w:t>
      </w:r>
    </w:p>
    <w:p>
      <w:pPr>
        <w:pStyle w:val="3"/>
        <w:pageBreakBefore w:val="0"/>
        <w:widowControl w:val="0"/>
        <w:kinsoku/>
        <w:wordWrap/>
        <w:overflowPunct/>
        <w:topLinePunct w:val="0"/>
        <w:autoSpaceDE/>
        <w:autoSpaceDN/>
        <w:bidi w:val="0"/>
        <w:adjustRightInd/>
        <w:snapToGrid/>
        <w:spacing w:before="0" w:after="0" w:line="440" w:lineRule="exact"/>
        <w:ind w:left="0" w:leftChars="0"/>
        <w:jc w:val="left"/>
        <w:textAlignment w:val="auto"/>
        <w:rPr>
          <w:rFonts w:hint="eastAsia" w:ascii="仿宋" w:hAnsi="仿宋" w:eastAsia="仿宋" w:cs="仿宋"/>
          <w:sz w:val="28"/>
          <w:szCs w:val="28"/>
        </w:rPr>
      </w:pPr>
      <w:bookmarkStart w:id="0" w:name="_Toc28359002"/>
      <w:bookmarkStart w:id="1" w:name="_Toc28359079"/>
      <w:bookmarkStart w:id="2" w:name="_Toc35393790"/>
      <w:bookmarkStart w:id="3" w:name="_Toc35393621"/>
      <w:bookmarkStart w:id="4" w:name="_Hlk24379207"/>
      <w:r>
        <w:rPr>
          <w:rFonts w:hint="eastAsia" w:ascii="仿宋" w:hAnsi="仿宋" w:eastAsia="仿宋" w:cs="仿宋"/>
          <w:sz w:val="28"/>
          <w:szCs w:val="28"/>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40" w:lineRule="exact"/>
        <w:ind w:left="0" w:leftChars="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项目编号：XJQSQZB2021-0</w:t>
      </w:r>
      <w:r>
        <w:rPr>
          <w:rFonts w:hint="eastAsia" w:ascii="仿宋" w:hAnsi="仿宋" w:eastAsia="仿宋" w:cs="仿宋"/>
          <w:sz w:val="28"/>
          <w:szCs w:val="28"/>
          <w:lang w:val="en-US" w:eastAsia="zh-CN"/>
        </w:rPr>
        <w:t>57</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u w:val="none"/>
          <w:lang w:eastAsia="zh-CN"/>
        </w:rPr>
      </w:pPr>
      <w:r>
        <w:rPr>
          <w:rFonts w:hint="eastAsia" w:ascii="仿宋" w:hAnsi="仿宋" w:eastAsia="仿宋" w:cs="仿宋"/>
          <w:sz w:val="28"/>
          <w:szCs w:val="28"/>
        </w:rPr>
        <w:t>项目名称：</w:t>
      </w:r>
      <w:bookmarkEnd w:id="4"/>
      <w:r>
        <w:rPr>
          <w:rFonts w:hint="eastAsia" w:ascii="仿宋" w:hAnsi="仿宋" w:eastAsia="仿宋" w:cs="仿宋"/>
          <w:sz w:val="28"/>
          <w:szCs w:val="28"/>
        </w:rPr>
        <w:t>伊犁师范大学化学基础实验室仪器设备采购项目</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采购方式：竞争性磋商</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预算金额（元）：949198</w:t>
      </w:r>
      <w:r>
        <w:rPr>
          <w:rFonts w:hint="eastAsia" w:ascii="仿宋" w:hAnsi="仿宋" w:eastAsia="仿宋" w:cs="仿宋"/>
          <w:sz w:val="28"/>
          <w:szCs w:val="28"/>
          <w:lang w:val="en-US" w:eastAsia="zh-CN"/>
        </w:rPr>
        <w:t>.00</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最高限价（元）：949198</w:t>
      </w:r>
      <w:r>
        <w:rPr>
          <w:rFonts w:hint="eastAsia" w:ascii="仿宋" w:hAnsi="仿宋" w:eastAsia="仿宋" w:cs="仿宋"/>
          <w:sz w:val="28"/>
          <w:szCs w:val="28"/>
          <w:lang w:val="en-US" w:eastAsia="zh-CN"/>
        </w:rPr>
        <w:t>.00</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采购需求：伊犁师范大学“十四五发展规划”，化学基础实验室仪器设备的建设项目，主要采购材料化学实验室没配齐的仪器设备。具体建设内容：（1）材料化学实验室采购蓝电测试系统等材料制备及性能测试仪器设备；（2）有机化学实验室采购半制备色谱仪等在天然产物化学领域的应用；（3）物理化学实验采购自冷式凝固点测定仪等仪器的增补。</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u w:val="none"/>
          <w:lang w:eastAsia="zh-CN"/>
        </w:rPr>
      </w:pPr>
      <w:r>
        <w:rPr>
          <w:rFonts w:hint="eastAsia" w:ascii="仿宋" w:hAnsi="仿宋" w:eastAsia="仿宋" w:cs="仿宋"/>
          <w:sz w:val="28"/>
          <w:szCs w:val="28"/>
        </w:rPr>
        <w:t>合同履行期限</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none"/>
          <w:lang w:eastAsia="zh-CN"/>
        </w:rPr>
        <w:t>；</w:t>
      </w:r>
    </w:p>
    <w:p>
      <w:pPr>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本项目（是/否）接受联合体投标：否；</w:t>
      </w:r>
    </w:p>
    <w:p>
      <w:pPr>
        <w:pStyle w:val="3"/>
        <w:pageBreakBefore w:val="0"/>
        <w:widowControl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sz w:val="28"/>
          <w:szCs w:val="28"/>
        </w:rPr>
      </w:pPr>
      <w:bookmarkStart w:id="5" w:name="_Toc28359080"/>
      <w:bookmarkStart w:id="6" w:name="_Toc35393622"/>
      <w:bookmarkStart w:id="7" w:name="_Toc28359003"/>
      <w:bookmarkStart w:id="8" w:name="_Toc35393791"/>
      <w:r>
        <w:rPr>
          <w:rFonts w:hint="eastAsia" w:ascii="仿宋" w:hAnsi="仿宋" w:eastAsia="仿宋" w:cs="仿宋"/>
          <w:sz w:val="28"/>
          <w:szCs w:val="28"/>
        </w:rPr>
        <w:t>二、申请人的资格要求：</w:t>
      </w:r>
      <w:bookmarkEnd w:id="5"/>
      <w:bookmarkEnd w:id="6"/>
      <w:bookmarkEnd w:id="7"/>
      <w:bookmarkEnd w:id="8"/>
    </w:p>
    <w:p>
      <w:pPr>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落实政府采购政策需满足的资格要求：（1）《政府采购促进中小企业发展管理办法》《财库〔2020〕46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3.本项目的特定资格要求：</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）具备有效的营业执照；</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）会计事务所出具的20</w:t>
      </w:r>
      <w:r>
        <w:rPr>
          <w:rFonts w:hint="eastAsia" w:ascii="仿宋" w:hAnsi="仿宋" w:eastAsia="仿宋" w:cs="仿宋"/>
          <w:sz w:val="28"/>
          <w:szCs w:val="28"/>
          <w:lang w:val="en-US" w:eastAsia="zh-CN"/>
        </w:rPr>
        <w:t>20</w:t>
      </w:r>
      <w:r>
        <w:rPr>
          <w:rFonts w:hint="eastAsia" w:ascii="仿宋" w:hAnsi="仿宋" w:eastAsia="仿宋" w:cs="仿宋"/>
          <w:sz w:val="28"/>
          <w:szCs w:val="28"/>
        </w:rPr>
        <w:t>年度财务审计报告或</w:t>
      </w:r>
      <w:r>
        <w:rPr>
          <w:rFonts w:hint="eastAsia" w:ascii="仿宋" w:hAnsi="仿宋" w:eastAsia="仿宋" w:cs="仿宋"/>
          <w:sz w:val="28"/>
          <w:szCs w:val="28"/>
          <w:lang w:val="en-US" w:eastAsia="zh-CN"/>
        </w:rPr>
        <w:t>提供</w:t>
      </w:r>
      <w:r>
        <w:rPr>
          <w:rFonts w:hint="eastAsia" w:ascii="仿宋" w:hAnsi="仿宋" w:eastAsia="仿宋" w:cs="仿宋"/>
          <w:sz w:val="28"/>
          <w:szCs w:val="28"/>
        </w:rPr>
        <w:t>银行出具的资信证明</w:t>
      </w:r>
      <w:r>
        <w:rPr>
          <w:rFonts w:hint="eastAsia" w:ascii="仿宋" w:hAnsi="仿宋" w:eastAsia="仿宋" w:cs="仿宋"/>
          <w:sz w:val="28"/>
          <w:szCs w:val="28"/>
          <w:lang w:eastAsia="zh-CN"/>
        </w:rPr>
        <w:t>（资信证明仅限</w:t>
      </w:r>
      <w:r>
        <w:rPr>
          <w:rFonts w:hint="eastAsia" w:ascii="仿宋" w:hAnsi="仿宋" w:eastAsia="仿宋" w:cs="仿宋"/>
          <w:sz w:val="28"/>
          <w:szCs w:val="28"/>
          <w:lang w:val="en-US" w:eastAsia="zh-CN"/>
        </w:rPr>
        <w:t>2021年成立的企业</w:t>
      </w:r>
      <w:r>
        <w:rPr>
          <w:rFonts w:hint="eastAsia" w:ascii="仿宋" w:hAnsi="仿宋" w:eastAsia="仿宋" w:cs="仿宋"/>
          <w:sz w:val="28"/>
          <w:szCs w:val="28"/>
          <w:lang w:eastAsia="zh-CN"/>
        </w:rPr>
        <w:t>）</w:t>
      </w:r>
      <w:r>
        <w:rPr>
          <w:rFonts w:hint="eastAsia" w:ascii="仿宋" w:hAnsi="仿宋" w:eastAsia="仿宋" w:cs="仿宋"/>
          <w:sz w:val="28"/>
          <w:szCs w:val="28"/>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）税务部门出具的2020年依法纳税证明资料</w:t>
      </w:r>
      <w:r>
        <w:rPr>
          <w:rFonts w:hint="eastAsia" w:ascii="仿宋" w:hAnsi="仿宋" w:eastAsia="仿宋" w:cs="仿宋"/>
          <w:sz w:val="28"/>
          <w:szCs w:val="28"/>
          <w:lang w:eastAsia="zh-CN"/>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（4）提供社保机构出具的供应商被授权委托人本单位缴纳2021年4月-2021年9月的社保资金证明原件或加盖电子专用章的缴费清单；</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）具备本次采购项目能力的供应商，并在人员、资金、设备等方面具有承担本项目供货的能力；</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）供应商分别在“信用中国”（www.creditchina.gov.cn）网上查询本公司未被列入失信被执行人、重大税收违法案件当事人名单、“中国政府采购网”（ www.ccgp.gov.cn）网上查询本公司未被列入政府采购严重违法失信行为记录名单（提供查询结果网页截图并加盖供应商公章，网页打印件须自公告发布之日起至截止日内从上述网站中打印）；</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）单位负责人为同一人或者存在控股、管理关系的不同单位，不得同时参加本项目的投标。为本项目提供整体设计、规范编制或者项目管理、监理、检测等服务的投标人，不得再参加本项目投标； </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）采购人保留对</w:t>
      </w:r>
      <w:r>
        <w:rPr>
          <w:rFonts w:hint="eastAsia" w:ascii="仿宋" w:hAnsi="仿宋" w:eastAsia="仿宋" w:cs="仿宋"/>
          <w:sz w:val="28"/>
          <w:szCs w:val="28"/>
          <w:lang w:eastAsia="zh-CN"/>
        </w:rPr>
        <w:t>供应商</w:t>
      </w:r>
      <w:r>
        <w:rPr>
          <w:rFonts w:hint="eastAsia" w:ascii="仿宋" w:hAnsi="仿宋" w:eastAsia="仿宋" w:cs="仿宋"/>
          <w:sz w:val="28"/>
          <w:szCs w:val="28"/>
        </w:rPr>
        <w:t>进一步实地考察的权利，经考察供应商申请资料中关于公告所要求内容与事实不符的，采购人有权拒绝</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eastAsia="zh-CN"/>
        </w:rPr>
        <w:t>投标</w:t>
      </w:r>
      <w:r>
        <w:rPr>
          <w:rFonts w:hint="eastAsia" w:ascii="仿宋" w:hAnsi="仿宋" w:eastAsia="仿宋" w:cs="仿宋"/>
          <w:sz w:val="28"/>
          <w:szCs w:val="28"/>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）本项目</w:t>
      </w:r>
      <w:r>
        <w:rPr>
          <w:rFonts w:hint="eastAsia" w:ascii="仿宋" w:hAnsi="仿宋" w:eastAsia="仿宋" w:cs="仿宋"/>
          <w:sz w:val="28"/>
          <w:szCs w:val="28"/>
          <w:lang w:val="en-US" w:eastAsia="zh-CN"/>
        </w:rPr>
        <w:t>不接受联合体投标。</w:t>
      </w:r>
    </w:p>
    <w:p>
      <w:pPr>
        <w:pStyle w:val="3"/>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sz w:val="28"/>
          <w:szCs w:val="28"/>
        </w:rPr>
      </w:pPr>
      <w:bookmarkStart w:id="9" w:name="_Toc35393623"/>
      <w:bookmarkStart w:id="10" w:name="_Toc28359081"/>
      <w:bookmarkStart w:id="11" w:name="_Toc35393792"/>
      <w:bookmarkStart w:id="12" w:name="_Toc28359004"/>
      <w:r>
        <w:rPr>
          <w:rFonts w:hint="eastAsia" w:ascii="仿宋" w:hAnsi="仿宋" w:eastAsia="仿宋" w:cs="仿宋"/>
          <w:sz w:val="28"/>
          <w:szCs w:val="28"/>
        </w:rPr>
        <w:t>三、</w:t>
      </w:r>
      <w:bookmarkEnd w:id="9"/>
      <w:bookmarkEnd w:id="10"/>
      <w:bookmarkEnd w:id="11"/>
      <w:bookmarkEnd w:id="12"/>
      <w:r>
        <w:rPr>
          <w:rFonts w:hint="eastAsia" w:ascii="仿宋" w:hAnsi="仿宋" w:eastAsia="仿宋" w:cs="仿宋"/>
          <w:sz w:val="28"/>
          <w:szCs w:val="28"/>
        </w:rPr>
        <w:t>获取采购文件</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color w:val="auto"/>
          <w:sz w:val="28"/>
          <w:szCs w:val="28"/>
          <w:u w:val="single"/>
          <w:lang w:val="en-US" w:eastAsia="zh-CN"/>
        </w:rPr>
        <w:t>2021</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28</w:t>
      </w:r>
      <w:r>
        <w:rPr>
          <w:rFonts w:hint="eastAsia" w:ascii="仿宋" w:hAnsi="仿宋" w:eastAsia="仿宋" w:cs="仿宋"/>
          <w:color w:val="auto"/>
          <w:sz w:val="28"/>
          <w:szCs w:val="28"/>
          <w:lang w:val="en-US" w:eastAsia="zh-CN"/>
        </w:rPr>
        <w:t>日</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2021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09</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w:t>
      </w:r>
      <w:r>
        <w:rPr>
          <w:rFonts w:hint="eastAsia" w:ascii="仿宋" w:hAnsi="仿宋" w:eastAsia="仿宋" w:cs="仿宋"/>
          <w:sz w:val="28"/>
          <w:szCs w:val="28"/>
        </w:rPr>
        <w:t>每天上午</w:t>
      </w:r>
      <w:r>
        <w:rPr>
          <w:rFonts w:hint="eastAsia" w:ascii="仿宋" w:hAnsi="仿宋" w:eastAsia="仿宋" w:cs="仿宋"/>
          <w:sz w:val="28"/>
          <w:szCs w:val="28"/>
          <w:u w:val="single"/>
          <w:lang w:val="en-US" w:eastAsia="zh-CN"/>
        </w:rPr>
        <w:t xml:space="preserve"> 10：00 </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14：00</w:t>
      </w:r>
      <w:r>
        <w:rPr>
          <w:rFonts w:hint="eastAsia" w:ascii="仿宋" w:hAnsi="仿宋" w:eastAsia="仿宋" w:cs="仿宋"/>
          <w:sz w:val="28"/>
          <w:szCs w:val="28"/>
        </w:rPr>
        <w:t>，</w:t>
      </w:r>
      <w:r>
        <w:rPr>
          <w:rFonts w:hint="eastAsia" w:ascii="仿宋" w:hAnsi="仿宋" w:eastAsia="仿宋" w:cs="仿宋"/>
          <w:sz w:val="28"/>
          <w:szCs w:val="28"/>
          <w:lang w:val="en-US" w:eastAsia="zh-CN"/>
        </w:rPr>
        <w:t>下午</w:t>
      </w:r>
      <w:r>
        <w:rPr>
          <w:rFonts w:hint="eastAsia" w:ascii="仿宋" w:hAnsi="仿宋" w:eastAsia="仿宋" w:cs="仿宋"/>
          <w:sz w:val="28"/>
          <w:szCs w:val="28"/>
          <w:u w:val="single"/>
          <w:lang w:val="en-US" w:eastAsia="zh-CN"/>
        </w:rPr>
        <w:t xml:space="preserve"> 15：30</w:t>
      </w:r>
      <w:r>
        <w:rPr>
          <w:rFonts w:hint="eastAsia" w:ascii="仿宋" w:hAnsi="仿宋" w:eastAsia="仿宋" w:cs="仿宋"/>
          <w:sz w:val="28"/>
          <w:szCs w:val="28"/>
          <w:lang w:val="en-US" w:eastAsia="zh-CN"/>
        </w:rPr>
        <w:t>至</w:t>
      </w:r>
      <w:r>
        <w:rPr>
          <w:rFonts w:hint="eastAsia" w:ascii="仿宋" w:hAnsi="仿宋" w:eastAsia="仿宋" w:cs="仿宋"/>
          <w:sz w:val="28"/>
          <w:szCs w:val="28"/>
          <w:u w:val="single"/>
          <w:lang w:val="en-US" w:eastAsia="zh-CN"/>
        </w:rPr>
        <w:t>19：30</w:t>
      </w:r>
      <w:r>
        <w:rPr>
          <w:rFonts w:hint="eastAsia" w:ascii="仿宋" w:hAnsi="仿宋" w:eastAsia="仿宋" w:cs="仿宋"/>
          <w:sz w:val="28"/>
          <w:szCs w:val="28"/>
          <w:lang w:val="en-US" w:eastAsia="zh-CN"/>
        </w:rPr>
        <w:t>（北</w:t>
      </w:r>
      <w:r>
        <w:rPr>
          <w:rFonts w:hint="eastAsia" w:ascii="仿宋" w:hAnsi="仿宋" w:eastAsia="仿宋" w:cs="仿宋"/>
          <w:sz w:val="28"/>
          <w:szCs w:val="28"/>
        </w:rPr>
        <w:t>京时间</w:t>
      </w:r>
      <w:r>
        <w:rPr>
          <w:rFonts w:hint="eastAsia" w:ascii="仿宋" w:hAnsi="仿宋" w:eastAsia="仿宋" w:cs="仿宋"/>
          <w:sz w:val="28"/>
          <w:szCs w:val="28"/>
          <w:lang w:eastAsia="zh-CN"/>
        </w:rPr>
        <w:t>，节假日除外</w:t>
      </w:r>
      <w:r>
        <w:rPr>
          <w:rFonts w:hint="eastAsia" w:ascii="仿宋" w:hAnsi="仿宋" w:eastAsia="仿宋" w:cs="仿宋"/>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rPr>
        <w:t>地点：</w:t>
      </w:r>
      <w:r>
        <w:rPr>
          <w:rFonts w:hint="eastAsia" w:ascii="仿宋" w:hAnsi="仿宋" w:eastAsia="仿宋" w:cs="仿宋"/>
          <w:sz w:val="28"/>
          <w:szCs w:val="28"/>
          <w:lang w:eastAsia="zh-CN"/>
        </w:rPr>
        <w:t>伊宁市解放路77号亚欧国际写字楼15楼</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方式：</w:t>
      </w:r>
      <w:r>
        <w:rPr>
          <w:rFonts w:hint="eastAsia" w:ascii="仿宋" w:hAnsi="仿宋" w:eastAsia="仿宋" w:cs="仿宋"/>
          <w:sz w:val="28"/>
          <w:szCs w:val="28"/>
          <w:lang w:val="en-US" w:eastAsia="zh-CN"/>
        </w:rPr>
        <w:t>现场获取</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val="en-US" w:eastAsia="zh-CN"/>
        </w:rPr>
        <w:t>200元/份（逾期不售，售后不退，谢绝邮寄）；</w:t>
      </w:r>
    </w:p>
    <w:p>
      <w:pPr>
        <w:pStyle w:val="3"/>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sz w:val="28"/>
          <w:szCs w:val="28"/>
        </w:rPr>
      </w:pPr>
      <w:bookmarkStart w:id="13" w:name="_Toc28359082"/>
      <w:bookmarkStart w:id="14" w:name="_Toc35393793"/>
      <w:bookmarkStart w:id="15" w:name="_Toc28359005"/>
      <w:bookmarkStart w:id="16" w:name="_Toc35393624"/>
      <w:r>
        <w:rPr>
          <w:rFonts w:hint="eastAsia" w:ascii="仿宋" w:hAnsi="仿宋" w:eastAsia="仿宋" w:cs="仿宋"/>
          <w:sz w:val="28"/>
          <w:szCs w:val="28"/>
        </w:rPr>
        <w:t>四、</w:t>
      </w:r>
      <w:bookmarkEnd w:id="13"/>
      <w:bookmarkEnd w:id="14"/>
      <w:bookmarkEnd w:id="15"/>
      <w:bookmarkEnd w:id="16"/>
      <w:r>
        <w:rPr>
          <w:rFonts w:hint="eastAsia" w:ascii="仿宋" w:hAnsi="仿宋" w:eastAsia="仿宋" w:cs="仿宋"/>
          <w:sz w:val="28"/>
          <w:szCs w:val="28"/>
        </w:rPr>
        <w:t>响应文件提交</w:t>
      </w:r>
    </w:p>
    <w:p>
      <w:pPr>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截止</w:t>
      </w:r>
      <w:r>
        <w:rPr>
          <w:rFonts w:hint="eastAsia" w:ascii="仿宋" w:hAnsi="仿宋" w:eastAsia="仿宋" w:cs="仿宋"/>
          <w:bCs/>
          <w:sz w:val="28"/>
          <w:szCs w:val="28"/>
        </w:rPr>
        <w:t>时间</w:t>
      </w:r>
      <w:r>
        <w:rPr>
          <w:rFonts w:hint="eastAsia" w:ascii="仿宋" w:hAnsi="仿宋" w:eastAsia="仿宋" w:cs="仿宋"/>
          <w:bCs/>
          <w:color w:val="auto"/>
          <w:sz w:val="28"/>
          <w:szCs w:val="28"/>
        </w:rPr>
        <w:t>：</w:t>
      </w:r>
      <w:r>
        <w:rPr>
          <w:rFonts w:hint="eastAsia" w:ascii="仿宋" w:hAnsi="仿宋" w:eastAsia="仿宋" w:cs="仿宋"/>
          <w:color w:val="auto"/>
          <w:sz w:val="28"/>
          <w:szCs w:val="28"/>
          <w:u w:val="single"/>
        </w:rPr>
        <w:t>2021</w:t>
      </w:r>
      <w:r>
        <w:rPr>
          <w:rFonts w:hint="eastAsia" w:ascii="仿宋" w:hAnsi="仿宋" w:eastAsia="仿宋" w:cs="仿宋"/>
          <w:bCs/>
          <w:color w:val="auto"/>
          <w:sz w:val="28"/>
          <w:szCs w:val="28"/>
          <w:u w:val="none"/>
        </w:rPr>
        <w:t>年</w:t>
      </w:r>
      <w:r>
        <w:rPr>
          <w:rFonts w:hint="eastAsia" w:ascii="仿宋" w:hAnsi="仿宋" w:eastAsia="仿宋" w:cs="仿宋"/>
          <w:bCs/>
          <w:color w:val="auto"/>
          <w:sz w:val="28"/>
          <w:szCs w:val="28"/>
          <w:u w:val="single"/>
          <w:lang w:val="en-US" w:eastAsia="zh-CN"/>
        </w:rPr>
        <w:t>10</w:t>
      </w:r>
      <w:r>
        <w:rPr>
          <w:rFonts w:hint="eastAsia" w:ascii="仿宋" w:hAnsi="仿宋" w:eastAsia="仿宋" w:cs="仿宋"/>
          <w:bCs/>
          <w:color w:val="auto"/>
          <w:sz w:val="28"/>
          <w:szCs w:val="28"/>
          <w:u w:val="none"/>
        </w:rPr>
        <w:t>月</w:t>
      </w:r>
      <w:r>
        <w:rPr>
          <w:rFonts w:hint="eastAsia" w:ascii="仿宋" w:hAnsi="仿宋" w:eastAsia="仿宋" w:cs="仿宋"/>
          <w:bCs/>
          <w:color w:val="auto"/>
          <w:sz w:val="28"/>
          <w:szCs w:val="28"/>
          <w:u w:val="single"/>
          <w:lang w:val="en-US" w:eastAsia="zh-CN"/>
        </w:rPr>
        <w:t xml:space="preserve"> 12 </w:t>
      </w:r>
      <w:r>
        <w:rPr>
          <w:rFonts w:hint="eastAsia" w:ascii="仿宋" w:hAnsi="仿宋" w:eastAsia="仿宋" w:cs="仿宋"/>
          <w:bCs/>
          <w:color w:val="auto"/>
          <w:sz w:val="28"/>
          <w:szCs w:val="28"/>
          <w:u w:val="none"/>
        </w:rPr>
        <w:t>日</w:t>
      </w:r>
      <w:r>
        <w:rPr>
          <w:rFonts w:hint="eastAsia" w:ascii="仿宋" w:hAnsi="仿宋" w:eastAsia="仿宋" w:cs="仿宋"/>
          <w:bCs/>
          <w:color w:val="auto"/>
          <w:sz w:val="28"/>
          <w:szCs w:val="28"/>
          <w:u w:val="single"/>
        </w:rPr>
        <w:t>1</w:t>
      </w:r>
      <w:r>
        <w:rPr>
          <w:rFonts w:hint="eastAsia" w:ascii="仿宋" w:hAnsi="仿宋" w:eastAsia="仿宋" w:cs="仿宋"/>
          <w:bCs/>
          <w:color w:val="auto"/>
          <w:sz w:val="28"/>
          <w:szCs w:val="28"/>
          <w:u w:val="single"/>
          <w:lang w:val="en-US" w:eastAsia="zh-CN"/>
        </w:rPr>
        <w:t>1</w:t>
      </w:r>
      <w:r>
        <w:rPr>
          <w:rFonts w:hint="eastAsia" w:ascii="仿宋" w:hAnsi="仿宋" w:eastAsia="仿宋" w:cs="仿宋"/>
          <w:bCs/>
          <w:color w:val="auto"/>
          <w:sz w:val="28"/>
          <w:szCs w:val="28"/>
          <w:u w:val="none"/>
        </w:rPr>
        <w:t>点</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u w:val="none"/>
        </w:rPr>
        <w:t>分</w:t>
      </w:r>
      <w:r>
        <w:rPr>
          <w:rFonts w:hint="eastAsia" w:ascii="仿宋" w:hAnsi="仿宋" w:eastAsia="仿宋" w:cs="仿宋"/>
          <w:bCs/>
          <w:color w:val="auto"/>
          <w:sz w:val="28"/>
          <w:szCs w:val="28"/>
        </w:rPr>
        <w:t>（北京时</w:t>
      </w:r>
      <w:r>
        <w:rPr>
          <w:rFonts w:hint="eastAsia" w:ascii="仿宋" w:hAnsi="仿宋" w:eastAsia="仿宋" w:cs="仿宋"/>
          <w:bCs/>
          <w:sz w:val="28"/>
          <w:szCs w:val="28"/>
        </w:rPr>
        <w:t>间）</w:t>
      </w:r>
    </w:p>
    <w:p>
      <w:pPr>
        <w:pageBreakBefore w:val="0"/>
        <w:kinsoku/>
        <w:wordWrap/>
        <w:overflowPunct/>
        <w:topLinePunct w:val="0"/>
        <w:autoSpaceDE/>
        <w:autoSpaceDN/>
        <w:bidi w:val="0"/>
        <w:adjustRightInd/>
        <w:snapToGrid/>
        <w:spacing w:line="440" w:lineRule="exact"/>
        <w:ind w:left="1399" w:leftChars="266" w:hanging="840" w:hangingChars="300"/>
        <w:textAlignment w:val="auto"/>
        <w:rPr>
          <w:rFonts w:hint="eastAsia" w:ascii="仿宋" w:hAnsi="仿宋" w:eastAsia="仿宋" w:cs="仿宋"/>
          <w:bCs/>
          <w:sz w:val="28"/>
          <w:szCs w:val="28"/>
          <w:u w:val="single"/>
        </w:rPr>
      </w:pPr>
      <w:r>
        <w:rPr>
          <w:rFonts w:hint="eastAsia" w:ascii="仿宋" w:hAnsi="仿宋" w:eastAsia="仿宋" w:cs="仿宋"/>
          <w:sz w:val="28"/>
          <w:szCs w:val="28"/>
        </w:rPr>
        <w:t>地点：伊宁市解放路77号亚欧国际写字楼15楼开标厅</w:t>
      </w:r>
    </w:p>
    <w:p>
      <w:pPr>
        <w:pStyle w:val="3"/>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sz w:val="28"/>
          <w:szCs w:val="28"/>
        </w:rPr>
      </w:pPr>
      <w:bookmarkStart w:id="17" w:name="_Toc35393794"/>
      <w:bookmarkStart w:id="18" w:name="_Toc28359007"/>
      <w:bookmarkStart w:id="19" w:name="_Toc35393625"/>
      <w:bookmarkStart w:id="20" w:name="_Toc28359084"/>
      <w:r>
        <w:rPr>
          <w:rFonts w:hint="eastAsia" w:ascii="仿宋" w:hAnsi="仿宋" w:eastAsia="仿宋" w:cs="仿宋"/>
          <w:sz w:val="28"/>
          <w:szCs w:val="28"/>
        </w:rPr>
        <w:t>五、响应文件开启</w:t>
      </w:r>
    </w:p>
    <w:p>
      <w:pPr>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截止</w:t>
      </w:r>
      <w:r>
        <w:rPr>
          <w:rFonts w:hint="eastAsia" w:ascii="仿宋" w:hAnsi="仿宋" w:eastAsia="仿宋" w:cs="仿宋"/>
          <w:bCs/>
          <w:sz w:val="28"/>
          <w:szCs w:val="28"/>
        </w:rPr>
        <w:t>时间</w:t>
      </w:r>
      <w:r>
        <w:rPr>
          <w:rFonts w:hint="eastAsia" w:ascii="仿宋" w:hAnsi="仿宋" w:eastAsia="仿宋" w:cs="仿宋"/>
          <w:bCs/>
          <w:color w:val="auto"/>
          <w:sz w:val="28"/>
          <w:szCs w:val="28"/>
        </w:rPr>
        <w:t>：</w:t>
      </w:r>
      <w:r>
        <w:rPr>
          <w:rFonts w:hint="eastAsia" w:ascii="仿宋" w:hAnsi="仿宋" w:eastAsia="仿宋" w:cs="仿宋"/>
          <w:color w:val="auto"/>
          <w:sz w:val="28"/>
          <w:szCs w:val="28"/>
          <w:u w:val="single"/>
        </w:rPr>
        <w:t>2021</w:t>
      </w:r>
      <w:r>
        <w:rPr>
          <w:rFonts w:hint="eastAsia" w:ascii="仿宋" w:hAnsi="仿宋" w:eastAsia="仿宋" w:cs="仿宋"/>
          <w:bCs/>
          <w:color w:val="auto"/>
          <w:sz w:val="28"/>
          <w:szCs w:val="28"/>
          <w:u w:val="none"/>
        </w:rPr>
        <w:t>年</w:t>
      </w:r>
      <w:r>
        <w:rPr>
          <w:rFonts w:hint="eastAsia" w:ascii="仿宋" w:hAnsi="仿宋" w:eastAsia="仿宋" w:cs="仿宋"/>
          <w:bCs/>
          <w:color w:val="auto"/>
          <w:sz w:val="28"/>
          <w:szCs w:val="28"/>
          <w:u w:val="single"/>
          <w:lang w:val="en-US" w:eastAsia="zh-CN"/>
        </w:rPr>
        <w:t>10</w:t>
      </w:r>
      <w:r>
        <w:rPr>
          <w:rFonts w:hint="eastAsia" w:ascii="仿宋" w:hAnsi="仿宋" w:eastAsia="仿宋" w:cs="仿宋"/>
          <w:bCs/>
          <w:color w:val="auto"/>
          <w:sz w:val="28"/>
          <w:szCs w:val="28"/>
          <w:u w:val="none"/>
        </w:rPr>
        <w:t>月</w:t>
      </w:r>
      <w:r>
        <w:rPr>
          <w:rFonts w:hint="eastAsia" w:ascii="仿宋" w:hAnsi="仿宋" w:eastAsia="仿宋" w:cs="仿宋"/>
          <w:bCs/>
          <w:color w:val="auto"/>
          <w:sz w:val="28"/>
          <w:szCs w:val="28"/>
          <w:u w:val="single"/>
          <w:lang w:val="en-US" w:eastAsia="zh-CN"/>
        </w:rPr>
        <w:t>12</w:t>
      </w:r>
      <w:r>
        <w:rPr>
          <w:rFonts w:hint="eastAsia" w:ascii="仿宋" w:hAnsi="仿宋" w:eastAsia="仿宋" w:cs="仿宋"/>
          <w:bCs/>
          <w:color w:val="auto"/>
          <w:sz w:val="28"/>
          <w:szCs w:val="28"/>
          <w:u w:val="none"/>
        </w:rPr>
        <w:t>日</w:t>
      </w:r>
      <w:r>
        <w:rPr>
          <w:rFonts w:hint="eastAsia" w:ascii="仿宋" w:hAnsi="仿宋" w:eastAsia="仿宋" w:cs="仿宋"/>
          <w:bCs/>
          <w:color w:val="auto"/>
          <w:sz w:val="28"/>
          <w:szCs w:val="28"/>
          <w:u w:val="single"/>
        </w:rPr>
        <w:t>1</w:t>
      </w:r>
      <w:r>
        <w:rPr>
          <w:rFonts w:hint="eastAsia" w:ascii="仿宋" w:hAnsi="仿宋" w:eastAsia="仿宋" w:cs="仿宋"/>
          <w:bCs/>
          <w:color w:val="auto"/>
          <w:sz w:val="28"/>
          <w:szCs w:val="28"/>
          <w:u w:val="single"/>
          <w:lang w:val="en-US" w:eastAsia="zh-CN"/>
        </w:rPr>
        <w:t>1</w:t>
      </w:r>
      <w:r>
        <w:rPr>
          <w:rFonts w:hint="eastAsia" w:ascii="仿宋" w:hAnsi="仿宋" w:eastAsia="仿宋" w:cs="仿宋"/>
          <w:bCs/>
          <w:color w:val="auto"/>
          <w:sz w:val="28"/>
          <w:szCs w:val="28"/>
          <w:u w:val="none"/>
        </w:rPr>
        <w:t>点</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u w:val="none"/>
        </w:rPr>
        <w:t>分</w:t>
      </w:r>
      <w:r>
        <w:rPr>
          <w:rFonts w:hint="eastAsia" w:ascii="仿宋" w:hAnsi="仿宋" w:eastAsia="仿宋" w:cs="仿宋"/>
          <w:bCs/>
          <w:color w:val="auto"/>
          <w:sz w:val="28"/>
          <w:szCs w:val="28"/>
        </w:rPr>
        <w:t>（北京时</w:t>
      </w:r>
      <w:r>
        <w:rPr>
          <w:rFonts w:hint="eastAsia" w:ascii="仿宋" w:hAnsi="仿宋" w:eastAsia="仿宋" w:cs="仿宋"/>
          <w:bCs/>
          <w:sz w:val="28"/>
          <w:szCs w:val="28"/>
        </w:rPr>
        <w:t>间）</w:t>
      </w:r>
    </w:p>
    <w:p>
      <w:pPr>
        <w:pStyle w:val="3"/>
        <w:pageBreakBefore w:val="0"/>
        <w:kinsoku/>
        <w:wordWrap/>
        <w:overflowPunct/>
        <w:topLinePunct w:val="0"/>
        <w:autoSpaceDE/>
        <w:autoSpaceDN/>
        <w:bidi w:val="0"/>
        <w:adjustRightInd/>
        <w:snapToGrid/>
        <w:spacing w:before="0" w:after="0" w:line="44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b w:val="0"/>
          <w:bCs w:val="0"/>
          <w:sz w:val="28"/>
          <w:szCs w:val="28"/>
        </w:rPr>
        <w:t>地点：伊宁市解放路77号亚欧国际写字楼15楼开标厅</w:t>
      </w:r>
    </w:p>
    <w:p>
      <w:pPr>
        <w:pStyle w:val="3"/>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公告期限</w:t>
      </w:r>
      <w:bookmarkEnd w:id="17"/>
      <w:bookmarkEnd w:id="18"/>
      <w:bookmarkEnd w:id="19"/>
      <w:bookmarkEnd w:id="20"/>
    </w:p>
    <w:p>
      <w:pPr>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3"/>
        <w:pageBreakBefore w:val="0"/>
        <w:widowControl w:val="0"/>
        <w:kinsoku/>
        <w:wordWrap/>
        <w:overflowPunct/>
        <w:topLinePunct w:val="0"/>
        <w:autoSpaceDE/>
        <w:autoSpaceDN/>
        <w:bidi w:val="0"/>
        <w:adjustRightInd w:val="0"/>
        <w:snapToGrid w:val="0"/>
        <w:spacing w:before="0" w:after="0" w:line="440" w:lineRule="exact"/>
        <w:ind w:left="0" w:leftChars="0"/>
        <w:jc w:val="both"/>
        <w:textAlignment w:val="auto"/>
        <w:rPr>
          <w:rFonts w:hint="eastAsia" w:ascii="仿宋" w:hAnsi="仿宋" w:eastAsia="仿宋" w:cs="仿宋"/>
          <w:sz w:val="28"/>
          <w:szCs w:val="28"/>
        </w:rPr>
      </w:pPr>
      <w:bookmarkStart w:id="21" w:name="_Toc35393795"/>
      <w:bookmarkStart w:id="22" w:name="_Toc35393626"/>
      <w:r>
        <w:rPr>
          <w:rFonts w:hint="eastAsia" w:ascii="仿宋" w:hAnsi="仿宋" w:eastAsia="仿宋" w:cs="仿宋"/>
          <w:sz w:val="28"/>
          <w:szCs w:val="28"/>
          <w:lang w:eastAsia="zh-CN"/>
        </w:rPr>
        <w:t>七</w:t>
      </w:r>
      <w:r>
        <w:rPr>
          <w:rFonts w:hint="eastAsia" w:ascii="仿宋" w:hAnsi="仿宋" w:eastAsia="仿宋" w:cs="仿宋"/>
          <w:sz w:val="28"/>
          <w:szCs w:val="28"/>
        </w:rPr>
        <w:t>、其他补充事宜</w:t>
      </w:r>
      <w:bookmarkEnd w:id="21"/>
      <w:bookmarkEnd w:id="22"/>
    </w:p>
    <w:p>
      <w:pPr>
        <w:pageBreakBefore w:val="0"/>
        <w:kinsoku/>
        <w:wordWrap/>
        <w:overflowPunct/>
        <w:topLinePunct w:val="0"/>
        <w:autoSpaceDE/>
        <w:autoSpaceDN/>
        <w:bidi w:val="0"/>
        <w:adjustRightInd/>
        <w:snapToGrid/>
        <w:spacing w:line="440" w:lineRule="exact"/>
        <w:ind w:left="0" w:leftChars="0" w:firstLine="600" w:firstLineChars="200"/>
        <w:textAlignment w:val="auto"/>
        <w:rPr>
          <w:rFonts w:hint="eastAsia" w:ascii="仿宋" w:hAnsi="仿宋" w:eastAsia="仿宋" w:cs="仿宋"/>
          <w:sz w:val="28"/>
          <w:szCs w:val="28"/>
        </w:rPr>
      </w:pPr>
      <w:bookmarkStart w:id="23" w:name="_Toc35393627"/>
      <w:bookmarkStart w:id="24" w:name="_Toc28359008"/>
      <w:bookmarkStart w:id="25" w:name="_Toc35393796"/>
      <w:bookmarkStart w:id="26" w:name="_Toc28359085"/>
      <w:r>
        <w:rPr>
          <w:rFonts w:hint="eastAsia" w:ascii="仿宋" w:hAnsi="仿宋" w:eastAsia="仿宋" w:cs="仿宋"/>
          <w:sz w:val="30"/>
          <w:szCs w:val="30"/>
          <w:u w:val="none"/>
          <w:lang w:val="en-US" w:eastAsia="zh-CN"/>
        </w:rPr>
        <w:t>购买磋商文件时须提交的资料：</w:t>
      </w:r>
      <w:r>
        <w:rPr>
          <w:rFonts w:hint="eastAsia" w:ascii="仿宋" w:hAnsi="仿宋" w:eastAsia="仿宋" w:cs="仿宋"/>
          <w:sz w:val="28"/>
          <w:szCs w:val="28"/>
        </w:rPr>
        <w:t>法定代表人身份证明及法定代表人身份证或法人授权委托书及被委托人身份证、企业营业执照。（</w:t>
      </w:r>
      <w:r>
        <w:rPr>
          <w:rFonts w:hint="eastAsia" w:ascii="仿宋" w:hAnsi="仿宋" w:eastAsia="仿宋" w:cs="仿宋"/>
          <w:sz w:val="28"/>
          <w:szCs w:val="28"/>
          <w:lang w:val="en-US" w:eastAsia="zh-CN"/>
        </w:rPr>
        <w:t>以上证件须带原件及加盖公章的复印件贰套，</w:t>
      </w:r>
      <w:r>
        <w:rPr>
          <w:rFonts w:hint="eastAsia" w:ascii="仿宋" w:hAnsi="仿宋" w:eastAsia="仿宋" w:cs="仿宋"/>
          <w:sz w:val="28"/>
          <w:szCs w:val="28"/>
        </w:rPr>
        <w:t>缺一不可，均应在有效期内，不接受公证件</w:t>
      </w:r>
      <w:r>
        <w:rPr>
          <w:rFonts w:hint="eastAsia" w:ascii="仿宋" w:hAnsi="仿宋" w:eastAsia="仿宋" w:cs="仿宋"/>
          <w:sz w:val="28"/>
          <w:szCs w:val="28"/>
          <w:lang w:eastAsia="zh-CN"/>
        </w:rPr>
        <w:t>）</w:t>
      </w:r>
      <w:r>
        <w:rPr>
          <w:rFonts w:hint="eastAsia" w:ascii="仿宋" w:hAnsi="仿宋" w:eastAsia="仿宋" w:cs="仿宋"/>
          <w:sz w:val="28"/>
          <w:szCs w:val="28"/>
        </w:rPr>
        <w:t>。</w:t>
      </w:r>
    </w:p>
    <w:p>
      <w:pPr>
        <w:pStyle w:val="3"/>
        <w:pageBreakBefore w:val="0"/>
        <w:widowControl w:val="0"/>
        <w:kinsoku/>
        <w:wordWrap/>
        <w:overflowPunct/>
        <w:topLinePunct w:val="0"/>
        <w:autoSpaceDE/>
        <w:autoSpaceDN/>
        <w:bidi w:val="0"/>
        <w:adjustRightInd w:val="0"/>
        <w:snapToGrid w:val="0"/>
        <w:spacing w:before="0" w:after="0" w:line="440" w:lineRule="exact"/>
        <w:ind w:left="0" w:leftChars="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w:t>
      </w:r>
      <w:bookmarkEnd w:id="23"/>
      <w:bookmarkEnd w:id="24"/>
      <w:bookmarkEnd w:id="25"/>
      <w:bookmarkEnd w:id="26"/>
      <w:r>
        <w:rPr>
          <w:rFonts w:hint="eastAsia" w:ascii="仿宋" w:hAnsi="仿宋" w:eastAsia="仿宋" w:cs="仿宋"/>
          <w:sz w:val="28"/>
          <w:szCs w:val="28"/>
        </w:rPr>
        <w:t>凡对本次招标提出询问，请按以下方式联系</w:t>
      </w:r>
    </w:p>
    <w:p>
      <w:pPr>
        <w:pageBreakBefore w:val="0"/>
        <w:widowControl/>
        <w:kinsoku/>
        <w:wordWrap/>
        <w:overflowPunct/>
        <w:topLinePunct w:val="0"/>
        <w:autoSpaceDE/>
        <w:autoSpaceDN/>
        <w:bidi w:val="0"/>
        <w:adjustRightInd/>
        <w:snapToGrid/>
        <w:spacing w:line="440" w:lineRule="exact"/>
        <w:ind w:left="0" w:leftChars="0"/>
        <w:jc w:val="left"/>
        <w:textAlignment w:val="auto"/>
        <w:rPr>
          <w:rFonts w:hint="eastAsia" w:ascii="仿宋" w:hAnsi="仿宋" w:eastAsia="仿宋" w:cs="仿宋"/>
          <w:sz w:val="28"/>
          <w:szCs w:val="28"/>
        </w:rPr>
      </w:pPr>
      <w:r>
        <w:rPr>
          <w:rFonts w:hint="eastAsia" w:ascii="仿宋" w:hAnsi="仿宋" w:eastAsia="仿宋" w:cs="仿宋"/>
          <w:sz w:val="28"/>
          <w:szCs w:val="28"/>
        </w:rPr>
        <w:t>1.采购人信息：</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lang w:eastAsia="zh-CN"/>
        </w:rPr>
        <w:t>伊犁师范大学</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sz w:val="28"/>
          <w:szCs w:val="28"/>
          <w:u w:val="single"/>
        </w:rPr>
      </w:pPr>
      <w:r>
        <w:rPr>
          <w:rFonts w:hint="eastAsia" w:ascii="仿宋" w:hAnsi="仿宋" w:eastAsia="仿宋" w:cs="仿宋"/>
          <w:sz w:val="28"/>
          <w:szCs w:val="28"/>
        </w:rPr>
        <w:t>地址：新疆伊犁哈萨克自治州伊宁市解放西路448号</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王昱博</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项目联系电话：</w:t>
      </w:r>
      <w:bookmarkStart w:id="27" w:name="_Toc28359086"/>
      <w:bookmarkStart w:id="28" w:name="_Toc28359009"/>
      <w:r>
        <w:rPr>
          <w:rFonts w:hint="eastAsia" w:ascii="仿宋" w:hAnsi="仿宋" w:eastAsia="仿宋" w:cs="仿宋"/>
          <w:sz w:val="28"/>
          <w:szCs w:val="28"/>
          <w:lang w:val="en-US" w:eastAsia="zh-CN"/>
        </w:rPr>
        <w:t>18299260502</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bookmarkEnd w:id="27"/>
      <w:bookmarkEnd w:id="28"/>
      <w:r>
        <w:rPr>
          <w:rFonts w:hint="eastAsia" w:ascii="仿宋" w:hAnsi="仿宋" w:eastAsia="仿宋" w:cs="仿宋"/>
          <w:sz w:val="28"/>
          <w:szCs w:val="28"/>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名 称：新疆齐盛泉工程项目管理有限公司</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地　址：</w:t>
      </w:r>
      <w:bookmarkStart w:id="29" w:name="_Toc28359087"/>
      <w:bookmarkStart w:id="30" w:name="_Toc28359010"/>
      <w:r>
        <w:rPr>
          <w:rFonts w:hint="eastAsia" w:ascii="仿宋" w:hAnsi="仿宋" w:eastAsia="仿宋" w:cs="仿宋"/>
          <w:sz w:val="28"/>
          <w:szCs w:val="28"/>
          <w:u w:val="none"/>
        </w:rPr>
        <w:t>伊宁市解放路77号亚欧国际写字楼15楼</w:t>
      </w:r>
    </w:p>
    <w:bookmarkEnd w:id="29"/>
    <w:bookmarkEnd w:id="30"/>
    <w:p>
      <w:pPr>
        <w:pStyle w:val="24"/>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项目联系人：蒋立斌</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 xml:space="preserve">高雅    </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u w:val="none"/>
        </w:rPr>
      </w:pPr>
      <w:r>
        <w:rPr>
          <w:rFonts w:hint="eastAsia" w:ascii="仿宋" w:hAnsi="仿宋" w:eastAsia="仿宋" w:cs="仿宋"/>
          <w:sz w:val="28"/>
          <w:szCs w:val="28"/>
          <w:u w:val="none"/>
        </w:rPr>
        <w:t xml:space="preserve">项目联系电话：0999-8800077  </w:t>
      </w:r>
      <w:r>
        <w:rPr>
          <w:rFonts w:hint="eastAsia" w:ascii="仿宋" w:hAnsi="仿宋" w:eastAsia="仿宋" w:cs="仿宋"/>
          <w:sz w:val="28"/>
          <w:szCs w:val="28"/>
          <w:u w:val="none"/>
          <w:lang w:val="en-US" w:eastAsia="zh-CN"/>
        </w:rPr>
        <w:t>13369826359</w:t>
      </w:r>
      <w:r>
        <w:rPr>
          <w:rFonts w:hint="eastAsia" w:ascii="仿宋" w:hAnsi="仿宋" w:eastAsia="仿宋" w:cs="仿宋"/>
          <w:sz w:val="28"/>
          <w:szCs w:val="28"/>
          <w:u w:val="none"/>
        </w:rPr>
        <w:t xml:space="preserve"> </w:t>
      </w: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both"/>
        <w:outlineLvl w:val="9"/>
        <w:rPr>
          <w:rFonts w:hint="eastAsia" w:hAnsi="宋体" w:cs="宋体"/>
          <w:b/>
          <w:color w:val="auto"/>
          <w:sz w:val="32"/>
          <w:szCs w:val="32"/>
        </w:rPr>
      </w:pPr>
    </w:p>
    <w:p>
      <w:pPr>
        <w:pStyle w:val="24"/>
        <w:spacing w:line="360" w:lineRule="auto"/>
        <w:jc w:val="center"/>
        <w:outlineLvl w:val="9"/>
        <w:rPr>
          <w:rFonts w:hint="eastAsia" w:hAnsi="宋体" w:cs="宋体"/>
          <w:b/>
          <w:color w:val="auto"/>
          <w:sz w:val="32"/>
          <w:szCs w:val="32"/>
        </w:rPr>
      </w:pPr>
      <w:r>
        <w:rPr>
          <w:rFonts w:hint="eastAsia" w:hAnsi="宋体" w:cs="宋体"/>
          <w:b/>
          <w:color w:val="auto"/>
          <w:sz w:val="32"/>
          <w:szCs w:val="32"/>
        </w:rPr>
        <w:t>第二章 磋商须知</w:t>
      </w:r>
    </w:p>
    <w:p>
      <w:pPr>
        <w:pStyle w:val="24"/>
        <w:spacing w:line="360" w:lineRule="auto"/>
        <w:jc w:val="center"/>
        <w:outlineLvl w:val="9"/>
        <w:rPr>
          <w:rFonts w:hint="eastAsia" w:hAnsi="宋体" w:cs="宋体"/>
          <w:b/>
          <w:color w:val="auto"/>
          <w:sz w:val="28"/>
          <w:szCs w:val="28"/>
        </w:rPr>
      </w:pPr>
      <w:r>
        <w:rPr>
          <w:rFonts w:hint="eastAsia" w:hAnsi="宋体" w:cs="宋体"/>
          <w:b/>
          <w:color w:val="auto"/>
          <w:sz w:val="28"/>
          <w:szCs w:val="28"/>
        </w:rPr>
        <w:t>磋商须知前附表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150"/>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blHeader/>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条款号</w:t>
            </w:r>
          </w:p>
        </w:tc>
        <w:tc>
          <w:tcPr>
            <w:tcW w:w="2150" w:type="dxa"/>
            <w:tcBorders>
              <w:tl2br w:val="nil"/>
              <w:tr2bl w:val="nil"/>
            </w:tcBorders>
            <w:noWrap w:val="0"/>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条款名称</w:t>
            </w:r>
          </w:p>
        </w:tc>
        <w:tc>
          <w:tcPr>
            <w:tcW w:w="4920" w:type="dxa"/>
            <w:tcBorders>
              <w:tl2br w:val="nil"/>
              <w:tr2bl w:val="nil"/>
            </w:tcBorders>
            <w:noWrap w:val="0"/>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9090" w:type="dxa"/>
            <w:gridSpan w:val="3"/>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020" w:type="dxa"/>
            <w:tcBorders>
              <w:tl2br w:val="nil"/>
              <w:tr2bl w:val="nil"/>
            </w:tcBorders>
            <w:noWrap w:val="0"/>
            <w:vAlign w:val="center"/>
          </w:tcPr>
          <w:p>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第二章第1.1款</w:t>
            </w:r>
          </w:p>
        </w:tc>
        <w:tc>
          <w:tcPr>
            <w:tcW w:w="2150" w:type="dxa"/>
            <w:tcBorders>
              <w:tl2br w:val="nil"/>
              <w:tr2bl w:val="nil"/>
            </w:tcBorders>
            <w:noWrap w:val="0"/>
            <w:vAlign w:val="center"/>
          </w:tcPr>
          <w:p>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p>
        </w:tc>
        <w:tc>
          <w:tcPr>
            <w:tcW w:w="4920" w:type="dxa"/>
            <w:tcBorders>
              <w:tl2br w:val="nil"/>
              <w:tr2bl w:val="nil"/>
            </w:tcBorders>
            <w:noWrap w:val="0"/>
            <w:vAlign w:val="center"/>
          </w:tcPr>
          <w:p>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伊犁师范大学化学基础实验室仪器设备采购项目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第二章第2.1款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采购人</w:t>
            </w:r>
          </w:p>
        </w:tc>
        <w:tc>
          <w:tcPr>
            <w:tcW w:w="4920" w:type="dxa"/>
            <w:tcBorders>
              <w:tl2br w:val="nil"/>
              <w:tr2bl w:val="nil"/>
            </w:tcBorders>
            <w:noWrap w:val="0"/>
            <w:vAlign w:val="center"/>
          </w:tcPr>
          <w:p>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称：伊犁师范大学</w:t>
            </w:r>
          </w:p>
          <w:p>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联系人：王昱博</w:t>
            </w:r>
          </w:p>
          <w:p>
            <w:pPr>
              <w:adjustRightInd w:val="0"/>
              <w:snapToGrid w:val="0"/>
              <w:spacing w:line="360"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电  话：18299260502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第二章第2.2款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采购代理机构</w:t>
            </w:r>
          </w:p>
        </w:tc>
        <w:tc>
          <w:tcPr>
            <w:tcW w:w="492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名  称：新疆齐盛泉工程项目管理有限公司 </w:t>
            </w:r>
          </w:p>
          <w:p>
            <w:pPr>
              <w:adjustRightInd w:val="0"/>
              <w:snapToGrid w:val="0"/>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联系人：蒋立斌    高雅      </w:t>
            </w:r>
          </w:p>
          <w:p>
            <w:pPr>
              <w:adjustRightInd w:val="0"/>
              <w:snapToGrid w:val="0"/>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电  话：13369826359    0999-8800077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noWrap w:val="0"/>
            <w:vAlign w:val="center"/>
          </w:tcPr>
          <w:p>
            <w:pPr>
              <w:autoSpaceDE w:val="0"/>
              <w:autoSpaceDN w:val="0"/>
              <w:rPr>
                <w:rFonts w:hint="eastAsia" w:ascii="宋体" w:hAnsi="宋体" w:cs="宋体"/>
                <w:b w:val="0"/>
                <w:bCs w:val="0"/>
                <w:color w:val="auto"/>
                <w:sz w:val="24"/>
                <w:szCs w:val="24"/>
              </w:rPr>
            </w:pPr>
            <w:r>
              <w:rPr>
                <w:rFonts w:hint="eastAsia" w:ascii="宋体" w:hAnsi="宋体" w:eastAsia="宋体" w:cs="宋体"/>
                <w:b w:val="0"/>
                <w:bCs w:val="0"/>
                <w:color w:val="auto"/>
                <w:sz w:val="24"/>
                <w:szCs w:val="24"/>
                <w:lang w:eastAsia="zh-CN"/>
              </w:rPr>
              <w:t>采购内容</w:t>
            </w:r>
          </w:p>
        </w:tc>
        <w:tc>
          <w:tcPr>
            <w:tcW w:w="4920" w:type="dxa"/>
            <w:tcBorders>
              <w:tl2br w:val="nil"/>
              <w:tr2bl w:val="nil"/>
            </w:tcBorders>
            <w:noWrap w:val="0"/>
            <w:vAlign w:val="center"/>
          </w:tcPr>
          <w:p>
            <w:pPr>
              <w:autoSpaceDE w:val="0"/>
              <w:autoSpaceDN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（1）材料化学实验室采购蓝电测试系统等材料制备及性能测试仪器设备；（2）有机化学实验室采购半制备色谱仪等在天然产物化学领域的应用；（3）物理化学实验采购自冷式凝固点测定仪等仪器的增补。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noWrap w:val="0"/>
            <w:vAlign w:val="center"/>
          </w:tcPr>
          <w:p>
            <w:pPr>
              <w:autoSpaceDE w:val="0"/>
              <w:autoSpaceDN w:val="0"/>
              <w:rPr>
                <w:rFonts w:hint="eastAsia" w:ascii="宋体" w:hAnsi="宋体" w:cs="宋体"/>
                <w:bCs/>
                <w:color w:val="auto"/>
                <w:sz w:val="24"/>
                <w:szCs w:val="24"/>
              </w:rPr>
            </w:pPr>
            <w:r>
              <w:rPr>
                <w:rFonts w:hint="eastAsia" w:ascii="宋体" w:hAnsi="宋体" w:eastAsia="宋体" w:cs="宋体"/>
                <w:bCs/>
                <w:color w:val="auto"/>
                <w:sz w:val="24"/>
                <w:szCs w:val="24"/>
                <w:lang w:eastAsia="zh-CN"/>
              </w:rPr>
              <w:t>项目编号</w:t>
            </w:r>
          </w:p>
        </w:tc>
        <w:tc>
          <w:tcPr>
            <w:tcW w:w="4920" w:type="dxa"/>
            <w:tcBorders>
              <w:tl2br w:val="nil"/>
              <w:tr2bl w:val="nil"/>
            </w:tcBorders>
            <w:noWrap w:val="0"/>
            <w:vAlign w:val="center"/>
          </w:tcPr>
          <w:p>
            <w:pPr>
              <w:autoSpaceDE w:val="0"/>
              <w:autoSpaceDN w:val="0"/>
              <w:rPr>
                <w:rFonts w:hint="default" w:ascii="宋体" w:hAnsi="宋体" w:eastAsia="宋体" w:cs="宋体"/>
                <w:b/>
                <w:bCs/>
                <w:color w:val="auto"/>
                <w:sz w:val="24"/>
                <w:szCs w:val="24"/>
                <w:lang w:val="en-US" w:eastAsia="zh-CN"/>
              </w:rPr>
            </w:pPr>
            <w:r>
              <w:rPr>
                <w:rFonts w:hint="default" w:ascii="宋体" w:hAnsi="宋体" w:eastAsia="宋体" w:cs="宋体"/>
                <w:b w:val="0"/>
                <w:bCs w:val="0"/>
                <w:color w:val="auto"/>
                <w:sz w:val="24"/>
                <w:szCs w:val="24"/>
                <w:lang w:val="en-US" w:eastAsia="zh-CN"/>
              </w:rPr>
              <w:t>XJQSQZB202</w:t>
            </w:r>
            <w:r>
              <w:rPr>
                <w:rFonts w:hint="eastAsia" w:ascii="宋体" w:hAnsi="宋体" w:eastAsia="宋体" w:cs="宋体"/>
                <w:b w:val="0"/>
                <w:bCs w:val="0"/>
                <w:color w:val="auto"/>
                <w:sz w:val="24"/>
                <w:szCs w:val="24"/>
                <w:lang w:val="en-US" w:eastAsia="zh-CN"/>
              </w:rPr>
              <w:t>1</w:t>
            </w:r>
            <w:r>
              <w:rPr>
                <w:rFonts w:hint="default" w:ascii="宋体" w:hAnsi="宋体" w:eastAsia="宋体" w:cs="宋体"/>
                <w:b w:val="0"/>
                <w:bCs w:val="0"/>
                <w:color w:val="auto"/>
                <w:sz w:val="24"/>
                <w:szCs w:val="24"/>
                <w:lang w:val="en-US" w:eastAsia="zh-CN"/>
              </w:rPr>
              <w:t>-0</w:t>
            </w:r>
            <w:r>
              <w:rPr>
                <w:rFonts w:hint="eastAsia" w:ascii="宋体" w:hAnsi="宋体" w:cs="宋体"/>
                <w:b w:val="0"/>
                <w:bCs w:val="0"/>
                <w:color w:val="auto"/>
                <w:sz w:val="24"/>
                <w:szCs w:val="24"/>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noWrap w:val="0"/>
            <w:vAlign w:val="center"/>
          </w:tcPr>
          <w:p>
            <w:pPr>
              <w:spacing w:line="360" w:lineRule="atLeast"/>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交货时间</w:t>
            </w:r>
          </w:p>
        </w:tc>
        <w:tc>
          <w:tcPr>
            <w:tcW w:w="4920" w:type="dxa"/>
            <w:tcBorders>
              <w:tl2br w:val="nil"/>
              <w:tr2bl w:val="nil"/>
            </w:tcBorders>
            <w:noWrap w:val="0"/>
            <w:vAlign w:val="center"/>
          </w:tcPr>
          <w:p>
            <w:pPr>
              <w:autoSpaceDE w:val="0"/>
              <w:autoSpaceDN w:val="0"/>
              <w:spacing w:line="360" w:lineRule="auto"/>
              <w:rPr>
                <w:rFonts w:hint="default" w:ascii="宋体" w:hAnsi="宋体" w:eastAsia="宋体" w:cs="宋体"/>
                <w:b/>
                <w:bCs/>
                <w:color w:val="auto"/>
                <w:sz w:val="24"/>
                <w:szCs w:val="24"/>
                <w:lang w:val="en-US" w:eastAsia="zh-CN"/>
              </w:rPr>
            </w:pPr>
            <w:r>
              <w:rPr>
                <w:rFonts w:hint="default" w:ascii="宋体" w:hAnsi="宋体" w:eastAsia="宋体" w:cs="宋体"/>
                <w:b w:val="0"/>
                <w:bCs w:val="0"/>
                <w:color w:val="auto"/>
                <w:sz w:val="24"/>
                <w:szCs w:val="24"/>
                <w:lang w:val="en-US" w:eastAsia="zh-CN"/>
              </w:rPr>
              <w:t>中标公示结束后30日历日内完成</w:t>
            </w:r>
            <w:r>
              <w:rPr>
                <w:rFonts w:hint="eastAsia" w:ascii="宋体" w:hAnsi="宋体" w:cs="宋体"/>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noWrap w:val="0"/>
            <w:vAlign w:val="center"/>
          </w:tcPr>
          <w:p>
            <w:pPr>
              <w:spacing w:line="360" w:lineRule="atLeas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质量要求</w:t>
            </w:r>
          </w:p>
        </w:tc>
        <w:tc>
          <w:tcPr>
            <w:tcW w:w="4920" w:type="dxa"/>
            <w:tcBorders>
              <w:tl2br w:val="nil"/>
              <w:tr2bl w:val="nil"/>
            </w:tcBorders>
            <w:noWrap w:val="0"/>
            <w:vAlign w:val="center"/>
          </w:tcPr>
          <w:p>
            <w:pPr>
              <w:autoSpaceDE w:val="0"/>
              <w:autoSpaceDN w:val="0"/>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达到国家现行技术标准；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noWrap w:val="0"/>
            <w:vAlign w:val="center"/>
          </w:tcPr>
          <w:p>
            <w:pPr>
              <w:spacing w:line="360" w:lineRule="atLeas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供货地点</w:t>
            </w:r>
          </w:p>
        </w:tc>
        <w:tc>
          <w:tcPr>
            <w:tcW w:w="4920" w:type="dxa"/>
            <w:tcBorders>
              <w:tl2br w:val="nil"/>
              <w:tr2bl w:val="nil"/>
            </w:tcBorders>
            <w:noWrap w:val="0"/>
            <w:vAlign w:val="center"/>
          </w:tcPr>
          <w:p>
            <w:pPr>
              <w:autoSpaceDE w:val="0"/>
              <w:autoSpaceDN w:val="0"/>
              <w:spacing w:line="360" w:lineRule="auto"/>
              <w:rPr>
                <w:rFonts w:hint="eastAsia" w:ascii="宋体" w:hAnsi="宋体" w:eastAsia="宋体" w:cs="宋体"/>
                <w:b/>
                <w:bCs/>
                <w:color w:val="auto"/>
                <w:sz w:val="24"/>
                <w:szCs w:val="24"/>
                <w:lang w:val="en-US" w:eastAsia="zh-CN"/>
              </w:rPr>
            </w:pPr>
            <w:r>
              <w:rPr>
                <w:rFonts w:hint="eastAsia" w:ascii="宋体" w:hAnsi="宋体" w:cs="宋体"/>
                <w:color w:val="auto"/>
                <w:sz w:val="24"/>
                <w:lang w:val="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6"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第二章第3.1款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Cs/>
                <w:color w:val="auto"/>
                <w:sz w:val="24"/>
                <w:szCs w:val="24"/>
              </w:rPr>
              <w:t>供应商</w:t>
            </w:r>
            <w:r>
              <w:rPr>
                <w:rFonts w:hint="eastAsia" w:ascii="宋体" w:hAnsi="宋体" w:cs="宋体"/>
                <w:color w:val="auto"/>
                <w:sz w:val="24"/>
                <w:szCs w:val="24"/>
              </w:rPr>
              <w:t>资格条件</w:t>
            </w:r>
          </w:p>
        </w:tc>
        <w:tc>
          <w:tcPr>
            <w:tcW w:w="4920" w:type="dxa"/>
            <w:tcBorders>
              <w:tl2br w:val="nil"/>
              <w:tr2bl w:val="nil"/>
            </w:tcBorders>
            <w:noWrap w:val="0"/>
            <w:vAlign w:val="center"/>
          </w:tcPr>
          <w:p>
            <w:pPr>
              <w:pStyle w:val="42"/>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80" w:lineRule="exact"/>
              <w:ind w:left="-107" w:leftChars="-51"/>
              <w:jc w:val="both"/>
              <w:textAlignment w:val="auto"/>
              <w:rPr>
                <w:rFonts w:hint="eastAsia"/>
                <w:color w:val="auto"/>
              </w:rPr>
            </w:pPr>
            <w:r>
              <w:rPr>
                <w:rFonts w:hint="eastAsia"/>
                <w:color w:val="auto"/>
              </w:rPr>
              <w:t>基本资格条件：符合《中华人民共和国政府采购法》第二十二条规定的供应商条件；</w:t>
            </w:r>
          </w:p>
          <w:p>
            <w:pPr>
              <w:keepNext w:val="0"/>
              <w:keepLines w:val="0"/>
              <w:pageBreakBefore w:val="0"/>
              <w:numPr>
                <w:ilvl w:val="0"/>
                <w:numId w:val="1"/>
              </w:numPr>
              <w:kinsoku/>
              <w:wordWrap/>
              <w:overflowPunct/>
              <w:topLinePunct w:val="0"/>
              <w:autoSpaceDE/>
              <w:autoSpaceDN/>
              <w:bidi w:val="0"/>
              <w:adjustRightInd w:val="0"/>
              <w:snapToGrid w:val="0"/>
              <w:spacing w:line="380" w:lineRule="exact"/>
              <w:ind w:left="-107" w:leftChars="-51" w:firstLine="0" w:firstLineChars="0"/>
              <w:textAlignment w:val="auto"/>
              <w:rPr>
                <w:rFonts w:hint="eastAsia"/>
                <w:color w:val="auto"/>
                <w:sz w:val="24"/>
                <w:szCs w:val="24"/>
              </w:rPr>
            </w:pPr>
            <w:r>
              <w:rPr>
                <w:rFonts w:hint="eastAsia"/>
                <w:color w:val="auto"/>
                <w:sz w:val="24"/>
                <w:szCs w:val="24"/>
              </w:rPr>
              <w:t>特定资格条件：</w:t>
            </w:r>
          </w:p>
          <w:p>
            <w:pPr>
              <w:keepNext w:val="0"/>
              <w:keepLines w:val="0"/>
              <w:pageBreakBefore w:val="0"/>
              <w:numPr>
                <w:ilvl w:val="0"/>
                <w:numId w:val="2"/>
              </w:numPr>
              <w:kinsoku/>
              <w:wordWrap/>
              <w:overflowPunct/>
              <w:topLinePunct w:val="0"/>
              <w:autoSpaceDE/>
              <w:autoSpaceDN/>
              <w:bidi w:val="0"/>
              <w:adjustRightInd w:val="0"/>
              <w:snapToGrid w:val="0"/>
              <w:spacing w:line="380" w:lineRule="exact"/>
              <w:ind w:leftChars="-51"/>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具备有效的营业执照；</w:t>
            </w:r>
          </w:p>
          <w:p>
            <w:pPr>
              <w:keepNext w:val="0"/>
              <w:keepLines w:val="0"/>
              <w:pageBreakBefore w:val="0"/>
              <w:numPr>
                <w:ilvl w:val="0"/>
                <w:numId w:val="2"/>
              </w:numPr>
              <w:kinsoku/>
              <w:wordWrap/>
              <w:overflowPunct/>
              <w:topLinePunct w:val="0"/>
              <w:autoSpaceDE/>
              <w:autoSpaceDN/>
              <w:bidi w:val="0"/>
              <w:adjustRightInd w:val="0"/>
              <w:snapToGrid w:val="0"/>
              <w:spacing w:line="380" w:lineRule="exact"/>
              <w:ind w:leftChars="-51"/>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会计事务所出具的2020年度财务审计报告或提供银行出具的资信证明（资信证明仅限2021年成立的企业）；</w:t>
            </w:r>
          </w:p>
          <w:p>
            <w:pPr>
              <w:keepNext w:val="0"/>
              <w:keepLines w:val="0"/>
              <w:pageBreakBefore w:val="0"/>
              <w:numPr>
                <w:ilvl w:val="0"/>
                <w:numId w:val="2"/>
              </w:numPr>
              <w:kinsoku/>
              <w:wordWrap/>
              <w:overflowPunct/>
              <w:topLinePunct w:val="0"/>
              <w:autoSpaceDE/>
              <w:autoSpaceDN/>
              <w:bidi w:val="0"/>
              <w:adjustRightInd w:val="0"/>
              <w:snapToGrid w:val="0"/>
              <w:spacing w:line="380" w:lineRule="exact"/>
              <w:ind w:leftChars="-51"/>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税务部门出具的2020年依法纳税证明资料；</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（4）社保机构出具的供应商被授权委托人缴纳2021年4月-2021年9月的社保资金证明原件或加盖电子专用章的缴费清单；</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（5）具备本次采购项目能力的供应商，并在人员、资金、设备等方面具有承担本项目供货的能力；</w:t>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 xml:space="preserve">（6）供应商分别在“信用中国”（www.creditchina.gov.cn）网上查询本公司未被列入失信被执行人、重大税收违法案件当事人名单、“中国政府采购网”（ </w:t>
            </w:r>
            <w:r>
              <w:rPr>
                <w:rFonts w:hint="eastAsia" w:ascii="宋体" w:hAnsi="宋体" w:cs="宋体"/>
                <w:color w:val="auto"/>
                <w:kern w:val="0"/>
                <w:sz w:val="24"/>
                <w:szCs w:val="24"/>
                <w:lang w:val="en-US" w:eastAsia="zh-CN" w:bidi="ar-SA"/>
              </w:rPr>
              <w:fldChar w:fldCharType="begin"/>
            </w:r>
            <w:r>
              <w:rPr>
                <w:rFonts w:hint="eastAsia" w:ascii="宋体" w:hAnsi="宋体" w:cs="宋体"/>
                <w:color w:val="auto"/>
                <w:kern w:val="0"/>
                <w:sz w:val="24"/>
                <w:szCs w:val="24"/>
                <w:lang w:val="en-US" w:eastAsia="zh-CN" w:bidi="ar-SA"/>
              </w:rPr>
              <w:instrText xml:space="preserve"> HYPERLINK "http://www.ccgp.gov.cn）网上查询本公司未被列入政府采购严重违法失信行为记录名单（提供查询结果网页截图并加盖供应商公章，网页打印件须自招标公告发布之日起至截止日内从上述网站中打印）；" </w:instrText>
            </w:r>
            <w:r>
              <w:rPr>
                <w:rFonts w:hint="eastAsia" w:ascii="宋体" w:hAnsi="宋体" w:cs="宋体"/>
                <w:color w:val="auto"/>
                <w:kern w:val="0"/>
                <w:sz w:val="24"/>
                <w:szCs w:val="24"/>
                <w:lang w:val="en-US" w:eastAsia="zh-CN" w:bidi="ar-SA"/>
              </w:rPr>
              <w:fldChar w:fldCharType="separate"/>
            </w:r>
            <w:r>
              <w:rPr>
                <w:rFonts w:hint="eastAsia" w:ascii="宋体" w:hAnsi="宋体" w:cs="宋体"/>
                <w:color w:val="auto"/>
                <w:kern w:val="0"/>
                <w:sz w:val="24"/>
                <w:szCs w:val="24"/>
                <w:lang w:val="en-US" w:eastAsia="zh-CN" w:bidi="ar-SA"/>
              </w:rPr>
              <w:t>www.ccgp.gov.cn）网上查询本公司未被列入政府采购严重违法失信行为记录名单（提供查询结果网页截图并加盖供应商公章，网页打印件须自公告发布之日起至截止日内从上述网站中打印）；</w:t>
            </w:r>
            <w:r>
              <w:rPr>
                <w:rFonts w:hint="eastAsia" w:ascii="宋体" w:hAnsi="宋体" w:cs="宋体"/>
                <w:color w:val="auto"/>
                <w:kern w:val="0"/>
                <w:sz w:val="24"/>
                <w:szCs w:val="24"/>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 xml:space="preserve">（7）单位负责人为同一人或者存在控股、管理关系的不同单位，不得同时参加本项目的投标。为本项目提供整体设计、规范编制或者项目管理、监理、检测等服务的投标人，不得再参加本项目投标；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color w:val="FF0000"/>
              </w:rPr>
            </w:pPr>
            <w:r>
              <w:rPr>
                <w:rFonts w:hint="eastAsia" w:ascii="宋体" w:hAnsi="宋体" w:cs="宋体"/>
                <w:color w:val="auto"/>
                <w:kern w:val="0"/>
                <w:sz w:val="24"/>
                <w:szCs w:val="24"/>
                <w:lang w:val="en-US" w:eastAsia="zh-CN" w:bidi="ar-SA"/>
              </w:rPr>
              <w:t>（8）采购人保留对供应商进一步实地考察的权利，经考察供应商申请资料中关于公告所要求内容与事实不符的，采购人有权拒绝供应商的投标；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第二章第6.1款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联合体形式</w:t>
            </w:r>
          </w:p>
        </w:tc>
        <w:tc>
          <w:tcPr>
            <w:tcW w:w="4920" w:type="dxa"/>
            <w:tcBorders>
              <w:tl2br w:val="nil"/>
              <w:tr2bl w:val="nil"/>
            </w:tcBorders>
            <w:noWrap w:val="0"/>
            <w:vAlign w:val="center"/>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本采购项目不接受联合体形式</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第二章第6.2（3）款</w:t>
            </w:r>
          </w:p>
        </w:tc>
        <w:tc>
          <w:tcPr>
            <w:tcW w:w="2150" w:type="dxa"/>
            <w:tcBorders>
              <w:tl2br w:val="nil"/>
              <w:tr2bl w:val="nil"/>
            </w:tcBorders>
            <w:noWrap w:val="0"/>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对联合体各方的要求</w:t>
            </w:r>
          </w:p>
        </w:tc>
        <w:tc>
          <w:tcPr>
            <w:tcW w:w="492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2"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第二章第7.1款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现场勘察</w:t>
            </w:r>
          </w:p>
        </w:tc>
        <w:tc>
          <w:tcPr>
            <w:tcW w:w="492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本次磋商不组织统一踏勘现场活动，供应商应根据项目的实际情况自行组织踏勘现场，供应商因没有踏勘现场而给自身带来的损失，供应商自行负责。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val="en-US" w:eastAsia="zh-CN"/>
              </w:rPr>
              <w:t>8</w:t>
            </w:r>
            <w:r>
              <w:rPr>
                <w:rFonts w:hint="eastAsia" w:ascii="宋体" w:hAnsi="宋体" w:cs="宋体"/>
                <w:color w:val="auto"/>
                <w:sz w:val="24"/>
                <w:szCs w:val="24"/>
              </w:rPr>
              <w:t>款</w:t>
            </w:r>
          </w:p>
        </w:tc>
        <w:tc>
          <w:tcPr>
            <w:tcW w:w="2150" w:type="dxa"/>
            <w:tcBorders>
              <w:tl2br w:val="nil"/>
              <w:tr2bl w:val="nil"/>
            </w:tcBorders>
            <w:noWrap w:val="0"/>
            <w:vAlign w:val="center"/>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进口产品</w:t>
            </w:r>
          </w:p>
        </w:tc>
        <w:tc>
          <w:tcPr>
            <w:tcW w:w="4920" w:type="dxa"/>
            <w:tcBorders>
              <w:tl2br w:val="nil"/>
              <w:tr2bl w:val="nil"/>
            </w:tcBorders>
            <w:noWrap w:val="0"/>
            <w:vAlign w:val="center"/>
          </w:tcPr>
          <w:p>
            <w:pPr>
              <w:adjustRightInd w:val="0"/>
              <w:snapToGrid w:val="0"/>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9090" w:type="dxa"/>
            <w:gridSpan w:val="3"/>
            <w:tcBorders>
              <w:tl2br w:val="nil"/>
              <w:tr2bl w:val="nil"/>
            </w:tcBorders>
            <w:noWrap w:val="0"/>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二、磋商文件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val="en-US" w:eastAsia="zh-CN"/>
              </w:rPr>
              <w:t>9</w:t>
            </w:r>
            <w:r>
              <w:rPr>
                <w:rFonts w:hint="eastAsia" w:ascii="宋体" w:hAnsi="宋体" w:cs="宋体"/>
                <w:color w:val="auto"/>
                <w:sz w:val="24"/>
                <w:szCs w:val="24"/>
              </w:rPr>
              <w:t>.2款</w:t>
            </w:r>
          </w:p>
        </w:tc>
        <w:tc>
          <w:tcPr>
            <w:tcW w:w="215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磋商文件的实质性变动内容</w:t>
            </w:r>
          </w:p>
        </w:tc>
        <w:tc>
          <w:tcPr>
            <w:tcW w:w="4920" w:type="dxa"/>
            <w:tcBorders>
              <w:tl2br w:val="nil"/>
              <w:tr2bl w:val="nil"/>
            </w:tcBorders>
            <w:noWrap w:val="0"/>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2020" w:type="dxa"/>
            <w:tcBorders>
              <w:tl2br w:val="nil"/>
              <w:tr2bl w:val="nil"/>
            </w:tcBorders>
            <w:noWrap w:val="0"/>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w:t>
            </w:r>
            <w:r>
              <w:rPr>
                <w:rFonts w:hint="eastAsia" w:ascii="宋体" w:hAnsi="宋体" w:cs="宋体"/>
                <w:color w:val="auto"/>
                <w:sz w:val="24"/>
                <w:szCs w:val="24"/>
                <w:lang w:eastAsia="zh-CN"/>
              </w:rPr>
              <w:t>第</w:t>
            </w:r>
            <w:r>
              <w:rPr>
                <w:rFonts w:hint="eastAsia" w:ascii="宋体" w:hAnsi="宋体" w:cs="宋体"/>
                <w:color w:val="auto"/>
                <w:sz w:val="24"/>
                <w:szCs w:val="24"/>
                <w:lang w:val="en-US" w:eastAsia="zh-CN"/>
              </w:rPr>
              <w:t>9</w:t>
            </w:r>
            <w:r>
              <w:rPr>
                <w:rFonts w:hint="eastAsia" w:ascii="宋体" w:hAnsi="宋体" w:cs="宋体"/>
                <w:color w:val="auto"/>
                <w:sz w:val="24"/>
                <w:szCs w:val="24"/>
              </w:rPr>
              <w:t>.3款</w:t>
            </w:r>
          </w:p>
        </w:tc>
        <w:tc>
          <w:tcPr>
            <w:tcW w:w="215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最高允许偏离项数</w:t>
            </w:r>
          </w:p>
        </w:tc>
        <w:tc>
          <w:tcPr>
            <w:tcW w:w="4920" w:type="dxa"/>
            <w:tcBorders>
              <w:tl2br w:val="nil"/>
              <w:tr2bl w:val="nil"/>
            </w:tcBorders>
            <w:noWrap w:val="0"/>
            <w:vAlign w:val="top"/>
          </w:tcPr>
          <w:p>
            <w:pPr>
              <w:tabs>
                <w:tab w:val="left" w:pos="0"/>
              </w:tabs>
              <w:adjustRightInd w:val="0"/>
              <w:snapToGrid w:val="0"/>
              <w:spacing w:before="156" w:beforeLines="50" w:line="360" w:lineRule="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2020" w:type="dxa"/>
            <w:tcBorders>
              <w:tl2br w:val="nil"/>
              <w:tr2bl w:val="nil"/>
            </w:tcBorders>
            <w:noWrap w:val="0"/>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val="en-US" w:eastAsia="zh-CN"/>
              </w:rPr>
              <w:t>11</w:t>
            </w:r>
            <w:r>
              <w:rPr>
                <w:rFonts w:hint="eastAsia" w:ascii="宋体" w:hAnsi="宋体" w:cs="宋体"/>
                <w:color w:val="auto"/>
                <w:sz w:val="24"/>
                <w:szCs w:val="24"/>
              </w:rPr>
              <w:t>.1款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递交响应文件的截止时间</w:t>
            </w:r>
          </w:p>
        </w:tc>
        <w:tc>
          <w:tcPr>
            <w:tcW w:w="4920" w:type="dxa"/>
            <w:tcBorders>
              <w:tl2br w:val="nil"/>
              <w:tr2bl w:val="nil"/>
            </w:tcBorders>
            <w:noWrap w:val="0"/>
            <w:vAlign w:val="center"/>
          </w:tcPr>
          <w:p>
            <w:pPr>
              <w:adjustRightInd w:val="0"/>
              <w:snapToGrid w:val="0"/>
              <w:spacing w:line="360" w:lineRule="auto"/>
              <w:jc w:val="left"/>
              <w:rPr>
                <w:rFonts w:hint="eastAsia" w:ascii="宋体" w:hAnsi="宋体" w:cs="宋体"/>
                <w:color w:val="auto"/>
                <w:sz w:val="24"/>
                <w:szCs w:val="24"/>
              </w:rPr>
            </w:pPr>
            <w:r>
              <w:rPr>
                <w:rFonts w:hint="eastAsia" w:ascii="宋体" w:hAnsi="宋体" w:eastAsia="宋体" w:cs="宋体"/>
                <w:b/>
                <w:bCs/>
                <w:color w:val="auto"/>
                <w:sz w:val="24"/>
                <w:szCs w:val="24"/>
                <w:u w:val="single"/>
                <w:lang w:val="en-US" w:eastAsia="zh-CN"/>
              </w:rPr>
              <w:t>2021</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月</w:t>
            </w:r>
            <w:r>
              <w:rPr>
                <w:rFonts w:hint="eastAsia" w:ascii="宋体" w:hAnsi="宋体" w:cs="宋体"/>
                <w:b/>
                <w:bCs/>
                <w:color w:val="auto"/>
                <w:sz w:val="24"/>
                <w:szCs w:val="24"/>
                <w:u w:val="single"/>
                <w:lang w:val="en-US" w:eastAsia="zh-CN"/>
              </w:rPr>
              <w:t>12</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u w:val="single"/>
                <w:lang w:eastAsia="zh-CN"/>
              </w:rPr>
              <w:t>1</w:t>
            </w:r>
            <w:r>
              <w:rPr>
                <w:rFonts w:hint="eastAsia" w:ascii="宋体" w:hAnsi="宋体" w:cs="宋体"/>
                <w:b/>
                <w:bCs/>
                <w:color w:val="auto"/>
                <w:sz w:val="24"/>
                <w:szCs w:val="24"/>
                <w:u w:val="single"/>
                <w:lang w:val="en-US" w:eastAsia="zh-CN"/>
              </w:rPr>
              <w:t>1</w:t>
            </w:r>
            <w:r>
              <w:rPr>
                <w:rFonts w:hint="eastAsia" w:ascii="宋体" w:hAnsi="宋体" w:eastAsia="宋体" w:cs="宋体"/>
                <w:b/>
                <w:bCs/>
                <w:color w:val="auto"/>
                <w:sz w:val="24"/>
                <w:szCs w:val="24"/>
              </w:rPr>
              <w:t>时</w:t>
            </w:r>
            <w:r>
              <w:rPr>
                <w:rFonts w:hint="eastAsia" w:ascii="宋体" w:hAnsi="宋体" w:cs="宋体"/>
                <w:b/>
                <w:bCs/>
                <w:color w:val="auto"/>
                <w:sz w:val="24"/>
                <w:szCs w:val="24"/>
                <w:u w:val="single"/>
                <w:lang w:val="en-US" w:eastAsia="zh-CN"/>
              </w:rPr>
              <w:t>0</w:t>
            </w:r>
            <w:r>
              <w:rPr>
                <w:rFonts w:hint="eastAsia" w:ascii="宋体" w:hAnsi="宋体" w:eastAsia="宋体" w:cs="宋体"/>
                <w:b/>
                <w:bCs/>
                <w:color w:val="auto"/>
                <w:sz w:val="24"/>
                <w:szCs w:val="24"/>
                <w:u w:val="single"/>
              </w:rPr>
              <w:t>0</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9090" w:type="dxa"/>
            <w:gridSpan w:val="3"/>
            <w:tcBorders>
              <w:tl2br w:val="nil"/>
              <w:tr2bl w:val="nil"/>
            </w:tcBorders>
            <w:noWrap w:val="0"/>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三、评标办法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2020" w:type="dxa"/>
            <w:tcBorders>
              <w:tl2br w:val="nil"/>
              <w:tr2bl w:val="nil"/>
            </w:tcBorders>
            <w:noWrap w:val="0"/>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第二章第</w:t>
            </w:r>
            <w:r>
              <w:rPr>
                <w:rFonts w:hint="eastAsia" w:ascii="宋体" w:hAnsi="宋体" w:cs="宋体"/>
                <w:b/>
                <w:color w:val="auto"/>
                <w:sz w:val="24"/>
                <w:szCs w:val="24"/>
                <w:lang w:eastAsia="zh-CN"/>
              </w:rPr>
              <w:t>29</w:t>
            </w:r>
            <w:r>
              <w:rPr>
                <w:rFonts w:hint="eastAsia" w:ascii="宋体" w:hAnsi="宋体" w:cs="宋体"/>
                <w:b/>
                <w:color w:val="auto"/>
                <w:sz w:val="24"/>
                <w:szCs w:val="24"/>
              </w:rPr>
              <w:t>.1款</w:t>
            </w:r>
          </w:p>
        </w:tc>
        <w:tc>
          <w:tcPr>
            <w:tcW w:w="2150" w:type="dxa"/>
            <w:tcBorders>
              <w:tl2br w:val="nil"/>
              <w:tr2bl w:val="nil"/>
            </w:tcBorders>
            <w:noWrap w:val="0"/>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综合评分法</w:t>
            </w:r>
          </w:p>
        </w:tc>
        <w:tc>
          <w:tcPr>
            <w:tcW w:w="4920" w:type="dxa"/>
            <w:tcBorders>
              <w:tl2br w:val="nil"/>
              <w:tr2bl w:val="nil"/>
            </w:tcBorders>
            <w:noWrap w:val="0"/>
            <w:vAlign w:val="center"/>
          </w:tcPr>
          <w:p>
            <w:pPr>
              <w:adjustRightInd w:val="0"/>
              <w:snapToGrid w:val="0"/>
              <w:spacing w:before="156" w:beforeLines="50" w:line="360" w:lineRule="auto"/>
              <w:jc w:val="left"/>
              <w:rPr>
                <w:rFonts w:hint="eastAsia" w:ascii="宋体" w:hAnsi="宋体" w:cs="宋体"/>
                <w:color w:val="auto"/>
                <w:sz w:val="24"/>
                <w:szCs w:val="24"/>
              </w:rPr>
            </w:pPr>
            <w:r>
              <w:rPr>
                <w:rFonts w:hint="eastAsia" w:ascii="宋体" w:hAnsi="宋体" w:cs="宋体"/>
                <w:color w:val="auto"/>
                <w:sz w:val="24"/>
                <w:szCs w:val="24"/>
              </w:rPr>
              <w:t>响应文件满足磋商文件全部实质性要求且按磋商因素的量化指标评审得分最高的供应商为成交候选人的评审方法。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90" w:type="dxa"/>
            <w:gridSpan w:val="3"/>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四、响应文件的编写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2020" w:type="dxa"/>
            <w:tcBorders>
              <w:tl2br w:val="nil"/>
              <w:tr2bl w:val="nil"/>
            </w:tcBorders>
            <w:noWrap w:val="0"/>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15</w:t>
            </w:r>
            <w:r>
              <w:rPr>
                <w:rFonts w:hint="eastAsia" w:ascii="宋体" w:hAnsi="宋体" w:cs="宋体"/>
                <w:color w:val="auto"/>
                <w:sz w:val="24"/>
                <w:szCs w:val="24"/>
              </w:rPr>
              <w:t>.4款</w:t>
            </w:r>
          </w:p>
        </w:tc>
        <w:tc>
          <w:tcPr>
            <w:tcW w:w="2150" w:type="dxa"/>
            <w:tcBorders>
              <w:tl2br w:val="nil"/>
              <w:tr2bl w:val="nil"/>
            </w:tcBorders>
            <w:noWrap w:val="0"/>
            <w:vAlign w:val="center"/>
          </w:tcPr>
          <w:p>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采购预算（最高限价）</w:t>
            </w:r>
          </w:p>
        </w:tc>
        <w:tc>
          <w:tcPr>
            <w:tcW w:w="492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eastAsia="宋体" w:cs="宋体"/>
                <w:b/>
                <w:bCs/>
                <w:color w:val="auto"/>
                <w:sz w:val="24"/>
                <w:szCs w:val="24"/>
                <w:lang w:val="en-US" w:eastAsia="zh-CN"/>
              </w:rPr>
              <w:t>采购预算：949198.00元（</w:t>
            </w:r>
            <w:r>
              <w:rPr>
                <w:rFonts w:hint="eastAsia" w:ascii="宋体" w:hAnsi="宋体" w:cs="宋体"/>
                <w:b/>
                <w:bCs/>
                <w:color w:val="auto"/>
                <w:sz w:val="24"/>
                <w:szCs w:val="24"/>
                <w:lang w:val="en-US" w:eastAsia="zh-CN"/>
              </w:rPr>
              <w:t>大写：玖拾肆万玖仟壹佰玖拾捌元整）供应商的报价如超过采购预算价，则该供应商的响应文件作无效响应处理。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17</w:t>
            </w:r>
            <w:r>
              <w:rPr>
                <w:rFonts w:hint="eastAsia" w:ascii="宋体" w:hAnsi="宋体" w:cs="宋体"/>
                <w:color w:val="auto"/>
                <w:sz w:val="24"/>
                <w:szCs w:val="24"/>
              </w:rPr>
              <w:t>.1款</w:t>
            </w:r>
          </w:p>
        </w:tc>
        <w:tc>
          <w:tcPr>
            <w:tcW w:w="2150" w:type="dxa"/>
            <w:tcBorders>
              <w:tl2br w:val="nil"/>
              <w:tr2bl w:val="nil"/>
            </w:tcBorders>
            <w:noWrap w:val="0"/>
            <w:vAlign w:val="center"/>
          </w:tcPr>
          <w:p>
            <w:pPr>
              <w:adjustRightInd w:val="0"/>
              <w:snapToGrid w:val="0"/>
              <w:spacing w:line="360" w:lineRule="auto"/>
              <w:ind w:left="-533" w:leftChars="-254" w:firstLine="609" w:firstLineChars="254"/>
              <w:jc w:val="center"/>
              <w:rPr>
                <w:rFonts w:hint="eastAsia" w:ascii="宋体" w:hAnsi="宋体" w:cs="宋体"/>
                <w:color w:val="auto"/>
                <w:sz w:val="24"/>
                <w:szCs w:val="24"/>
              </w:rPr>
            </w:pPr>
            <w:r>
              <w:rPr>
                <w:rFonts w:hint="eastAsia" w:ascii="宋体" w:hAnsi="宋体" w:cs="宋体"/>
                <w:color w:val="auto"/>
                <w:sz w:val="24"/>
                <w:szCs w:val="24"/>
              </w:rPr>
              <w:t>保证金</w:t>
            </w:r>
          </w:p>
        </w:tc>
        <w:tc>
          <w:tcPr>
            <w:tcW w:w="4920" w:type="dxa"/>
            <w:tcBorders>
              <w:tl2br w:val="nil"/>
              <w:tr2bl w:val="nil"/>
            </w:tcBorders>
            <w:noWrap w:val="0"/>
            <w:vAlign w:val="center"/>
          </w:tcPr>
          <w:p>
            <w:pPr>
              <w:spacing w:line="360" w:lineRule="auto"/>
              <w:rPr>
                <w:rFonts w:hint="eastAsia"/>
              </w:rPr>
            </w:pPr>
            <w:r>
              <w:rPr>
                <w:rFonts w:hint="eastAsia"/>
              </w:rPr>
              <w:t>投标保证金的形式：</w:t>
            </w:r>
            <w:r>
              <w:rPr>
                <w:rFonts w:hint="eastAsia"/>
                <w:lang w:val="zh-CN"/>
              </w:rPr>
              <w:t>电汇、企业网银等非现金形式</w:t>
            </w:r>
          </w:p>
          <w:p>
            <w:pPr>
              <w:autoSpaceDE w:val="0"/>
              <w:autoSpaceDN w:val="0"/>
              <w:spacing w:line="360" w:lineRule="auto"/>
              <w:rPr>
                <w:rFonts w:hint="eastAsia"/>
                <w:color w:val="auto"/>
              </w:rPr>
            </w:pPr>
            <w:r>
              <w:rPr>
                <w:rFonts w:hint="eastAsia"/>
              </w:rPr>
              <w:t>投标保证金的金额：</w:t>
            </w:r>
            <w:r>
              <w:rPr>
                <w:rFonts w:hint="eastAsia"/>
                <w:color w:val="auto"/>
                <w:lang w:val="en-US" w:eastAsia="zh-CN"/>
              </w:rPr>
              <w:t>15000</w:t>
            </w:r>
            <w:r>
              <w:rPr>
                <w:rFonts w:hint="eastAsia"/>
                <w:color w:val="auto"/>
              </w:rPr>
              <w:t>.00</w:t>
            </w:r>
            <w:r>
              <w:rPr>
                <w:rFonts w:hint="eastAsia"/>
                <w:color w:val="auto"/>
                <w:lang w:val="zh-CN"/>
              </w:rPr>
              <w:t>元（大写：壹万伍仟元整 ）</w:t>
            </w:r>
          </w:p>
          <w:p>
            <w:pPr>
              <w:pStyle w:val="124"/>
              <w:spacing w:line="360" w:lineRule="auto"/>
              <w:rPr>
                <w:rFonts w:hint="eastAsia"/>
              </w:rPr>
            </w:pPr>
            <w:r>
              <w:rPr>
                <w:rFonts w:hint="eastAsia"/>
              </w:rPr>
              <w:t>递交方式：保证金必须是从供应商单位的基本账户转</w:t>
            </w:r>
            <w:r>
              <w:rPr>
                <w:rFonts w:hint="eastAsia"/>
                <w:lang w:eastAsia="zh-CN"/>
              </w:rPr>
              <w:t>出</w:t>
            </w:r>
            <w:r>
              <w:rPr>
                <w:rFonts w:hint="eastAsia"/>
              </w:rPr>
              <w:t>。采购人不接受以现金方式提交的保证金，以现金方式提交的保证金无效。</w:t>
            </w:r>
          </w:p>
          <w:p>
            <w:pPr>
              <w:spacing w:line="360" w:lineRule="auto"/>
              <w:rPr>
                <w:rFonts w:hint="eastAsia"/>
              </w:rPr>
            </w:pPr>
            <w:r>
              <w:rPr>
                <w:rFonts w:hint="eastAsia"/>
              </w:rPr>
              <w:t>账户名：新疆齐盛泉工程项目管理有限公司</w:t>
            </w:r>
          </w:p>
          <w:p>
            <w:pPr>
              <w:spacing w:line="320" w:lineRule="exact"/>
              <w:rPr>
                <w:rFonts w:hint="eastAsia"/>
              </w:rPr>
            </w:pPr>
            <w:r>
              <w:rPr>
                <w:rFonts w:hint="eastAsia"/>
              </w:rPr>
              <w:t xml:space="preserve">账  号：8120 2051 2010 1053 52388 </w:t>
            </w:r>
          </w:p>
          <w:p>
            <w:pPr>
              <w:spacing w:line="320" w:lineRule="exact"/>
              <w:rPr>
                <w:rFonts w:hint="eastAsia"/>
              </w:rPr>
            </w:pPr>
            <w:r>
              <w:rPr>
                <w:rFonts w:hint="eastAsia"/>
              </w:rPr>
              <w:t>开户行：新疆伊犁农村商业银行滨河支行</w:t>
            </w:r>
          </w:p>
          <w:p>
            <w:pPr>
              <w:spacing w:line="320" w:lineRule="exact"/>
              <w:rPr>
                <w:rFonts w:hint="eastAsia"/>
                <w:lang w:eastAsia="zh-CN"/>
              </w:rPr>
            </w:pPr>
            <w:r>
              <w:rPr>
                <w:rFonts w:hint="eastAsia"/>
              </w:rPr>
              <w:t>行  号：402898000164</w:t>
            </w:r>
          </w:p>
          <w:p>
            <w:pPr>
              <w:spacing w:line="360" w:lineRule="auto"/>
              <w:rPr>
                <w:rFonts w:hint="eastAsia"/>
                <w:lang w:eastAsia="zh-CN"/>
              </w:rPr>
            </w:pPr>
            <w:r>
              <w:rPr>
                <w:rFonts w:hint="eastAsia"/>
              </w:rPr>
              <w:t>从基本账户转出，保证金以到账时间为准，只有确认到账后才开具投标保证金收据</w:t>
            </w:r>
            <w:r>
              <w:rPr>
                <w:rFonts w:hint="eastAsia"/>
                <w:lang w:eastAsia="zh-CN"/>
              </w:rPr>
              <w:t>，否则其投标将被拒绝。</w:t>
            </w:r>
          </w:p>
          <w:p>
            <w:pPr>
              <w:pStyle w:val="30"/>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备注：开标前须以取得采购代理机构财务部门开具</w:t>
            </w:r>
          </w:p>
          <w:p>
            <w:pPr>
              <w:pStyle w:val="30"/>
              <w:jc w:val="both"/>
              <w:rPr>
                <w:rFonts w:hint="eastAsia"/>
                <w:lang w:eastAsia="zh-CN"/>
              </w:rPr>
            </w:pPr>
            <w:r>
              <w:rPr>
                <w:rFonts w:hint="eastAsia" w:ascii="Times New Roman" w:hAnsi="Times New Roman" w:eastAsia="宋体" w:cs="Times New Roman"/>
                <w:kern w:val="2"/>
                <w:sz w:val="21"/>
                <w:szCs w:val="24"/>
                <w:lang w:val="zh-CN" w:eastAsia="zh-CN" w:bidi="ar-SA"/>
              </w:rPr>
              <w:t>的收据为准，原件须带至开标现场查验。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18</w:t>
            </w:r>
            <w:r>
              <w:rPr>
                <w:rFonts w:hint="eastAsia" w:ascii="宋体" w:hAnsi="宋体" w:cs="宋体"/>
                <w:color w:val="auto"/>
                <w:sz w:val="24"/>
                <w:szCs w:val="24"/>
              </w:rPr>
              <w:t>.1款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响应文件有效期</w:t>
            </w:r>
          </w:p>
        </w:tc>
        <w:tc>
          <w:tcPr>
            <w:tcW w:w="4920" w:type="dxa"/>
            <w:tcBorders>
              <w:tl2br w:val="nil"/>
              <w:tr2bl w:val="nil"/>
            </w:tcBorders>
            <w:noWrap w:val="0"/>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color w:val="auto"/>
                <w:sz w:val="24"/>
                <w:szCs w:val="24"/>
                <w:u w:val="single"/>
                <w:lang w:val="en-US" w:eastAsia="zh-CN"/>
              </w:rPr>
              <w:t>90</w:t>
            </w:r>
            <w:r>
              <w:rPr>
                <w:rFonts w:hint="eastAsia" w:ascii="宋体" w:hAnsi="宋体" w:cs="宋体"/>
                <w:color w:val="auto"/>
                <w:sz w:val="24"/>
                <w:szCs w:val="24"/>
              </w:rPr>
              <w:t>日（日历</w:t>
            </w:r>
            <w:r>
              <w:rPr>
                <w:rFonts w:hint="eastAsia" w:ascii="宋体" w:hAnsi="宋体" w:cs="宋体"/>
                <w:color w:val="auto"/>
                <w:sz w:val="24"/>
                <w:szCs w:val="24"/>
                <w:lang w:eastAsia="zh-CN"/>
              </w:rPr>
              <w:t>天</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19</w:t>
            </w:r>
            <w:r>
              <w:rPr>
                <w:rFonts w:hint="eastAsia" w:ascii="宋体" w:hAnsi="宋体" w:cs="宋体"/>
                <w:color w:val="auto"/>
                <w:sz w:val="24"/>
                <w:szCs w:val="24"/>
              </w:rPr>
              <w:t>.1款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Cs/>
                <w:color w:val="auto"/>
                <w:sz w:val="24"/>
                <w:szCs w:val="24"/>
              </w:rPr>
              <w:t>响应</w:t>
            </w:r>
            <w:r>
              <w:rPr>
                <w:rFonts w:hint="eastAsia" w:ascii="宋体" w:hAnsi="宋体" w:cs="宋体"/>
                <w:color w:val="auto"/>
                <w:sz w:val="24"/>
                <w:szCs w:val="24"/>
              </w:rPr>
              <w:t>文件份数</w:t>
            </w:r>
          </w:p>
        </w:tc>
        <w:tc>
          <w:tcPr>
            <w:tcW w:w="492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正本</w:t>
            </w:r>
            <w:r>
              <w:rPr>
                <w:rFonts w:hint="eastAsia" w:ascii="宋体" w:hAnsi="宋体" w:cs="宋体"/>
                <w:color w:val="auto"/>
                <w:sz w:val="24"/>
                <w:szCs w:val="24"/>
                <w:lang w:eastAsia="zh-CN"/>
              </w:rPr>
              <w:t>壹</w:t>
            </w:r>
            <w:r>
              <w:rPr>
                <w:rFonts w:hint="eastAsia" w:ascii="宋体" w:hAnsi="宋体" w:cs="宋体"/>
                <w:color w:val="auto"/>
                <w:sz w:val="24"/>
                <w:szCs w:val="24"/>
              </w:rPr>
              <w:t>份，副本</w:t>
            </w:r>
            <w:r>
              <w:rPr>
                <w:rFonts w:hint="eastAsia" w:ascii="宋体" w:hAnsi="宋体" w:cs="宋体"/>
                <w:color w:val="auto"/>
                <w:sz w:val="24"/>
                <w:szCs w:val="24"/>
                <w:lang w:eastAsia="zh-CN"/>
              </w:rPr>
              <w:t>贰</w:t>
            </w:r>
            <w:r>
              <w:rPr>
                <w:rFonts w:hint="eastAsia" w:ascii="宋体" w:hAnsi="宋体" w:cs="宋体"/>
                <w:color w:val="auto"/>
                <w:sz w:val="24"/>
                <w:szCs w:val="24"/>
              </w:rPr>
              <w:t>份；</w:t>
            </w:r>
          </w:p>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电子文件</w:t>
            </w:r>
            <w:r>
              <w:rPr>
                <w:rFonts w:hint="eastAsia" w:ascii="宋体" w:hAnsi="宋体" w:cs="宋体"/>
                <w:color w:val="auto"/>
                <w:sz w:val="24"/>
                <w:szCs w:val="24"/>
                <w:lang w:val="en-US" w:eastAsia="zh-CN"/>
              </w:rPr>
              <w:t>U</w:t>
            </w:r>
            <w:r>
              <w:rPr>
                <w:rFonts w:hint="eastAsia" w:ascii="宋体" w:hAnsi="宋体" w:cs="宋体"/>
                <w:color w:val="auto"/>
                <w:sz w:val="24"/>
                <w:szCs w:val="24"/>
              </w:rPr>
              <w:t>盘</w:t>
            </w:r>
            <w:r>
              <w:rPr>
                <w:rFonts w:hint="eastAsia" w:ascii="宋体" w:hAnsi="宋体" w:cs="宋体"/>
                <w:color w:val="auto"/>
                <w:sz w:val="24"/>
                <w:szCs w:val="24"/>
                <w:lang w:eastAsia="zh-CN"/>
              </w:rPr>
              <w:t>及光盘</w:t>
            </w:r>
            <w:r>
              <w:rPr>
                <w:rFonts w:hint="eastAsia" w:ascii="宋体" w:hAnsi="宋体" w:cs="宋体"/>
                <w:color w:val="auto"/>
                <w:sz w:val="24"/>
                <w:szCs w:val="24"/>
              </w:rPr>
              <w:t>一份</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U</w:t>
            </w:r>
            <w:r>
              <w:rPr>
                <w:rFonts w:hint="eastAsia" w:ascii="宋体" w:hAnsi="宋体" w:cs="宋体"/>
                <w:b/>
                <w:bCs/>
                <w:color w:val="auto"/>
                <w:sz w:val="24"/>
                <w:szCs w:val="24"/>
                <w:lang w:eastAsia="zh-CN"/>
              </w:rPr>
              <w:t>盘及光盘内容与响应文件正本一致</w:t>
            </w:r>
            <w:r>
              <w:rPr>
                <w:rFonts w:hint="eastAsia" w:ascii="宋体" w:hAnsi="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9090" w:type="dxa"/>
            <w:gridSpan w:val="3"/>
            <w:tcBorders>
              <w:tl2br w:val="nil"/>
              <w:tr2bl w:val="nil"/>
            </w:tcBorders>
            <w:noWrap w:val="0"/>
            <w:vAlign w:val="center"/>
          </w:tcPr>
          <w:p>
            <w:pPr>
              <w:adjustRightInd w:val="0"/>
              <w:snapToGrid w:val="0"/>
              <w:spacing w:line="360" w:lineRule="auto"/>
              <w:rPr>
                <w:rFonts w:hint="eastAsia" w:ascii="宋体" w:hAnsi="宋体" w:cs="宋体"/>
                <w:b/>
                <w:bCs/>
                <w:color w:val="auto"/>
                <w:sz w:val="24"/>
                <w:szCs w:val="24"/>
              </w:rPr>
            </w:pPr>
            <w:r>
              <w:rPr>
                <w:rFonts w:hint="eastAsia" w:ascii="宋体" w:hAnsi="宋体" w:cs="宋体"/>
                <w:b/>
                <w:color w:val="auto"/>
                <w:sz w:val="24"/>
                <w:szCs w:val="24"/>
              </w:rPr>
              <w:t>五、响应文件的递交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20</w:t>
            </w:r>
            <w:r>
              <w:rPr>
                <w:rFonts w:hint="eastAsia" w:ascii="宋体" w:hAnsi="宋体" w:cs="宋体"/>
                <w:color w:val="auto"/>
                <w:sz w:val="24"/>
                <w:szCs w:val="24"/>
              </w:rPr>
              <w:t>.2款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封套上应载明的信息</w:t>
            </w:r>
          </w:p>
        </w:tc>
        <w:tc>
          <w:tcPr>
            <w:tcW w:w="4920" w:type="dxa"/>
            <w:tcBorders>
              <w:tl2br w:val="nil"/>
              <w:tr2bl w:val="nil"/>
            </w:tcBorders>
            <w:noWrap w:val="0"/>
            <w:vAlign w:val="center"/>
          </w:tcPr>
          <w:p>
            <w:pPr>
              <w:adjustRightInd w:val="0"/>
              <w:snapToGrid w:val="0"/>
              <w:spacing w:line="360" w:lineRule="auto"/>
              <w:rPr>
                <w:rFonts w:hint="eastAsia" w:ascii="宋体" w:hAnsi="宋体" w:cs="宋体"/>
                <w:bCs/>
                <w:iCs/>
                <w:color w:val="auto"/>
                <w:sz w:val="24"/>
                <w:szCs w:val="24"/>
                <w:lang w:eastAsia="zh-CN"/>
              </w:rPr>
            </w:pPr>
            <w:r>
              <w:rPr>
                <w:rFonts w:hint="eastAsia" w:ascii="宋体" w:hAnsi="宋体" w:cs="宋体"/>
                <w:bCs/>
                <w:iCs/>
                <w:color w:val="auto"/>
                <w:sz w:val="24"/>
                <w:szCs w:val="24"/>
                <w:lang w:eastAsia="zh-CN"/>
              </w:rPr>
              <w:t>项目名称：</w:t>
            </w:r>
          </w:p>
          <w:p>
            <w:pPr>
              <w:adjustRightInd w:val="0"/>
              <w:snapToGrid w:val="0"/>
              <w:spacing w:line="360" w:lineRule="auto"/>
              <w:rPr>
                <w:rFonts w:hint="eastAsia" w:ascii="宋体" w:hAnsi="宋体" w:cs="宋体"/>
                <w:color w:val="auto"/>
                <w:sz w:val="24"/>
                <w:szCs w:val="24"/>
                <w:u w:val="single"/>
              </w:rPr>
            </w:pPr>
            <w:r>
              <w:rPr>
                <w:rFonts w:hint="eastAsia" w:ascii="宋体" w:hAnsi="宋体" w:cs="宋体"/>
                <w:color w:val="auto"/>
                <w:sz w:val="24"/>
                <w:szCs w:val="24"/>
                <w:lang w:eastAsia="zh-CN"/>
              </w:rPr>
              <w:t>项目</w:t>
            </w:r>
            <w:r>
              <w:rPr>
                <w:rFonts w:hint="eastAsia" w:ascii="宋体" w:hAnsi="宋体" w:cs="宋体"/>
                <w:color w:val="auto"/>
                <w:sz w:val="24"/>
                <w:szCs w:val="24"/>
              </w:rPr>
              <w:t xml:space="preserve">编号: </w:t>
            </w:r>
            <w:r>
              <w:rPr>
                <w:rFonts w:hint="eastAsia" w:ascii="宋体" w:hAnsi="宋体" w:cs="宋体"/>
                <w:color w:val="auto"/>
                <w:sz w:val="24"/>
                <w:szCs w:val="24"/>
                <w:u w:val="single"/>
              </w:rPr>
              <w:t xml:space="preserve">            </w:t>
            </w:r>
          </w:p>
          <w:p>
            <w:pPr>
              <w:adjustRightInd w:val="0"/>
              <w:snapToGrid w:val="0"/>
              <w:spacing w:line="360" w:lineRule="auto"/>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p>
          <w:p>
            <w:pPr>
              <w:adjustRightInd w:val="0"/>
              <w:snapToGrid w:val="0"/>
              <w:spacing w:line="360" w:lineRule="auto"/>
              <w:rPr>
                <w:rFonts w:hint="eastAsia" w:ascii="宋体" w:hAnsi="宋体" w:cs="宋体"/>
                <w:color w:val="auto"/>
                <w:sz w:val="24"/>
                <w:szCs w:val="24"/>
                <w:u w:val="none"/>
                <w:lang w:eastAsia="zh-CN"/>
              </w:rPr>
            </w:pPr>
            <w:r>
              <w:rPr>
                <w:rFonts w:hint="eastAsia" w:ascii="宋体" w:hAnsi="宋体" w:cs="宋体"/>
                <w:color w:val="auto"/>
                <w:sz w:val="24"/>
                <w:szCs w:val="24"/>
                <w:u w:val="none"/>
                <w:lang w:eastAsia="zh-CN"/>
              </w:rPr>
              <w:t>地址：</w:t>
            </w:r>
          </w:p>
          <w:p>
            <w:pPr>
              <w:adjustRightInd w:val="0"/>
              <w:snapToGrid w:val="0"/>
              <w:spacing w:line="360" w:lineRule="auto"/>
              <w:rPr>
                <w:rFonts w:hint="eastAsia" w:ascii="宋体" w:hAnsi="宋体" w:cs="宋体"/>
                <w:color w:val="auto"/>
                <w:sz w:val="24"/>
                <w:szCs w:val="24"/>
                <w:u w:val="single"/>
              </w:rPr>
            </w:pPr>
            <w:r>
              <w:rPr>
                <w:rFonts w:hint="eastAsia" w:ascii="宋体" w:hAnsi="宋体" w:cs="宋体"/>
                <w:color w:val="auto"/>
                <w:sz w:val="24"/>
                <w:szCs w:val="24"/>
                <w:u w:val="none"/>
                <w:lang w:eastAsia="zh-CN"/>
              </w:rPr>
              <w:t>联系人及联系方式：</w:t>
            </w:r>
            <w:r>
              <w:rPr>
                <w:rFonts w:hint="eastAsia" w:ascii="宋体" w:hAnsi="宋体" w:cs="宋体"/>
                <w:color w:val="auto"/>
                <w:sz w:val="24"/>
                <w:szCs w:val="24"/>
                <w:u w:val="none"/>
              </w:rPr>
              <w:t xml:space="preserve"> </w:t>
            </w:r>
            <w:r>
              <w:rPr>
                <w:rFonts w:hint="eastAsia" w:ascii="宋体" w:hAnsi="宋体" w:cs="宋体"/>
                <w:color w:val="auto"/>
                <w:sz w:val="24"/>
                <w:szCs w:val="24"/>
                <w:u w:val="single"/>
              </w:rPr>
              <w:t xml:space="preserve">       </w:t>
            </w:r>
          </w:p>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在</w:t>
            </w:r>
            <w:r>
              <w:rPr>
                <w:rFonts w:hint="eastAsia" w:ascii="宋体" w:hAnsi="宋体" w:cs="宋体"/>
                <w:b/>
                <w:bCs/>
                <w:color w:val="auto"/>
                <w:sz w:val="24"/>
                <w:szCs w:val="24"/>
              </w:rPr>
              <w:t xml:space="preserve"> </w:t>
            </w:r>
            <w:r>
              <w:rPr>
                <w:rFonts w:hint="eastAsia" w:ascii="宋体" w:hAnsi="宋体" w:cs="宋体"/>
                <w:b/>
                <w:bCs/>
                <w:color w:val="auto"/>
                <w:sz w:val="24"/>
                <w:szCs w:val="24"/>
                <w:u w:val="single"/>
                <w:lang w:val="en-US" w:eastAsia="zh-CN"/>
              </w:rPr>
              <w:t>2021</w:t>
            </w:r>
            <w:r>
              <w:rPr>
                <w:rFonts w:hint="eastAsia" w:ascii="宋体" w:hAnsi="宋体" w:cs="宋体"/>
                <w:b/>
                <w:bCs/>
                <w:color w:val="auto"/>
                <w:sz w:val="24"/>
                <w:szCs w:val="24"/>
              </w:rPr>
              <w:t>年</w:t>
            </w:r>
            <w:r>
              <w:rPr>
                <w:rFonts w:hint="eastAsia" w:ascii="宋体" w:hAnsi="宋体" w:cs="宋体"/>
                <w:b/>
                <w:bCs/>
                <w:color w:val="auto"/>
                <w:sz w:val="24"/>
                <w:szCs w:val="24"/>
                <w:u w:val="single"/>
                <w:lang w:val="en-US" w:eastAsia="zh-CN"/>
              </w:rPr>
              <w:t xml:space="preserve"> 10 </w:t>
            </w:r>
            <w:r>
              <w:rPr>
                <w:rFonts w:hint="eastAsia" w:ascii="宋体" w:hAnsi="宋体" w:cs="宋体"/>
                <w:b/>
                <w:bCs/>
                <w:color w:val="auto"/>
                <w:sz w:val="24"/>
                <w:szCs w:val="24"/>
              </w:rPr>
              <w:t>月</w:t>
            </w:r>
            <w:r>
              <w:rPr>
                <w:rFonts w:hint="eastAsia" w:ascii="宋体" w:hAnsi="宋体" w:cs="宋体"/>
                <w:b/>
                <w:bCs/>
                <w:color w:val="auto"/>
                <w:sz w:val="24"/>
                <w:szCs w:val="24"/>
                <w:u w:val="single"/>
                <w:lang w:val="en-US" w:eastAsia="zh-CN"/>
              </w:rPr>
              <w:t>12</w:t>
            </w:r>
            <w:r>
              <w:rPr>
                <w:rFonts w:hint="eastAsia" w:ascii="宋体" w:hAnsi="宋体" w:cs="宋体"/>
                <w:b/>
                <w:bCs/>
                <w:color w:val="auto"/>
                <w:sz w:val="24"/>
                <w:szCs w:val="24"/>
              </w:rPr>
              <w:t>日</w:t>
            </w:r>
            <w:r>
              <w:rPr>
                <w:rFonts w:hint="eastAsia" w:ascii="宋体" w:hAnsi="宋体" w:cs="宋体"/>
                <w:b/>
                <w:bCs/>
                <w:color w:val="auto"/>
                <w:sz w:val="24"/>
                <w:szCs w:val="24"/>
                <w:u w:val="single"/>
                <w:lang w:val="en-US" w:eastAsia="zh-CN"/>
              </w:rPr>
              <w:t>11</w:t>
            </w:r>
            <w:r>
              <w:rPr>
                <w:rFonts w:hint="eastAsia" w:ascii="宋体" w:hAnsi="宋体" w:cs="宋体"/>
                <w:b/>
                <w:bCs/>
                <w:color w:val="auto"/>
                <w:sz w:val="24"/>
                <w:szCs w:val="24"/>
              </w:rPr>
              <w:t>时</w:t>
            </w:r>
            <w:r>
              <w:rPr>
                <w:rFonts w:hint="eastAsia" w:ascii="宋体" w:hAnsi="宋体" w:cs="宋体"/>
                <w:b/>
                <w:bCs/>
                <w:color w:val="auto"/>
                <w:sz w:val="24"/>
                <w:szCs w:val="24"/>
                <w:u w:val="single"/>
                <w:lang w:val="en-US" w:eastAsia="zh-CN"/>
              </w:rPr>
              <w:t>0</w:t>
            </w:r>
            <w:r>
              <w:rPr>
                <w:rFonts w:hint="eastAsia" w:ascii="宋体" w:hAnsi="宋体" w:cs="宋体"/>
                <w:b/>
                <w:bCs/>
                <w:color w:val="auto"/>
                <w:sz w:val="24"/>
                <w:szCs w:val="24"/>
                <w:u w:val="single"/>
              </w:rPr>
              <w:t>0</w:t>
            </w:r>
            <w:r>
              <w:rPr>
                <w:rFonts w:hint="eastAsia" w:ascii="宋体" w:hAnsi="宋体" w:cs="宋体"/>
                <w:b/>
                <w:bCs/>
                <w:color w:val="auto"/>
                <w:sz w:val="24"/>
                <w:szCs w:val="24"/>
              </w:rPr>
              <w:t>分</w:t>
            </w:r>
            <w:r>
              <w:rPr>
                <w:rFonts w:hint="eastAsia" w:ascii="宋体" w:hAnsi="宋体" w:cs="宋体"/>
                <w:color w:val="auto"/>
                <w:sz w:val="24"/>
                <w:szCs w:val="24"/>
              </w:rPr>
              <w:t>之前不得开启</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20</w:t>
            </w:r>
            <w:r>
              <w:rPr>
                <w:rFonts w:hint="eastAsia" w:ascii="宋体" w:hAnsi="宋体" w:cs="宋体"/>
                <w:color w:val="auto"/>
                <w:sz w:val="24"/>
                <w:szCs w:val="24"/>
              </w:rPr>
              <w:t>.5款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响应文件的递交地点</w:t>
            </w:r>
          </w:p>
        </w:tc>
        <w:tc>
          <w:tcPr>
            <w:tcW w:w="4920" w:type="dxa"/>
            <w:tcBorders>
              <w:tl2br w:val="nil"/>
              <w:tr2bl w:val="nil"/>
            </w:tcBorders>
            <w:noWrap w:val="0"/>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伊宁市解放路77号亚欧国际写字楼15楼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9090" w:type="dxa"/>
            <w:gridSpan w:val="3"/>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六、成交结果信息公布与供应商质疑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020" w:type="dxa"/>
            <w:tcBorders>
              <w:tl2br w:val="nil"/>
              <w:tr2bl w:val="nil"/>
            </w:tcBorders>
            <w:noWrap w:val="0"/>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35</w:t>
            </w:r>
            <w:r>
              <w:rPr>
                <w:rFonts w:hint="eastAsia" w:ascii="宋体" w:hAnsi="宋体" w:cs="宋体"/>
                <w:color w:val="auto"/>
                <w:sz w:val="24"/>
                <w:szCs w:val="24"/>
              </w:rPr>
              <w:t>.1款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lang w:eastAsia="zh-CN"/>
              </w:rPr>
              <w:t>发布的</w:t>
            </w:r>
            <w:r>
              <w:rPr>
                <w:rFonts w:hint="eastAsia" w:ascii="宋体" w:hAnsi="宋体" w:cs="宋体"/>
                <w:color w:val="auto"/>
                <w:sz w:val="24"/>
                <w:szCs w:val="24"/>
              </w:rPr>
              <w:t>媒体</w:t>
            </w:r>
          </w:p>
        </w:tc>
        <w:tc>
          <w:tcPr>
            <w:tcW w:w="492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37</w:t>
            </w:r>
            <w:r>
              <w:rPr>
                <w:rFonts w:hint="eastAsia" w:ascii="宋体" w:hAnsi="宋体" w:cs="宋体"/>
                <w:color w:val="auto"/>
                <w:sz w:val="24"/>
                <w:szCs w:val="24"/>
              </w:rPr>
              <w:t>.3款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履约担保</w:t>
            </w:r>
          </w:p>
        </w:tc>
        <w:tc>
          <w:tcPr>
            <w:tcW w:w="4920" w:type="dxa"/>
            <w:tcBorders>
              <w:tl2br w:val="nil"/>
              <w:tr2bl w:val="nil"/>
            </w:tcBorders>
            <w:noWrap w:val="0"/>
            <w:vAlign w:val="center"/>
          </w:tcPr>
          <w:p>
            <w:pPr>
              <w:adjustRightInd w:val="0"/>
              <w:snapToGrid w:val="0"/>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履约担保的形式：履约保证金（</w:t>
            </w:r>
            <w:r>
              <w:rPr>
                <w:rFonts w:hint="eastAsia" w:ascii="宋体" w:hAnsi="宋体" w:eastAsia="宋体" w:cs="宋体"/>
                <w:color w:val="auto"/>
                <w:sz w:val="24"/>
                <w:szCs w:val="24"/>
                <w:lang w:val="en-US" w:eastAsia="zh-CN"/>
              </w:rPr>
              <w:t>签订合同时缴纳，验收合格后退还。</w:t>
            </w:r>
            <w:r>
              <w:rPr>
                <w:rFonts w:hint="default" w:ascii="宋体" w:hAnsi="宋体" w:eastAsia="宋体" w:cs="宋体"/>
                <w:color w:val="auto"/>
                <w:sz w:val="24"/>
                <w:szCs w:val="24"/>
                <w:lang w:val="en-US" w:eastAsia="zh-CN"/>
              </w:rPr>
              <w:t>）</w:t>
            </w:r>
          </w:p>
          <w:p>
            <w:pPr>
              <w:adjustRightInd w:val="0"/>
              <w:snapToGrid w:val="0"/>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履约保</w:t>
            </w:r>
            <w:r>
              <w:rPr>
                <w:rFonts w:hint="eastAsia" w:ascii="宋体" w:hAnsi="宋体" w:eastAsia="宋体" w:cs="宋体"/>
                <w:color w:val="auto"/>
                <w:sz w:val="24"/>
                <w:szCs w:val="24"/>
                <w:lang w:val="en-US" w:eastAsia="zh-CN"/>
              </w:rPr>
              <w:t>证</w:t>
            </w:r>
            <w:r>
              <w:rPr>
                <w:rFonts w:hint="default" w:ascii="宋体" w:hAnsi="宋体" w:eastAsia="宋体" w:cs="宋体"/>
                <w:color w:val="auto"/>
                <w:sz w:val="24"/>
                <w:szCs w:val="24"/>
                <w:lang w:val="en-US" w:eastAsia="zh-CN"/>
              </w:rPr>
              <w:t>金：</w:t>
            </w:r>
            <w:r>
              <w:rPr>
                <w:rFonts w:hint="eastAsia" w:ascii="宋体" w:hAnsi="宋体" w:eastAsia="宋体" w:cs="宋体"/>
                <w:color w:val="auto"/>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noWrap w:val="0"/>
            <w:vAlign w:val="center"/>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付款方式</w:t>
            </w:r>
          </w:p>
        </w:tc>
        <w:tc>
          <w:tcPr>
            <w:tcW w:w="4920" w:type="dxa"/>
            <w:tcBorders>
              <w:tl2br w:val="nil"/>
              <w:tr2bl w:val="nil"/>
            </w:tcBorders>
            <w:noWrap w:val="0"/>
            <w:vAlign w:val="center"/>
          </w:tcPr>
          <w:p>
            <w:pPr>
              <w:adjustRightInd w:val="0"/>
              <w:snapToGrid w:val="0"/>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合同约定</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9090" w:type="dxa"/>
            <w:gridSpan w:val="3"/>
            <w:tcBorders>
              <w:tl2br w:val="nil"/>
              <w:tr2bl w:val="nil"/>
            </w:tcBorders>
            <w:noWrap w:val="0"/>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2020" w:type="dxa"/>
            <w:tcBorders>
              <w:tl2br w:val="nil"/>
              <w:tr2bl w:val="nil"/>
            </w:tcBorders>
            <w:noWrap w:val="0"/>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39</w:t>
            </w:r>
            <w:r>
              <w:rPr>
                <w:rFonts w:hint="eastAsia" w:ascii="宋体" w:hAnsi="宋体" w:cs="宋体"/>
                <w:color w:val="auto"/>
                <w:sz w:val="24"/>
                <w:szCs w:val="24"/>
              </w:rPr>
              <w:t>.1款</w:t>
            </w:r>
          </w:p>
        </w:tc>
        <w:tc>
          <w:tcPr>
            <w:tcW w:w="2150" w:type="dxa"/>
            <w:tcBorders>
              <w:tl2br w:val="nil"/>
              <w:tr2bl w:val="nil"/>
            </w:tcBorders>
            <w:noWrap w:val="0"/>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采购代理服务费</w:t>
            </w:r>
          </w:p>
        </w:tc>
        <w:tc>
          <w:tcPr>
            <w:tcW w:w="4920" w:type="dxa"/>
            <w:tcBorders>
              <w:tl2br w:val="nil"/>
              <w:tr2bl w:val="nil"/>
            </w:tcBorders>
            <w:noWrap w:val="0"/>
            <w:vAlign w:val="center"/>
          </w:tcPr>
          <w:p>
            <w:pPr>
              <w:adjustRightInd w:val="0"/>
              <w:snapToGrid w:val="0"/>
              <w:spacing w:before="156" w:beforeLines="50" w:line="360" w:lineRule="auto"/>
              <w:rPr>
                <w:rFonts w:hint="eastAsia" w:ascii="宋体" w:hAnsi="宋体" w:cs="宋体"/>
                <w:color w:val="auto"/>
                <w:sz w:val="24"/>
                <w:szCs w:val="24"/>
                <w:u w:val="single"/>
              </w:rPr>
            </w:pPr>
            <w:r>
              <w:rPr>
                <w:rFonts w:hint="eastAsia" w:ascii="宋体" w:hAnsi="宋体"/>
                <w:color w:val="auto"/>
                <w:sz w:val="24"/>
                <w:szCs w:val="24"/>
              </w:rPr>
              <w:t>由成交</w:t>
            </w:r>
            <w:r>
              <w:rPr>
                <w:rFonts w:hint="eastAsia" w:ascii="宋体" w:hAnsi="宋体"/>
                <w:color w:val="auto"/>
                <w:sz w:val="24"/>
                <w:szCs w:val="24"/>
                <w:lang w:eastAsia="zh-CN"/>
              </w:rPr>
              <w:t>供应商</w:t>
            </w:r>
            <w:r>
              <w:rPr>
                <w:rFonts w:hint="eastAsia" w:ascii="宋体" w:hAnsi="宋体"/>
                <w:color w:val="auto"/>
                <w:sz w:val="24"/>
                <w:szCs w:val="24"/>
              </w:rPr>
              <w:t>按国家规定标准在领取成交通知书之前一次性付清。</w:t>
            </w:r>
          </w:p>
        </w:tc>
      </w:tr>
    </w:tbl>
    <w:p>
      <w:pPr>
        <w:adjustRightInd w:val="0"/>
        <w:snapToGrid w:val="0"/>
        <w:spacing w:line="360" w:lineRule="auto"/>
        <w:rPr>
          <w:rFonts w:hint="eastAsia" w:ascii="宋体" w:hAnsi="宋体" w:cs="宋体"/>
          <w:b/>
          <w:color w:val="auto"/>
          <w:szCs w:val="21"/>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outlineLvl w:val="9"/>
        <w:rPr>
          <w:rFonts w:hint="eastAsia" w:ascii="宋体" w:hAnsi="宋体" w:cs="宋体"/>
          <w:b/>
          <w:color w:val="auto"/>
          <w:sz w:val="32"/>
          <w:szCs w:val="32"/>
        </w:rPr>
      </w:pPr>
    </w:p>
    <w:p>
      <w:pPr>
        <w:rPr>
          <w:rFonts w:hint="eastAsia" w:ascii="宋体" w:hAnsi="宋体" w:cs="宋体"/>
          <w:b/>
          <w:color w:val="auto"/>
          <w:sz w:val="32"/>
          <w:szCs w:val="32"/>
        </w:rPr>
      </w:pPr>
    </w:p>
    <w:p>
      <w:pPr>
        <w:pStyle w:val="18"/>
        <w:rPr>
          <w:rFonts w:hint="eastAsia"/>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r>
        <w:rPr>
          <w:rFonts w:hint="eastAsia" w:ascii="宋体" w:hAnsi="宋体" w:cs="宋体"/>
          <w:b/>
          <w:color w:val="auto"/>
          <w:sz w:val="32"/>
          <w:szCs w:val="32"/>
        </w:rPr>
        <w:t>磋商须知正文</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一、说明</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1.适用范围</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本磋商文件仅适用于磋商须知前附表(以下简称</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中所叙述的采购项目。</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2.定义</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2.1 “采购人”是指依法进行政府采购的国家机关、事业单位、团体组织。本次政府采购的采购人名称、地址、电话、联系人见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 w:val="24"/>
          <w:szCs w:val="24"/>
        </w:rPr>
        <w:t>磋商须知前附表。</w:t>
      </w:r>
    </w:p>
    <w:p>
      <w:pPr>
        <w:adjustRightInd w:val="0"/>
        <w:snapToGrid w:val="0"/>
        <w:spacing w:line="360" w:lineRule="auto"/>
        <w:ind w:firstLine="480" w:firstLineChars="200"/>
        <w:rPr>
          <w:rFonts w:hint="eastAsia" w:ascii="宋体" w:hAnsi="宋体" w:eastAsia="宋体" w:cs="宋体"/>
          <w:bCs/>
          <w:color w:val="auto"/>
          <w:kern w:val="36"/>
          <w:sz w:val="24"/>
          <w:szCs w:val="24"/>
        </w:rPr>
      </w:pPr>
      <w:r>
        <w:rPr>
          <w:rFonts w:hint="eastAsia" w:ascii="宋体" w:hAnsi="宋体" w:eastAsia="宋体" w:cs="宋体"/>
          <w:color w:val="auto"/>
          <w:sz w:val="24"/>
          <w:szCs w:val="24"/>
        </w:rPr>
        <w:t>2.3 “供应商”是指响应磋商文件要求、参加竞争性磋商采购的法人、其他组织或者自然人。</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2.4 “磋商小组”是指</w:t>
      </w:r>
      <w:r>
        <w:rPr>
          <w:rFonts w:hint="eastAsia" w:ascii="宋体" w:hAnsi="宋体" w:eastAsia="宋体" w:cs="宋体"/>
          <w:color w:val="auto"/>
          <w:kern w:val="0"/>
          <w:sz w:val="24"/>
          <w:szCs w:val="24"/>
        </w:rPr>
        <w:t>依据《中华人民共和国政府采购法》和财政部</w:t>
      </w:r>
      <w:r>
        <w:rPr>
          <w:rFonts w:hint="eastAsia" w:ascii="宋体" w:hAnsi="宋体" w:eastAsia="宋体" w:cs="宋体"/>
          <w:bCs/>
          <w:color w:val="auto"/>
          <w:kern w:val="36"/>
          <w:sz w:val="24"/>
          <w:szCs w:val="24"/>
        </w:rPr>
        <w:t>《政府采购非招标采购方式管理办法》有关规定组建，依法依规</w:t>
      </w:r>
      <w:r>
        <w:rPr>
          <w:rFonts w:hint="eastAsia" w:ascii="宋体" w:hAnsi="宋体" w:eastAsia="宋体" w:cs="宋体"/>
          <w:color w:val="auto"/>
          <w:kern w:val="0"/>
          <w:sz w:val="24"/>
          <w:szCs w:val="24"/>
        </w:rPr>
        <w:t>履行其职责和义务的机构。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“货物”是指各种形态和种类的物品，包括原材料、燃料、设备、产品等。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 “工程”是指建设工程，包括建筑物和构筑物的新建、改建、扩建、装修、拆除、修缮等。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 “服务”是指除货物和工程以外的其他政府采购对象。</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 “节能产品”或者“环保产品”是指财政部发布的《节能产品政府采购清单》或者《环境标志产品政府采购清单》的产品。</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 “进口产品”是指通过中国海关报关验放进入中国境内且产自关境外的产品。</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3.供应商的资格要求</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供应商应当符合</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中规定的下列资格条件要求；</w:t>
      </w:r>
    </w:p>
    <w:p>
      <w:pPr>
        <w:adjustRightInd w:val="0"/>
        <w:snapToGrid w:val="0"/>
        <w:spacing w:line="360" w:lineRule="auto"/>
        <w:ind w:firstLine="241" w:firstLineChars="100"/>
        <w:rPr>
          <w:rFonts w:hint="eastAsia" w:ascii="宋体" w:hAnsi="宋体" w:eastAsia="宋体" w:cs="宋体"/>
          <w:b/>
          <w:color w:val="auto"/>
          <w:kern w:val="0"/>
          <w:sz w:val="24"/>
          <w:szCs w:val="24"/>
          <w:lang w:val="zh-CN"/>
        </w:rPr>
      </w:pPr>
      <w:r>
        <w:rPr>
          <w:rFonts w:hint="eastAsia" w:ascii="宋体" w:hAnsi="宋体" w:eastAsia="宋体" w:cs="宋体"/>
          <w:b/>
          <w:color w:val="auto"/>
          <w:sz w:val="24"/>
          <w:szCs w:val="24"/>
        </w:rPr>
        <w:t>（l）供应商基本资格条件：符合</w:t>
      </w:r>
      <w:r>
        <w:rPr>
          <w:rFonts w:hint="eastAsia" w:ascii="宋体" w:hAnsi="宋体" w:eastAsia="宋体" w:cs="宋体"/>
          <w:b/>
          <w:color w:val="auto"/>
          <w:kern w:val="0"/>
          <w:sz w:val="24"/>
          <w:szCs w:val="24"/>
          <w:lang w:val="zh-CN"/>
        </w:rPr>
        <w:t>《中华人民共和国政府采购法》第二十二条第一款规定的：</w:t>
      </w:r>
    </w:p>
    <w:p>
      <w:pPr>
        <w:pStyle w:val="42"/>
        <w:spacing w:before="0" w:beforeAutospacing="0" w:after="0" w:afterAutospacing="0" w:line="36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3.1.1具有独立承担民事责任的能力； </w:t>
      </w:r>
    </w:p>
    <w:p>
      <w:pPr>
        <w:pStyle w:val="42"/>
        <w:spacing w:before="0" w:beforeAutospacing="0" w:after="0" w:afterAutospacing="0" w:line="36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具有履行合同所必需的设备和专业技术能力；</w:t>
      </w:r>
    </w:p>
    <w:p>
      <w:pPr>
        <w:pStyle w:val="42"/>
        <w:spacing w:before="0" w:beforeAutospacing="0" w:after="0" w:afterAutospacing="0" w:line="36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w:t>
      </w:r>
    </w:p>
    <w:p>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sz w:val="24"/>
          <w:szCs w:val="24"/>
        </w:rPr>
        <w:t>（2）供应商特定资格要求：</w:t>
      </w:r>
    </w:p>
    <w:p>
      <w:pPr>
        <w:pStyle w:val="42"/>
        <w:spacing w:before="0" w:beforeAutospacing="0" w:after="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3.1.4具备有效的营业执照；</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3.1.5会计事务所出具的2020年度财务审计报告或提供银行出具的资信证明（资信证明仅限2021年成立的企业）；</w:t>
      </w:r>
    </w:p>
    <w:p>
      <w:pPr>
        <w:pStyle w:val="42"/>
        <w:spacing w:before="0" w:beforeAutospacing="0" w:after="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3.1.6税务部门出具的2020年依法纳税证明资料;</w:t>
      </w:r>
    </w:p>
    <w:p>
      <w:pPr>
        <w:pStyle w:val="42"/>
        <w:spacing w:before="0" w:beforeAutospacing="0" w:after="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3.1.7社保机构出具的供应商被授权委托人缴纳202</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年</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月-2021年</w:t>
      </w:r>
      <w:r>
        <w:rPr>
          <w:rFonts w:hint="eastAsia" w:cs="宋体"/>
          <w:color w:val="auto"/>
          <w:sz w:val="24"/>
          <w:szCs w:val="24"/>
          <w:lang w:val="en-US" w:eastAsia="zh-CN"/>
        </w:rPr>
        <w:t>9</w:t>
      </w:r>
      <w:r>
        <w:rPr>
          <w:rFonts w:hint="eastAsia" w:ascii="宋体" w:hAnsi="宋体" w:eastAsia="宋体" w:cs="宋体"/>
          <w:color w:val="auto"/>
          <w:sz w:val="24"/>
          <w:szCs w:val="24"/>
          <w:lang w:val="en-US" w:eastAsia="zh-CN"/>
        </w:rPr>
        <w:t xml:space="preserve">月的社保资金证明原件或加盖电子专用章的缴费清单；  </w:t>
      </w:r>
    </w:p>
    <w:p>
      <w:pPr>
        <w:pStyle w:val="42"/>
        <w:spacing w:before="0" w:beforeAutospacing="0" w:after="0" w:afterAutospacing="0" w:line="360" w:lineRule="auto"/>
        <w:ind w:firstLine="480" w:firstLineChars="200"/>
        <w:rPr>
          <w:rFonts w:hint="eastAsia" w:ascii="宋体" w:hAnsi="宋体" w:eastAsia="宋体" w:cs="宋体"/>
          <w:color w:val="auto"/>
          <w:sz w:val="24"/>
          <w:szCs w:val="24"/>
          <w:lang w:val="en-US" w:eastAsia="zh-CN"/>
        </w:rPr>
      </w:pPr>
      <w:r>
        <w:rPr>
          <w:rFonts w:hint="eastAsia" w:eastAsia="宋体" w:cs="宋体"/>
          <w:color w:val="auto"/>
          <w:sz w:val="24"/>
          <w:szCs w:val="24"/>
          <w:lang w:val="en-US" w:eastAsia="zh-CN"/>
        </w:rPr>
        <w:t>3.1.</w:t>
      </w:r>
      <w:r>
        <w:rPr>
          <w:rFonts w:hint="eastAsia" w:cs="宋体"/>
          <w:color w:val="auto"/>
          <w:sz w:val="24"/>
          <w:szCs w:val="24"/>
          <w:lang w:val="en-US" w:eastAsia="zh-CN"/>
        </w:rPr>
        <w:t>8</w:t>
      </w:r>
      <w:r>
        <w:rPr>
          <w:rFonts w:hint="eastAsia" w:eastAsia="宋体" w:cs="宋体"/>
          <w:color w:val="auto"/>
          <w:sz w:val="24"/>
          <w:szCs w:val="24"/>
          <w:lang w:val="en-US" w:eastAsia="zh-CN"/>
        </w:rPr>
        <w:t>具备本次采购项目能力的供应商，并在人员、资金、设备等方面具有承担本项目供货的能力；</w:t>
      </w:r>
      <w:r>
        <w:rPr>
          <w:rFonts w:hint="eastAsia" w:ascii="宋体" w:hAnsi="宋体" w:eastAsia="宋体" w:cs="宋体"/>
          <w:color w:val="auto"/>
          <w:sz w:val="24"/>
          <w:szCs w:val="24"/>
          <w:lang w:val="en-US" w:eastAsia="zh-CN"/>
        </w:rPr>
        <w:t xml:space="preserve">  </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cs="宋体"/>
          <w:color w:val="auto"/>
          <w:sz w:val="24"/>
          <w:szCs w:val="24"/>
          <w:lang w:val="en-US" w:eastAsia="zh-CN"/>
        </w:rPr>
        <w:t>9</w:t>
      </w:r>
      <w:r>
        <w:rPr>
          <w:rFonts w:hint="eastAsia" w:eastAsia="宋体" w:cs="宋体"/>
          <w:color w:val="auto"/>
          <w:sz w:val="24"/>
          <w:szCs w:val="24"/>
          <w:lang w:val="en-US" w:eastAsia="zh-CN"/>
        </w:rPr>
        <w:t>供应商分别在“信用中国”（www.creditchina.gov.cn）网上查询本公司未被列入失信被执行人、重大税收违法案件当事人名单、“中国政府采购网”（ www.ccgp.gov.cn）网上查询本公司未被列入政府采购严重违法失信行为记录名单（提供查询结果网页截图并加盖供应商公章，网页打印件须自招标公告发布之日起至截止日内从上述网站中打印）；</w:t>
      </w:r>
    </w:p>
    <w:p>
      <w:pPr>
        <w:pStyle w:val="42"/>
        <w:spacing w:before="0" w:beforeAutospacing="0" w:after="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eastAsia="宋体" w:cs="宋体"/>
          <w:color w:val="auto"/>
          <w:sz w:val="24"/>
          <w:szCs w:val="24"/>
          <w:lang w:val="en-US" w:eastAsia="zh-CN"/>
        </w:rPr>
        <w:t>1</w:t>
      </w:r>
      <w:r>
        <w:rPr>
          <w:rFonts w:hint="eastAsia" w:cs="宋体"/>
          <w:color w:val="auto"/>
          <w:sz w:val="24"/>
          <w:szCs w:val="24"/>
          <w:lang w:val="en-US" w:eastAsia="zh-CN"/>
        </w:rPr>
        <w:t>0单位负责人为同一人或者存在控股、管理关系的不同单位，不得同时参加本项目的投标。为本项目提供整体设计、规范编制或者项目管理、监理、检测等服务的投标人，不得再参加本项目投标；</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3.1.1</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采购人保留对供应商进一步实地考察的权利，经考察供应商申请资料中关于公告所要求内容与事实不符的，采购人有权拒绝供应商的投标</w:t>
      </w:r>
      <w:r>
        <w:rPr>
          <w:rFonts w:hint="eastAsia" w:ascii="宋体" w:hAnsi="宋体" w:eastAsia="宋体" w:cs="宋体"/>
          <w:color w:val="auto"/>
          <w:sz w:val="24"/>
          <w:szCs w:val="24"/>
        </w:rPr>
        <w:t>；</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3.1.1</w:t>
      </w:r>
      <w:r>
        <w:rPr>
          <w:rFonts w:hint="eastAsia" w:cs="宋体"/>
          <w:color w:val="auto"/>
          <w:sz w:val="24"/>
          <w:szCs w:val="24"/>
          <w:lang w:val="en-US" w:eastAsia="zh-CN"/>
        </w:rPr>
        <w:t>2</w:t>
      </w:r>
      <w:r>
        <w:rPr>
          <w:rFonts w:hint="eastAsia" w:ascii="宋体" w:hAnsi="宋体" w:eastAsia="宋体" w:cs="宋体"/>
          <w:color w:val="auto"/>
          <w:sz w:val="24"/>
          <w:szCs w:val="24"/>
        </w:rPr>
        <w:t>本项目不接受联合体投标。</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供应商不得存在下列情形之一：</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（l）与采购人、采购代理机构存在</w:t>
      </w:r>
      <w:r>
        <w:rPr>
          <w:rFonts w:hint="eastAsia" w:ascii="宋体" w:hAnsi="宋体" w:eastAsia="宋体" w:cs="宋体"/>
          <w:bCs/>
          <w:color w:val="auto"/>
          <w:sz w:val="24"/>
          <w:szCs w:val="24"/>
        </w:rPr>
        <w:t>隶属关系或者其他利害关系</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（2）与其他供应商的法定代表人（或者负责人）为同一人，或者与其他供应商存在控股、关联关系。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Cs/>
          <w:color w:val="auto"/>
          <w:sz w:val="24"/>
          <w:szCs w:val="24"/>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 w:val="24"/>
          <w:szCs w:val="24"/>
        </w:rPr>
        <w:t>财政部门认定的其他重大违法记录。</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4.参与竞争性磋商采购活动的费用 </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 无论</w:t>
      </w:r>
      <w:r>
        <w:rPr>
          <w:rFonts w:hint="eastAsia" w:ascii="宋体" w:hAnsi="宋体" w:eastAsia="宋体" w:cs="宋体"/>
          <w:bCs/>
          <w:color w:val="auto"/>
          <w:sz w:val="24"/>
          <w:szCs w:val="24"/>
        </w:rPr>
        <w:t>竞争性磋商采购活动</w:t>
      </w:r>
      <w:r>
        <w:rPr>
          <w:rFonts w:hint="eastAsia" w:ascii="宋体" w:hAnsi="宋体" w:eastAsia="宋体" w:cs="宋体"/>
          <w:color w:val="auto"/>
          <w:sz w:val="24"/>
          <w:szCs w:val="24"/>
        </w:rPr>
        <w:t>的结果如何，供应商应自行承担所有与本次竞争性磋商采购活动有关的全部费用。</w:t>
      </w:r>
    </w:p>
    <w:p>
      <w:pPr>
        <w:pStyle w:val="24"/>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color w:val="auto"/>
          <w:sz w:val="24"/>
          <w:szCs w:val="24"/>
        </w:rPr>
        <w:t>5．</w:t>
      </w:r>
      <w:r>
        <w:rPr>
          <w:rFonts w:hint="eastAsia" w:ascii="宋体" w:hAnsi="宋体" w:eastAsia="宋体" w:cs="宋体"/>
          <w:b/>
          <w:bCs/>
          <w:color w:val="auto"/>
          <w:sz w:val="24"/>
          <w:szCs w:val="24"/>
        </w:rPr>
        <w:t>授权委托</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供应商代表为供应商法定代表人的，应持有法定代表人身份证明。供应商代表不是供应商法定代表人的，应持有法定代表人授权书，并附法定代表人身份证明。请供应商的法人代表（或授权代表）凭法人证明（或授权委托书原件）及身份证原件准时参加磋商会议。</w:t>
      </w:r>
    </w:p>
    <w:p>
      <w:pPr>
        <w:pStyle w:val="24"/>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6．联合体形式</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6.1除</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中另有规定，本次磋商采购活动不接受为联合体形式的供应商。</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6.2供应商为联合体形式的，除应符合本章第3条规定外，还应遵守以下规定：</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（l）联合体各方必须签订联合体协议书，明确联合体牵头人和各方的义务、工作、合同工作量比例；</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（2）联合体各方均应当符合本章第3.1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规定的供应商基本资格条件；</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（3）除</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中另有规定，联合体各方中至少有一方应当符合本章第3.1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规定的供应商特定资格条件；</w:t>
      </w:r>
    </w:p>
    <w:p>
      <w:pPr>
        <w:adjustRightInd w:val="0"/>
        <w:snapToGrid w:val="0"/>
        <w:spacing w:line="360" w:lineRule="auto"/>
        <w:ind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zh-CN"/>
        </w:rPr>
        <w:t>联合体各方不得再单独或与其他供应商组成新的联合体参加同一项目的采购活动。</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7.现场勘察</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7.1供应商应按</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中规定对采购项目现场和周围环境的现场考察。</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7.2勘察现场的费用由供应商自己承担，勘察期间所发生的人身伤害及财产损失由供应商自己负责。</w:t>
      </w:r>
    </w:p>
    <w:p>
      <w:pPr>
        <w:adjustRightInd w:val="0"/>
        <w:snapToGrid w:val="0"/>
        <w:spacing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7.3采购人不对供应商据此而做出的推论、理解和结论负责。一旦成交，供应商不得以任何借口，提出额外补偿，或延长合同期限的要求。</w:t>
      </w:r>
    </w:p>
    <w:p>
      <w:pPr>
        <w:adjustRightInd w:val="0"/>
        <w:snapToGrid w:val="0"/>
        <w:spacing w:line="360" w:lineRule="auto"/>
        <w:jc w:val="left"/>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8.采购进口产品</w:t>
      </w:r>
    </w:p>
    <w:p>
      <w:pPr>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8.1除</w:t>
      </w:r>
      <w:r>
        <w:rPr>
          <w:rFonts w:hint="eastAsia" w:ascii="宋体" w:hAnsi="宋体" w:eastAsia="宋体" w:cs="宋体"/>
          <w:b/>
          <w:color w:val="auto"/>
          <w:sz w:val="24"/>
          <w:szCs w:val="24"/>
        </w:rPr>
        <w:t>磋商文件前附表</w:t>
      </w:r>
      <w:r>
        <w:rPr>
          <w:rFonts w:hint="eastAsia" w:ascii="宋体" w:hAnsi="宋体" w:eastAsia="宋体" w:cs="宋体"/>
          <w:color w:val="auto"/>
          <w:sz w:val="24"/>
          <w:szCs w:val="24"/>
        </w:rPr>
        <w:t>另有规定外，本项目</w:t>
      </w:r>
      <w:r>
        <w:rPr>
          <w:rFonts w:hint="eastAsia" w:ascii="宋体" w:hAnsi="宋体" w:eastAsia="宋体" w:cs="宋体"/>
          <w:color w:val="auto"/>
          <w:kern w:val="0"/>
          <w:sz w:val="24"/>
          <w:szCs w:val="24"/>
        </w:rPr>
        <w:t>拒绝进口产品参加</w:t>
      </w:r>
      <w:r>
        <w:rPr>
          <w:rFonts w:hint="eastAsia" w:ascii="宋体" w:hAnsi="宋体" w:eastAsia="宋体" w:cs="宋体"/>
          <w:color w:val="auto"/>
          <w:sz w:val="24"/>
          <w:szCs w:val="24"/>
        </w:rPr>
        <w:t>竞争性磋商采购活动</w:t>
      </w:r>
      <w:r>
        <w:rPr>
          <w:rFonts w:hint="eastAsia" w:ascii="宋体" w:hAnsi="宋体" w:eastAsia="宋体" w:cs="宋体"/>
          <w:color w:val="auto"/>
          <w:kern w:val="0"/>
          <w:sz w:val="24"/>
          <w:szCs w:val="24"/>
        </w:rPr>
        <w:t>。</w:t>
      </w:r>
    </w:p>
    <w:p>
      <w:pPr>
        <w:spacing w:line="440" w:lineRule="exact"/>
        <w:ind w:firstLine="480" w:firstLineChars="200"/>
        <w:rPr>
          <w:rFonts w:ascii="宋体" w:hAnsi="宋体"/>
          <w:color w:val="000000"/>
          <w:sz w:val="24"/>
        </w:rPr>
      </w:pPr>
      <w:r>
        <w:rPr>
          <w:rFonts w:hint="eastAsia" w:ascii="宋体" w:hAnsi="宋体"/>
          <w:color w:val="000000"/>
          <w:sz w:val="24"/>
        </w:rPr>
        <w:t>8.2政府采购有关的货物采购执行环境标志产品政府优先采购政策。在采购过程中执行最新一期的环境标志产品政府采购清单。优先采购政策规定可在：中国政府采购网（http://www.ccgp.gov.cn/）查询。</w:t>
      </w:r>
    </w:p>
    <w:p>
      <w:pPr>
        <w:spacing w:line="440" w:lineRule="exact"/>
        <w:ind w:firstLine="480" w:firstLineChars="200"/>
        <w:rPr>
          <w:rFonts w:ascii="宋体" w:hAnsi="宋体"/>
          <w:color w:val="000000"/>
          <w:sz w:val="24"/>
        </w:rPr>
      </w:pPr>
      <w:r>
        <w:rPr>
          <w:rFonts w:hint="eastAsia" w:ascii="宋体" w:hAnsi="宋体"/>
          <w:color w:val="000000"/>
          <w:sz w:val="24"/>
        </w:rPr>
        <w:t>8.3政府采购有关的货物采购应当执行节能产品政府强制采购和优先采购政策。在采购过程中执行最新一期的节能产品政府采购清单。优先采购政策规定可在：中国政府采购网（http://www.ccgp.gov.cn/）查询。</w:t>
      </w:r>
    </w:p>
    <w:p>
      <w:pPr>
        <w:adjustRightInd w:val="0"/>
        <w:snapToGrid w:val="0"/>
        <w:spacing w:line="440" w:lineRule="exact"/>
        <w:ind w:firstLine="480" w:firstLineChars="200"/>
        <w:rPr>
          <w:rFonts w:ascii="宋体"/>
          <w:color w:val="000000"/>
          <w:sz w:val="24"/>
        </w:rPr>
      </w:pPr>
      <w:r>
        <w:rPr>
          <w:rFonts w:hint="eastAsia" w:ascii="宋体" w:hAnsi="宋体"/>
          <w:color w:val="000000"/>
          <w:sz w:val="24"/>
        </w:rPr>
        <w:t>8.4产品符合促进中小企业（监狱企业、残疾人福利性单位）发展政策的，其价格给予</w:t>
      </w:r>
      <w:r>
        <w:rPr>
          <w:rFonts w:ascii="宋体" w:hAnsi="宋体"/>
          <w:color w:val="000000"/>
          <w:sz w:val="24"/>
        </w:rPr>
        <w:t>6%</w:t>
      </w:r>
      <w:r>
        <w:rPr>
          <w:rFonts w:hint="eastAsia" w:ascii="宋体" w:hAnsi="宋体"/>
          <w:color w:val="000000"/>
          <w:sz w:val="24"/>
        </w:rPr>
        <w:t>的扣除。</w:t>
      </w:r>
    </w:p>
    <w:p>
      <w:pPr>
        <w:adjustRightInd w:val="0"/>
        <w:snapToGrid w:val="0"/>
        <w:spacing w:line="440" w:lineRule="exact"/>
        <w:ind w:firstLine="480" w:firstLineChars="200"/>
        <w:rPr>
          <w:rFonts w:hint="eastAsia"/>
        </w:rPr>
      </w:pPr>
      <w:r>
        <w:rPr>
          <w:rFonts w:ascii="宋体" w:hAnsi="宋体"/>
          <w:color w:val="000000"/>
          <w:sz w:val="24"/>
        </w:rPr>
        <w:t>8.</w:t>
      </w:r>
      <w:r>
        <w:rPr>
          <w:rFonts w:hint="eastAsia" w:ascii="宋体" w:hAnsi="宋体"/>
          <w:color w:val="000000"/>
          <w:sz w:val="24"/>
        </w:rPr>
        <w:t>5供应商在签署相关承诺、提供相关信息前，应当认真阅读财政部门的相关政策规定。符合本章第</w:t>
      </w:r>
      <w:r>
        <w:rPr>
          <w:rFonts w:ascii="宋体" w:hAnsi="宋体"/>
          <w:color w:val="000000"/>
          <w:sz w:val="24"/>
        </w:rPr>
        <w:t>8.</w:t>
      </w:r>
      <w:r>
        <w:rPr>
          <w:rFonts w:hint="eastAsia" w:ascii="宋体" w:hAnsi="宋体"/>
          <w:color w:val="000000"/>
          <w:sz w:val="24"/>
        </w:rPr>
        <w:t>3-8.4款规定的，应当提供相关的证明材料。</w:t>
      </w:r>
    </w:p>
    <w:p>
      <w:pPr>
        <w:pStyle w:val="24"/>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 偏离</w:t>
      </w:r>
    </w:p>
    <w:p>
      <w:pPr>
        <w:pStyle w:val="4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97" w:rightChars="46"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.1本条所称</w:t>
      </w:r>
      <w:r>
        <w:rPr>
          <w:rFonts w:hint="eastAsia" w:ascii="宋体" w:hAnsi="宋体" w:eastAsia="宋体" w:cs="宋体"/>
          <w:color w:val="auto"/>
          <w:sz w:val="24"/>
          <w:szCs w:val="24"/>
        </w:rPr>
        <w:t>偏离为响应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的偏离，即不满足、或不响应</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的要求。偏离分为对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的实质性要求条款偏离和对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的一般商务和技术条款（参数）偏离。</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2除法律、法规和规章规定外，磋商文件中用“拒绝”、“不接受”、“无效”、“不得”等文字规定或标注“★”符号的条款为实质性要求条款（即重要条款），对其中任何一条的偏离(即不满足、或不响应)，在评审时将其</w:t>
      </w:r>
      <w:r>
        <w:rPr>
          <w:rFonts w:hint="eastAsia" w:ascii="宋体" w:hAnsi="宋体" w:cs="宋体"/>
          <w:b/>
          <w:bCs/>
          <w:color w:val="auto"/>
          <w:sz w:val="24"/>
          <w:szCs w:val="24"/>
          <w:lang w:eastAsia="zh-CN"/>
        </w:rPr>
        <w:t>扣分</w:t>
      </w:r>
      <w:r>
        <w:rPr>
          <w:rFonts w:hint="eastAsia" w:ascii="宋体" w:hAnsi="宋体" w:eastAsia="宋体" w:cs="宋体"/>
          <w:b/>
          <w:bCs/>
          <w:color w:val="auto"/>
          <w:sz w:val="24"/>
          <w:szCs w:val="24"/>
        </w:rPr>
        <w:t>。未用上述文字规定或符号标注的条款为非实质性要求条款(即一般条款)。</w:t>
      </w:r>
    </w:p>
    <w:p>
      <w:pPr>
        <w:adjustRightInd w:val="0"/>
        <w:snapToGrid w:val="0"/>
        <w:spacing w:line="360" w:lineRule="auto"/>
        <w:ind w:left="906" w:hanging="906" w:hangingChars="376"/>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二、磋商文件</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10</w:t>
      </w:r>
      <w:r>
        <w:rPr>
          <w:rFonts w:hint="eastAsia" w:ascii="宋体" w:hAnsi="宋体" w:eastAsia="宋体" w:cs="宋体"/>
          <w:b/>
          <w:bCs/>
          <w:color w:val="auto"/>
          <w:sz w:val="24"/>
          <w:szCs w:val="24"/>
        </w:rPr>
        <w:t>．磋商文件的组成</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.1 磋商文件由下列文件组成：</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第一章 磋商公告</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第二章 磋商须知</w:t>
      </w:r>
    </w:p>
    <w:p>
      <w:pPr>
        <w:pStyle w:val="24"/>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第三章 磋商办法</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第四章 合同条款及格式</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第五章 采购需求</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第六章 响应文件组成</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.2</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kern w:val="0"/>
          <w:sz w:val="24"/>
          <w:szCs w:val="24"/>
        </w:rPr>
        <w:t>提交首次响应文件截止时间前对磋商文件澄清或者修改内容，为磋商文件的组成部分。</w:t>
      </w:r>
    </w:p>
    <w:p>
      <w:pPr>
        <w:pStyle w:val="24"/>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.3</w:t>
      </w:r>
      <w:r>
        <w:rPr>
          <w:rFonts w:hint="eastAsia" w:ascii="宋体" w:hAnsi="宋体" w:eastAsia="宋体" w:cs="宋体"/>
          <w:color w:val="auto"/>
          <w:kern w:val="0"/>
          <w:sz w:val="24"/>
          <w:szCs w:val="24"/>
        </w:rPr>
        <w:t>磋商小组根据与供应商磋商情况可能实质性变动的内容，包括采购需求中的技术、服务要求以及合同条款，</w:t>
      </w:r>
      <w:r>
        <w:rPr>
          <w:rFonts w:hint="eastAsia" w:ascii="宋体" w:hAnsi="宋体" w:eastAsia="宋体" w:cs="宋体"/>
          <w:color w:val="auto"/>
          <w:sz w:val="24"/>
          <w:szCs w:val="24"/>
        </w:rPr>
        <w:t>在</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中明确。</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.4供应商应仔细阅读</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的全部内容，按照</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要求编制响应文件。任何对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的忽略或误解不能作为响应文件存在缺陷或瑕疵的理由，其风险由供应商承担。</w:t>
      </w:r>
    </w:p>
    <w:p>
      <w:pPr>
        <w:pStyle w:val="24"/>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.递</w:t>
      </w:r>
      <w:r>
        <w:rPr>
          <w:rFonts w:hint="eastAsia" w:ascii="宋体" w:hAnsi="宋体" w:eastAsia="宋体" w:cs="宋体"/>
          <w:b/>
          <w:color w:val="auto"/>
          <w:kern w:val="0"/>
          <w:sz w:val="24"/>
          <w:szCs w:val="24"/>
        </w:rPr>
        <w:t>交响应文件</w:t>
      </w:r>
      <w:r>
        <w:rPr>
          <w:rFonts w:hint="eastAsia" w:ascii="宋体" w:hAnsi="宋体" w:eastAsia="宋体" w:cs="宋体"/>
          <w:b/>
          <w:color w:val="auto"/>
          <w:sz w:val="24"/>
          <w:szCs w:val="24"/>
        </w:rPr>
        <w:t>的</w:t>
      </w:r>
      <w:r>
        <w:rPr>
          <w:rFonts w:hint="eastAsia" w:ascii="宋体" w:hAnsi="宋体" w:eastAsia="宋体" w:cs="宋体"/>
          <w:b/>
          <w:color w:val="auto"/>
          <w:kern w:val="0"/>
          <w:sz w:val="24"/>
          <w:szCs w:val="24"/>
        </w:rPr>
        <w:t>截止</w:t>
      </w:r>
      <w:r>
        <w:rPr>
          <w:rFonts w:hint="eastAsia" w:ascii="宋体" w:hAnsi="宋体" w:eastAsia="宋体" w:cs="宋体"/>
          <w:b/>
          <w:color w:val="auto"/>
          <w:sz w:val="24"/>
          <w:szCs w:val="24"/>
        </w:rPr>
        <w:t>时间</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供应商递交响应文件截止</w:t>
      </w:r>
      <w:r>
        <w:rPr>
          <w:rFonts w:hint="eastAsia" w:ascii="宋体" w:hAnsi="宋体" w:eastAsia="宋体" w:cs="宋体"/>
          <w:color w:val="auto"/>
          <w:sz w:val="24"/>
          <w:szCs w:val="24"/>
        </w:rPr>
        <w:t>时间见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12</w:t>
      </w:r>
      <w:r>
        <w:rPr>
          <w:rFonts w:hint="eastAsia" w:ascii="宋体" w:hAnsi="宋体" w:eastAsia="宋体" w:cs="宋体"/>
          <w:b/>
          <w:bCs/>
          <w:color w:val="auto"/>
          <w:sz w:val="24"/>
          <w:szCs w:val="24"/>
        </w:rPr>
        <w:t>.磋商文件的澄清</w:t>
      </w:r>
      <w:r>
        <w:rPr>
          <w:rFonts w:hint="eastAsia" w:ascii="宋体" w:hAnsi="宋体" w:eastAsia="宋体" w:cs="宋体"/>
          <w:b/>
          <w:color w:val="auto"/>
          <w:kern w:val="0"/>
          <w:sz w:val="24"/>
          <w:szCs w:val="24"/>
          <w:lang w:val="zh-CN"/>
        </w:rPr>
        <w:t>或者</w:t>
      </w:r>
      <w:r>
        <w:rPr>
          <w:rFonts w:hint="eastAsia" w:ascii="宋体" w:hAnsi="宋体" w:eastAsia="宋体" w:cs="宋体"/>
          <w:b/>
          <w:bCs/>
          <w:color w:val="auto"/>
          <w:sz w:val="24"/>
          <w:szCs w:val="24"/>
        </w:rPr>
        <w:t>修改</w:t>
      </w:r>
    </w:p>
    <w:p>
      <w:pPr>
        <w:keepNext w:val="0"/>
        <w:keepLines w:val="0"/>
        <w:pageBreakBefore w:val="0"/>
        <w:widowControl w:val="0"/>
        <w:kinsoku/>
        <w:wordWrap/>
        <w:overflowPunct/>
        <w:topLinePunct w:val="0"/>
        <w:bidi w:val="0"/>
        <w:adjustRightInd w:val="0"/>
        <w:snapToGrid w:val="0"/>
        <w:spacing w:line="360" w:lineRule="auto"/>
        <w:ind w:right="-105" w:rightChars="-5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12</w:t>
      </w:r>
      <w:r>
        <w:rPr>
          <w:rFonts w:hint="eastAsia" w:ascii="宋体" w:hAnsi="宋体" w:eastAsia="宋体" w:cs="宋体"/>
          <w:color w:val="auto"/>
          <w:sz w:val="24"/>
          <w:szCs w:val="24"/>
        </w:rPr>
        <w:t>.1在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规定的递</w:t>
      </w:r>
      <w:r>
        <w:rPr>
          <w:rFonts w:hint="eastAsia" w:ascii="宋体" w:hAnsi="宋体" w:eastAsia="宋体" w:cs="宋体"/>
          <w:color w:val="auto"/>
          <w:kern w:val="0"/>
          <w:sz w:val="24"/>
          <w:szCs w:val="24"/>
        </w:rPr>
        <w:t xml:space="preserve">交响应文件截止之日前，采购人、采购代理机构或者磋商小组可以对已发出的磋商文件进行必要的澄清或者修改。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12</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澄清或者修改的内容可能影响响应文件编制的，采购人、采购代理机构或者磋商小组应当在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kern w:val="0"/>
          <w:sz w:val="24"/>
          <w:szCs w:val="24"/>
        </w:rPr>
        <w:t>提交首次响应文件截止之日</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日前，以书面形式通知所有</w:t>
      </w:r>
      <w:r>
        <w:rPr>
          <w:rFonts w:hint="eastAsia" w:ascii="宋体" w:hAnsi="宋体" w:eastAsia="宋体" w:cs="宋体"/>
          <w:color w:val="auto"/>
          <w:kern w:val="0"/>
          <w:sz w:val="24"/>
          <w:szCs w:val="24"/>
          <w:lang w:eastAsia="zh-CN"/>
        </w:rPr>
        <w:t>获取</w:t>
      </w:r>
      <w:r>
        <w:rPr>
          <w:rFonts w:hint="eastAsia" w:ascii="宋体" w:hAnsi="宋体" w:eastAsia="宋体" w:cs="宋体"/>
          <w:color w:val="auto"/>
          <w:kern w:val="0"/>
          <w:sz w:val="24"/>
          <w:szCs w:val="24"/>
        </w:rPr>
        <w:t>磋商文件的供应商，不足</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日的，顺延供应商提交响应文件截止时间。</w:t>
      </w:r>
    </w:p>
    <w:p>
      <w:pPr>
        <w:adjustRightInd w:val="0"/>
        <w:snapToGrid w:val="0"/>
        <w:spacing w:line="360" w:lineRule="auto"/>
        <w:ind w:left="906" w:hanging="906" w:hangingChars="376"/>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三、响应文件</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13</w:t>
      </w:r>
      <w:r>
        <w:rPr>
          <w:rFonts w:hint="eastAsia" w:ascii="宋体" w:hAnsi="宋体" w:eastAsia="宋体" w:cs="宋体"/>
          <w:b/>
          <w:bCs/>
          <w:color w:val="auto"/>
          <w:sz w:val="24"/>
          <w:szCs w:val="24"/>
        </w:rPr>
        <w:t>.一般要求</w:t>
      </w:r>
    </w:p>
    <w:p>
      <w:pPr>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13</w:t>
      </w:r>
      <w:r>
        <w:rPr>
          <w:rFonts w:hint="eastAsia" w:ascii="宋体" w:hAnsi="宋体" w:eastAsia="宋体" w:cs="宋体"/>
          <w:bCs/>
          <w:color w:val="auto"/>
          <w:sz w:val="24"/>
          <w:szCs w:val="24"/>
        </w:rPr>
        <w:t>.1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13</w:t>
      </w:r>
      <w:r>
        <w:rPr>
          <w:rFonts w:hint="eastAsia" w:ascii="宋体" w:hAnsi="宋体" w:eastAsia="宋体" w:cs="宋体"/>
          <w:bCs/>
          <w:color w:val="auto"/>
          <w:sz w:val="24"/>
          <w:szCs w:val="24"/>
        </w:rPr>
        <w:t xml:space="preserve">.2 </w:t>
      </w:r>
      <w:r>
        <w:rPr>
          <w:rFonts w:hint="eastAsia" w:ascii="宋体" w:hAnsi="宋体" w:eastAsia="宋体" w:cs="宋体"/>
          <w:color w:val="auto"/>
          <w:sz w:val="24"/>
          <w:szCs w:val="24"/>
        </w:rPr>
        <w:t>供应商提交的响应文件及供应商与采购人或采购代理机构、磋商小组就有关磋商的所有来往函电均使用中文。供应商</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中文</w:t>
      </w:r>
      <w:r>
        <w:rPr>
          <w:rFonts w:hint="eastAsia" w:ascii="宋体" w:hAnsi="宋体" w:eastAsia="宋体" w:cs="宋体"/>
          <w:color w:val="auto"/>
          <w:sz w:val="24"/>
          <w:szCs w:val="24"/>
        </w:rPr>
        <w:t>语言的资料。</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13</w:t>
      </w:r>
      <w:r>
        <w:rPr>
          <w:rFonts w:hint="eastAsia" w:ascii="宋体" w:hAnsi="宋体" w:eastAsia="宋体" w:cs="宋体"/>
          <w:bCs/>
          <w:color w:val="auto"/>
          <w:sz w:val="24"/>
          <w:szCs w:val="24"/>
        </w:rPr>
        <w:t xml:space="preserve">.3 </w:t>
      </w:r>
      <w:r>
        <w:rPr>
          <w:rFonts w:hint="eastAsia" w:ascii="宋体" w:hAnsi="宋体" w:eastAsia="宋体" w:cs="宋体"/>
          <w:color w:val="auto"/>
          <w:sz w:val="24"/>
          <w:szCs w:val="24"/>
        </w:rPr>
        <w:t>计量单位应使用我国法定计量单位，未列明时应默认为我国法定计量单位。</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13</w:t>
      </w:r>
      <w:r>
        <w:rPr>
          <w:rFonts w:hint="eastAsia" w:ascii="宋体" w:hAnsi="宋体" w:eastAsia="宋体" w:cs="宋体"/>
          <w:color w:val="auto"/>
          <w:sz w:val="24"/>
          <w:szCs w:val="24"/>
        </w:rPr>
        <w:t>.4 响应文件应采用书面形式，电报、传真、电子邮件形式的响应文件概不接受。</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13</w:t>
      </w:r>
      <w:r>
        <w:rPr>
          <w:rFonts w:hint="eastAsia" w:ascii="宋体" w:hAnsi="宋体" w:eastAsia="宋体" w:cs="宋体"/>
          <w:color w:val="auto"/>
          <w:sz w:val="24"/>
          <w:szCs w:val="24"/>
        </w:rPr>
        <w:t>.5 供应商应按磋商文件中提供的响应文件格式填写。</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14</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响应文件</w:t>
      </w:r>
      <w:r>
        <w:rPr>
          <w:rFonts w:hint="eastAsia" w:ascii="宋体" w:hAnsi="宋体" w:eastAsia="宋体" w:cs="宋体"/>
          <w:b/>
          <w:bCs/>
          <w:color w:val="auto"/>
          <w:sz w:val="24"/>
          <w:szCs w:val="24"/>
        </w:rPr>
        <w:t>的组成</w:t>
      </w:r>
    </w:p>
    <w:p>
      <w:pPr>
        <w:adjustRightInd w:val="0"/>
        <w:snapToGrid w:val="0"/>
        <w:spacing w:line="360" w:lineRule="auto"/>
        <w:ind w:firstLine="482" w:firstLineChars="200"/>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14</w:t>
      </w:r>
      <w:r>
        <w:rPr>
          <w:rFonts w:hint="eastAsia" w:ascii="宋体" w:hAnsi="宋体" w:eastAsia="宋体" w:cs="宋体"/>
          <w:b/>
          <w:bCs/>
          <w:color w:val="auto"/>
          <w:sz w:val="24"/>
          <w:szCs w:val="24"/>
        </w:rPr>
        <w:t xml:space="preserve">.1 响应文件包括下列内容： </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(1)磋商响应声明</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(2)报价一览表及报价文件</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(3)保证金</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(4)供应商的资格证明材料</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)技术/商务响应与偏离表</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)供应商认为需提供的其它资料</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)最后报价</w:t>
      </w:r>
    </w:p>
    <w:p>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（8）1-1 中小企业声明函（如有）</w:t>
      </w:r>
    </w:p>
    <w:p>
      <w:pPr>
        <w:adjustRightInd w:val="0"/>
        <w:snapToGrid w:val="0"/>
        <w:spacing w:line="360" w:lineRule="auto"/>
        <w:ind w:firstLine="964" w:firstLineChars="400"/>
        <w:rPr>
          <w:rFonts w:hint="eastAsia" w:ascii="宋体" w:hAnsi="宋体" w:cs="宋体"/>
          <w:b/>
          <w:bCs/>
          <w:sz w:val="24"/>
        </w:rPr>
      </w:pPr>
      <w:r>
        <w:rPr>
          <w:rFonts w:hint="eastAsia" w:ascii="宋体" w:hAnsi="宋体" w:cs="宋体"/>
          <w:b/>
          <w:bCs/>
          <w:sz w:val="24"/>
        </w:rPr>
        <w:t>1-2残疾人福利性单位声明函（如有）</w:t>
      </w:r>
    </w:p>
    <w:p>
      <w:pPr>
        <w:adjustRightInd w:val="0"/>
        <w:snapToGrid w:val="0"/>
        <w:spacing w:line="360" w:lineRule="auto"/>
        <w:ind w:firstLine="964" w:firstLineChars="400"/>
        <w:rPr>
          <w:rFonts w:hint="eastAsia"/>
        </w:rPr>
      </w:pPr>
      <w:r>
        <w:rPr>
          <w:rFonts w:hint="eastAsia" w:ascii="宋体" w:hAnsi="宋体" w:cs="宋体"/>
          <w:b/>
          <w:bCs/>
          <w:sz w:val="24"/>
        </w:rPr>
        <w:t>1-3监狱企业证明文件（如有）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14</w:t>
      </w:r>
      <w:r>
        <w:rPr>
          <w:rFonts w:hint="eastAsia" w:ascii="宋体" w:hAnsi="宋体" w:eastAsia="宋体" w:cs="宋体"/>
          <w:color w:val="auto"/>
          <w:sz w:val="24"/>
          <w:szCs w:val="24"/>
        </w:rPr>
        <w:t>.2在磋商过程中，供应商根据</w:t>
      </w:r>
      <w:r>
        <w:rPr>
          <w:rFonts w:hint="eastAsia" w:ascii="宋体" w:hAnsi="宋体" w:eastAsia="宋体" w:cs="宋体"/>
          <w:color w:val="auto"/>
          <w:kern w:val="0"/>
          <w:sz w:val="24"/>
          <w:szCs w:val="24"/>
        </w:rPr>
        <w:t>磋商小组</w:t>
      </w:r>
      <w:r>
        <w:rPr>
          <w:rFonts w:hint="eastAsia" w:ascii="宋体" w:hAnsi="宋体" w:eastAsia="宋体" w:cs="宋体"/>
          <w:bCs/>
          <w:color w:val="auto"/>
          <w:sz w:val="24"/>
          <w:szCs w:val="24"/>
        </w:rPr>
        <w:t>书面形式要求</w:t>
      </w:r>
      <w:r>
        <w:rPr>
          <w:rFonts w:hint="eastAsia" w:ascii="宋体" w:hAnsi="宋体" w:eastAsia="宋体" w:cs="宋体"/>
          <w:color w:val="auto"/>
          <w:kern w:val="0"/>
          <w:sz w:val="24"/>
          <w:szCs w:val="24"/>
        </w:rPr>
        <w:t>提交的</w:t>
      </w:r>
      <w:r>
        <w:rPr>
          <w:rFonts w:hint="eastAsia" w:ascii="宋体" w:hAnsi="宋体" w:eastAsia="宋体" w:cs="宋体"/>
          <w:color w:val="auto"/>
          <w:sz w:val="24"/>
          <w:szCs w:val="24"/>
        </w:rPr>
        <w:t>最后报价(或者</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新提交的响应文件和</w:t>
      </w:r>
      <w:r>
        <w:rPr>
          <w:rFonts w:hint="eastAsia" w:ascii="宋体" w:hAnsi="宋体" w:eastAsia="宋体" w:cs="宋体"/>
          <w:color w:val="auto"/>
          <w:sz w:val="24"/>
          <w:szCs w:val="24"/>
        </w:rPr>
        <w:t>最后报价)是响应文件的有效组成部分。</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14</w:t>
      </w:r>
      <w:r>
        <w:rPr>
          <w:rFonts w:hint="eastAsia" w:ascii="宋体" w:hAnsi="宋体" w:eastAsia="宋体" w:cs="宋体"/>
          <w:color w:val="auto"/>
          <w:sz w:val="24"/>
          <w:szCs w:val="24"/>
        </w:rPr>
        <w:t>.3</w:t>
      </w:r>
      <w:r>
        <w:rPr>
          <w:rFonts w:hint="eastAsia" w:ascii="宋体" w:hAnsi="宋体" w:eastAsia="宋体" w:cs="宋体"/>
          <w:color w:val="auto"/>
          <w:kern w:val="0"/>
          <w:sz w:val="24"/>
          <w:szCs w:val="24"/>
        </w:rPr>
        <w:t>磋商文件规定可能发生实质性变动的，供应商应当在</w:t>
      </w:r>
      <w:r>
        <w:rPr>
          <w:rFonts w:hint="eastAsia" w:ascii="宋体" w:hAnsi="宋体" w:eastAsia="宋体" w:cs="宋体"/>
          <w:color w:val="auto"/>
          <w:sz w:val="24"/>
          <w:szCs w:val="24"/>
        </w:rPr>
        <w:t>《技术/商务响应与偏离表》中对应内容注明。</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14</w:t>
      </w:r>
      <w:r>
        <w:rPr>
          <w:rFonts w:hint="eastAsia" w:ascii="宋体" w:hAnsi="宋体" w:eastAsia="宋体" w:cs="宋体"/>
          <w:color w:val="auto"/>
          <w:sz w:val="24"/>
          <w:szCs w:val="24"/>
        </w:rPr>
        <w:t>.4根据《中华人民共和国政府采购法》相关规定，供应商无论成交与否，其响应文件不予退还。</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15</w:t>
      </w:r>
      <w:r>
        <w:rPr>
          <w:rFonts w:hint="eastAsia" w:ascii="宋体" w:hAnsi="宋体" w:eastAsia="宋体" w:cs="宋体"/>
          <w:b/>
          <w:bCs/>
          <w:color w:val="auto"/>
          <w:sz w:val="24"/>
          <w:szCs w:val="24"/>
        </w:rPr>
        <w:t>.报价</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15</w:t>
      </w:r>
      <w:r>
        <w:rPr>
          <w:rFonts w:hint="eastAsia" w:ascii="宋体" w:hAnsi="宋体" w:eastAsia="宋体" w:cs="宋体"/>
          <w:color w:val="auto"/>
          <w:sz w:val="24"/>
          <w:szCs w:val="24"/>
        </w:rPr>
        <w:t>.1供应商应当根据磋商文件要求和范围，以</w:t>
      </w:r>
      <w:r>
        <w:rPr>
          <w:rFonts w:hint="eastAsia" w:ascii="宋体" w:hAnsi="宋体" w:eastAsia="宋体" w:cs="宋体"/>
          <w:bCs/>
          <w:color w:val="auto"/>
          <w:sz w:val="24"/>
          <w:szCs w:val="24"/>
        </w:rPr>
        <w:t>人民币</w:t>
      </w:r>
      <w:r>
        <w:rPr>
          <w:rFonts w:hint="eastAsia" w:ascii="宋体" w:hAnsi="宋体" w:eastAsia="宋体" w:cs="宋体"/>
          <w:color w:val="auto"/>
          <w:sz w:val="24"/>
          <w:szCs w:val="24"/>
        </w:rPr>
        <w:t>报价，以元为单位，保留小数点后两位。</w:t>
      </w:r>
    </w:p>
    <w:p>
      <w:pPr>
        <w:pStyle w:val="1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15</w:t>
      </w:r>
      <w:r>
        <w:rPr>
          <w:rFonts w:hint="eastAsia" w:ascii="宋体" w:hAnsi="宋体" w:eastAsia="宋体" w:cs="宋体"/>
          <w:color w:val="auto"/>
          <w:sz w:val="24"/>
          <w:szCs w:val="24"/>
        </w:rPr>
        <w:t>.2供应商应按第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章“采购需求”要求及第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章“响应文件组成”格式填写。供应商在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sz w:val="24"/>
          <w:szCs w:val="24"/>
        </w:rPr>
        <w:t>提交首次响应文件截止之日前修改报价一览表中的报价，应同时修改其按第五章要求填写的相应表格中的报价。此修改须符合本章第</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.1款的有关要求。</w:t>
      </w:r>
    </w:p>
    <w:p>
      <w:pPr>
        <w:pStyle w:val="24"/>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15</w:t>
      </w:r>
      <w:r>
        <w:rPr>
          <w:rFonts w:hint="eastAsia" w:ascii="宋体" w:hAnsi="宋体" w:eastAsia="宋体" w:cs="宋体"/>
          <w:b/>
          <w:color w:val="auto"/>
          <w:sz w:val="24"/>
          <w:szCs w:val="24"/>
        </w:rPr>
        <w:t>.3响应文件中标明的价格在合同执行过程中是固定不变的，不得以任何理由予以变更。以可变动价格提交的报价将被认为是非实质响应而被拒绝。</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15</w:t>
      </w: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zh-CN"/>
        </w:rPr>
        <w:t>供应商</w:t>
      </w:r>
      <w:r>
        <w:rPr>
          <w:rFonts w:hint="eastAsia" w:ascii="宋体" w:hAnsi="宋体" w:eastAsia="宋体" w:cs="宋体"/>
          <w:color w:val="auto"/>
          <w:sz w:val="24"/>
          <w:szCs w:val="24"/>
        </w:rPr>
        <w:t>的报价不得超过采购</w:t>
      </w:r>
      <w:r>
        <w:rPr>
          <w:rFonts w:hint="eastAsia" w:hAnsi="宋体" w:eastAsia="宋体" w:cs="宋体"/>
          <w:color w:val="auto"/>
          <w:sz w:val="24"/>
          <w:szCs w:val="24"/>
          <w:lang w:eastAsia="zh-CN"/>
        </w:rPr>
        <w:t>预算</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rPr>
        <w:t>，超过采购</w:t>
      </w:r>
      <w:r>
        <w:rPr>
          <w:rFonts w:hint="eastAsia" w:hAnsi="宋体" w:eastAsia="宋体" w:cs="宋体"/>
          <w:color w:val="auto"/>
          <w:sz w:val="24"/>
          <w:szCs w:val="24"/>
          <w:lang w:eastAsia="zh-CN"/>
        </w:rPr>
        <w:t>预算</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rPr>
        <w:t>为无效响应。</w:t>
      </w:r>
    </w:p>
    <w:p>
      <w:pPr>
        <w:pStyle w:val="24"/>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16</w:t>
      </w:r>
      <w:r>
        <w:rPr>
          <w:rFonts w:hint="eastAsia" w:ascii="宋体" w:hAnsi="宋体" w:eastAsia="宋体" w:cs="宋体"/>
          <w:b/>
          <w:color w:val="auto"/>
          <w:sz w:val="24"/>
          <w:szCs w:val="24"/>
        </w:rPr>
        <w:t>.供应商符合磋商文件规定的证明文件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zh-CN"/>
        </w:rPr>
        <w:t>16.1</w:t>
      </w:r>
      <w:r>
        <w:rPr>
          <w:rFonts w:hint="eastAsia" w:ascii="宋体" w:hAnsi="宋体" w:eastAsia="宋体" w:cs="宋体"/>
          <w:color w:val="auto"/>
          <w:sz w:val="24"/>
          <w:szCs w:val="24"/>
        </w:rPr>
        <w:t>供应商提供资格证明材料，以证实其各项条件满足本章第3.1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规定的供应商资格条件要求。</w:t>
      </w:r>
    </w:p>
    <w:p>
      <w:pPr>
        <w:adjustRightInd w:val="0"/>
        <w:snapToGrid w:val="0"/>
        <w:spacing w:line="360" w:lineRule="auto"/>
        <w:ind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lang w:eastAsia="zh-CN"/>
        </w:rPr>
        <w:t>16</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供应商</w:t>
      </w:r>
      <w:r>
        <w:rPr>
          <w:rFonts w:hint="eastAsia" w:ascii="宋体" w:hAnsi="宋体" w:eastAsia="宋体" w:cs="宋体"/>
          <w:color w:val="auto"/>
          <w:sz w:val="24"/>
          <w:szCs w:val="24"/>
        </w:rPr>
        <w:t>为联合体形式的，则应提交联合体各方资格文件、联合体协议，否则将视为非实质响应而被拒绝。</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17</w:t>
      </w:r>
      <w:r>
        <w:rPr>
          <w:rFonts w:hint="eastAsia" w:ascii="宋体" w:hAnsi="宋体" w:eastAsia="宋体" w:cs="宋体"/>
          <w:b/>
          <w:bCs/>
          <w:color w:val="auto"/>
          <w:sz w:val="24"/>
          <w:szCs w:val="24"/>
        </w:rPr>
        <w:t>.保证金</w:t>
      </w:r>
    </w:p>
    <w:p>
      <w:pPr>
        <w:pStyle w:val="24"/>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.1</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规定交纳</w:t>
      </w:r>
      <w:r>
        <w:rPr>
          <w:rFonts w:hint="eastAsia" w:ascii="宋体" w:hAnsi="宋体" w:eastAsia="宋体" w:cs="宋体"/>
          <w:bCs/>
          <w:color w:val="auto"/>
          <w:sz w:val="24"/>
          <w:szCs w:val="24"/>
        </w:rPr>
        <w:t>保证金的</w:t>
      </w:r>
      <w:r>
        <w:rPr>
          <w:rFonts w:hint="eastAsia" w:ascii="宋体" w:hAnsi="宋体" w:eastAsia="宋体" w:cs="宋体"/>
          <w:color w:val="auto"/>
          <w:sz w:val="24"/>
          <w:szCs w:val="24"/>
        </w:rPr>
        <w:t>，应按</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规定的</w:t>
      </w:r>
      <w:r>
        <w:rPr>
          <w:rFonts w:hint="eastAsia" w:ascii="宋体" w:hAnsi="宋体" w:eastAsia="宋体" w:cs="宋体"/>
          <w:bCs/>
          <w:color w:val="auto"/>
          <w:sz w:val="24"/>
          <w:szCs w:val="24"/>
        </w:rPr>
        <w:t>保证金形式交纳，不得以现金方式交纳</w:t>
      </w:r>
      <w:r>
        <w:rPr>
          <w:rFonts w:hint="eastAsia" w:ascii="宋体" w:hAnsi="宋体" w:eastAsia="宋体" w:cs="宋体"/>
          <w:color w:val="auto"/>
          <w:sz w:val="24"/>
          <w:szCs w:val="24"/>
        </w:rPr>
        <w:t>，在本章第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w:t>
      </w:r>
      <w:r>
        <w:rPr>
          <w:rFonts w:hint="eastAsia" w:ascii="宋体" w:hAnsi="宋体" w:eastAsia="宋体" w:cs="宋体"/>
          <w:color w:val="auto"/>
          <w:sz w:val="24"/>
          <w:szCs w:val="24"/>
        </w:rPr>
        <w:t>前。</w:t>
      </w:r>
      <w:r>
        <w:rPr>
          <w:rFonts w:hint="eastAsia" w:ascii="宋体" w:hAnsi="宋体" w:eastAsia="宋体" w:cs="宋体"/>
          <w:bCs/>
          <w:color w:val="auto"/>
          <w:sz w:val="24"/>
          <w:szCs w:val="24"/>
        </w:rPr>
        <w:t>保证金有效期应当与</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18</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bCs/>
          <w:color w:val="auto"/>
          <w:sz w:val="24"/>
          <w:szCs w:val="24"/>
        </w:rPr>
        <w:t>响应文件有效期一致。</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供应商为联合体的，可以由联合体中的一方或者共同交纳保证金，其交纳的保证金，对联合体各方均具有约束力。</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.3 未按磋商文件规定提交保证金的，</w:t>
      </w:r>
      <w:r>
        <w:rPr>
          <w:rFonts w:hint="eastAsia" w:ascii="宋体" w:hAnsi="宋体" w:eastAsia="宋体" w:cs="宋体"/>
          <w:bCs/>
          <w:color w:val="auto"/>
          <w:sz w:val="24"/>
          <w:szCs w:val="24"/>
        </w:rPr>
        <w:t>采购人或采购代理机构应当拒绝接收供应商的响应文件</w:t>
      </w:r>
      <w:r>
        <w:rPr>
          <w:rFonts w:hint="eastAsia" w:ascii="宋体" w:hAnsi="宋体" w:eastAsia="宋体" w:cs="宋体"/>
          <w:color w:val="auto"/>
          <w:sz w:val="24"/>
          <w:szCs w:val="24"/>
        </w:rPr>
        <w:t>。</w:t>
      </w:r>
    </w:p>
    <w:p>
      <w:pPr>
        <w:pStyle w:val="24"/>
        <w:tabs>
          <w:tab w:val="left" w:pos="630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.4采购代理机构在成交通知书发出后5个工作日内退还未成交供应商的保证金；在采购合同签定后5个工作日内退还成交供应商的保证金，但因供应商自身原因导致无法及时退还的除外。</w:t>
      </w:r>
    </w:p>
    <w:p>
      <w:pPr>
        <w:pStyle w:val="24"/>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 xml:space="preserve">.5 </w:t>
      </w:r>
      <w:r>
        <w:rPr>
          <w:rFonts w:hint="eastAsia" w:ascii="宋体" w:hAnsi="宋体" w:eastAsia="宋体" w:cs="宋体"/>
          <w:color w:val="auto"/>
          <w:kern w:val="0"/>
          <w:sz w:val="24"/>
          <w:szCs w:val="24"/>
        </w:rPr>
        <w:t>有下列情形之一的，保证金不予退还：</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kern w:val="0"/>
          <w:sz w:val="24"/>
          <w:szCs w:val="24"/>
        </w:rPr>
        <w:t>提交首次响应文件截止时间后撤回响应文件或未按本章第</w:t>
      </w: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.5款规定退出磋商的；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（2）供应商在响应文件中提供虚假材料的；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（3）除因不可抗力或磋商文件认可的情形以外，成交供应商不与采购人签订合同的；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（4）供应商与采购人、其他供应商或者采购代理机构恶意串通的；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（5）磋商文件及法律法规规定的其他情形。</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18</w:t>
      </w:r>
      <w:r>
        <w:rPr>
          <w:rFonts w:hint="eastAsia" w:ascii="宋体" w:hAnsi="宋体" w:eastAsia="宋体" w:cs="宋体"/>
          <w:b/>
          <w:bCs/>
          <w:color w:val="auto"/>
          <w:sz w:val="24"/>
          <w:szCs w:val="24"/>
        </w:rPr>
        <w:t>.</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响应文件有效期</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18</w:t>
      </w:r>
      <w:r>
        <w:rPr>
          <w:rFonts w:hint="eastAsia" w:ascii="宋体" w:hAnsi="宋体" w:eastAsia="宋体" w:cs="宋体"/>
          <w:color w:val="auto"/>
          <w:sz w:val="24"/>
          <w:szCs w:val="24"/>
        </w:rPr>
        <w:t>.1响应文件有效期见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，在此期间响应文件对供应商具有法律约束力，从本章第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w:t>
      </w:r>
      <w:r>
        <w:rPr>
          <w:rFonts w:hint="eastAsia" w:ascii="宋体" w:hAnsi="宋体" w:eastAsia="宋体" w:cs="宋体"/>
          <w:color w:val="auto"/>
          <w:sz w:val="24"/>
          <w:szCs w:val="24"/>
        </w:rPr>
        <w:t>之日起计算。响应文件有效期不足的将被视为无效响应。</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19</w:t>
      </w:r>
      <w:r>
        <w:rPr>
          <w:rFonts w:hint="eastAsia" w:ascii="宋体" w:hAnsi="宋体" w:eastAsia="宋体" w:cs="宋体"/>
          <w:b/>
          <w:bCs/>
          <w:color w:val="auto"/>
          <w:sz w:val="24"/>
          <w:szCs w:val="24"/>
        </w:rPr>
        <w:t>.响应文件的签署及规定</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.1响应文件的正本和副本应装订成册，正本一份，副本份数见</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须知前附表</w:t>
      </w:r>
      <w:r>
        <w:rPr>
          <w:rFonts w:hint="eastAsia" w:ascii="宋体" w:hAnsi="宋体" w:eastAsia="宋体" w:cs="宋体"/>
          <w:color w:val="auto"/>
          <w:sz w:val="24"/>
          <w:szCs w:val="24"/>
        </w:rPr>
        <w:t>。正本和副本的封面上应标记“正本”或“副本”的字样，当正本和副本有差异时，以正本为准。</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.2 响应文件正本和副本、电子文件应按磋商文件要求签章处盖单位章和由法定代表人或其委托代理人签字；任何加行、涂改、增删，应有法定代表人或其委托代理人在旁边签字。否则，将导致响应文件无效。</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.3 在磋商过程中，供应商按磋商文件规定和磋商小组要求</w:t>
      </w:r>
      <w:r>
        <w:rPr>
          <w:rFonts w:hint="eastAsia" w:ascii="宋体" w:hAnsi="宋体" w:eastAsia="宋体" w:cs="宋体"/>
          <w:color w:val="auto"/>
          <w:kern w:val="0"/>
          <w:sz w:val="24"/>
          <w:szCs w:val="24"/>
        </w:rPr>
        <w:t>提交的</w:t>
      </w:r>
      <w:r>
        <w:rPr>
          <w:rFonts w:hint="eastAsia" w:ascii="宋体" w:hAnsi="宋体" w:eastAsia="宋体" w:cs="宋体"/>
          <w:color w:val="auto"/>
          <w:sz w:val="24"/>
          <w:szCs w:val="24"/>
        </w:rPr>
        <w:t>最后报价(或者</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新提交的响应文件和</w:t>
      </w:r>
      <w:r>
        <w:rPr>
          <w:rFonts w:hint="eastAsia" w:ascii="宋体" w:hAnsi="宋体" w:eastAsia="宋体" w:cs="宋体"/>
          <w:color w:val="auto"/>
          <w:sz w:val="24"/>
          <w:szCs w:val="24"/>
        </w:rPr>
        <w:t>最后报价)，可打印或用不退色墨水书写，但需经法定代表人或其委托代理人签字，</w:t>
      </w:r>
      <w:r>
        <w:rPr>
          <w:rFonts w:hint="eastAsia" w:ascii="宋体" w:hAnsi="宋体" w:eastAsia="宋体" w:cs="宋体"/>
          <w:color w:val="auto"/>
          <w:kern w:val="0"/>
          <w:sz w:val="24"/>
          <w:szCs w:val="24"/>
        </w:rPr>
        <w:t>或者加盖供应商单位章</w:t>
      </w:r>
      <w:r>
        <w:rPr>
          <w:rFonts w:hint="eastAsia" w:ascii="宋体" w:hAnsi="宋体" w:eastAsia="宋体" w:cs="宋体"/>
          <w:color w:val="auto"/>
          <w:sz w:val="24"/>
          <w:szCs w:val="24"/>
        </w:rPr>
        <w:t>。否则，将导致响应文件无效。</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供应商在递交响应文件的同时必须提交电子文件</w:t>
      </w:r>
      <w:r>
        <w:rPr>
          <w:rFonts w:hint="eastAsia" w:ascii="宋体" w:hAnsi="宋体" w:eastAsia="宋体" w:cs="宋体"/>
          <w:color w:val="auto"/>
          <w:sz w:val="24"/>
          <w:szCs w:val="24"/>
          <w:lang w:val="en-GB" w:eastAsia="zh-CN"/>
        </w:rPr>
        <w:t>U盘及光盘各</w:t>
      </w:r>
      <w:r>
        <w:rPr>
          <w:rFonts w:hint="eastAsia" w:ascii="宋体" w:hAnsi="宋体" w:eastAsia="宋体" w:cs="宋体"/>
          <w:color w:val="auto"/>
          <w:sz w:val="24"/>
          <w:szCs w:val="24"/>
          <w:lang w:val="en-GB"/>
        </w:rPr>
        <w:t>一份，</w:t>
      </w:r>
      <w:r>
        <w:rPr>
          <w:rFonts w:hint="eastAsia" w:ascii="宋体" w:hAnsi="宋体" w:eastAsia="宋体" w:cs="宋体"/>
          <w:color w:val="auto"/>
          <w:sz w:val="24"/>
          <w:szCs w:val="24"/>
        </w:rPr>
        <w:t>电子文件</w:t>
      </w:r>
      <w:r>
        <w:rPr>
          <w:rFonts w:hint="eastAsia" w:ascii="宋体" w:hAnsi="宋体" w:eastAsia="宋体" w:cs="宋体"/>
          <w:color w:val="auto"/>
          <w:sz w:val="24"/>
          <w:szCs w:val="24"/>
          <w:lang w:eastAsia="zh-CN"/>
        </w:rPr>
        <w:t>内容须与响应文件正本一致</w:t>
      </w:r>
      <w:r>
        <w:rPr>
          <w:rFonts w:hint="eastAsia" w:ascii="宋体" w:hAnsi="宋体" w:eastAsia="宋体" w:cs="宋体"/>
          <w:color w:val="auto"/>
          <w:sz w:val="24"/>
          <w:szCs w:val="24"/>
        </w:rPr>
        <w:t>，</w:t>
      </w:r>
      <w:r>
        <w:rPr>
          <w:rFonts w:hint="eastAsia" w:ascii="宋体" w:hAnsi="宋体" w:eastAsia="宋体" w:cs="宋体"/>
          <w:bCs/>
          <w:color w:val="auto"/>
          <w:sz w:val="24"/>
          <w:szCs w:val="24"/>
        </w:rPr>
        <w:t>并能正常读取、拷贝。</w:t>
      </w:r>
      <w:r>
        <w:rPr>
          <w:rFonts w:hint="eastAsia" w:ascii="宋体" w:hAnsi="宋体" w:eastAsia="宋体" w:cs="宋体"/>
          <w:color w:val="auto"/>
          <w:sz w:val="24"/>
          <w:szCs w:val="24"/>
        </w:rPr>
        <w:t>电子文件须包含响应文件与报价文件（</w:t>
      </w:r>
      <w:r>
        <w:rPr>
          <w:rFonts w:hint="eastAsia" w:hAnsi="宋体" w:eastAsia="宋体" w:cs="宋体"/>
          <w:color w:val="auto"/>
          <w:sz w:val="24"/>
          <w:szCs w:val="24"/>
          <w:lang w:eastAsia="zh-CN"/>
        </w:rPr>
        <w:t>首次</w:t>
      </w:r>
      <w:r>
        <w:rPr>
          <w:rFonts w:hint="eastAsia" w:ascii="宋体" w:hAnsi="宋体" w:eastAsia="宋体" w:cs="宋体"/>
          <w:color w:val="auto"/>
          <w:sz w:val="24"/>
          <w:szCs w:val="24"/>
        </w:rPr>
        <w:t>），所递交的电子文件必须与递交的响应文件完全一致。</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四、响应文件的递交</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20</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响应文件</w:t>
      </w:r>
      <w:r>
        <w:rPr>
          <w:rFonts w:hint="eastAsia" w:ascii="宋体" w:hAnsi="宋体" w:eastAsia="宋体" w:cs="宋体"/>
          <w:b/>
          <w:bCs/>
          <w:color w:val="auto"/>
          <w:sz w:val="24"/>
          <w:szCs w:val="24"/>
        </w:rPr>
        <w:t>的密封和标记</w:t>
      </w:r>
    </w:p>
    <w:p>
      <w:pPr>
        <w:pStyle w:val="24"/>
        <w:adjustRightInd w:val="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.1</w:t>
      </w:r>
      <w:r>
        <w:rPr>
          <w:rFonts w:hint="eastAsia" w:ascii="宋体" w:hAnsi="宋体" w:eastAsia="宋体" w:cs="宋体"/>
          <w:b/>
          <w:bCs/>
          <w:color w:val="auto"/>
          <w:sz w:val="24"/>
          <w:szCs w:val="24"/>
        </w:rPr>
        <w:t>各供应商必须将响应文件正本、副本、电子</w:t>
      </w:r>
      <w:r>
        <w:rPr>
          <w:rFonts w:hint="eastAsia" w:ascii="宋体" w:hAnsi="宋体" w:eastAsia="宋体" w:cs="宋体"/>
          <w:b/>
          <w:bCs/>
          <w:color w:val="auto"/>
          <w:sz w:val="24"/>
          <w:szCs w:val="24"/>
          <w:lang w:eastAsia="zh-CN"/>
        </w:rPr>
        <w:t>版U盘和光盘</w:t>
      </w:r>
      <w:r>
        <w:rPr>
          <w:rFonts w:hint="eastAsia" w:ascii="宋体" w:hAnsi="宋体" w:eastAsia="宋体" w:cs="宋体"/>
          <w:b/>
          <w:bCs/>
          <w:color w:val="auto"/>
          <w:sz w:val="24"/>
          <w:szCs w:val="24"/>
        </w:rPr>
        <w:t>，各自单独密封，分别独立包装，并在封套的封口处</w:t>
      </w:r>
      <w:r>
        <w:rPr>
          <w:rFonts w:hint="eastAsia" w:hAnsi="宋体" w:cs="宋体"/>
          <w:b/>
          <w:bCs/>
          <w:color w:val="auto"/>
          <w:sz w:val="24"/>
          <w:szCs w:val="24"/>
          <w:lang w:eastAsia="zh-CN"/>
        </w:rPr>
        <w:t>加</w:t>
      </w:r>
      <w:r>
        <w:rPr>
          <w:rFonts w:hint="eastAsia" w:ascii="宋体" w:hAnsi="宋体" w:eastAsia="宋体" w:cs="宋体"/>
          <w:b/>
          <w:bCs/>
          <w:color w:val="auto"/>
          <w:sz w:val="24"/>
          <w:szCs w:val="24"/>
        </w:rPr>
        <w:t>盖供应商单位章并由法定代表人签字或其委托代理人签字，一并递交，不得混装。</w:t>
      </w:r>
    </w:p>
    <w:p>
      <w:pPr>
        <w:adjustRightInd w:val="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.2</w:t>
      </w:r>
      <w:r>
        <w:rPr>
          <w:rFonts w:hint="eastAsia" w:ascii="宋体" w:hAnsi="宋体" w:eastAsia="宋体" w:cs="宋体"/>
          <w:b/>
          <w:bCs/>
          <w:color w:val="auto"/>
          <w:sz w:val="24"/>
          <w:szCs w:val="24"/>
        </w:rPr>
        <w:t>最后报价由各供应商先行加盖公章，</w:t>
      </w:r>
      <w:r>
        <w:rPr>
          <w:rFonts w:hint="eastAsia" w:ascii="宋体" w:hAnsi="宋体" w:eastAsia="宋体" w:cs="宋体"/>
          <w:b/>
          <w:bCs/>
          <w:color w:val="auto"/>
          <w:sz w:val="24"/>
          <w:szCs w:val="24"/>
          <w:lang w:eastAsia="zh-CN"/>
        </w:rPr>
        <w:t>无</w:t>
      </w:r>
      <w:r>
        <w:rPr>
          <w:rFonts w:hint="eastAsia" w:ascii="宋体" w:hAnsi="宋体" w:eastAsia="宋体" w:cs="宋体"/>
          <w:b/>
          <w:bCs/>
          <w:color w:val="auto"/>
          <w:sz w:val="24"/>
          <w:szCs w:val="24"/>
        </w:rPr>
        <w:t>须装订入响应文件中，由各供应商参加磋商的授权代表带至磋商现场，磋商后填写，请各供应商先行加盖单位公章。</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.3响应文件封套上应写明的内容见</w:t>
      </w:r>
      <w:r>
        <w:rPr>
          <w:rFonts w:hint="eastAsia" w:ascii="宋体" w:hAnsi="宋体" w:eastAsia="宋体" w:cs="宋体"/>
          <w:b/>
          <w:color w:val="auto"/>
          <w:sz w:val="24"/>
          <w:szCs w:val="24"/>
        </w:rPr>
        <w:t>磋商须知前附表。</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.4响应文件如果未按上述规定密封和加写标记或混装的，采购人或采购代理机构将拒绝接收。</w:t>
      </w:r>
    </w:p>
    <w:p>
      <w:pPr>
        <w:adjustRightInd w:val="0"/>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.5响应文件递交地点：</w:t>
      </w:r>
      <w:r>
        <w:rPr>
          <w:rFonts w:hint="eastAsia" w:ascii="宋体" w:hAnsi="宋体" w:eastAsia="宋体" w:cs="宋体"/>
          <w:b/>
          <w:bCs/>
          <w:color w:val="auto"/>
          <w:sz w:val="24"/>
          <w:szCs w:val="24"/>
        </w:rPr>
        <w:t>伊宁市解放路77号亚欧国际写字楼15楼。</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21</w:t>
      </w:r>
      <w:r>
        <w:rPr>
          <w:rFonts w:hint="eastAsia" w:ascii="宋体" w:hAnsi="宋体" w:eastAsia="宋体" w:cs="宋体"/>
          <w:b/>
          <w:bCs/>
          <w:color w:val="auto"/>
          <w:sz w:val="24"/>
          <w:szCs w:val="24"/>
        </w:rPr>
        <w:t>.响应文件的</w:t>
      </w:r>
      <w:r>
        <w:rPr>
          <w:rFonts w:hint="eastAsia" w:ascii="宋体" w:hAnsi="宋体" w:eastAsia="宋体" w:cs="宋体"/>
          <w:b/>
          <w:color w:val="auto"/>
          <w:kern w:val="0"/>
          <w:sz w:val="24"/>
          <w:szCs w:val="24"/>
          <w:lang w:val="zh-CN"/>
        </w:rPr>
        <w:t>补充、修改或者撤回</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21</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供应商在</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提交首次响应文件截止时间前，可以对所提交的首次响应文件进行补充、修改或者撤回，并书面通知采购人、采购代理机构。</w:t>
      </w:r>
      <w:r>
        <w:rPr>
          <w:rFonts w:hint="eastAsia" w:ascii="宋体" w:hAnsi="宋体" w:eastAsia="宋体" w:cs="宋体"/>
          <w:color w:val="auto"/>
          <w:sz w:val="24"/>
          <w:szCs w:val="24"/>
        </w:rPr>
        <w:t>该通知应有供应商法定代表人或其委托代理人签字。</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21</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补充、修改的内容与响应文件不一致时，以补充、修改的内容为准。</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22</w:t>
      </w:r>
      <w:r>
        <w:rPr>
          <w:rFonts w:hint="eastAsia" w:ascii="宋体" w:hAnsi="宋体" w:eastAsia="宋体" w:cs="宋体"/>
          <w:b/>
          <w:bCs/>
          <w:color w:val="auto"/>
          <w:sz w:val="24"/>
          <w:szCs w:val="24"/>
        </w:rPr>
        <w:t>.响应文件的递交与接收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22</w:t>
      </w:r>
      <w:r>
        <w:rPr>
          <w:rFonts w:hint="eastAsia" w:ascii="宋体" w:hAnsi="宋体" w:eastAsia="宋体" w:cs="宋体"/>
          <w:color w:val="auto"/>
          <w:sz w:val="24"/>
          <w:szCs w:val="24"/>
        </w:rPr>
        <w:t>.1 供应商应在本章第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w:t>
      </w:r>
      <w:r>
        <w:rPr>
          <w:rFonts w:hint="eastAsia" w:ascii="宋体" w:hAnsi="宋体" w:eastAsia="宋体" w:cs="宋体"/>
          <w:color w:val="auto"/>
          <w:sz w:val="24"/>
          <w:szCs w:val="24"/>
        </w:rPr>
        <w:t>前，将响应文件送达</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中指定的地点。</w:t>
      </w:r>
      <w:r>
        <w:rPr>
          <w:rFonts w:hint="eastAsia" w:ascii="宋体" w:hAnsi="宋体" w:eastAsia="宋体" w:cs="宋体"/>
          <w:color w:val="auto"/>
          <w:kern w:val="0"/>
          <w:sz w:val="24"/>
          <w:szCs w:val="24"/>
        </w:rPr>
        <w:t>在截止时间后送达的响应文件，采购人、采购代理机构或者磋商小组应当拒收。</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22</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在</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提交首次响应文件截止时间后，</w:t>
      </w:r>
      <w:r>
        <w:rPr>
          <w:rFonts w:hint="eastAsia" w:ascii="宋体" w:hAnsi="宋体" w:eastAsia="宋体" w:cs="宋体"/>
          <w:color w:val="auto"/>
          <w:sz w:val="24"/>
          <w:szCs w:val="24"/>
        </w:rPr>
        <w:t>由</w:t>
      </w:r>
      <w:r>
        <w:rPr>
          <w:rFonts w:hint="eastAsia" w:ascii="宋体" w:hAnsi="宋体" w:eastAsia="宋体" w:cs="宋体"/>
          <w:bCs/>
          <w:color w:val="auto"/>
          <w:sz w:val="24"/>
          <w:szCs w:val="24"/>
        </w:rPr>
        <w:t>供应商代表</w:t>
      </w:r>
      <w:r>
        <w:rPr>
          <w:rFonts w:hint="eastAsia" w:ascii="宋体" w:hAnsi="宋体" w:eastAsia="宋体" w:cs="宋体"/>
          <w:color w:val="auto"/>
          <w:sz w:val="24"/>
          <w:szCs w:val="24"/>
        </w:rPr>
        <w:t>当场查验</w:t>
      </w:r>
      <w:r>
        <w:rPr>
          <w:rFonts w:hint="eastAsia" w:ascii="宋体" w:hAnsi="宋体" w:eastAsia="宋体" w:cs="宋体"/>
          <w:bCs/>
          <w:color w:val="auto"/>
          <w:sz w:val="24"/>
          <w:szCs w:val="24"/>
        </w:rPr>
        <w:t>响应文件</w:t>
      </w:r>
      <w:r>
        <w:rPr>
          <w:rFonts w:hint="eastAsia" w:ascii="宋体" w:hAnsi="宋体" w:eastAsia="宋体" w:cs="宋体"/>
          <w:color w:val="auto"/>
          <w:sz w:val="24"/>
          <w:szCs w:val="24"/>
        </w:rPr>
        <w:t>的密封状况，采购人或</w:t>
      </w:r>
      <w:r>
        <w:rPr>
          <w:rFonts w:hint="eastAsia" w:ascii="宋体" w:hAnsi="宋体" w:eastAsia="宋体" w:cs="宋体"/>
          <w:bCs/>
          <w:color w:val="auto"/>
          <w:sz w:val="24"/>
          <w:szCs w:val="24"/>
        </w:rPr>
        <w:t>采购代理机构</w:t>
      </w:r>
      <w:r>
        <w:rPr>
          <w:rFonts w:hint="eastAsia" w:ascii="宋体" w:hAnsi="宋体" w:eastAsia="宋体" w:cs="宋体"/>
          <w:color w:val="auto"/>
          <w:sz w:val="24"/>
          <w:szCs w:val="24"/>
        </w:rPr>
        <w:t>不当场拆封</w:t>
      </w:r>
      <w:r>
        <w:rPr>
          <w:rFonts w:hint="eastAsia" w:ascii="宋体" w:hAnsi="宋体" w:eastAsia="宋体" w:cs="宋体"/>
          <w:bCs/>
          <w:color w:val="auto"/>
          <w:sz w:val="24"/>
          <w:szCs w:val="24"/>
        </w:rPr>
        <w:t>响应文件</w:t>
      </w:r>
      <w:r>
        <w:rPr>
          <w:rFonts w:hint="eastAsia" w:ascii="宋体" w:hAnsi="宋体" w:eastAsia="宋体" w:cs="宋体"/>
          <w:color w:val="auto"/>
          <w:sz w:val="24"/>
          <w:szCs w:val="24"/>
        </w:rPr>
        <w:t>。</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五、响应文件的评审与磋商</w:t>
      </w:r>
    </w:p>
    <w:p>
      <w:pPr>
        <w:tabs>
          <w:tab w:val="left" w:pos="0"/>
        </w:tabs>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23</w:t>
      </w:r>
      <w:r>
        <w:rPr>
          <w:rFonts w:hint="eastAsia" w:ascii="宋体" w:hAnsi="宋体" w:eastAsia="宋体" w:cs="宋体"/>
          <w:b/>
          <w:bCs/>
          <w:color w:val="auto"/>
          <w:sz w:val="24"/>
          <w:szCs w:val="24"/>
        </w:rPr>
        <w:t>、磋商程序</w:t>
      </w:r>
    </w:p>
    <w:p>
      <w:pPr>
        <w:tabs>
          <w:tab w:val="left" w:pos="0"/>
        </w:tabs>
        <w:adjustRightInd w:val="0"/>
        <w:snapToGrid w:val="0"/>
        <w:spacing w:line="360" w:lineRule="auto"/>
        <w:ind w:firstLine="352" w:firstLineChars="147"/>
        <w:rPr>
          <w:rFonts w:hint="eastAsia" w:ascii="宋体" w:hAnsi="宋体" w:eastAsia="宋体" w:cs="宋体"/>
          <w:b/>
          <w:bCs/>
          <w:color w:val="auto"/>
          <w:sz w:val="24"/>
          <w:szCs w:val="24"/>
        </w:rPr>
      </w:pPr>
      <w:r>
        <w:rPr>
          <w:rFonts w:hint="eastAsia" w:ascii="宋体" w:hAnsi="宋体" w:eastAsia="宋体" w:cs="宋体"/>
          <w:color w:val="auto"/>
          <w:kern w:val="0"/>
          <w:sz w:val="24"/>
          <w:szCs w:val="24"/>
        </w:rPr>
        <w:t>供应商资格审查、磋商（包括澄清、符合性评审查）、最后报价、综合评分、</w:t>
      </w:r>
      <w:r>
        <w:rPr>
          <w:rFonts w:hint="eastAsia" w:ascii="宋体" w:hAnsi="宋体" w:eastAsia="宋体" w:cs="宋体"/>
          <w:bCs/>
          <w:color w:val="auto"/>
          <w:sz w:val="24"/>
          <w:szCs w:val="24"/>
        </w:rPr>
        <w:t>提出成交候选供应商名单。其中，</w:t>
      </w:r>
      <w:r>
        <w:rPr>
          <w:rFonts w:hint="eastAsia" w:ascii="宋体" w:hAnsi="宋体" w:eastAsia="宋体" w:cs="宋体"/>
          <w:color w:val="auto"/>
          <w:kern w:val="0"/>
          <w:sz w:val="24"/>
          <w:szCs w:val="24"/>
        </w:rPr>
        <w:t>磋商按</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款或者</w:t>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情形</w:t>
      </w:r>
      <w:r>
        <w:rPr>
          <w:rFonts w:hint="eastAsia" w:ascii="宋体" w:hAnsi="宋体" w:eastAsia="宋体" w:cs="宋体"/>
          <w:bCs/>
          <w:color w:val="auto"/>
          <w:sz w:val="24"/>
          <w:szCs w:val="24"/>
        </w:rPr>
        <w:t>进行。</w:t>
      </w:r>
    </w:p>
    <w:p>
      <w:pPr>
        <w:adjustRightInd w:val="0"/>
        <w:snapToGrid w:val="0"/>
        <w:spacing w:before="156" w:beforeLines="50"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24</w:t>
      </w:r>
      <w:r>
        <w:rPr>
          <w:rFonts w:hint="eastAsia" w:ascii="宋体" w:hAnsi="宋体" w:eastAsia="宋体" w:cs="宋体"/>
          <w:b/>
          <w:bCs/>
          <w:color w:val="auto"/>
          <w:sz w:val="24"/>
          <w:szCs w:val="24"/>
        </w:rPr>
        <w:t>.磋商小组</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24</w:t>
      </w:r>
      <w:r>
        <w:rPr>
          <w:rFonts w:hint="eastAsia" w:ascii="宋体" w:hAnsi="宋体" w:eastAsia="宋体" w:cs="宋体"/>
          <w:bCs/>
          <w:color w:val="auto"/>
          <w:sz w:val="24"/>
          <w:szCs w:val="24"/>
        </w:rPr>
        <w:t>.1 采购人与采购代理机构将根据采购项目的特点依法组建磋商小组，</w:t>
      </w:r>
      <w:r>
        <w:rPr>
          <w:rFonts w:hint="eastAsia" w:ascii="宋体" w:hAnsi="宋体" w:eastAsia="宋体" w:cs="宋体"/>
          <w:b/>
          <w:bCs w:val="0"/>
          <w:color w:val="auto"/>
          <w:sz w:val="24"/>
          <w:szCs w:val="24"/>
          <w:lang w:eastAsia="zh-CN"/>
        </w:rPr>
        <w:t>磋商小组</w:t>
      </w:r>
      <w:r>
        <w:rPr>
          <w:rFonts w:hint="eastAsia" w:ascii="宋体" w:hAnsi="宋体" w:eastAsia="宋体" w:cs="宋体"/>
          <w:b/>
          <w:bCs w:val="0"/>
          <w:color w:val="auto"/>
          <w:sz w:val="24"/>
          <w:szCs w:val="24"/>
        </w:rPr>
        <w:t>成员由评审专家</w:t>
      </w:r>
      <w:r>
        <w:rPr>
          <w:rFonts w:hint="eastAsia" w:ascii="宋体" w:hAnsi="宋体" w:cs="宋体"/>
          <w:b/>
          <w:bCs w:val="0"/>
          <w:color w:val="auto"/>
          <w:sz w:val="24"/>
          <w:szCs w:val="24"/>
          <w:lang w:eastAsia="zh-CN"/>
        </w:rPr>
        <w:t>和采购人代表组成：</w:t>
      </w:r>
      <w:r>
        <w:rPr>
          <w:rFonts w:hint="eastAsia" w:ascii="宋体" w:hAnsi="宋体" w:eastAsia="宋体" w:cs="宋体"/>
          <w:b/>
          <w:bCs w:val="0"/>
          <w:color w:val="FF0000"/>
          <w:sz w:val="24"/>
          <w:szCs w:val="24"/>
        </w:rPr>
        <w:t>评审专家</w:t>
      </w:r>
      <w:r>
        <w:rPr>
          <w:rFonts w:hint="eastAsia" w:ascii="宋体" w:hAnsi="宋体" w:cs="宋体"/>
          <w:b/>
          <w:bCs w:val="0"/>
          <w:color w:val="FF0000"/>
          <w:sz w:val="24"/>
          <w:szCs w:val="24"/>
          <w:lang w:val="en-US" w:eastAsia="zh-CN"/>
        </w:rPr>
        <w:t>2人、</w:t>
      </w:r>
      <w:r>
        <w:rPr>
          <w:rFonts w:hint="eastAsia" w:ascii="宋体" w:hAnsi="宋体" w:cs="宋体"/>
          <w:b/>
          <w:bCs w:val="0"/>
          <w:color w:val="FF0000"/>
          <w:sz w:val="24"/>
          <w:szCs w:val="24"/>
          <w:lang w:eastAsia="zh-CN"/>
        </w:rPr>
        <w:t>采购人代表</w:t>
      </w:r>
      <w:r>
        <w:rPr>
          <w:rFonts w:hint="eastAsia" w:ascii="宋体" w:hAnsi="宋体" w:cs="宋体"/>
          <w:b/>
          <w:bCs w:val="0"/>
          <w:color w:val="FF0000"/>
          <w:sz w:val="24"/>
          <w:szCs w:val="24"/>
          <w:lang w:val="en-US" w:eastAsia="zh-CN"/>
        </w:rPr>
        <w:t>1</w:t>
      </w:r>
      <w:r>
        <w:rPr>
          <w:rFonts w:hint="eastAsia" w:ascii="宋体" w:hAnsi="宋体" w:eastAsia="宋体" w:cs="宋体"/>
          <w:b/>
          <w:bCs w:val="0"/>
          <w:color w:val="FF0000"/>
          <w:sz w:val="24"/>
          <w:szCs w:val="24"/>
          <w:lang w:val="en-US" w:eastAsia="zh-CN"/>
        </w:rPr>
        <w:t>人</w:t>
      </w:r>
      <w:r>
        <w:rPr>
          <w:rFonts w:hint="eastAsia" w:ascii="宋体" w:hAnsi="宋体" w:eastAsia="宋体" w:cs="宋体"/>
          <w:color w:val="auto"/>
          <w:sz w:val="24"/>
          <w:szCs w:val="24"/>
        </w:rPr>
        <w:t>。磋商小组负责对供应商资格进行核查；对响应文件进行审查；与供应商进行磋商、对报价进行评价、根据综合评分法对提交最后报价的供应商的响应文件和最后报价进行综合评分、推荐成交供应商。</w:t>
      </w:r>
    </w:p>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25</w:t>
      </w:r>
      <w:r>
        <w:rPr>
          <w:rFonts w:hint="eastAsia" w:ascii="宋体" w:hAnsi="宋体" w:eastAsia="宋体" w:cs="宋体"/>
          <w:b/>
          <w:color w:val="auto"/>
          <w:sz w:val="24"/>
          <w:szCs w:val="24"/>
        </w:rPr>
        <w:t>.供应商的</w:t>
      </w:r>
      <w:r>
        <w:rPr>
          <w:rFonts w:hint="eastAsia" w:ascii="宋体" w:hAnsi="宋体" w:eastAsia="宋体" w:cs="宋体"/>
          <w:b/>
          <w:bCs/>
          <w:color w:val="auto"/>
          <w:sz w:val="24"/>
          <w:szCs w:val="24"/>
        </w:rPr>
        <w:t>资格</w:t>
      </w:r>
      <w:r>
        <w:rPr>
          <w:rFonts w:hint="eastAsia" w:ascii="宋体" w:hAnsi="宋体" w:eastAsia="宋体" w:cs="宋体"/>
          <w:b/>
          <w:color w:val="auto"/>
          <w:sz w:val="24"/>
          <w:szCs w:val="24"/>
        </w:rPr>
        <w:t>核查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25</w:t>
      </w:r>
      <w:r>
        <w:rPr>
          <w:rFonts w:hint="eastAsia" w:ascii="宋体" w:hAnsi="宋体" w:eastAsia="宋体" w:cs="宋体"/>
          <w:color w:val="auto"/>
          <w:sz w:val="24"/>
          <w:szCs w:val="24"/>
        </w:rPr>
        <w:t>.1 磋商小组根据磋商文件规定的供应商资格条件要求，对响应文件进行资格核查。供应商不满足资格条件的，在评审时将其视为无效响应。</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必须随身携带</w:t>
      </w:r>
      <w:r>
        <w:rPr>
          <w:rFonts w:hint="eastAsia" w:ascii="宋体" w:hAnsi="宋体" w:eastAsia="宋体" w:cs="宋体"/>
          <w:color w:val="auto"/>
          <w:sz w:val="24"/>
          <w:szCs w:val="24"/>
          <w:lang w:eastAsia="zh-CN"/>
        </w:rPr>
        <w:t>以下证件</w:t>
      </w:r>
      <w:r>
        <w:rPr>
          <w:rFonts w:hint="eastAsia" w:ascii="宋体" w:hAnsi="宋体" w:eastAsia="宋体" w:cs="宋体"/>
          <w:color w:val="auto"/>
          <w:sz w:val="24"/>
          <w:szCs w:val="24"/>
        </w:rPr>
        <w:t>，现场查验，如不提供其投标将被拒绝（</w:t>
      </w:r>
      <w:r>
        <w:rPr>
          <w:rFonts w:hint="eastAsia" w:ascii="宋体" w:hAnsi="宋体" w:eastAsia="宋体" w:cs="宋体"/>
          <w:color w:val="auto"/>
          <w:sz w:val="24"/>
          <w:szCs w:val="24"/>
          <w:lang w:eastAsia="zh-CN"/>
        </w:rPr>
        <w:t>响应文</w:t>
      </w:r>
      <w:r>
        <w:rPr>
          <w:rFonts w:hint="eastAsia" w:ascii="宋体" w:hAnsi="宋体" w:eastAsia="宋体" w:cs="宋体"/>
          <w:color w:val="auto"/>
          <w:sz w:val="24"/>
          <w:szCs w:val="24"/>
        </w:rPr>
        <w:t>件中也必须附有相同的证件复印件并加盖公章）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磋商小组</w:t>
      </w:r>
      <w:r>
        <w:rPr>
          <w:rFonts w:hint="eastAsia" w:ascii="宋体" w:hAnsi="宋体" w:eastAsia="宋体" w:cs="宋体"/>
          <w:color w:val="auto"/>
          <w:sz w:val="24"/>
          <w:szCs w:val="24"/>
          <w:lang w:eastAsia="zh-CN"/>
        </w:rPr>
        <w:t>审查</w:t>
      </w:r>
      <w:r>
        <w:rPr>
          <w:rFonts w:hint="eastAsia" w:ascii="宋体" w:hAnsi="宋体" w:eastAsia="宋体" w:cs="宋体"/>
          <w:color w:val="auto"/>
          <w:sz w:val="24"/>
          <w:szCs w:val="24"/>
        </w:rPr>
        <w:t>供应商提交有关证明和证件的原件</w:t>
      </w:r>
      <w:r>
        <w:rPr>
          <w:rFonts w:hint="eastAsia" w:ascii="宋体" w:hAnsi="宋体" w:eastAsia="宋体" w:cs="宋体"/>
          <w:color w:val="auto"/>
          <w:sz w:val="24"/>
          <w:szCs w:val="24"/>
          <w:lang w:eastAsia="zh-CN"/>
        </w:rPr>
        <w:t>，原件包含以下：</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（1）法定代表人身份证（驾驶执照正本、护照或公安部门的相关证明）或法定代表人授权委托书和委托代理人的身份证（驾驶执照正本、护照或公安部门的相关证明）；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法定代表人授权委托书应当单独提供，并与响应文件中所提供的相一致，以上证件均应当为原件；</w:t>
      </w:r>
    </w:p>
    <w:p>
      <w:pPr>
        <w:widowControl/>
        <w:adjustRightInd w:val="0"/>
        <w:snapToGrid w:val="0"/>
        <w:spacing w:line="360" w:lineRule="auto"/>
        <w:ind w:firstLine="480" w:firstLineChars="200"/>
        <w:jc w:val="left"/>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（2）企业法人营业执照副本原件；</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（3）会计事务所出具的2020年度财务审计报告或提供银行出具的资信证明（资信证明仅限2021年成立的企业）；</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（4）税务部门出具的2020年依法纳税证明资料</w:t>
      </w:r>
      <w:r>
        <w:rPr>
          <w:rFonts w:hint="eastAsia" w:ascii="宋体" w:hAnsi="宋体" w:cs="宋体"/>
          <w:color w:val="auto"/>
          <w:sz w:val="24"/>
          <w:szCs w:val="24"/>
          <w:lang w:val="en-US" w:eastAsia="zh-CN"/>
        </w:rPr>
        <w:t>；</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）社保机构出具的供应商被授权委托人缴纳202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月-2021年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月的社保资金证明原件或加盖电子专用章的缴费清单；</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）具备本次采购项目能力的供应商，并在人员、资金、设备等方面具有承担本项目供货的能力；</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）供应商分别在“信用中国”（www.creditchina.gov.cn）网上查询本公司未被列入失信被执行人、重大税收违法案件当事人名单、“中国政府采购网”（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"http://www.ccgp.gov.cn）网上查询本公司未被列入政府采购严重违法失信行为记录名单（提供查询结果网页截图并加盖供应商公章，网页打印件须自招标公告发布之日起至截止日内从上述网站中打印）；" </w:instrText>
      </w:r>
      <w:r>
        <w:rPr>
          <w:rFonts w:hint="eastAsia" w:ascii="宋体" w:hAnsi="宋体" w:eastAsia="宋体" w:cs="宋体"/>
          <w:color w:val="auto"/>
          <w:sz w:val="24"/>
          <w:szCs w:val="24"/>
          <w:lang w:val="en-US" w:eastAsia="zh-CN"/>
        </w:rPr>
        <w:fldChar w:fldCharType="separate"/>
      </w:r>
      <w:r>
        <w:rPr>
          <w:rStyle w:val="56"/>
          <w:rFonts w:hint="eastAsia" w:ascii="宋体" w:hAnsi="宋体" w:eastAsia="宋体" w:cs="宋体"/>
          <w:color w:val="auto"/>
          <w:sz w:val="24"/>
          <w:szCs w:val="24"/>
          <w:lang w:val="en-US" w:eastAsia="zh-CN"/>
        </w:rPr>
        <w:t>www.ccgp.gov.cn）网上查询本公司未被列入政府采购严重违法失信行为记录名单（提供查询结果网页截图并加盖供应商公章，网页打印件须自公告发布之日起至截止日内从上述网站中打印）；</w:t>
      </w:r>
      <w:r>
        <w:rPr>
          <w:rFonts w:hint="eastAsia" w:ascii="宋体" w:hAnsi="宋体" w:eastAsia="宋体" w:cs="宋体"/>
          <w:color w:val="auto"/>
          <w:sz w:val="24"/>
          <w:szCs w:val="24"/>
          <w:lang w:val="en-US" w:eastAsia="zh-CN"/>
        </w:rPr>
        <w:fldChar w:fldCharType="end"/>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）投标保证金收据原件；</w:t>
      </w:r>
    </w:p>
    <w:p>
      <w:pPr>
        <w:widowControl/>
        <w:adjustRightInd w:val="0"/>
        <w:snapToGrid w:val="0"/>
        <w:spacing w:line="360" w:lineRule="auto"/>
        <w:ind w:firstLine="480" w:firstLineChars="200"/>
        <w:jc w:val="left"/>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）证件齐全、满足要求的供应商为有效供应商。</w:t>
      </w:r>
    </w:p>
    <w:p>
      <w:pPr>
        <w:widowControl/>
        <w:adjustRightInd w:val="0"/>
        <w:snapToGrid w:val="0"/>
        <w:spacing w:line="360" w:lineRule="auto"/>
        <w:ind w:firstLine="482" w:firstLineChars="200"/>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26</w:t>
      </w:r>
      <w:r>
        <w:rPr>
          <w:rFonts w:hint="eastAsia" w:ascii="宋体" w:hAnsi="宋体" w:eastAsia="宋体" w:cs="宋体"/>
          <w:b/>
          <w:color w:val="auto"/>
          <w:kern w:val="0"/>
          <w:sz w:val="24"/>
          <w:szCs w:val="24"/>
        </w:rPr>
        <w:t>.澄清</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26</w:t>
      </w:r>
      <w:r>
        <w:rPr>
          <w:rFonts w:hint="eastAsia" w:ascii="宋体" w:hAnsi="宋体" w:eastAsia="宋体" w:cs="宋体"/>
          <w:color w:val="auto"/>
          <w:kern w:val="0"/>
          <w:sz w:val="24"/>
          <w:szCs w:val="24"/>
        </w:rPr>
        <w:t>.1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26</w:t>
      </w:r>
      <w:r>
        <w:rPr>
          <w:rFonts w:hint="eastAsia" w:ascii="宋体" w:hAnsi="宋体" w:eastAsia="宋体" w:cs="宋体"/>
          <w:color w:val="auto"/>
          <w:kern w:val="0"/>
          <w:sz w:val="24"/>
          <w:szCs w:val="24"/>
        </w:rPr>
        <w:t>.2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27</w:t>
      </w:r>
      <w:r>
        <w:rPr>
          <w:rFonts w:hint="eastAsia" w:ascii="宋体" w:hAnsi="宋体" w:eastAsia="宋体" w:cs="宋体"/>
          <w:b/>
          <w:color w:val="auto"/>
          <w:kern w:val="0"/>
          <w:sz w:val="24"/>
          <w:szCs w:val="24"/>
        </w:rPr>
        <w:t>.符合性审查</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27</w:t>
      </w:r>
      <w:r>
        <w:rPr>
          <w:rFonts w:hint="eastAsia" w:ascii="宋体" w:hAnsi="宋体" w:eastAsia="宋体" w:cs="宋体"/>
          <w:color w:val="auto"/>
          <w:kern w:val="0"/>
          <w:sz w:val="24"/>
          <w:szCs w:val="24"/>
        </w:rPr>
        <w:t>.1磋商小组按照磋商文件的规定，对供应商响应文件进行符合性审查。</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27</w:t>
      </w:r>
      <w:r>
        <w:rPr>
          <w:rFonts w:hint="eastAsia" w:ascii="宋体" w:hAnsi="宋体" w:eastAsia="宋体" w:cs="宋体"/>
          <w:color w:val="auto"/>
          <w:kern w:val="0"/>
          <w:sz w:val="24"/>
          <w:szCs w:val="24"/>
        </w:rPr>
        <w:t>.2供应商响应文件有下列情况之一，其响应文件无效：</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（1）应交未交保证金或金额不足、保函有效期不足、保证金形式或保函出证机构不符合磋商文件要求或未按磋商文件要求交纳保证金的；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（2）未按照磋商文件规定要求密封、签署、盖章的；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（3）响应文件有效期不足的；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（4）报价超过采购</w:t>
      </w:r>
      <w:r>
        <w:rPr>
          <w:rFonts w:hint="eastAsia" w:ascii="宋体" w:hAnsi="宋体" w:eastAsia="宋体" w:cs="宋体"/>
          <w:color w:val="auto"/>
          <w:kern w:val="0"/>
          <w:sz w:val="24"/>
          <w:szCs w:val="24"/>
          <w:lang w:eastAsia="zh-CN"/>
        </w:rPr>
        <w:t>预算</w:t>
      </w:r>
      <w:r>
        <w:rPr>
          <w:rFonts w:hint="eastAsia" w:ascii="宋体" w:hAnsi="宋体" w:eastAsia="宋体" w:cs="宋体"/>
          <w:color w:val="auto"/>
          <w:kern w:val="0"/>
          <w:sz w:val="24"/>
          <w:szCs w:val="24"/>
        </w:rPr>
        <w:t>价的；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（5）供应商递交的电子档不符合本磋商文件</w:t>
      </w:r>
      <w:r>
        <w:rPr>
          <w:rFonts w:hint="eastAsia" w:ascii="宋体" w:hAnsi="宋体" w:eastAsia="宋体" w:cs="宋体"/>
          <w:color w:val="auto"/>
          <w:kern w:val="0"/>
          <w:sz w:val="24"/>
          <w:szCs w:val="24"/>
          <w:lang w:eastAsia="zh-CN"/>
        </w:rPr>
        <w:t>19</w:t>
      </w:r>
      <w:r>
        <w:rPr>
          <w:rFonts w:hint="eastAsia" w:ascii="宋体" w:hAnsi="宋体" w:eastAsia="宋体" w:cs="宋体"/>
          <w:color w:val="auto"/>
          <w:kern w:val="0"/>
          <w:sz w:val="24"/>
          <w:szCs w:val="24"/>
        </w:rPr>
        <w:t>.4规定的；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（6）供应商未按照本磋商文件第一章磋商</w:t>
      </w:r>
      <w:r>
        <w:rPr>
          <w:rFonts w:hint="eastAsia" w:ascii="宋体" w:hAnsi="宋体" w:eastAsia="宋体" w:cs="宋体"/>
          <w:color w:val="auto"/>
          <w:kern w:val="0"/>
          <w:sz w:val="24"/>
          <w:szCs w:val="24"/>
          <w:lang w:eastAsia="zh-CN"/>
        </w:rPr>
        <w:t>须知</w:t>
      </w: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款规定要求提交供应商资格证明材料原件的；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（7）不符合磋商文件★条款的；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（8）不符合法律、法规和磋商文件规定或符合本磋商文件其他无效响应条款规定的。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27</w:t>
      </w:r>
      <w:r>
        <w:rPr>
          <w:rFonts w:hint="eastAsia" w:ascii="宋体" w:hAnsi="宋体" w:eastAsia="宋体" w:cs="宋体"/>
          <w:color w:val="auto"/>
          <w:kern w:val="0"/>
          <w:sz w:val="24"/>
          <w:szCs w:val="24"/>
        </w:rPr>
        <w:t>.3符合性审查结束后，磋商小组所有成员集中与单一供应商分别进行磋商，并给予所有参加磋商采购活动的供应商平等的磋商机会。供应商应派其法定代表人或委托代理人参加磋商。</w:t>
      </w:r>
    </w:p>
    <w:p>
      <w:pPr>
        <w:widowControl/>
        <w:adjustRightInd w:val="0"/>
        <w:snapToGrid w:val="0"/>
        <w:spacing w:line="360" w:lineRule="auto"/>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28</w:t>
      </w:r>
      <w:r>
        <w:rPr>
          <w:rFonts w:hint="eastAsia" w:ascii="宋体" w:hAnsi="宋体" w:eastAsia="宋体" w:cs="宋体"/>
          <w:b/>
          <w:color w:val="auto"/>
          <w:kern w:val="0"/>
          <w:sz w:val="24"/>
          <w:szCs w:val="24"/>
        </w:rPr>
        <w:t>.磋商</w:t>
      </w:r>
    </w:p>
    <w:p>
      <w:pPr>
        <w:widowControl/>
        <w:adjustRightInd w:val="0"/>
        <w:snapToGrid w:val="0"/>
        <w:spacing w:line="360" w:lineRule="auto"/>
        <w:ind w:firstLine="42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.1对于</w:t>
      </w:r>
      <w:r>
        <w:rPr>
          <w:rFonts w:hint="eastAsia" w:ascii="宋体" w:hAnsi="宋体" w:eastAsia="宋体" w:cs="宋体"/>
          <w:color w:val="auto"/>
          <w:sz w:val="24"/>
          <w:szCs w:val="24"/>
        </w:rPr>
        <w:t>本章</w:t>
      </w:r>
      <w:r>
        <w:rPr>
          <w:rFonts w:hint="eastAsia" w:ascii="宋体" w:hAnsi="宋体" w:eastAsia="宋体" w:cs="宋体"/>
          <w:color w:val="auto"/>
          <w:kern w:val="0"/>
          <w:sz w:val="24"/>
          <w:szCs w:val="24"/>
        </w:rPr>
        <w:t>未明确磋商文件实质性变动内容，或者磋商文件明确了可能发生实质性变动内容，但在磋商过程中，</w:t>
      </w:r>
      <w:r>
        <w:rPr>
          <w:rFonts w:hint="eastAsia" w:ascii="宋体" w:hAnsi="宋体" w:eastAsia="宋体" w:cs="宋体"/>
          <w:bCs/>
          <w:color w:val="auto"/>
          <w:sz w:val="24"/>
          <w:szCs w:val="24"/>
        </w:rPr>
        <w:t>磋商小组</w:t>
      </w:r>
      <w:r>
        <w:rPr>
          <w:rFonts w:hint="eastAsia" w:ascii="宋体" w:hAnsi="宋体" w:eastAsia="宋体" w:cs="宋体"/>
          <w:color w:val="auto"/>
          <w:kern w:val="0"/>
          <w:sz w:val="24"/>
          <w:szCs w:val="24"/>
        </w:rPr>
        <w:t>根据磋商情况</w:t>
      </w:r>
      <w:r>
        <w:rPr>
          <w:rFonts w:hint="eastAsia" w:ascii="宋体" w:hAnsi="宋体" w:eastAsia="宋体" w:cs="宋体"/>
          <w:bCs/>
          <w:color w:val="auto"/>
          <w:sz w:val="24"/>
          <w:szCs w:val="24"/>
        </w:rPr>
        <w:t>认为</w:t>
      </w:r>
      <w:r>
        <w:rPr>
          <w:rFonts w:hint="eastAsia" w:ascii="宋体" w:hAnsi="宋体" w:eastAsia="宋体" w:cs="宋体"/>
          <w:color w:val="auto"/>
          <w:kern w:val="0"/>
          <w:sz w:val="24"/>
          <w:szCs w:val="24"/>
        </w:rPr>
        <w:t>磋商文件无需发生实质性变动的，磋商小组应当</w:t>
      </w:r>
      <w:r>
        <w:rPr>
          <w:rFonts w:hint="eastAsia" w:ascii="宋体" w:hAnsi="宋体" w:eastAsia="宋体" w:cs="宋体"/>
          <w:color w:val="auto"/>
          <w:sz w:val="24"/>
          <w:szCs w:val="24"/>
        </w:rPr>
        <w:t>根据本章第</w:t>
      </w:r>
      <w:r>
        <w:rPr>
          <w:rFonts w:hint="eastAsia" w:ascii="宋体" w:hAnsi="宋体" w:eastAsia="宋体" w:cs="宋体"/>
          <w:color w:val="auto"/>
          <w:sz w:val="24"/>
          <w:szCs w:val="24"/>
          <w:lang w:eastAsia="zh-CN"/>
        </w:rPr>
        <w:t>25</w:t>
      </w:r>
      <w:r>
        <w:rPr>
          <w:rFonts w:hint="eastAsia" w:ascii="宋体" w:hAnsi="宋体" w:eastAsia="宋体" w:cs="宋体"/>
          <w:color w:val="auto"/>
          <w:sz w:val="24"/>
          <w:szCs w:val="24"/>
        </w:rPr>
        <w:t>款、第</w:t>
      </w:r>
      <w:r>
        <w:rPr>
          <w:rFonts w:hint="eastAsia" w:ascii="宋体" w:hAnsi="宋体" w:eastAsia="宋体" w:cs="宋体"/>
          <w:color w:val="auto"/>
          <w:sz w:val="24"/>
          <w:szCs w:val="24"/>
          <w:lang w:eastAsia="zh-CN"/>
        </w:rPr>
        <w:t>27</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对供应商提交的响应文件进行资格性、符合性审查，直接与实质性响应磋商文件要求的供应商就价格组织多轮磋商。</w:t>
      </w:r>
    </w:p>
    <w:p>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（2）磋商文件明确可能发生实质性变动，但在磋商过程中</w:t>
      </w:r>
      <w:r>
        <w:rPr>
          <w:rFonts w:hint="eastAsia" w:ascii="宋体" w:hAnsi="宋体" w:eastAsia="宋体" w:cs="宋体"/>
          <w:bCs/>
          <w:color w:val="auto"/>
          <w:sz w:val="24"/>
          <w:szCs w:val="24"/>
        </w:rPr>
        <w:t>磋商小组</w:t>
      </w:r>
      <w:r>
        <w:rPr>
          <w:rFonts w:hint="eastAsia" w:ascii="宋体" w:hAnsi="宋体" w:eastAsia="宋体" w:cs="宋体"/>
          <w:color w:val="auto"/>
          <w:kern w:val="0"/>
          <w:sz w:val="24"/>
          <w:szCs w:val="24"/>
        </w:rPr>
        <w:t>根据磋</w:t>
      </w:r>
      <w:r>
        <w:rPr>
          <w:rFonts w:hint="eastAsia" w:ascii="宋体" w:hAnsi="宋体" w:eastAsia="宋体" w:cs="宋体"/>
          <w:color w:val="auto"/>
          <w:kern w:val="0"/>
          <w:sz w:val="24"/>
          <w:szCs w:val="24"/>
          <w:lang w:eastAsia="zh-CN"/>
        </w:rPr>
        <w:t>商</w:t>
      </w:r>
      <w:r>
        <w:rPr>
          <w:rFonts w:hint="eastAsia" w:ascii="宋体" w:hAnsi="宋体" w:eastAsia="宋体" w:cs="宋体"/>
          <w:color w:val="auto"/>
          <w:kern w:val="0"/>
          <w:sz w:val="24"/>
          <w:szCs w:val="24"/>
        </w:rPr>
        <w:t>情况</w:t>
      </w:r>
      <w:r>
        <w:rPr>
          <w:rFonts w:hint="eastAsia" w:ascii="宋体" w:hAnsi="宋体" w:eastAsia="宋体" w:cs="宋体"/>
          <w:bCs/>
          <w:color w:val="auto"/>
          <w:sz w:val="24"/>
          <w:szCs w:val="24"/>
        </w:rPr>
        <w:t>认为</w:t>
      </w:r>
      <w:r>
        <w:rPr>
          <w:rFonts w:hint="eastAsia" w:ascii="宋体" w:hAnsi="宋体" w:eastAsia="宋体" w:cs="宋体"/>
          <w:color w:val="auto"/>
          <w:kern w:val="0"/>
          <w:sz w:val="24"/>
          <w:szCs w:val="24"/>
        </w:rPr>
        <w:t>磋商文件无需发生实质性变动的，磋商小组不另行通知。</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.2对于</w:t>
      </w:r>
      <w:r>
        <w:rPr>
          <w:rFonts w:hint="eastAsia" w:ascii="宋体" w:hAnsi="宋体" w:eastAsia="宋体" w:cs="宋体"/>
          <w:color w:val="auto"/>
          <w:sz w:val="24"/>
          <w:szCs w:val="24"/>
        </w:rPr>
        <w:t>本章</w:t>
      </w:r>
      <w:r>
        <w:rPr>
          <w:rFonts w:hint="eastAsia" w:ascii="宋体" w:hAnsi="宋体" w:eastAsia="宋体" w:cs="宋体"/>
          <w:color w:val="auto"/>
          <w:kern w:val="0"/>
          <w:sz w:val="24"/>
          <w:szCs w:val="24"/>
        </w:rPr>
        <w:t>明确磋商文件实质性变动内容，且在磋商过程中磋商文件实质性内容发生变动的，</w:t>
      </w:r>
      <w:r>
        <w:rPr>
          <w:rFonts w:hint="eastAsia" w:ascii="宋体" w:hAnsi="宋体" w:eastAsia="宋体" w:cs="宋体"/>
          <w:bCs/>
          <w:color w:val="auto"/>
          <w:sz w:val="24"/>
          <w:szCs w:val="24"/>
        </w:rPr>
        <w:t>磋商小组</w:t>
      </w:r>
      <w:r>
        <w:rPr>
          <w:rFonts w:hint="eastAsia" w:ascii="宋体" w:hAnsi="宋体" w:eastAsia="宋体" w:cs="宋体"/>
          <w:color w:val="auto"/>
          <w:kern w:val="0"/>
          <w:sz w:val="24"/>
          <w:szCs w:val="24"/>
        </w:rPr>
        <w:t>可以组织多轮磋商。</w:t>
      </w:r>
      <w:r>
        <w:rPr>
          <w:rFonts w:hint="eastAsia" w:ascii="宋体" w:hAnsi="宋体" w:eastAsia="宋体" w:cs="宋体"/>
          <w:bCs/>
          <w:color w:val="auto"/>
          <w:sz w:val="24"/>
          <w:szCs w:val="24"/>
        </w:rPr>
        <w:t>在每一轮磋商中，磋商小组</w:t>
      </w:r>
      <w:r>
        <w:rPr>
          <w:rFonts w:hint="eastAsia" w:ascii="宋体" w:hAnsi="宋体" w:eastAsia="宋体" w:cs="宋体"/>
          <w:color w:val="auto"/>
          <w:kern w:val="0"/>
          <w:sz w:val="24"/>
          <w:szCs w:val="24"/>
        </w:rPr>
        <w:t>可以根据磋商文件规定和磋商情况，</w:t>
      </w:r>
      <w:r>
        <w:rPr>
          <w:rFonts w:hint="eastAsia" w:ascii="宋体" w:hAnsi="宋体" w:eastAsia="宋体" w:cs="宋体"/>
          <w:bCs/>
          <w:color w:val="auto"/>
          <w:sz w:val="24"/>
          <w:szCs w:val="24"/>
        </w:rPr>
        <w:t>对磋商文件的</w:t>
      </w:r>
      <w:r>
        <w:rPr>
          <w:rFonts w:hint="eastAsia" w:ascii="宋体" w:hAnsi="宋体" w:eastAsia="宋体" w:cs="宋体"/>
          <w:color w:val="auto"/>
          <w:kern w:val="0"/>
          <w:sz w:val="24"/>
          <w:szCs w:val="24"/>
        </w:rPr>
        <w:t>采购需求中的技术、服务要求以及合同草案条款</w:t>
      </w:r>
      <w:r>
        <w:rPr>
          <w:rFonts w:hint="eastAsia" w:ascii="宋体" w:hAnsi="宋体" w:eastAsia="宋体" w:cs="宋体"/>
          <w:bCs/>
          <w:color w:val="auto"/>
          <w:sz w:val="24"/>
          <w:szCs w:val="24"/>
        </w:rPr>
        <w:t>作实质性变动(磋商文件的实质性变动内容为磋商文件的组成部分)，并以书面形式要求</w:t>
      </w:r>
      <w:r>
        <w:rPr>
          <w:rFonts w:hint="eastAsia" w:ascii="宋体" w:hAnsi="宋体" w:eastAsia="宋体" w:cs="宋体"/>
          <w:color w:val="auto"/>
          <w:kern w:val="0"/>
          <w:sz w:val="24"/>
          <w:szCs w:val="24"/>
        </w:rPr>
        <w:t>符合性审查合格</w:t>
      </w:r>
      <w:r>
        <w:rPr>
          <w:rFonts w:hint="eastAsia" w:ascii="宋体" w:hAnsi="宋体" w:eastAsia="宋体" w:cs="宋体"/>
          <w:bCs/>
          <w:color w:val="auto"/>
          <w:sz w:val="24"/>
          <w:szCs w:val="24"/>
        </w:rPr>
        <w:t>的供应商，在规定的</w:t>
      </w:r>
      <w:r>
        <w:rPr>
          <w:rFonts w:hint="eastAsia" w:ascii="宋体" w:hAnsi="宋体" w:eastAsia="宋体" w:cs="宋体"/>
          <w:color w:val="auto"/>
          <w:kern w:val="0"/>
          <w:sz w:val="24"/>
          <w:szCs w:val="24"/>
        </w:rPr>
        <w:t>截止时间前</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新提交响应文件</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磋商小组应当</w:t>
      </w:r>
      <w:r>
        <w:rPr>
          <w:rFonts w:hint="eastAsia" w:ascii="宋体" w:hAnsi="宋体" w:eastAsia="宋体" w:cs="宋体"/>
          <w:color w:val="auto"/>
          <w:sz w:val="24"/>
          <w:szCs w:val="24"/>
        </w:rPr>
        <w:t>根据本章第</w:t>
      </w:r>
      <w:r>
        <w:rPr>
          <w:rFonts w:hint="eastAsia" w:ascii="宋体" w:hAnsi="宋体" w:eastAsia="宋体" w:cs="宋体"/>
          <w:color w:val="auto"/>
          <w:sz w:val="24"/>
          <w:szCs w:val="24"/>
          <w:lang w:eastAsia="zh-CN"/>
        </w:rPr>
        <w:t>27</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27</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对供应商重新提交的响应文件进行符合性审查。供应商重新提交的响应文件未通过符合性审查的，不得进入下一轮磋商，也不得要求提交最后报价。</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28</w:t>
      </w:r>
      <w:r>
        <w:rPr>
          <w:rFonts w:hint="eastAsia" w:ascii="宋体" w:hAnsi="宋体" w:eastAsia="宋体" w:cs="宋体"/>
          <w:bCs/>
          <w:color w:val="auto"/>
          <w:sz w:val="24"/>
          <w:szCs w:val="24"/>
        </w:rPr>
        <w:t>.3</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w:t>
      </w:r>
      <w:r>
        <w:rPr>
          <w:rFonts w:hint="eastAsia" w:ascii="宋体" w:hAnsi="宋体" w:eastAsia="宋体" w:cs="宋体"/>
          <w:color w:val="auto"/>
          <w:sz w:val="24"/>
          <w:szCs w:val="24"/>
        </w:rPr>
        <w:t>或者最后报价应按</w:t>
      </w:r>
      <w:r>
        <w:rPr>
          <w:rFonts w:hint="eastAsia" w:ascii="宋体" w:hAnsi="宋体" w:eastAsia="宋体" w:cs="宋体"/>
          <w:color w:val="auto"/>
          <w:kern w:val="0"/>
          <w:sz w:val="24"/>
          <w:szCs w:val="24"/>
        </w:rPr>
        <w:t>本章第</w:t>
      </w:r>
      <w:r>
        <w:rPr>
          <w:rFonts w:hint="eastAsia" w:ascii="宋体" w:hAnsi="宋体" w:eastAsia="宋体" w:cs="宋体"/>
          <w:color w:val="auto"/>
          <w:kern w:val="0"/>
          <w:sz w:val="24"/>
          <w:szCs w:val="24"/>
          <w:lang w:eastAsia="zh-CN"/>
        </w:rPr>
        <w:t>19</w:t>
      </w:r>
      <w:r>
        <w:rPr>
          <w:rFonts w:hint="eastAsia" w:ascii="宋体" w:hAnsi="宋体" w:eastAsia="宋体" w:cs="宋体"/>
          <w:color w:val="auto"/>
          <w:sz w:val="24"/>
          <w:szCs w:val="24"/>
        </w:rPr>
        <w:t>.3</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由其法定代表人或其委托代理人签字或者加盖供应商单位章，在规定时间内密封递交给磋商小组</w:t>
      </w:r>
      <w:r>
        <w:rPr>
          <w:rFonts w:hint="eastAsia" w:ascii="宋体" w:hAnsi="宋体" w:eastAsia="宋体" w:cs="宋体"/>
          <w:bCs/>
          <w:color w:val="auto"/>
          <w:sz w:val="24"/>
          <w:szCs w:val="24"/>
        </w:rPr>
        <w:t>。</w:t>
      </w:r>
    </w:p>
    <w:p>
      <w:pPr>
        <w:widowControl/>
        <w:adjustRightInd w:val="0"/>
        <w:snapToGrid w:val="0"/>
        <w:spacing w:line="360" w:lineRule="auto"/>
        <w:ind w:firstLine="42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.4最后报价。</w:t>
      </w:r>
      <w:r>
        <w:rPr>
          <w:rFonts w:hint="eastAsia" w:ascii="宋体" w:hAnsi="宋体" w:eastAsia="宋体" w:cs="宋体"/>
          <w:bCs/>
          <w:color w:val="auto"/>
          <w:sz w:val="24"/>
          <w:szCs w:val="24"/>
        </w:rPr>
        <w:t>最后报价是供应商响应文件的有效组成部分。磋商文件能够详细列明采购标的的技术、服务要求的，磋商结束后，磋商小组应当要求所有实质性响应的供应商在规定时间内提交最后报价，提交最后报价的供应商不得少于3家。市场竞争不充分的科研项目，以及需要扶持的科技成果转化项目，提交最后报价的供应商可以为2家。</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.5提交响应文件的供应商，在提交最后报价之前，可以根据磋商情况退出磋商，并</w:t>
      </w:r>
      <w:r>
        <w:rPr>
          <w:rFonts w:hint="eastAsia" w:ascii="宋体" w:hAnsi="宋体" w:eastAsia="宋体" w:cs="宋体"/>
          <w:b/>
          <w:color w:val="auto"/>
          <w:kern w:val="0"/>
          <w:sz w:val="24"/>
          <w:szCs w:val="24"/>
        </w:rPr>
        <w:t>书面通知</w:t>
      </w:r>
      <w:r>
        <w:rPr>
          <w:rFonts w:hint="eastAsia" w:ascii="宋体" w:hAnsi="宋体" w:eastAsia="宋体" w:cs="宋体"/>
          <w:color w:val="auto"/>
          <w:kern w:val="0"/>
          <w:sz w:val="24"/>
          <w:szCs w:val="24"/>
        </w:rPr>
        <w:t>采购代理机构或者磋商小组。</w:t>
      </w:r>
      <w:r>
        <w:rPr>
          <w:rFonts w:hint="eastAsia" w:ascii="宋体" w:hAnsi="宋体" w:eastAsia="宋体" w:cs="宋体"/>
          <w:color w:val="auto"/>
          <w:sz w:val="24"/>
          <w:szCs w:val="24"/>
        </w:rPr>
        <w:t>该通知由供应商法定代表人或其委托代理人签字。</w:t>
      </w:r>
      <w:r>
        <w:rPr>
          <w:rFonts w:hint="eastAsia" w:ascii="宋体" w:hAnsi="宋体" w:eastAsia="宋体" w:cs="宋体"/>
          <w:color w:val="auto"/>
          <w:kern w:val="0"/>
          <w:sz w:val="24"/>
          <w:szCs w:val="24"/>
        </w:rPr>
        <w:t>采购代理机构按本章第</w:t>
      </w: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退还退出磋商的供应商的保证金。</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lang w:eastAsia="zh-CN"/>
        </w:rPr>
        <w:t>28</w:t>
      </w:r>
      <w:r>
        <w:rPr>
          <w:rFonts w:hint="eastAsia" w:ascii="宋体" w:hAnsi="宋体" w:eastAsia="宋体" w:cs="宋体"/>
          <w:bCs/>
          <w:color w:val="auto"/>
          <w:sz w:val="24"/>
          <w:szCs w:val="24"/>
        </w:rPr>
        <w:t>.6</w:t>
      </w:r>
      <w:r>
        <w:rPr>
          <w:rFonts w:hint="eastAsia" w:ascii="宋体" w:hAnsi="宋体" w:eastAsia="宋体" w:cs="宋体"/>
          <w:color w:val="auto"/>
          <w:kern w:val="0"/>
          <w:sz w:val="24"/>
          <w:szCs w:val="24"/>
        </w:rPr>
        <w:t>提交首次响应文件的供应商，未按磋商文件规定及磋商小组要求提交最后报价(或者</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新提交的响应文件和最后报价)，且又未按本章第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.5</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退出磋商的，供应商的保证金不予退还。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29</w:t>
      </w:r>
      <w:r>
        <w:rPr>
          <w:rFonts w:hint="eastAsia" w:ascii="宋体" w:hAnsi="宋体" w:eastAsia="宋体" w:cs="宋体"/>
          <w:color w:val="auto"/>
          <w:kern w:val="0"/>
          <w:sz w:val="24"/>
          <w:szCs w:val="24"/>
        </w:rPr>
        <w:t>．</w:t>
      </w:r>
      <w:r>
        <w:rPr>
          <w:rFonts w:hint="eastAsia" w:ascii="宋体" w:hAnsi="宋体" w:eastAsia="宋体" w:cs="宋体"/>
          <w:b/>
          <w:bCs/>
          <w:color w:val="auto"/>
          <w:sz w:val="24"/>
          <w:szCs w:val="24"/>
        </w:rPr>
        <w:t>磋商方法</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.1本项目采取综合评分法，即磋商小组按照磋商文件中规定的磋商方法、</w:t>
      </w:r>
      <w:r>
        <w:rPr>
          <w:rFonts w:hint="eastAsia" w:ascii="宋体" w:hAnsi="宋体" w:eastAsia="宋体" w:cs="宋体"/>
          <w:color w:val="auto"/>
          <w:sz w:val="24"/>
          <w:szCs w:val="24"/>
        </w:rPr>
        <w:t>标准和磋商因素，由经磋商确定最终采购需求，资格性、符合性检查合格的供应商提交最后报价，磋商小组采用综合评分法对提交最后报价的供应商的响应文件和最后报价进行</w:t>
      </w:r>
      <w:r>
        <w:rPr>
          <w:rFonts w:hint="eastAsia" w:ascii="宋体" w:hAnsi="宋体" w:eastAsia="宋体" w:cs="宋体"/>
          <w:bCs/>
          <w:color w:val="auto"/>
          <w:sz w:val="24"/>
          <w:szCs w:val="24"/>
        </w:rPr>
        <w:t>综合比较与评价，</w:t>
      </w:r>
      <w:r>
        <w:rPr>
          <w:rFonts w:hint="eastAsia" w:ascii="宋体" w:hAnsi="宋体" w:eastAsia="宋体" w:cs="宋体"/>
          <w:color w:val="auto"/>
          <w:sz w:val="24"/>
          <w:szCs w:val="24"/>
        </w:rPr>
        <w:t>响应文件能够最大限度的满足磋商文件规定的各项综合评价标准且经评审得分最高的供应商为成交候选供应商的评标方法。</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.2</w:t>
      </w:r>
      <w:r>
        <w:rPr>
          <w:rFonts w:hint="eastAsia" w:ascii="宋体" w:hAnsi="宋体" w:eastAsia="宋体" w:cs="宋体"/>
          <w:color w:val="auto"/>
          <w:sz w:val="24"/>
          <w:szCs w:val="24"/>
        </w:rPr>
        <w:t>磋商因素：价格、技术、信誉、业绩、服务、对磋商文件的响应程度，以及相应的比重或者权值等，但不包括供应商资格条件。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.3磋商</w:t>
      </w:r>
      <w:r>
        <w:rPr>
          <w:rFonts w:hint="eastAsia" w:ascii="宋体" w:hAnsi="宋体" w:eastAsia="宋体" w:cs="宋体"/>
          <w:color w:val="auto"/>
          <w:sz w:val="24"/>
          <w:szCs w:val="24"/>
        </w:rPr>
        <w:t>报价评价。磋商小组以经磋商确定最终采购需求，资格性、符合性检查合格的供应商提交的最后报价为基础，</w:t>
      </w:r>
      <w:r>
        <w:rPr>
          <w:rFonts w:hint="eastAsia" w:ascii="宋体" w:hAnsi="宋体" w:eastAsia="宋体" w:cs="宋体"/>
          <w:color w:val="auto"/>
          <w:kern w:val="0"/>
          <w:sz w:val="24"/>
          <w:szCs w:val="24"/>
        </w:rPr>
        <w:t>依次</w:t>
      </w:r>
      <w:r>
        <w:rPr>
          <w:rFonts w:hint="eastAsia" w:ascii="宋体" w:hAnsi="宋体" w:eastAsia="宋体" w:cs="宋体"/>
          <w:color w:val="auto"/>
          <w:sz w:val="24"/>
          <w:szCs w:val="24"/>
        </w:rPr>
        <w:t>对磋商报价进行</w:t>
      </w:r>
      <w:r>
        <w:rPr>
          <w:rFonts w:hint="eastAsia" w:ascii="宋体" w:hAnsi="宋体" w:eastAsia="宋体" w:cs="宋体"/>
          <w:color w:val="auto"/>
          <w:kern w:val="0"/>
          <w:sz w:val="24"/>
          <w:szCs w:val="24"/>
        </w:rPr>
        <w:t>算术</w:t>
      </w:r>
      <w:r>
        <w:rPr>
          <w:rFonts w:hint="eastAsia" w:ascii="宋体" w:hAnsi="宋体" w:eastAsia="宋体" w:cs="宋体"/>
          <w:color w:val="auto"/>
          <w:sz w:val="24"/>
          <w:szCs w:val="24"/>
        </w:rPr>
        <w:t>修正和政府采购政策优惠价格扣除计算。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.4</w:t>
      </w:r>
      <w:r>
        <w:rPr>
          <w:rFonts w:hint="eastAsia" w:ascii="宋体" w:hAnsi="宋体" w:eastAsia="宋体" w:cs="宋体"/>
          <w:color w:val="auto"/>
          <w:kern w:val="0"/>
          <w:sz w:val="24"/>
          <w:szCs w:val="24"/>
        </w:rPr>
        <w:t>价格分采用低价优先法计算，即满足磋商文件要求且磋商报价最低的磋商报价为磋商基准价，其价格分为满分，其他</w:t>
      </w:r>
      <w:r>
        <w:rPr>
          <w:rFonts w:hint="eastAsia" w:ascii="宋体" w:hAnsi="宋体" w:eastAsia="宋体" w:cs="宋体"/>
          <w:color w:val="auto"/>
          <w:sz w:val="24"/>
          <w:szCs w:val="24"/>
        </w:rPr>
        <w:t>有效供应商</w:t>
      </w:r>
      <w:r>
        <w:rPr>
          <w:rFonts w:hint="eastAsia" w:ascii="宋体" w:hAnsi="宋体" w:eastAsia="宋体" w:cs="宋体"/>
          <w:color w:val="auto"/>
          <w:kern w:val="0"/>
          <w:sz w:val="24"/>
          <w:szCs w:val="24"/>
        </w:rPr>
        <w:t>的价格分按照下列公式计算：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磋商报价得分=(磋商基准价／最后磋商报价)×价格权值×100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磋商报价高于采购人预算价为无效响应。</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本项所称磋商报价为按</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w:t>
      </w:r>
      <w:r>
        <w:rPr>
          <w:rFonts w:hint="eastAsia" w:ascii="宋体" w:hAnsi="宋体" w:eastAsia="宋体" w:cs="宋体"/>
          <w:color w:val="auto"/>
          <w:sz w:val="24"/>
          <w:szCs w:val="24"/>
        </w:rPr>
        <w:t>评价后的磋商报价。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29</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sz w:val="24"/>
          <w:szCs w:val="24"/>
        </w:rPr>
        <w:t>评审时，磋商小组各成员应当独立对每个供应商的响应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进行评价、评分。</w:t>
      </w:r>
    </w:p>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30</w:t>
      </w:r>
      <w:r>
        <w:rPr>
          <w:rFonts w:hint="eastAsia" w:ascii="宋体" w:hAnsi="宋体" w:eastAsia="宋体" w:cs="宋体"/>
          <w:b/>
          <w:color w:val="auto"/>
          <w:sz w:val="24"/>
          <w:szCs w:val="24"/>
        </w:rPr>
        <w:t>.推荐成交候选供应商</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.1磋商小组推荐响应文件满足磋商文件全部实质性要求且按评审因素的量化指标评审得分最高的供应商为成交候选供应商的评审方法，根据综合评分情况，</w:t>
      </w:r>
      <w:r>
        <w:rPr>
          <w:rFonts w:hint="eastAsia" w:ascii="宋体" w:hAnsi="宋体" w:eastAsia="宋体" w:cs="宋体"/>
          <w:bCs/>
          <w:color w:val="auto"/>
          <w:sz w:val="24"/>
          <w:szCs w:val="24"/>
        </w:rPr>
        <w:t>按得分由高到低顺序推荐3名以上成交候选供应商，并编写评审报告。得分相同的，按最后报价由低到高顺序排列。得分且最后报价相同的，按技术指标优劣顺序推荐。</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.2除市场竞争不充分的科研项目，以及需要扶持的科技成果转化项目可以推荐2家成交候选供应商外，其他项目</w:t>
      </w:r>
      <w:r>
        <w:rPr>
          <w:rFonts w:hint="eastAsia" w:ascii="宋体" w:hAnsi="宋体" w:eastAsia="宋体" w:cs="宋体"/>
          <w:color w:val="auto"/>
          <w:sz w:val="24"/>
          <w:szCs w:val="24"/>
        </w:rPr>
        <w:t>成交候选供应商数量为3名</w:t>
      </w:r>
      <w:r>
        <w:rPr>
          <w:rFonts w:hint="eastAsia" w:ascii="宋体" w:hAnsi="宋体" w:eastAsia="宋体" w:cs="宋体"/>
          <w:b/>
          <w:color w:val="auto"/>
          <w:sz w:val="24"/>
          <w:szCs w:val="24"/>
        </w:rPr>
        <w:t>。</w:t>
      </w:r>
    </w:p>
    <w:p>
      <w:pPr>
        <w:tabs>
          <w:tab w:val="left" w:pos="0"/>
        </w:tabs>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31</w:t>
      </w:r>
      <w:r>
        <w:rPr>
          <w:rFonts w:hint="eastAsia" w:ascii="宋体" w:hAnsi="宋体" w:eastAsia="宋体" w:cs="宋体"/>
          <w:b/>
          <w:bCs/>
          <w:color w:val="auto"/>
          <w:sz w:val="24"/>
          <w:szCs w:val="24"/>
        </w:rPr>
        <w:t>.确定成交供应商</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31</w:t>
      </w:r>
      <w:r>
        <w:rPr>
          <w:rFonts w:hint="eastAsia" w:ascii="宋体" w:hAnsi="宋体" w:eastAsia="宋体" w:cs="宋体"/>
          <w:color w:val="auto"/>
          <w:kern w:val="0"/>
          <w:sz w:val="24"/>
          <w:szCs w:val="24"/>
        </w:rPr>
        <w:t>.1采购代理机构应当在磋商结束后2个工作日内将评审报告送采购人确认。</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31</w:t>
      </w:r>
      <w:r>
        <w:rPr>
          <w:rFonts w:hint="eastAsia" w:ascii="宋体" w:hAnsi="宋体" w:eastAsia="宋体" w:cs="宋体"/>
          <w:color w:val="auto"/>
          <w:kern w:val="0"/>
          <w:sz w:val="24"/>
          <w:szCs w:val="24"/>
        </w:rPr>
        <w:t xml:space="preserve">.2 </w:t>
      </w:r>
      <w:r>
        <w:rPr>
          <w:rFonts w:hint="eastAsia" w:ascii="宋体" w:hAnsi="宋体" w:eastAsia="宋体" w:cs="宋体"/>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widowControl/>
        <w:adjustRightInd w:val="0"/>
        <w:snapToGrid w:val="0"/>
        <w:spacing w:line="360" w:lineRule="auto"/>
        <w:ind w:firstLine="42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eastAsia="zh-CN"/>
        </w:rPr>
        <w:t>31</w:t>
      </w:r>
      <w:r>
        <w:rPr>
          <w:rFonts w:hint="eastAsia" w:ascii="宋体" w:hAnsi="宋体" w:eastAsia="宋体" w:cs="宋体"/>
          <w:color w:val="auto"/>
          <w:kern w:val="0"/>
          <w:sz w:val="24"/>
          <w:szCs w:val="24"/>
        </w:rPr>
        <w:t>.3最后报价确定遵守本章第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条</w:t>
      </w:r>
      <w:r>
        <w:rPr>
          <w:rFonts w:hint="eastAsia" w:ascii="宋体" w:hAnsi="宋体" w:eastAsia="宋体" w:cs="宋体"/>
          <w:color w:val="auto"/>
          <w:kern w:val="0"/>
          <w:sz w:val="24"/>
          <w:szCs w:val="24"/>
        </w:rPr>
        <w:t>的</w:t>
      </w:r>
      <w:r>
        <w:rPr>
          <w:rFonts w:hint="eastAsia" w:ascii="宋体" w:hAnsi="宋体" w:eastAsia="宋体" w:cs="宋体"/>
          <w:bCs/>
          <w:color w:val="auto"/>
          <w:sz w:val="24"/>
          <w:szCs w:val="24"/>
        </w:rPr>
        <w:t>规定。</w:t>
      </w:r>
    </w:p>
    <w:p>
      <w:pPr>
        <w:pStyle w:val="24"/>
        <w:adjustRightInd w:val="0"/>
        <w:snapToGrid w:val="0"/>
        <w:spacing w:line="360" w:lineRule="auto"/>
        <w:ind w:left="632" w:hanging="723" w:hangingChars="300"/>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32</w:t>
      </w:r>
      <w:r>
        <w:rPr>
          <w:rFonts w:hint="eastAsia" w:ascii="宋体" w:hAnsi="宋体" w:eastAsia="宋体" w:cs="宋体"/>
          <w:b/>
          <w:color w:val="auto"/>
          <w:sz w:val="24"/>
          <w:szCs w:val="24"/>
        </w:rPr>
        <w:t>.磋商的特殊情形</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32.1</w:t>
      </w:r>
      <w:r>
        <w:rPr>
          <w:rFonts w:hint="eastAsia" w:ascii="宋体" w:hAnsi="宋体" w:eastAsia="宋体" w:cs="宋体"/>
          <w:bCs/>
          <w:color w:val="auto"/>
          <w:sz w:val="24"/>
          <w:szCs w:val="24"/>
        </w:rPr>
        <w:t>市场竞争不充分的科研项目，以及需要扶持的科技成果转化项目，</w:t>
      </w:r>
      <w:r>
        <w:rPr>
          <w:rFonts w:hint="eastAsia" w:ascii="宋体" w:hAnsi="宋体" w:eastAsia="宋体" w:cs="宋体"/>
          <w:color w:val="auto"/>
          <w:kern w:val="0"/>
          <w:sz w:val="24"/>
          <w:szCs w:val="24"/>
        </w:rPr>
        <w:t>磋商过程中提交响应文件或者经评审实质性响应磋商文件要求提交最后报价的供应商只有两家时，供应商最低数量可以为两家。</w:t>
      </w:r>
    </w:p>
    <w:p>
      <w:pPr>
        <w:pStyle w:val="24"/>
        <w:adjustRightInd w:val="0"/>
        <w:snapToGrid w:val="0"/>
        <w:spacing w:line="360" w:lineRule="auto"/>
        <w:ind w:left="632" w:hanging="723" w:hangingChars="300"/>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33</w:t>
      </w:r>
      <w:r>
        <w:rPr>
          <w:rFonts w:hint="eastAsia" w:ascii="宋体" w:hAnsi="宋体" w:eastAsia="宋体" w:cs="宋体"/>
          <w:b/>
          <w:color w:val="auto"/>
          <w:sz w:val="24"/>
          <w:szCs w:val="24"/>
        </w:rPr>
        <w:t>.竞争性磋商采购活动终止</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bCs/>
          <w:color w:val="auto"/>
          <w:sz w:val="24"/>
          <w:szCs w:val="24"/>
          <w:lang w:eastAsia="zh-CN"/>
        </w:rPr>
        <w:t>33</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rPr>
        <w:t>出现下列情形之一的，采购人或者采购代理机构应当终止竞争性磋商采购活动，</w:t>
      </w:r>
      <w:r>
        <w:rPr>
          <w:rFonts w:hint="eastAsia" w:ascii="宋体" w:hAnsi="宋体" w:eastAsia="宋体" w:cs="宋体"/>
          <w:color w:val="auto"/>
          <w:sz w:val="24"/>
          <w:szCs w:val="24"/>
        </w:rPr>
        <w:t>在省级以上财政部门指定的媒体上</w:t>
      </w:r>
      <w:r>
        <w:rPr>
          <w:rFonts w:hint="eastAsia" w:ascii="宋体" w:hAnsi="宋体" w:eastAsia="宋体" w:cs="宋体"/>
          <w:color w:val="auto"/>
          <w:kern w:val="0"/>
          <w:sz w:val="24"/>
          <w:szCs w:val="24"/>
        </w:rPr>
        <w:t xml:space="preserve">发布项目终止公告并说明原因，重新开展采购活动： </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（1）因情况变化，不再符合规定的竞争性磋商采购方式适用情形的；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（2）出现影响采购公正的违法、违规行为的；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（3）除本章</w:t>
      </w:r>
      <w:r>
        <w:rPr>
          <w:rFonts w:hint="eastAsia" w:ascii="宋体" w:hAnsi="宋体" w:eastAsia="宋体" w:cs="宋体"/>
          <w:color w:val="auto"/>
          <w:kern w:val="0"/>
          <w:sz w:val="24"/>
          <w:szCs w:val="24"/>
          <w:lang w:eastAsia="zh-CN"/>
        </w:rPr>
        <w:t>32</w:t>
      </w:r>
      <w:r>
        <w:rPr>
          <w:rFonts w:hint="eastAsia" w:ascii="宋体" w:hAnsi="宋体" w:eastAsia="宋体" w:cs="宋体"/>
          <w:color w:val="auto"/>
          <w:kern w:val="0"/>
          <w:sz w:val="24"/>
          <w:szCs w:val="24"/>
        </w:rPr>
        <w:t>.1款规定情形外，在采购过程中符合竞争要求的供应商或者报价未超过采购</w:t>
      </w:r>
      <w:r>
        <w:rPr>
          <w:rFonts w:hint="eastAsia" w:ascii="宋体" w:hAnsi="宋体" w:eastAsia="宋体" w:cs="宋体"/>
          <w:color w:val="auto"/>
          <w:kern w:val="0"/>
          <w:sz w:val="24"/>
          <w:szCs w:val="24"/>
          <w:lang w:eastAsia="zh-CN"/>
        </w:rPr>
        <w:t>上限价</w:t>
      </w:r>
      <w:r>
        <w:rPr>
          <w:rFonts w:hint="eastAsia" w:ascii="宋体" w:hAnsi="宋体" w:eastAsia="宋体" w:cs="宋体"/>
          <w:color w:val="auto"/>
          <w:kern w:val="0"/>
          <w:sz w:val="24"/>
          <w:szCs w:val="24"/>
        </w:rPr>
        <w:t>的供应商不足3家的，或者提交最后报价的供应商少于3家的；</w:t>
      </w:r>
    </w:p>
    <w:p>
      <w:pPr>
        <w:widowControl/>
        <w:adjustRightInd w:val="0"/>
        <w:snapToGrid w:val="0"/>
        <w:spacing w:line="360" w:lineRule="auto"/>
        <w:ind w:firstLine="420"/>
        <w:jc w:val="left"/>
        <w:rPr>
          <w:rFonts w:hint="eastAsia" w:ascii="宋体" w:hAnsi="宋体" w:eastAsia="宋体" w:cs="宋体"/>
          <w:b/>
          <w:bCs/>
          <w:color w:val="auto"/>
          <w:sz w:val="24"/>
          <w:szCs w:val="24"/>
        </w:rPr>
      </w:pPr>
      <w:r>
        <w:rPr>
          <w:rFonts w:hint="eastAsia" w:ascii="宋体" w:hAnsi="宋体" w:eastAsia="宋体" w:cs="宋体"/>
          <w:color w:val="auto"/>
          <w:kern w:val="0"/>
          <w:sz w:val="24"/>
          <w:szCs w:val="24"/>
        </w:rPr>
        <w:t>（4）</w:t>
      </w:r>
      <w:r>
        <w:rPr>
          <w:rFonts w:hint="eastAsia" w:ascii="宋体" w:hAnsi="宋体" w:eastAsia="宋体" w:cs="宋体"/>
          <w:bCs/>
          <w:color w:val="auto"/>
          <w:sz w:val="24"/>
          <w:szCs w:val="24"/>
        </w:rPr>
        <w:t>因重大变故，采购任务取消的。</w:t>
      </w:r>
    </w:p>
    <w:p>
      <w:pPr>
        <w:widowControl/>
        <w:adjustRightInd w:val="0"/>
        <w:snapToGrid w:val="0"/>
        <w:spacing w:line="360" w:lineRule="auto"/>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34</w:t>
      </w:r>
      <w:r>
        <w:rPr>
          <w:rFonts w:hint="eastAsia" w:ascii="宋体" w:hAnsi="宋体" w:eastAsia="宋体" w:cs="宋体"/>
          <w:b/>
          <w:color w:val="auto"/>
          <w:kern w:val="0"/>
          <w:sz w:val="24"/>
          <w:szCs w:val="24"/>
        </w:rPr>
        <w:t>．重新评审</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34</w:t>
      </w:r>
      <w:r>
        <w:rPr>
          <w:rFonts w:hint="eastAsia" w:ascii="宋体" w:hAnsi="宋体" w:eastAsia="宋体" w:cs="宋体"/>
          <w:color w:val="auto"/>
          <w:kern w:val="0"/>
          <w:sz w:val="24"/>
          <w:szCs w:val="24"/>
        </w:rPr>
        <w:t>.1除资格性审查认定错误、分值汇总计算错误、分项评分超出评分标准范围、客观分评分不一致、经磋商小组一致认定评分畸高或畸低的情形外，采购人或者采购代理机构不以任何理由组织重新评审。采购人、采购代理机构发现磋商小组未按照磋商文件规定的评定成交的标准进行评审的，应当重新开展采购活动，并同时书面报告本级财政部门。</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35</w:t>
      </w:r>
      <w:r>
        <w:rPr>
          <w:rFonts w:hint="eastAsia" w:ascii="宋体" w:hAnsi="宋体" w:eastAsia="宋体" w:cs="宋体"/>
          <w:b/>
          <w:bCs/>
          <w:color w:val="auto"/>
          <w:sz w:val="24"/>
          <w:szCs w:val="24"/>
        </w:rPr>
        <w:t>.保密及串通行为</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rPr>
        <w:t>.1磋商小组成员以及与评审工作有关的人员不得泄露评审情况以及评审过程中获悉的国家秘密、商业秘密。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供应商</w:t>
      </w:r>
      <w:r>
        <w:rPr>
          <w:rFonts w:hint="eastAsia" w:ascii="宋体" w:hAnsi="宋体" w:eastAsia="宋体" w:cs="宋体"/>
          <w:color w:val="auto"/>
          <w:sz w:val="24"/>
          <w:szCs w:val="24"/>
        </w:rPr>
        <w:t>不得与</w:t>
      </w:r>
      <w:r>
        <w:rPr>
          <w:rFonts w:hint="eastAsia" w:ascii="宋体" w:hAnsi="宋体" w:eastAsia="宋体" w:cs="宋体"/>
          <w:color w:val="auto"/>
          <w:kern w:val="0"/>
          <w:sz w:val="24"/>
          <w:szCs w:val="24"/>
        </w:rPr>
        <w:t>采购人、采购代理机构、其他供应商恶意</w:t>
      </w:r>
      <w:r>
        <w:rPr>
          <w:rFonts w:hint="eastAsia" w:ascii="宋体" w:hAnsi="宋体" w:eastAsia="宋体" w:cs="宋体"/>
          <w:color w:val="auto"/>
          <w:sz w:val="24"/>
          <w:szCs w:val="24"/>
        </w:rPr>
        <w:t>串通；不得向</w:t>
      </w:r>
      <w:r>
        <w:rPr>
          <w:rFonts w:hint="eastAsia" w:ascii="宋体" w:hAnsi="宋体" w:eastAsia="宋体" w:cs="宋体"/>
          <w:color w:val="auto"/>
          <w:kern w:val="0"/>
          <w:sz w:val="24"/>
          <w:szCs w:val="24"/>
        </w:rPr>
        <w:t>采购人、采购代理机构</w:t>
      </w:r>
      <w:r>
        <w:rPr>
          <w:rFonts w:hint="eastAsia" w:ascii="宋体" w:hAnsi="宋体" w:eastAsia="宋体" w:cs="宋体"/>
          <w:color w:val="auto"/>
          <w:sz w:val="24"/>
          <w:szCs w:val="24"/>
        </w:rPr>
        <w:t>或者磋商小组成员行贿或者提供其他不正当利益；不得提供虚假材料谋取成交；不得以任何方式干扰、影响采购工作。</w:t>
      </w:r>
    </w:p>
    <w:p>
      <w:pPr>
        <w:pStyle w:val="42"/>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rPr>
        <w:t>.3有下列情形之一的，</w:t>
      </w:r>
      <w:r>
        <w:rPr>
          <w:rFonts w:hint="eastAsia" w:ascii="宋体" w:hAnsi="宋体" w:eastAsia="宋体" w:cs="宋体"/>
          <w:color w:val="auto"/>
          <w:sz w:val="24"/>
          <w:szCs w:val="24"/>
          <w:lang w:val="zh-CN"/>
        </w:rPr>
        <w:t>属于恶意串通，</w:t>
      </w:r>
      <w:r>
        <w:rPr>
          <w:rFonts w:hint="eastAsia" w:ascii="宋体" w:hAnsi="宋体" w:eastAsia="宋体" w:cs="宋体"/>
          <w:color w:val="auto"/>
          <w:sz w:val="24"/>
          <w:szCs w:val="24"/>
        </w:rPr>
        <w:t>成交无效，并</w:t>
      </w:r>
      <w:r>
        <w:rPr>
          <w:rFonts w:hint="eastAsia" w:ascii="宋体" w:hAnsi="宋体" w:eastAsia="宋体" w:cs="宋体"/>
          <w:color w:val="auto"/>
          <w:sz w:val="24"/>
          <w:szCs w:val="24"/>
          <w:lang w:val="zh-CN"/>
        </w:rPr>
        <w:t>依照《政府采购法》第七十七条的规定追究法律责任：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（1）供应商直接或者间接从</w:t>
      </w:r>
      <w:r>
        <w:rPr>
          <w:rFonts w:hint="eastAsia" w:ascii="宋体" w:hAnsi="宋体" w:eastAsia="宋体" w:cs="宋体"/>
          <w:bCs/>
          <w:color w:val="auto"/>
          <w:sz w:val="24"/>
          <w:szCs w:val="24"/>
        </w:rPr>
        <w:t>采购人、采购代理机构</w:t>
      </w:r>
      <w:r>
        <w:rPr>
          <w:rFonts w:hint="eastAsia" w:ascii="宋体" w:hAnsi="宋体" w:eastAsia="宋体" w:cs="宋体"/>
          <w:color w:val="auto"/>
          <w:sz w:val="24"/>
          <w:szCs w:val="24"/>
        </w:rPr>
        <w:t>获得其他供应商的响应情况，并修改其响应文件的；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Cs/>
          <w:color w:val="auto"/>
          <w:sz w:val="24"/>
          <w:szCs w:val="24"/>
        </w:rPr>
        <w:t>采购人、采购代理机构</w:t>
      </w:r>
      <w:r>
        <w:rPr>
          <w:rFonts w:hint="eastAsia" w:ascii="宋体" w:hAnsi="宋体" w:eastAsia="宋体" w:cs="宋体"/>
          <w:color w:val="auto"/>
          <w:sz w:val="24"/>
          <w:szCs w:val="24"/>
        </w:rPr>
        <w:t>授意供应商撤换、修改响应文件的；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（3）供应商之间协商技术方案、合同条款以及报价等响应文件实质性内容的；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（4）属于同一集团、协会、商会等组织成员的供应商按照该组织要求协同参加竞争性磋商政府采购活动的；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（5）供应商之间事先约定由某一特定供应商成交的；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（6）供应商之间商定部分供应商放弃提交响应文件或者退出磋商或者放弃成交的；</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（7）供应商与</w:t>
      </w:r>
      <w:r>
        <w:rPr>
          <w:rFonts w:hint="eastAsia" w:ascii="宋体" w:hAnsi="宋体" w:eastAsia="宋体" w:cs="宋体"/>
          <w:bCs/>
          <w:color w:val="auto"/>
          <w:sz w:val="24"/>
          <w:szCs w:val="24"/>
        </w:rPr>
        <w:t>采购人、采购代理机构以及</w:t>
      </w:r>
      <w:r>
        <w:rPr>
          <w:rFonts w:hint="eastAsia" w:ascii="宋体" w:hAnsi="宋体" w:eastAsia="宋体" w:cs="宋体"/>
          <w:color w:val="auto"/>
          <w:sz w:val="24"/>
          <w:szCs w:val="24"/>
        </w:rPr>
        <w:t>磋商小组成员之间、供应商相互之间，为谋求特定供应商成交或者排斥其他供应商的其他串通行为的。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（8）法律、行政法规或规章规定的其他串通行为。</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六、成交结果信息公布与授予合同</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36</w:t>
      </w:r>
      <w:r>
        <w:rPr>
          <w:rFonts w:hint="eastAsia" w:ascii="宋体" w:hAnsi="宋体" w:eastAsia="宋体" w:cs="宋体"/>
          <w:b/>
          <w:bCs/>
          <w:color w:val="auto"/>
          <w:sz w:val="24"/>
          <w:szCs w:val="24"/>
        </w:rPr>
        <w:t>.成交信息的公布</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36</w:t>
      </w:r>
      <w:r>
        <w:rPr>
          <w:rFonts w:hint="eastAsia" w:ascii="宋体" w:hAnsi="宋体" w:eastAsia="宋体" w:cs="宋体"/>
          <w:color w:val="auto"/>
          <w:sz w:val="24"/>
          <w:szCs w:val="24"/>
        </w:rPr>
        <w:t>.1成交供应商确定后2个工作日内，采购人或者采购代理机构应将成交结果信息在</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指定的媒体上公布。</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37</w:t>
      </w:r>
      <w:r>
        <w:rPr>
          <w:rFonts w:hint="eastAsia" w:ascii="宋体" w:hAnsi="宋体" w:eastAsia="宋体" w:cs="宋体"/>
          <w:b/>
          <w:bCs/>
          <w:color w:val="auto"/>
          <w:sz w:val="24"/>
          <w:szCs w:val="24"/>
        </w:rPr>
        <w:t>.询问及质疑</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37</w:t>
      </w:r>
      <w:r>
        <w:rPr>
          <w:rFonts w:hint="eastAsia" w:ascii="宋体" w:hAnsi="宋体" w:eastAsia="宋体" w:cs="宋体"/>
          <w:color w:val="auto"/>
          <w:sz w:val="24"/>
          <w:szCs w:val="24"/>
        </w:rPr>
        <w:t>.1、询问</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对采购活动事项有疑问的，可以向采购人或采购代理机构提出询问，采购人或采购代理机构应当在三个工作日内对</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依法提出的询问作出答复，但答复的内容不得涉及商业秘密。</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、质疑</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认为采购文件、采购过程和中标、成交结果使自己的合法权益受到损害的，可以在知道或者应知其权益受到损害之日起七个工作日内，将质疑文件原件和必要的证明材料送达采购代理机构。</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认为采购文件技术指标、参数、评分标准有质疑，向采购人提出，由采购人按相关规定作出答复或委托采购代理机构代为答复。</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如对采购过程和采购结果有质疑，向采购代理机构提出，由采购代理机构按相关规定作出答复。</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3上述应知其权益受到损害之日是指：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（1）对采购文件提出质疑的，为采购文件公告期限届满之日起计算；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（2）对采购过程提出质疑的，自采购程序环节结束之日起计算；</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（3）对中标或者成交结果提出质疑的，自中标或者成交结果公告期限届满之日起计算。</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.4质疑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在法定质疑期内应当一次性提出针对同一采购环节提出质疑。</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5质疑文件应包括以下主要内容，并按照“谁主张、谁举证”的原则，附上相关证明材料。否则，采购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的姓名或者名称、地址、邮编、联系人及联系电话（包括座机、手机、传真号码等）；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（2）质疑项目的名称、项目编号、包号、采购公告发布时间、递交投标文件或响应文件截止时间；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（3）具体、明确的质疑事项和与质疑事项相关的请求；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（4）事实依据（具体条款，认为自己合法权益受到损害或可能受到损害的相关证据材料。如涉及到产品功能或技术指标的，应出具相关制造商的证明文件）；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（5）必要的法律依据；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（6）提起质疑的日期；</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（7）质疑文件应当署名，质疑人为自然人的，应当由本人签字并附有效身份证明；质疑人为法人或其他组织的，应当由法定代表人签字并加盖单位公章；</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委托代理质疑的，应当提交授权委托书，并载明代理人的姓名或者名称、代理事项、 具体权限、期限和相关事项。</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.6质疑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是指直接参加本项目采购活动的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，未参加政府采购活动的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或在采购活动中自身权益未受到损害的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所提出的质疑不予受理。</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.7采购人、采购代理机构在收到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的书面质疑后将及时组织调查核实，在七个工作日内作出答复，并以书面形式通知质疑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和其他有关</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，答复的内容不涉及商业秘密。</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37.3</w:t>
      </w:r>
      <w:r>
        <w:rPr>
          <w:rFonts w:hint="eastAsia" w:ascii="宋体" w:hAnsi="宋体" w:eastAsia="宋体" w:cs="宋体"/>
          <w:color w:val="auto"/>
          <w:sz w:val="24"/>
          <w:szCs w:val="24"/>
        </w:rPr>
        <w:t>、投诉</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37.3</w:t>
      </w:r>
      <w:r>
        <w:rPr>
          <w:rFonts w:hint="eastAsia" w:ascii="宋体" w:hAnsi="宋体" w:eastAsia="宋体" w:cs="宋体"/>
          <w:color w:val="auto"/>
          <w:sz w:val="24"/>
          <w:szCs w:val="24"/>
        </w:rPr>
        <w:t>.1 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对采购人、采购代理机构的答复不满意，或采购人、采购代理机构未在规定的时间内作出答复的，可以在答复期满后十五个工作日内向采购项目同级财政部门提起投诉。</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37.3</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投诉的事项不得超出已质疑事项的范围，但基于质疑答复内容提出的投诉事项除外。</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37.4</w:t>
      </w:r>
      <w:r>
        <w:rPr>
          <w:rFonts w:hint="eastAsia" w:ascii="宋体" w:hAnsi="宋体" w:eastAsia="宋体" w:cs="宋体"/>
          <w:color w:val="auto"/>
          <w:sz w:val="24"/>
          <w:szCs w:val="24"/>
        </w:rPr>
        <w:t>、诚实信用</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不得虚假承诺，否则，按照提供虚假材料谋取中标或成交处理。</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38</w:t>
      </w:r>
      <w:r>
        <w:rPr>
          <w:rFonts w:hint="eastAsia" w:ascii="宋体" w:hAnsi="宋体" w:eastAsia="宋体" w:cs="宋体"/>
          <w:b/>
          <w:bCs/>
          <w:color w:val="auto"/>
          <w:sz w:val="24"/>
          <w:szCs w:val="24"/>
        </w:rPr>
        <w:t>.成交通知</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38</w:t>
      </w:r>
      <w:r>
        <w:rPr>
          <w:rFonts w:hint="eastAsia" w:ascii="宋体" w:hAnsi="宋体" w:eastAsia="宋体" w:cs="宋体"/>
          <w:color w:val="auto"/>
          <w:sz w:val="24"/>
          <w:szCs w:val="24"/>
        </w:rPr>
        <w:t>.1成交供应商确定后，采购人或采购代理机构将以书面形式向成交供应商发出成交通知书。成交通知书对采购人和成交供应商具有同等法律效力。</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38</w:t>
      </w:r>
      <w:r>
        <w:rPr>
          <w:rFonts w:hint="eastAsia" w:ascii="宋体" w:hAnsi="宋体" w:eastAsia="宋体" w:cs="宋体"/>
          <w:color w:val="auto"/>
          <w:sz w:val="24"/>
          <w:szCs w:val="24"/>
        </w:rPr>
        <w:t>.2 成交通知书是合同文件的组成部分。</w:t>
      </w:r>
    </w:p>
    <w:p>
      <w:pPr>
        <w:keepNext w:val="0"/>
        <w:keepLines w:val="0"/>
        <w:pageBreakBefore w:val="0"/>
        <w:widowControl w:val="0"/>
        <w:tabs>
          <w:tab w:val="left" w:pos="7560"/>
          <w:tab w:val="left" w:pos="7740"/>
          <w:tab w:val="left" w:pos="7920"/>
        </w:tabs>
        <w:kinsoku/>
        <w:wordWrap/>
        <w:overflowPunct/>
        <w:topLinePunct w:val="0"/>
        <w:autoSpaceDE/>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38</w:t>
      </w:r>
      <w:r>
        <w:rPr>
          <w:rFonts w:hint="eastAsia" w:ascii="宋体" w:hAnsi="宋体" w:eastAsia="宋体" w:cs="宋体"/>
          <w:color w:val="auto"/>
          <w:kern w:val="0"/>
          <w:sz w:val="24"/>
          <w:szCs w:val="24"/>
        </w:rPr>
        <w:t xml:space="preserve">.3 </w:t>
      </w:r>
      <w:r>
        <w:rPr>
          <w:rFonts w:hint="eastAsia" w:ascii="宋体" w:hAnsi="宋体" w:eastAsia="宋体" w:cs="宋体"/>
          <w:color w:val="auto"/>
          <w:sz w:val="24"/>
          <w:szCs w:val="24"/>
        </w:rPr>
        <w:t>成交供应商在收到采购代理机构的成交通知书后10日内，应按照</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的规定，向采购人提交履约担保。联合体成交的，履约担保由联合体各方或联合体中牵头人的名义提交。</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38</w:t>
      </w:r>
      <w:r>
        <w:rPr>
          <w:rFonts w:hint="eastAsia" w:ascii="宋体" w:hAnsi="宋体" w:eastAsia="宋体" w:cs="宋体"/>
          <w:color w:val="auto"/>
          <w:sz w:val="24"/>
          <w:szCs w:val="24"/>
        </w:rPr>
        <w:t>.4 成交供应商</w:t>
      </w:r>
      <w:r>
        <w:rPr>
          <w:rFonts w:hint="eastAsia" w:ascii="宋体" w:hAnsi="宋体" w:eastAsia="宋体" w:cs="宋体"/>
          <w:color w:val="auto"/>
          <w:spacing w:val="4"/>
          <w:sz w:val="24"/>
          <w:szCs w:val="24"/>
        </w:rPr>
        <w:t>没有按照本章第</w:t>
      </w:r>
      <w:r>
        <w:rPr>
          <w:rFonts w:hint="eastAsia" w:ascii="宋体" w:hAnsi="宋体" w:eastAsia="宋体" w:cs="宋体"/>
          <w:color w:val="auto"/>
          <w:spacing w:val="4"/>
          <w:sz w:val="24"/>
          <w:szCs w:val="24"/>
          <w:lang w:eastAsia="zh-CN"/>
        </w:rPr>
        <w:t>3</w:t>
      </w:r>
      <w:r>
        <w:rPr>
          <w:rFonts w:hint="eastAsia" w:ascii="宋体" w:hAnsi="宋体" w:eastAsia="宋体" w:cs="宋体"/>
          <w:color w:val="auto"/>
          <w:spacing w:val="4"/>
          <w:sz w:val="24"/>
          <w:szCs w:val="24"/>
          <w:lang w:val="en-US" w:eastAsia="zh-CN"/>
        </w:rPr>
        <w:t>8</w:t>
      </w:r>
      <w:r>
        <w:rPr>
          <w:rFonts w:hint="eastAsia" w:ascii="宋体" w:hAnsi="宋体" w:eastAsia="宋体" w:cs="宋体"/>
          <w:color w:val="auto"/>
          <w:spacing w:val="4"/>
          <w:sz w:val="24"/>
          <w:szCs w:val="24"/>
        </w:rPr>
        <w:t>.3</w:t>
      </w:r>
      <w:r>
        <w:rPr>
          <w:rFonts w:hint="eastAsia" w:ascii="宋体" w:hAnsi="宋体" w:eastAsia="宋体" w:cs="宋体"/>
          <w:color w:val="auto"/>
          <w:kern w:val="0"/>
          <w:sz w:val="24"/>
          <w:szCs w:val="24"/>
          <w:lang w:val="zh-CN"/>
        </w:rPr>
        <w:t>款</w:t>
      </w:r>
      <w:r>
        <w:rPr>
          <w:rFonts w:hint="eastAsia" w:ascii="宋体" w:hAnsi="宋体" w:eastAsia="宋体" w:cs="宋体"/>
          <w:color w:val="auto"/>
          <w:spacing w:val="4"/>
          <w:sz w:val="24"/>
          <w:szCs w:val="24"/>
        </w:rPr>
        <w:t>规定</w:t>
      </w:r>
      <w:r>
        <w:rPr>
          <w:rFonts w:hint="eastAsia" w:ascii="宋体" w:hAnsi="宋体" w:eastAsia="宋体" w:cs="宋体"/>
          <w:color w:val="auto"/>
          <w:sz w:val="24"/>
          <w:szCs w:val="24"/>
        </w:rPr>
        <w:t>提交履约担保的</w:t>
      </w:r>
      <w:r>
        <w:rPr>
          <w:rFonts w:hint="eastAsia" w:ascii="宋体" w:hAnsi="宋体" w:eastAsia="宋体" w:cs="宋体"/>
          <w:color w:val="auto"/>
          <w:spacing w:val="4"/>
          <w:sz w:val="24"/>
          <w:szCs w:val="24"/>
        </w:rPr>
        <w:t>，视为放弃</w:t>
      </w:r>
      <w:r>
        <w:rPr>
          <w:rFonts w:hint="eastAsia" w:ascii="宋体" w:hAnsi="宋体" w:eastAsia="宋体" w:cs="宋体"/>
          <w:color w:val="auto"/>
          <w:sz w:val="24"/>
          <w:szCs w:val="24"/>
        </w:rPr>
        <w:t>成交资格</w:t>
      </w:r>
      <w:r>
        <w:rPr>
          <w:rFonts w:hint="eastAsia" w:ascii="宋体" w:hAnsi="宋体" w:eastAsia="宋体" w:cs="宋体"/>
          <w:color w:val="auto"/>
          <w:spacing w:val="4"/>
          <w:sz w:val="24"/>
          <w:szCs w:val="24"/>
        </w:rPr>
        <w:t>，</w:t>
      </w:r>
      <w:r>
        <w:rPr>
          <w:rFonts w:hint="eastAsia" w:ascii="宋体" w:hAnsi="宋体" w:eastAsia="宋体" w:cs="宋体"/>
          <w:color w:val="auto"/>
          <w:spacing w:val="2"/>
          <w:sz w:val="24"/>
          <w:szCs w:val="24"/>
        </w:rPr>
        <w:t>其保证金不予退还。</w:t>
      </w:r>
    </w:p>
    <w:p>
      <w:pPr>
        <w:keepNext w:val="0"/>
        <w:keepLines w:val="0"/>
        <w:pageBreakBefore w:val="0"/>
        <w:widowControl w:val="0"/>
        <w:kinsoku/>
        <w:wordWrap/>
        <w:overflowPunct/>
        <w:topLinePunct w:val="0"/>
        <w:autoSpaceDE/>
        <w:bidi w:val="0"/>
        <w:adjustRightInd w:val="0"/>
        <w:snapToGrid w:val="0"/>
        <w:spacing w:line="400" w:lineRule="exac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39</w:t>
      </w:r>
      <w:r>
        <w:rPr>
          <w:rFonts w:hint="eastAsia" w:ascii="宋体" w:hAnsi="宋体" w:eastAsia="宋体" w:cs="宋体"/>
          <w:b/>
          <w:bCs/>
          <w:color w:val="auto"/>
          <w:sz w:val="24"/>
          <w:szCs w:val="24"/>
        </w:rPr>
        <w:t>.签订合同</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.1 磋商文件、成交供应商的响应文件及其补充的响应文件等均为签订合同的依据。</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.2 成交供应商应当在成交通知书发出之日起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日内与采购人签订合同。</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.3 成交供应商应当按照合同约定履行义务。成交供应商不得向他人转让成交项目，也不得将成交项目分包后分别向他人转让。</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.4 成交供应商有下列情形之一的，责令限期改正，情节严重的，列入不良行为记录名单，在1至3年内禁止参加政府采购活动，并予以通报：</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（一）成交后无正当理由不与采购人签订合同的；</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（二）未按照采购文件确定的事项签订政府采购合同，或者与采购人另行订立背离合同实质性内容的协议的；</w:t>
      </w:r>
    </w:p>
    <w:p>
      <w:pPr>
        <w:pStyle w:val="24"/>
        <w:keepNext w:val="0"/>
        <w:keepLines w:val="0"/>
        <w:pageBreakBefore w:val="0"/>
        <w:widowControl w:val="0"/>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（三）拒绝履行合同义务的；</w:t>
      </w:r>
    </w:p>
    <w:p>
      <w:pPr>
        <w:pStyle w:val="2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eastAsia="宋体" w:cs="宋体"/>
          <w:color w:val="auto"/>
          <w:kern w:val="0"/>
          <w:sz w:val="24"/>
          <w:szCs w:val="24"/>
        </w:rPr>
        <w:t>违反法律、规章、规范性文件规定的。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七、其他规定</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40</w:t>
      </w:r>
      <w:r>
        <w:rPr>
          <w:rFonts w:hint="eastAsia" w:ascii="宋体" w:hAnsi="宋体" w:eastAsia="宋体" w:cs="宋体"/>
          <w:b/>
          <w:color w:val="auto"/>
          <w:sz w:val="24"/>
          <w:szCs w:val="24"/>
        </w:rPr>
        <w:t>.采购代理服务费、交易服务费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40</w:t>
      </w:r>
      <w:r>
        <w:rPr>
          <w:rFonts w:hint="eastAsia" w:ascii="宋体" w:hAnsi="宋体" w:eastAsia="宋体" w:cs="宋体"/>
          <w:color w:val="auto"/>
          <w:sz w:val="24"/>
          <w:szCs w:val="24"/>
        </w:rPr>
        <w:t>.1采购代理服务费：由成交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按国家规定标准在领取成交通知书之前一次性付清。</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41</w:t>
      </w:r>
      <w:r>
        <w:rPr>
          <w:rFonts w:hint="eastAsia" w:ascii="宋体" w:hAnsi="宋体" w:eastAsia="宋体" w:cs="宋体"/>
          <w:b/>
          <w:color w:val="auto"/>
          <w:sz w:val="24"/>
          <w:szCs w:val="24"/>
        </w:rPr>
        <w:t>. 其他规定</w:t>
      </w:r>
    </w:p>
    <w:p>
      <w:pPr>
        <w:keepNext w:val="0"/>
        <w:keepLines w:val="0"/>
        <w:pageBreakBefore w:val="0"/>
        <w:widowControl w:val="0"/>
        <w:tabs>
          <w:tab w:val="left" w:pos="420"/>
          <w:tab w:val="left" w:pos="7560"/>
          <w:tab w:val="left" w:pos="7740"/>
          <w:tab w:val="left" w:pos="7920"/>
        </w:tabs>
        <w:kinsoku/>
        <w:wordWrap/>
        <w:overflowPunct/>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41</w:t>
      </w:r>
      <w:r>
        <w:rPr>
          <w:rFonts w:hint="eastAsia" w:ascii="宋体" w:hAnsi="宋体" w:eastAsia="宋体" w:cs="宋体"/>
          <w:color w:val="auto"/>
          <w:sz w:val="24"/>
          <w:szCs w:val="24"/>
        </w:rPr>
        <w:t>.1磋商文件的其他规定见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w:t>
      </w:r>
    </w:p>
    <w:p>
      <w:pPr>
        <w:keepNext w:val="0"/>
        <w:keepLines w:val="0"/>
        <w:pageBreakBefore w:val="0"/>
        <w:tabs>
          <w:tab w:val="left" w:pos="0"/>
        </w:tabs>
        <w:kinsoku/>
        <w:wordWrap/>
        <w:overflowPunct/>
        <w:topLinePunct w:val="0"/>
        <w:autoSpaceDE/>
        <w:autoSpaceDN/>
        <w:bidi w:val="0"/>
        <w:adjustRightInd w:val="0"/>
        <w:snapToGrid w:val="0"/>
        <w:spacing w:line="400" w:lineRule="exact"/>
        <w:jc w:val="both"/>
        <w:textAlignment w:val="auto"/>
        <w:outlineLvl w:val="9"/>
        <w:rPr>
          <w:rFonts w:hint="eastAsia" w:ascii="宋体" w:hAnsi="宋体" w:cs="宋体"/>
          <w:b/>
          <w:bCs/>
          <w:color w:val="auto"/>
          <w:sz w:val="32"/>
          <w:szCs w:val="32"/>
        </w:rPr>
      </w:pPr>
    </w:p>
    <w:p>
      <w:pPr>
        <w:keepNext w:val="0"/>
        <w:keepLines w:val="0"/>
        <w:pageBreakBefore w:val="0"/>
        <w:tabs>
          <w:tab w:val="left" w:pos="0"/>
        </w:tabs>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b/>
          <w:color w:val="auto"/>
          <w:sz w:val="32"/>
          <w:szCs w:val="32"/>
        </w:rPr>
      </w:pPr>
      <w:r>
        <w:rPr>
          <w:rFonts w:hint="eastAsia" w:ascii="宋体" w:hAnsi="宋体" w:cs="宋体"/>
          <w:b/>
          <w:bCs/>
          <w:color w:val="auto"/>
          <w:sz w:val="32"/>
          <w:szCs w:val="32"/>
        </w:rPr>
        <w:t>第三章 磋商办法</w:t>
      </w:r>
    </w:p>
    <w:p>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一、磋商方法</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本项目采取综合评分法，</w:t>
      </w:r>
      <w:r>
        <w:rPr>
          <w:rFonts w:hint="eastAsia" w:ascii="宋体" w:hAnsi="宋体" w:eastAsia="宋体" w:cs="宋体"/>
          <w:bCs/>
          <w:color w:val="auto"/>
          <w:sz w:val="24"/>
          <w:szCs w:val="24"/>
          <w:lang w:eastAsia="zh-CN"/>
        </w:rPr>
        <w:t>价格权重</w:t>
      </w:r>
      <w:r>
        <w:rPr>
          <w:rFonts w:hint="eastAsia" w:ascii="宋体" w:hAnsi="宋体" w:eastAsia="宋体" w:cs="宋体"/>
          <w:bCs/>
          <w:color w:val="auto"/>
          <w:sz w:val="24"/>
          <w:szCs w:val="24"/>
          <w:lang w:val="en-US" w:eastAsia="zh-CN"/>
        </w:rPr>
        <w:t>30%，技术、商务权重70%，</w:t>
      </w:r>
      <w:r>
        <w:rPr>
          <w:rFonts w:hint="eastAsia" w:ascii="宋体" w:hAnsi="宋体" w:eastAsia="宋体" w:cs="宋体"/>
          <w:bCs/>
          <w:color w:val="auto"/>
          <w:sz w:val="24"/>
          <w:szCs w:val="24"/>
        </w:rPr>
        <w:t>即</w:t>
      </w:r>
      <w:r>
        <w:rPr>
          <w:rFonts w:hint="eastAsia" w:ascii="宋体" w:hAnsi="宋体" w:eastAsia="宋体" w:cs="宋体"/>
          <w:color w:val="auto"/>
          <w:sz w:val="24"/>
          <w:szCs w:val="24"/>
        </w:rPr>
        <w:t>响应文件满足磋商文件全部实质性要求且按磋商因素的量化指标评审得分最高的供应商为成交候选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的评审方法。</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磋商因素：价格、技术、</w:t>
      </w:r>
      <w:r>
        <w:rPr>
          <w:rFonts w:hint="eastAsia" w:ascii="宋体" w:hAnsi="宋体" w:eastAsia="宋体" w:cs="宋体"/>
          <w:color w:val="auto"/>
          <w:sz w:val="24"/>
          <w:szCs w:val="24"/>
          <w:lang w:eastAsia="zh-CN"/>
        </w:rPr>
        <w:t>信誉、</w:t>
      </w:r>
      <w:r>
        <w:rPr>
          <w:rFonts w:hint="eastAsia" w:ascii="宋体" w:hAnsi="宋体" w:eastAsia="宋体" w:cs="宋体"/>
          <w:color w:val="auto"/>
          <w:sz w:val="24"/>
          <w:szCs w:val="24"/>
        </w:rPr>
        <w:t>业绩、服务、对磋商文件的响应程度等，但不包括供应商资格条件。</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磋商</w:t>
      </w:r>
      <w:r>
        <w:rPr>
          <w:rFonts w:hint="eastAsia" w:ascii="宋体" w:hAnsi="宋体" w:eastAsia="宋体" w:cs="宋体"/>
          <w:color w:val="auto"/>
          <w:sz w:val="24"/>
          <w:szCs w:val="24"/>
        </w:rPr>
        <w:t>报价评价。磋商小组以经磋商确定最终采购需求，资格性、符合性检查合格的供应商提交的最后报价为基础，</w:t>
      </w:r>
      <w:r>
        <w:rPr>
          <w:rFonts w:hint="eastAsia" w:ascii="宋体" w:hAnsi="宋体" w:eastAsia="宋体" w:cs="宋体"/>
          <w:color w:val="auto"/>
          <w:kern w:val="0"/>
          <w:sz w:val="24"/>
          <w:szCs w:val="24"/>
        </w:rPr>
        <w:t>依次</w:t>
      </w:r>
      <w:r>
        <w:rPr>
          <w:rFonts w:hint="eastAsia" w:ascii="宋体" w:hAnsi="宋体" w:eastAsia="宋体" w:cs="宋体"/>
          <w:color w:val="auto"/>
          <w:sz w:val="24"/>
          <w:szCs w:val="24"/>
        </w:rPr>
        <w:t>对磋商报价进行</w:t>
      </w:r>
      <w:r>
        <w:rPr>
          <w:rFonts w:hint="eastAsia" w:ascii="宋体" w:hAnsi="宋体" w:eastAsia="宋体" w:cs="宋体"/>
          <w:color w:val="auto"/>
          <w:kern w:val="0"/>
          <w:sz w:val="24"/>
          <w:szCs w:val="24"/>
        </w:rPr>
        <w:t>算术</w:t>
      </w:r>
      <w:r>
        <w:rPr>
          <w:rFonts w:hint="eastAsia" w:ascii="宋体" w:hAnsi="宋体" w:eastAsia="宋体" w:cs="宋体"/>
          <w:color w:val="auto"/>
          <w:sz w:val="24"/>
          <w:szCs w:val="24"/>
        </w:rPr>
        <w:t>修正和政府采购政策优惠价格扣除计算。</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项目评审过程中，不得去掉最终报价中的最高报价和最低报价。</w:t>
      </w:r>
    </w:p>
    <w:p>
      <w:pPr>
        <w:pStyle w:val="18"/>
        <w:ind w:firstLine="420" w:firstLineChars="200"/>
      </w:pPr>
      <w:r>
        <w:t xml:space="preserve">1、本项目为非专门面向中小企业的项目，根据《政府采购促进中小企业发展暂行办法》的规定，本项目评标时对小型和微型企业产品的价格给予 6%的扣除， 用扣除后的价格参与评审。 监狱企业及残疾人福利性单位视同小型、微型企业，享受评审中价格扣除等政府采购促进中小企业发展的政府采购政策 </w:t>
      </w:r>
    </w:p>
    <w:p>
      <w:pPr>
        <w:pStyle w:val="18"/>
        <w:ind w:firstLine="420" w:firstLineChars="200"/>
      </w:pPr>
      <w:r>
        <w:t>2、符合标准的小微企业须提供中小企业声明函，后附小微企业“从业人员、营业收入、资产总额”的相关证明材料或企业所在地的中小企业主管部门出具的认定证明文件。未同时提供声明函和上述证明材料的，评分时不予价格扣除。</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rPr>
      </w:pPr>
      <w:r>
        <w:rPr>
          <w:rFonts w:hint="eastAsia" w:ascii="宋体" w:hAnsi="宋体" w:eastAsia="宋体" w:cs="宋体"/>
          <w:color w:val="auto"/>
          <w:sz w:val="24"/>
          <w:szCs w:val="24"/>
        </w:rPr>
        <w:t>磋商小组</w:t>
      </w:r>
      <w:r>
        <w:rPr>
          <w:rFonts w:hint="eastAsia" w:ascii="宋体" w:hAnsi="宋体"/>
          <w:color w:val="000000"/>
          <w:sz w:val="24"/>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w:t>
      </w:r>
      <w:r>
        <w:rPr>
          <w:rFonts w:hint="eastAsia" w:ascii="宋体" w:hAnsi="宋体" w:eastAsia="宋体" w:cs="宋体"/>
          <w:color w:val="auto"/>
          <w:sz w:val="24"/>
          <w:szCs w:val="24"/>
        </w:rPr>
        <w:t>磋商小组</w:t>
      </w:r>
      <w:r>
        <w:rPr>
          <w:rFonts w:hint="eastAsia" w:ascii="宋体" w:hAnsi="宋体"/>
          <w:color w:val="000000"/>
          <w:sz w:val="24"/>
        </w:rPr>
        <w:t>应当将其作为无效投标处理。</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价格分采用低价优先法计算，即满足磋商文件要求且磋商报价最低的磋商报价为磋商基准价，其价格分为满分，其他</w:t>
      </w:r>
      <w:r>
        <w:rPr>
          <w:rFonts w:hint="eastAsia" w:ascii="宋体" w:hAnsi="宋体" w:eastAsia="宋体" w:cs="宋体"/>
          <w:color w:val="auto"/>
          <w:sz w:val="24"/>
          <w:szCs w:val="24"/>
        </w:rPr>
        <w:t>有效供应商</w:t>
      </w:r>
      <w:r>
        <w:rPr>
          <w:rFonts w:hint="eastAsia" w:ascii="宋体" w:hAnsi="宋体" w:eastAsia="宋体" w:cs="宋体"/>
          <w:color w:val="auto"/>
          <w:kern w:val="0"/>
          <w:sz w:val="24"/>
          <w:szCs w:val="24"/>
        </w:rPr>
        <w:t>的价格分按照下列公式计算：</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磋商报价得分=(磋商基准价／最后磋商报价)×价格权值×100</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磋商报价高于采购人预算价为无效响应。</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本项所称磋商报价为按</w:t>
      </w:r>
      <w:r>
        <w:rPr>
          <w:rFonts w:hint="eastAsia" w:ascii="宋体" w:hAnsi="宋体" w:eastAsia="宋体" w:cs="宋体"/>
          <w:bCs/>
          <w:color w:val="auto"/>
          <w:sz w:val="24"/>
          <w:szCs w:val="24"/>
        </w:rPr>
        <w:t>第二章第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w:t>
      </w:r>
      <w:r>
        <w:rPr>
          <w:rFonts w:hint="eastAsia" w:ascii="宋体" w:hAnsi="宋体" w:eastAsia="宋体" w:cs="宋体"/>
          <w:color w:val="auto"/>
          <w:sz w:val="24"/>
          <w:szCs w:val="24"/>
        </w:rPr>
        <w:t>评价后的磋商报价。</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评审时，磋商小组各成员应当独立对每个供应商的响应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进行评价、评分。</w:t>
      </w:r>
    </w:p>
    <w:p>
      <w:pPr>
        <w:keepNext w:val="0"/>
        <w:keepLines w:val="0"/>
        <w:pageBreakBefore w:val="0"/>
        <w:tabs>
          <w:tab w:val="left" w:pos="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二.推荐成交候选供应商</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1、磋商小组应当根据综合评分情况，</w:t>
      </w:r>
      <w:r>
        <w:rPr>
          <w:rFonts w:hint="eastAsia" w:ascii="宋体" w:hAnsi="宋体" w:eastAsia="宋体" w:cs="宋体"/>
          <w:bCs/>
          <w:color w:val="auto"/>
          <w:sz w:val="24"/>
          <w:szCs w:val="24"/>
        </w:rPr>
        <w:t>按评审得分由高到低顺序推荐3名以上成交候选供应商，并编写评审报告。得分相同的，按最后报价由低到高顺序排列。得分且最后报价相同的，按技术指标优劣顺序推荐。</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Cs/>
          <w:color w:val="auto"/>
          <w:sz w:val="24"/>
          <w:szCs w:val="24"/>
        </w:rPr>
        <w:t>2、除市场竞争不充分的科研项目，以及需要扶持的科技成果转化项目可以推荐2家成候选供应商外，其他项目</w:t>
      </w:r>
      <w:r>
        <w:rPr>
          <w:rFonts w:hint="eastAsia" w:ascii="宋体" w:hAnsi="宋体" w:eastAsia="宋体" w:cs="宋体"/>
          <w:color w:val="auto"/>
          <w:sz w:val="24"/>
          <w:szCs w:val="24"/>
        </w:rPr>
        <w:t>成交候选供应商数量为前3名</w:t>
      </w:r>
      <w:r>
        <w:rPr>
          <w:rFonts w:hint="eastAsia" w:ascii="宋体" w:hAnsi="宋体" w:eastAsia="宋体" w:cs="宋体"/>
          <w:color w:val="auto"/>
          <w:sz w:val="24"/>
          <w:szCs w:val="24"/>
          <w:lang w:eastAsia="zh-CN"/>
        </w:rPr>
        <w:t>。</w:t>
      </w:r>
    </w:p>
    <w:p>
      <w:pPr>
        <w:keepNext w:val="0"/>
        <w:keepLines w:val="0"/>
        <w:pageBreakBefore w:val="0"/>
        <w:tabs>
          <w:tab w:val="left" w:pos="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三.确定成交供应商</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40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2、采购人应当在收到评审报告后5个工作日内，从评审报告提出的成交候选</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中，根据质量和服务均能满足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实质性响应要求且最后报价最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kinsoku/>
        <w:wordWrap/>
        <w:overflowPunct/>
        <w:topLinePunct w:val="0"/>
        <w:autoSpaceDE/>
        <w:autoSpaceDN/>
        <w:bidi w:val="0"/>
        <w:adjustRightInd w:val="0"/>
        <w:snapToGrid w:val="0"/>
        <w:spacing w:line="400" w:lineRule="exact"/>
        <w:ind w:firstLine="420"/>
        <w:jc w:val="left"/>
        <w:textAlignment w:val="auto"/>
        <w:rPr>
          <w:rFonts w:hint="eastAsia"/>
        </w:rPr>
      </w:pPr>
      <w:r>
        <w:rPr>
          <w:rFonts w:hint="eastAsia" w:ascii="宋体" w:hAnsi="宋体" w:eastAsia="宋体" w:cs="宋体"/>
          <w:color w:val="auto"/>
          <w:kern w:val="0"/>
          <w:sz w:val="24"/>
          <w:szCs w:val="24"/>
        </w:rPr>
        <w:t>3、最后报价确定遵守第二章第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条</w:t>
      </w:r>
      <w:r>
        <w:rPr>
          <w:rFonts w:hint="eastAsia" w:ascii="宋体" w:hAnsi="宋体" w:eastAsia="宋体" w:cs="宋体"/>
          <w:color w:val="auto"/>
          <w:kern w:val="0"/>
          <w:sz w:val="24"/>
          <w:szCs w:val="24"/>
        </w:rPr>
        <w:t>的</w:t>
      </w:r>
      <w:r>
        <w:rPr>
          <w:rFonts w:hint="eastAsia" w:ascii="宋体" w:hAnsi="宋体" w:eastAsia="宋体" w:cs="宋体"/>
          <w:bCs/>
          <w:color w:val="auto"/>
          <w:sz w:val="24"/>
          <w:szCs w:val="24"/>
        </w:rPr>
        <w:t>规定。</w:t>
      </w:r>
    </w:p>
    <w:p>
      <w:pPr>
        <w:tabs>
          <w:tab w:val="left" w:pos="0"/>
        </w:tabs>
        <w:adjustRightInd w:val="0"/>
        <w:snapToGrid w:val="0"/>
        <w:spacing w:before="156" w:beforeLines="50" w:line="360" w:lineRule="auto"/>
        <w:outlineLvl w:val="9"/>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rPr>
      </w:pPr>
    </w:p>
    <w:p>
      <w:pPr>
        <w:tabs>
          <w:tab w:val="left" w:pos="0"/>
        </w:tabs>
        <w:adjustRightInd w:val="0"/>
        <w:snapToGrid w:val="0"/>
        <w:spacing w:before="156" w:beforeLines="50"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附：评审表格</w:t>
      </w: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附表1：</w:t>
      </w:r>
    </w:p>
    <w:p>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资格性检查表</w:t>
      </w:r>
    </w:p>
    <w:tbl>
      <w:tblPr>
        <w:tblStyle w:val="4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10"/>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9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检查因素</w:t>
            </w:r>
          </w:p>
        </w:tc>
        <w:tc>
          <w:tcPr>
            <w:tcW w:w="5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6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供应商应符合的基本资格条件</w:t>
            </w: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（1）具有独立承担民事责任的能力</w:t>
            </w:r>
          </w:p>
        </w:tc>
        <w:tc>
          <w:tcPr>
            <w:tcW w:w="5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营业执照等有效证明文件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，以及法定代表身份证明或授权代表委托书等。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（2）审计报告或资信证明</w:t>
            </w:r>
          </w:p>
        </w:tc>
        <w:tc>
          <w:tcPr>
            <w:tcW w:w="5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会计事务所出具的20</w:t>
            </w:r>
            <w:r>
              <w:rPr>
                <w:rFonts w:hint="eastAsia" w:ascii="宋体" w:hAnsi="宋体" w:eastAsia="宋体" w:cs="宋体"/>
                <w:color w:val="auto"/>
                <w:sz w:val="24"/>
                <w:szCs w:val="24"/>
                <w:lang w:val="zh-CN" w:eastAsia="zh-CN"/>
              </w:rPr>
              <w:t>20</w:t>
            </w:r>
            <w:r>
              <w:rPr>
                <w:rFonts w:hint="eastAsia" w:ascii="宋体" w:hAnsi="宋体" w:eastAsia="宋体" w:cs="宋体"/>
                <w:color w:val="auto"/>
                <w:sz w:val="24"/>
                <w:szCs w:val="24"/>
                <w:lang w:val="zh-CN"/>
              </w:rPr>
              <w:t>年度财务审计报告或</w:t>
            </w:r>
            <w:r>
              <w:rPr>
                <w:rFonts w:hint="eastAsia" w:ascii="宋体" w:hAnsi="宋体" w:eastAsia="宋体" w:cs="宋体"/>
                <w:color w:val="auto"/>
                <w:sz w:val="24"/>
                <w:szCs w:val="24"/>
                <w:lang w:val="zh-CN" w:eastAsia="zh-CN"/>
              </w:rPr>
              <w:t>提供</w:t>
            </w:r>
            <w:r>
              <w:rPr>
                <w:rFonts w:hint="eastAsia" w:ascii="宋体" w:hAnsi="宋体" w:eastAsia="宋体" w:cs="宋体"/>
                <w:color w:val="auto"/>
                <w:sz w:val="24"/>
                <w:szCs w:val="24"/>
                <w:lang w:val="zh-CN"/>
              </w:rPr>
              <w:t>银行出具的资信证明</w:t>
            </w:r>
            <w:r>
              <w:rPr>
                <w:rFonts w:hint="eastAsia" w:ascii="宋体" w:hAnsi="宋体" w:eastAsia="宋体" w:cs="宋体"/>
                <w:color w:val="auto"/>
                <w:sz w:val="24"/>
                <w:szCs w:val="24"/>
                <w:lang w:val="zh-CN" w:eastAsia="zh-CN"/>
              </w:rPr>
              <w:t>（资信证明仅限2021年成立的企业）</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6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良好的纳税证明</w:t>
            </w:r>
          </w:p>
        </w:tc>
        <w:tc>
          <w:tcPr>
            <w:tcW w:w="5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税务部门出具的2020年依法纳税证明资料。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6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社保证明</w:t>
            </w:r>
          </w:p>
        </w:tc>
        <w:tc>
          <w:tcPr>
            <w:tcW w:w="5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社保机构出具的供应商被授权委托人缴纳2021年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eastAsia="zh-CN"/>
              </w:rPr>
              <w:t>月-2021年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zh-CN" w:eastAsia="zh-CN"/>
              </w:rPr>
              <w:t>月的社保资金证明原件或加盖电子专用章的缴费清单</w:t>
            </w:r>
            <w:r>
              <w:rPr>
                <w:rFonts w:hint="eastAsia" w:ascii="宋体" w:hAnsi="宋体" w:cs="宋体"/>
                <w:color w:val="auto"/>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39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5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足额缴纳投标保证金</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9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信用截图</w:t>
            </w:r>
          </w:p>
        </w:tc>
        <w:tc>
          <w:tcPr>
            <w:tcW w:w="5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分别在“信用中国”（www.creditchina.gov.cn）网上查询本公司未被列入失信被执行人、重大税收违法案件当事人名单、“中国政府采购网”（ www.ccgp.gov.cn）网上查询本公司未被列入政府采购严重违法失信行为记录名单（提供查询结果网页截图并加盖供应商公章，网页打印件须自公告发布之日起至截止日内从上述网站中打印）；</w:t>
            </w:r>
          </w:p>
        </w:tc>
      </w:tr>
    </w:tbl>
    <w:p>
      <w:pPr>
        <w:pStyle w:val="27"/>
        <w:adjustRightInd w:val="0"/>
        <w:snapToGrid w:val="0"/>
        <w:spacing w:after="0" w:line="360" w:lineRule="auto"/>
        <w:ind w:left="-178" w:leftChars="-85" w:firstLine="236" w:firstLineChars="98"/>
        <w:rPr>
          <w:rFonts w:hint="eastAsia" w:ascii="宋体" w:hAnsi="宋体" w:eastAsia="宋体" w:cs="宋体"/>
          <w:b/>
          <w:color w:val="auto"/>
          <w:sz w:val="24"/>
          <w:szCs w:val="24"/>
        </w:rPr>
      </w:pPr>
      <w:r>
        <w:rPr>
          <w:rFonts w:hint="eastAsia" w:ascii="宋体" w:hAnsi="宋体" w:eastAsia="宋体" w:cs="宋体"/>
          <w:b/>
          <w:color w:val="auto"/>
          <w:sz w:val="24"/>
          <w:szCs w:val="24"/>
        </w:rPr>
        <w:t>注：有下述情况之一的，磋商小组成员认定其为不合格供应商：</w:t>
      </w:r>
    </w:p>
    <w:p>
      <w:pPr>
        <w:pStyle w:val="27"/>
        <w:numPr>
          <w:ilvl w:val="0"/>
          <w:numId w:val="3"/>
        </w:numPr>
        <w:adjustRightInd w:val="0"/>
        <w:snapToGrid w:val="0"/>
        <w:spacing w:after="0" w:line="360" w:lineRule="auto"/>
        <w:ind w:leftChars="0" w:right="-336" w:rightChars="-160"/>
        <w:rPr>
          <w:rFonts w:hint="eastAsia" w:ascii="宋体" w:hAnsi="宋体" w:eastAsia="宋体" w:cs="宋体"/>
          <w:color w:val="auto"/>
          <w:sz w:val="24"/>
          <w:szCs w:val="24"/>
        </w:rPr>
      </w:pPr>
      <w:r>
        <w:rPr>
          <w:rFonts w:hint="eastAsia" w:ascii="宋体" w:hAnsi="宋体" w:eastAsia="宋体" w:cs="宋体"/>
          <w:color w:val="auto"/>
          <w:sz w:val="24"/>
          <w:szCs w:val="24"/>
        </w:rPr>
        <w:t>在磋商过程中，磋商小组成员发现供应商以他人的名义参与磋商的；串通磋商的；以行贿手段谋取成交或者以其他弄虚作假方式参与磋商的；</w:t>
      </w:r>
    </w:p>
    <w:p>
      <w:pPr>
        <w:pStyle w:val="27"/>
        <w:adjustRightInd w:val="0"/>
        <w:snapToGrid w:val="0"/>
        <w:spacing w:after="0" w:line="360" w:lineRule="auto"/>
        <w:ind w:left="-178" w:leftChars="-85"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（2） 供应商拒不按照要求对响应文件进行澄清、说明或者补正的；</w:t>
      </w:r>
    </w:p>
    <w:p>
      <w:pPr>
        <w:pStyle w:val="27"/>
        <w:adjustRightInd w:val="0"/>
        <w:snapToGrid w:val="0"/>
        <w:spacing w:after="0" w:line="360" w:lineRule="auto"/>
        <w:ind w:left="-178" w:leftChars="-85" w:right="899" w:rightChars="428" w:firstLine="120" w:firstLineChars="50"/>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应交未交保证金或未按磋商文件规定交纳保证金的；</w:t>
      </w:r>
    </w:p>
    <w:p>
      <w:pPr>
        <w:pStyle w:val="27"/>
        <w:adjustRightInd w:val="0"/>
        <w:snapToGrid w:val="0"/>
        <w:spacing w:after="0" w:line="360" w:lineRule="auto"/>
        <w:ind w:left="-178" w:leftChars="-85" w:right="204" w:rightChars="97"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供应商不能按磋商文件规定提供合法的、真实的证明材料原件证明其为合格供应商的</w:t>
      </w:r>
      <w:r>
        <w:rPr>
          <w:rFonts w:hint="eastAsia" w:ascii="宋体" w:hAnsi="宋体" w:eastAsia="宋体" w:cs="宋体"/>
          <w:color w:val="auto"/>
          <w:sz w:val="24"/>
          <w:szCs w:val="24"/>
          <w:lang w:val="zh-CN"/>
        </w:rPr>
        <w:t>；</w:t>
      </w:r>
    </w:p>
    <w:p>
      <w:pPr>
        <w:pStyle w:val="27"/>
        <w:adjustRightInd w:val="0"/>
        <w:snapToGrid w:val="0"/>
        <w:spacing w:after="0" w:line="360" w:lineRule="auto"/>
        <w:ind w:left="512" w:leftChars="-42"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供应商资格条件不符合国家有关规定或者磋商文件要求以及其它不能满足法律法规资格性规定的。</w:t>
      </w:r>
    </w:p>
    <w:p>
      <w:pPr>
        <w:pStyle w:val="20"/>
        <w:spacing w:line="360" w:lineRule="auto"/>
        <w:ind w:left="147" w:leftChars="70" w:firstLine="118" w:firstLineChars="49"/>
        <w:rPr>
          <w:rFonts w:hint="eastAsia"/>
        </w:rPr>
      </w:pPr>
      <w:r>
        <w:rPr>
          <w:rFonts w:hint="eastAsia" w:ascii="宋体" w:hAnsi="宋体" w:cs="宋体"/>
          <w:b/>
          <w:color w:val="auto"/>
          <w:sz w:val="24"/>
          <w:szCs w:val="24"/>
          <w:lang w:eastAsia="zh-CN"/>
        </w:rPr>
        <w:t>注：</w:t>
      </w:r>
      <w:r>
        <w:rPr>
          <w:rFonts w:hint="eastAsia" w:ascii="宋体" w:hAnsi="宋体" w:eastAsia="宋体" w:cs="宋体"/>
          <w:b/>
          <w:color w:val="auto"/>
          <w:sz w:val="24"/>
          <w:szCs w:val="24"/>
        </w:rPr>
        <w:t>结论填写“合格”或“不合格”，不合格供应商不进入下一轮评审。</w:t>
      </w: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附表2：                    </w:t>
      </w:r>
    </w:p>
    <w:p>
      <w:pPr>
        <w:spacing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符合性检查表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评审因素</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有效性审查</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文件签署</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法定代表人授权委托书及被授权人身份证明</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法定代表人授权委托书及被授权人身份证明有效，符合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投标方案</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报价唯一</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zh-CN"/>
              </w:rPr>
              <w:t>不能超过采购预算价，</w:t>
            </w:r>
            <w:r>
              <w:rPr>
                <w:rFonts w:hint="eastAsia" w:ascii="宋体" w:hAnsi="宋体" w:eastAsia="宋体" w:cs="宋体"/>
                <w:color w:val="auto"/>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完整性审查</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lang w:val="zh-CN"/>
              </w:rPr>
              <w:t>文件是否提供电子版</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lang w:val="zh-CN"/>
              </w:rPr>
              <w:t>文件是否提供电子版</w:t>
            </w:r>
            <w:r>
              <w:rPr>
                <w:rFonts w:hint="eastAsia" w:ascii="宋体" w:hAnsi="宋体" w:eastAsia="宋体" w:cs="宋体"/>
                <w:color w:val="auto"/>
                <w:sz w:val="24"/>
                <w:szCs w:val="24"/>
                <w:lang w:val="en-US" w:eastAsia="zh-CN"/>
              </w:rPr>
              <w:t>U</w:t>
            </w:r>
            <w:r>
              <w:rPr>
                <w:rFonts w:hint="eastAsia" w:ascii="宋体" w:hAnsi="宋体" w:eastAsia="宋体" w:cs="宋体"/>
                <w:color w:val="auto"/>
                <w:sz w:val="24"/>
                <w:szCs w:val="24"/>
                <w:lang w:val="zh-CN"/>
              </w:rPr>
              <w:t>盘及光盘各</w:t>
            </w:r>
            <w:r>
              <w:rPr>
                <w:rFonts w:hint="eastAsia" w:ascii="宋体" w:hAnsi="宋体" w:eastAsia="宋体" w:cs="宋体"/>
                <w:color w:val="auto"/>
                <w:sz w:val="24"/>
                <w:szCs w:val="24"/>
                <w:lang w:val="zh-CN" w:eastAsia="zh-CN"/>
              </w:rPr>
              <w:t>一份</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响应文件内容</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文件的响应程度审查</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合同条款</w:t>
            </w:r>
          </w:p>
        </w:tc>
        <w:tc>
          <w:tcPr>
            <w:tcW w:w="4772"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w:t>
            </w:r>
            <w:r>
              <w:rPr>
                <w:rFonts w:hint="eastAsia" w:ascii="宋体" w:hAnsi="宋体" w:eastAsia="宋体" w:cs="宋体"/>
                <w:color w:val="auto"/>
                <w:kern w:val="0"/>
                <w:sz w:val="24"/>
                <w:szCs w:val="24"/>
                <w:lang w:eastAsia="zh-CN"/>
              </w:rPr>
              <w:t>磋商文件中合同条款</w:t>
            </w:r>
            <w:r>
              <w:rPr>
                <w:rFonts w:hint="eastAsia" w:ascii="宋体" w:hAnsi="宋体" w:eastAsia="宋体" w:cs="宋体"/>
                <w:color w:val="auto"/>
                <w:kern w:val="0"/>
                <w:sz w:val="24"/>
                <w:szCs w:val="24"/>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投标有效期</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w:t>
            </w:r>
            <w:r>
              <w:rPr>
                <w:rFonts w:hint="eastAsia" w:ascii="宋体" w:hAnsi="宋体" w:eastAsia="宋体" w:cs="宋体"/>
                <w:color w:val="auto"/>
                <w:sz w:val="24"/>
                <w:szCs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lang w:eastAsia="zh-CN"/>
              </w:rPr>
              <w:t>交货时间</w:t>
            </w:r>
          </w:p>
        </w:tc>
        <w:tc>
          <w:tcPr>
            <w:tcW w:w="4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w:t>
            </w:r>
            <w:r>
              <w:rPr>
                <w:rFonts w:hint="eastAsia" w:ascii="宋体" w:hAnsi="宋体" w:eastAsia="宋体" w:cs="宋体"/>
                <w:color w:val="auto"/>
                <w:sz w:val="24"/>
                <w:szCs w:val="24"/>
                <w:lang w:val="zh-CN"/>
              </w:rPr>
              <w:t>规定。</w:t>
            </w:r>
          </w:p>
        </w:tc>
      </w:tr>
    </w:tbl>
    <w:p>
      <w:pPr>
        <w:spacing w:line="360" w:lineRule="auto"/>
        <w:rPr>
          <w:rFonts w:hint="eastAsia" w:ascii="宋体" w:hAnsi="宋体" w:eastAsia="宋体" w:cs="宋体"/>
          <w:bCs/>
          <w:color w:val="auto"/>
          <w:sz w:val="24"/>
          <w:szCs w:val="24"/>
          <w:vertAlign w:val="subscript"/>
        </w:rPr>
      </w:pPr>
    </w:p>
    <w:p>
      <w:pPr>
        <w:pStyle w:val="27"/>
        <w:adjustRightInd w:val="0"/>
        <w:snapToGrid w:val="0"/>
        <w:spacing w:after="0" w:line="360" w:lineRule="auto"/>
        <w:ind w:left="-359" w:leftChars="-171" w:firstLine="359" w:firstLineChars="149"/>
        <w:rPr>
          <w:rFonts w:hint="eastAsia" w:ascii="宋体" w:hAnsi="宋体" w:eastAsia="宋体" w:cs="宋体"/>
          <w:b/>
          <w:color w:val="auto"/>
          <w:sz w:val="24"/>
          <w:szCs w:val="24"/>
        </w:rPr>
      </w:pPr>
      <w:r>
        <w:rPr>
          <w:rFonts w:hint="eastAsia" w:ascii="宋体" w:hAnsi="宋体" w:eastAsia="宋体" w:cs="宋体"/>
          <w:b/>
          <w:color w:val="auto"/>
          <w:sz w:val="24"/>
          <w:szCs w:val="24"/>
        </w:rPr>
        <w:t>有下述情况之一的，磋商小组成员认定其为不合格供应商：</w:t>
      </w:r>
    </w:p>
    <w:p>
      <w:pPr>
        <w:pStyle w:val="27"/>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（1） 响应文件载明的磋商响应文件范围小于磋商文件规定的采购范围的；</w:t>
      </w:r>
    </w:p>
    <w:p>
      <w:pPr>
        <w:pStyle w:val="27"/>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（2） 响应文件载明的服务规范标准低于磋商文件规定的；</w:t>
      </w:r>
    </w:p>
    <w:p>
      <w:pPr>
        <w:pStyle w:val="27"/>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（3） 响应文件载明的</w:t>
      </w:r>
      <w:r>
        <w:rPr>
          <w:rFonts w:hint="eastAsia" w:ascii="宋体" w:hAnsi="宋体" w:eastAsia="宋体" w:cs="宋体"/>
          <w:color w:val="auto"/>
          <w:sz w:val="24"/>
          <w:szCs w:val="24"/>
          <w:lang w:eastAsia="zh-CN"/>
        </w:rPr>
        <w:t>合同履行期限</w:t>
      </w:r>
      <w:r>
        <w:rPr>
          <w:rFonts w:hint="eastAsia" w:ascii="宋体" w:hAnsi="宋体" w:eastAsia="宋体" w:cs="宋体"/>
          <w:color w:val="auto"/>
          <w:sz w:val="24"/>
          <w:szCs w:val="24"/>
        </w:rPr>
        <w:t>超过磋商文件规定的；</w:t>
      </w:r>
    </w:p>
    <w:p>
      <w:pPr>
        <w:pStyle w:val="27"/>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不符合磋商文件★条款的；</w:t>
      </w:r>
    </w:p>
    <w:p>
      <w:pPr>
        <w:pStyle w:val="27"/>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（5） 磋商报价超过</w:t>
      </w:r>
      <w:r>
        <w:rPr>
          <w:rFonts w:hint="eastAsia" w:ascii="宋体" w:hAnsi="宋体" w:eastAsia="宋体" w:cs="宋体"/>
          <w:color w:val="auto"/>
          <w:sz w:val="24"/>
          <w:szCs w:val="24"/>
          <w:lang w:val="zh-CN"/>
        </w:rPr>
        <w:t>采购预算价</w:t>
      </w:r>
      <w:r>
        <w:rPr>
          <w:rFonts w:hint="eastAsia" w:ascii="宋体" w:hAnsi="宋体" w:eastAsia="宋体" w:cs="宋体"/>
          <w:color w:val="auto"/>
          <w:sz w:val="24"/>
          <w:szCs w:val="24"/>
        </w:rPr>
        <w:t>的；</w:t>
      </w:r>
    </w:p>
    <w:p>
      <w:pPr>
        <w:pStyle w:val="27"/>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（6） 响应文件附有采购人不能接受的条件的；</w:t>
      </w:r>
    </w:p>
    <w:p>
      <w:pPr>
        <w:pStyle w:val="27"/>
        <w:adjustRightInd w:val="0"/>
        <w:snapToGrid w:val="0"/>
        <w:spacing w:after="0" w:line="360" w:lineRule="auto"/>
        <w:ind w:left="512" w:leftChars="-42"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（7） 供应商有本磋商文件第二章</w:t>
      </w:r>
      <w:r>
        <w:rPr>
          <w:rFonts w:hint="eastAsia" w:ascii="宋体" w:hAnsi="宋体" w:eastAsia="宋体" w:cs="宋体"/>
          <w:color w:val="auto"/>
          <w:sz w:val="24"/>
          <w:szCs w:val="24"/>
          <w:lang w:eastAsia="zh-CN"/>
        </w:rPr>
        <w:t>27</w:t>
      </w:r>
      <w:r>
        <w:rPr>
          <w:rFonts w:hint="eastAsia" w:ascii="宋体" w:hAnsi="宋体" w:eastAsia="宋体" w:cs="宋体"/>
          <w:color w:val="auto"/>
          <w:sz w:val="24"/>
          <w:szCs w:val="24"/>
        </w:rPr>
        <w:t>.2款规定情况之一的。</w:t>
      </w:r>
    </w:p>
    <w:p>
      <w:pPr>
        <w:pStyle w:val="27"/>
        <w:adjustRightInd w:val="0"/>
        <w:snapToGrid w:val="0"/>
        <w:spacing w:after="0" w:line="360" w:lineRule="auto"/>
        <w:ind w:left="-181" w:leftChars="-86" w:firstLine="120" w:firstLineChars="50"/>
        <w:rPr>
          <w:rFonts w:hint="eastAsia" w:ascii="宋体" w:hAnsi="宋体" w:eastAsia="宋体" w:cs="宋体"/>
          <w:b/>
          <w:bCs/>
          <w:color w:val="auto"/>
          <w:sz w:val="24"/>
          <w:szCs w:val="24"/>
        </w:rPr>
      </w:pPr>
      <w:r>
        <w:rPr>
          <w:rFonts w:hint="eastAsia" w:ascii="宋体" w:hAnsi="宋体" w:eastAsia="宋体" w:cs="宋体"/>
          <w:color w:val="auto"/>
          <w:sz w:val="24"/>
          <w:szCs w:val="24"/>
        </w:rPr>
        <w:t>（8） 其它未能实质响应磋商文件条件和要求的。</w:t>
      </w:r>
    </w:p>
    <w:p>
      <w:pPr>
        <w:pStyle w:val="20"/>
        <w:spacing w:line="360" w:lineRule="auto"/>
        <w:ind w:left="147" w:leftChars="70" w:firstLine="118" w:firstLineChars="49"/>
        <w:rPr>
          <w:rFonts w:hint="eastAsia" w:ascii="宋体" w:hAnsi="宋体" w:eastAsia="宋体" w:cs="宋体"/>
          <w:color w:val="auto"/>
          <w:sz w:val="24"/>
          <w:szCs w:val="24"/>
        </w:rPr>
      </w:pPr>
      <w:r>
        <w:rPr>
          <w:rFonts w:hint="eastAsia" w:ascii="宋体" w:hAnsi="宋体" w:cs="宋体"/>
          <w:b/>
          <w:color w:val="auto"/>
          <w:sz w:val="24"/>
          <w:szCs w:val="24"/>
          <w:lang w:eastAsia="zh-CN"/>
        </w:rPr>
        <w:t>注：</w:t>
      </w:r>
      <w:r>
        <w:rPr>
          <w:rFonts w:hint="eastAsia" w:ascii="宋体" w:hAnsi="宋体" w:eastAsia="宋体" w:cs="宋体"/>
          <w:b/>
          <w:color w:val="auto"/>
          <w:sz w:val="24"/>
          <w:szCs w:val="24"/>
        </w:rPr>
        <w:t>结论填写“合格”或“不合格”，不合格供应商不进入下一轮评审。</w:t>
      </w:r>
    </w:p>
    <w:p>
      <w:pPr>
        <w:spacing w:line="360" w:lineRule="auto"/>
        <w:ind w:left="-359" w:leftChars="-171" w:firstLine="472" w:firstLineChars="196"/>
        <w:outlineLvl w:val="9"/>
        <w:rPr>
          <w:rFonts w:hint="eastAsia" w:ascii="宋体" w:hAnsi="宋体" w:eastAsia="宋体" w:cs="宋体"/>
          <w:b/>
          <w:color w:val="auto"/>
          <w:sz w:val="24"/>
          <w:szCs w:val="24"/>
        </w:rPr>
      </w:pPr>
    </w:p>
    <w:p>
      <w:pPr>
        <w:spacing w:line="360" w:lineRule="auto"/>
        <w:ind w:left="-359" w:leftChars="-171" w:firstLine="472" w:firstLineChars="196"/>
        <w:outlineLvl w:val="9"/>
        <w:rPr>
          <w:rFonts w:hint="eastAsia" w:ascii="宋体" w:hAnsi="宋体" w:eastAsia="宋体" w:cs="宋体"/>
          <w:b/>
          <w:color w:val="auto"/>
          <w:sz w:val="24"/>
          <w:szCs w:val="24"/>
        </w:rPr>
      </w:pPr>
    </w:p>
    <w:p>
      <w:pPr>
        <w:spacing w:line="360" w:lineRule="auto"/>
        <w:ind w:left="-359" w:leftChars="-171" w:firstLine="472" w:firstLineChars="196"/>
        <w:outlineLvl w:val="9"/>
        <w:rPr>
          <w:rFonts w:hint="eastAsia" w:ascii="宋体" w:hAnsi="宋体" w:eastAsia="宋体" w:cs="宋体"/>
          <w:b/>
          <w:color w:val="auto"/>
          <w:sz w:val="24"/>
          <w:szCs w:val="24"/>
        </w:rPr>
      </w:pPr>
    </w:p>
    <w:p>
      <w:pPr>
        <w:spacing w:line="360" w:lineRule="auto"/>
        <w:ind w:left="-359" w:leftChars="-171" w:firstLine="472" w:firstLineChars="196"/>
        <w:outlineLvl w:val="9"/>
        <w:rPr>
          <w:rFonts w:hint="eastAsia" w:ascii="宋体" w:hAnsi="宋体" w:eastAsia="宋体" w:cs="宋体"/>
          <w:b/>
          <w:color w:val="auto"/>
          <w:sz w:val="24"/>
          <w:szCs w:val="24"/>
        </w:rPr>
      </w:pPr>
    </w:p>
    <w:p>
      <w:pPr>
        <w:pStyle w:val="18"/>
        <w:rPr>
          <w:rFonts w:hint="eastAsia"/>
        </w:rPr>
      </w:pPr>
    </w:p>
    <w:p>
      <w:pPr>
        <w:spacing w:line="360" w:lineRule="auto"/>
        <w:ind w:left="-359" w:leftChars="-171" w:firstLine="472" w:firstLineChars="196"/>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附表3：</w:t>
      </w:r>
    </w:p>
    <w:p>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澄清、说明、补正事项纪要表  </w:t>
      </w:r>
    </w:p>
    <w:p>
      <w:pPr>
        <w:spacing w:line="360" w:lineRule="auto"/>
        <w:jc w:val="center"/>
        <w:rPr>
          <w:rFonts w:hint="eastAsia" w:ascii="宋体" w:hAnsi="宋体" w:eastAsia="宋体" w:cs="宋体"/>
          <w:b/>
          <w:bCs/>
          <w:color w:val="auto"/>
          <w:sz w:val="24"/>
          <w:szCs w:val="24"/>
        </w:rPr>
      </w:pPr>
    </w:p>
    <w:p>
      <w:pPr>
        <w:spacing w:line="360" w:lineRule="auto"/>
        <w:rPr>
          <w:rFonts w:hint="eastAsia" w:ascii="宋体" w:hAnsi="宋体" w:eastAsia="宋体" w:cs="宋体"/>
          <w:bCs/>
          <w:color w:val="auto"/>
          <w:sz w:val="24"/>
          <w:szCs w:val="24"/>
          <w:vertAlign w:val="subscript"/>
        </w:rPr>
      </w:pP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37"/>
        <w:gridCol w:w="1333"/>
        <w:gridCol w:w="1505"/>
        <w:gridCol w:w="150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75" w:type="dxa"/>
            <w:noWrap w:val="0"/>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37" w:type="dxa"/>
            <w:noWrap w:val="0"/>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1333" w:type="dxa"/>
            <w:noWrap w:val="0"/>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磋商文件中需要澄清的页次</w:t>
            </w:r>
          </w:p>
        </w:tc>
        <w:tc>
          <w:tcPr>
            <w:tcW w:w="1505" w:type="dxa"/>
            <w:noWrap w:val="0"/>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对响应文件中含义不明确</w:t>
            </w:r>
          </w:p>
        </w:tc>
        <w:tc>
          <w:tcPr>
            <w:tcW w:w="1505" w:type="dxa"/>
            <w:noWrap w:val="0"/>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对同类问题</w:t>
            </w:r>
          </w:p>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表述不一致</w:t>
            </w:r>
          </w:p>
        </w:tc>
        <w:tc>
          <w:tcPr>
            <w:tcW w:w="1506" w:type="dxa"/>
            <w:noWrap w:val="0"/>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明显文字和计算错误的内容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noWrap w:val="0"/>
            <w:vAlign w:val="center"/>
          </w:tcPr>
          <w:p>
            <w:pPr>
              <w:pStyle w:val="24"/>
              <w:spacing w:line="360" w:lineRule="auto"/>
              <w:jc w:val="center"/>
              <w:rPr>
                <w:rFonts w:hint="eastAsia" w:ascii="宋体" w:hAnsi="宋体" w:eastAsia="宋体" w:cs="宋体"/>
                <w:color w:val="auto"/>
                <w:sz w:val="24"/>
                <w:szCs w:val="24"/>
              </w:rPr>
            </w:pPr>
          </w:p>
        </w:tc>
        <w:tc>
          <w:tcPr>
            <w:tcW w:w="2137" w:type="dxa"/>
            <w:noWrap w:val="0"/>
            <w:vAlign w:val="center"/>
          </w:tcPr>
          <w:p>
            <w:pPr>
              <w:pStyle w:val="24"/>
              <w:spacing w:line="360" w:lineRule="auto"/>
              <w:jc w:val="center"/>
              <w:rPr>
                <w:rFonts w:hint="eastAsia" w:ascii="宋体" w:hAnsi="宋体" w:eastAsia="宋体" w:cs="宋体"/>
                <w:color w:val="auto"/>
                <w:sz w:val="24"/>
                <w:szCs w:val="24"/>
              </w:rPr>
            </w:pPr>
          </w:p>
        </w:tc>
        <w:tc>
          <w:tcPr>
            <w:tcW w:w="1333"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6" w:type="dxa"/>
            <w:noWrap w:val="0"/>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noWrap w:val="0"/>
            <w:vAlign w:val="center"/>
          </w:tcPr>
          <w:p>
            <w:pPr>
              <w:pStyle w:val="24"/>
              <w:spacing w:line="360" w:lineRule="auto"/>
              <w:jc w:val="center"/>
              <w:rPr>
                <w:rFonts w:hint="eastAsia" w:ascii="宋体" w:hAnsi="宋体" w:eastAsia="宋体" w:cs="宋体"/>
                <w:color w:val="auto"/>
                <w:sz w:val="24"/>
                <w:szCs w:val="24"/>
              </w:rPr>
            </w:pPr>
          </w:p>
        </w:tc>
        <w:tc>
          <w:tcPr>
            <w:tcW w:w="2137" w:type="dxa"/>
            <w:noWrap w:val="0"/>
            <w:vAlign w:val="center"/>
          </w:tcPr>
          <w:p>
            <w:pPr>
              <w:pStyle w:val="24"/>
              <w:spacing w:line="360" w:lineRule="auto"/>
              <w:jc w:val="center"/>
              <w:rPr>
                <w:rFonts w:hint="eastAsia" w:ascii="宋体" w:hAnsi="宋体" w:eastAsia="宋体" w:cs="宋体"/>
                <w:color w:val="auto"/>
                <w:sz w:val="24"/>
                <w:szCs w:val="24"/>
              </w:rPr>
            </w:pPr>
          </w:p>
        </w:tc>
        <w:tc>
          <w:tcPr>
            <w:tcW w:w="1333"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6" w:type="dxa"/>
            <w:noWrap w:val="0"/>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noWrap w:val="0"/>
            <w:vAlign w:val="center"/>
          </w:tcPr>
          <w:p>
            <w:pPr>
              <w:pStyle w:val="24"/>
              <w:spacing w:line="360" w:lineRule="auto"/>
              <w:jc w:val="center"/>
              <w:rPr>
                <w:rFonts w:hint="eastAsia" w:ascii="宋体" w:hAnsi="宋体" w:eastAsia="宋体" w:cs="宋体"/>
                <w:color w:val="auto"/>
                <w:sz w:val="24"/>
                <w:szCs w:val="24"/>
              </w:rPr>
            </w:pPr>
          </w:p>
        </w:tc>
        <w:tc>
          <w:tcPr>
            <w:tcW w:w="2137" w:type="dxa"/>
            <w:noWrap w:val="0"/>
            <w:vAlign w:val="center"/>
          </w:tcPr>
          <w:p>
            <w:pPr>
              <w:pStyle w:val="24"/>
              <w:spacing w:line="360" w:lineRule="auto"/>
              <w:jc w:val="center"/>
              <w:rPr>
                <w:rFonts w:hint="eastAsia" w:ascii="宋体" w:hAnsi="宋体" w:eastAsia="宋体" w:cs="宋体"/>
                <w:color w:val="auto"/>
                <w:sz w:val="24"/>
                <w:szCs w:val="24"/>
              </w:rPr>
            </w:pPr>
          </w:p>
        </w:tc>
        <w:tc>
          <w:tcPr>
            <w:tcW w:w="1333"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6" w:type="dxa"/>
            <w:noWrap w:val="0"/>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noWrap w:val="0"/>
            <w:vAlign w:val="center"/>
          </w:tcPr>
          <w:p>
            <w:pPr>
              <w:pStyle w:val="2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37" w:type="dxa"/>
            <w:noWrap w:val="0"/>
            <w:vAlign w:val="top"/>
          </w:tcPr>
          <w:p>
            <w:pPr>
              <w:pStyle w:val="24"/>
              <w:spacing w:line="360" w:lineRule="auto"/>
              <w:jc w:val="center"/>
              <w:rPr>
                <w:rFonts w:hint="eastAsia" w:ascii="宋体" w:hAnsi="宋体" w:eastAsia="宋体" w:cs="宋体"/>
                <w:color w:val="auto"/>
                <w:sz w:val="24"/>
                <w:szCs w:val="24"/>
              </w:rPr>
            </w:pPr>
          </w:p>
        </w:tc>
        <w:tc>
          <w:tcPr>
            <w:tcW w:w="1333"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5" w:type="dxa"/>
            <w:noWrap w:val="0"/>
            <w:vAlign w:val="top"/>
          </w:tcPr>
          <w:p>
            <w:pPr>
              <w:pStyle w:val="24"/>
              <w:spacing w:line="360" w:lineRule="auto"/>
              <w:jc w:val="center"/>
              <w:rPr>
                <w:rFonts w:hint="eastAsia" w:ascii="宋体" w:hAnsi="宋体" w:eastAsia="宋体" w:cs="宋体"/>
                <w:color w:val="auto"/>
                <w:sz w:val="24"/>
                <w:szCs w:val="24"/>
              </w:rPr>
            </w:pPr>
          </w:p>
        </w:tc>
        <w:tc>
          <w:tcPr>
            <w:tcW w:w="1506" w:type="dxa"/>
            <w:noWrap w:val="0"/>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8661" w:type="dxa"/>
            <w:gridSpan w:val="6"/>
            <w:noWrap w:val="0"/>
            <w:vAlign w:val="top"/>
          </w:tcPr>
          <w:p>
            <w:pPr>
              <w:pStyle w:val="2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磋商小组成员签字:</w:t>
            </w:r>
          </w:p>
          <w:p>
            <w:pPr>
              <w:pStyle w:val="24"/>
              <w:spacing w:line="360" w:lineRule="auto"/>
              <w:jc w:val="left"/>
              <w:rPr>
                <w:rFonts w:hint="eastAsia" w:ascii="宋体" w:hAnsi="宋体" w:eastAsia="宋体" w:cs="宋体"/>
                <w:color w:val="auto"/>
                <w:sz w:val="24"/>
                <w:szCs w:val="24"/>
              </w:rPr>
            </w:pPr>
          </w:p>
          <w:p>
            <w:pPr>
              <w:pStyle w:val="24"/>
              <w:spacing w:line="360" w:lineRule="auto"/>
              <w:jc w:val="left"/>
              <w:rPr>
                <w:rFonts w:hint="eastAsia" w:ascii="宋体" w:hAnsi="宋体" w:eastAsia="宋体" w:cs="宋体"/>
                <w:color w:val="auto"/>
                <w:sz w:val="24"/>
                <w:szCs w:val="24"/>
              </w:rPr>
            </w:pPr>
          </w:p>
          <w:p>
            <w:pPr>
              <w:pStyle w:val="24"/>
              <w:spacing w:line="360" w:lineRule="auto"/>
              <w:jc w:val="left"/>
              <w:rPr>
                <w:rFonts w:hint="eastAsia" w:ascii="宋体" w:hAnsi="宋体" w:eastAsia="宋体" w:cs="宋体"/>
                <w:color w:val="auto"/>
                <w:sz w:val="24"/>
                <w:szCs w:val="24"/>
              </w:rPr>
            </w:pPr>
          </w:p>
          <w:p>
            <w:pPr>
              <w:pStyle w:val="24"/>
              <w:spacing w:line="360" w:lineRule="auto"/>
              <w:jc w:val="left"/>
              <w:rPr>
                <w:rFonts w:hint="eastAsia" w:ascii="宋体" w:hAnsi="宋体" w:eastAsia="宋体" w:cs="宋体"/>
                <w:color w:val="auto"/>
                <w:sz w:val="24"/>
                <w:szCs w:val="24"/>
              </w:rPr>
            </w:pPr>
          </w:p>
          <w:p>
            <w:pPr>
              <w:pStyle w:val="24"/>
              <w:spacing w:line="360" w:lineRule="auto"/>
              <w:ind w:firstLine="8726" w:firstLineChars="3636"/>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uto"/>
        <w:ind w:left="-178" w:leftChars="-85" w:right="718" w:rightChars="342" w:firstLine="236" w:firstLineChars="98"/>
        <w:rPr>
          <w:rFonts w:hint="eastAsia" w:ascii="宋体" w:hAnsi="宋体" w:eastAsia="宋体" w:cs="宋体"/>
          <w:b/>
          <w:color w:val="auto"/>
          <w:sz w:val="24"/>
          <w:szCs w:val="24"/>
        </w:rPr>
      </w:pPr>
      <w:r>
        <w:rPr>
          <w:rFonts w:hint="eastAsia" w:ascii="宋体" w:hAnsi="宋体" w:eastAsia="宋体" w:cs="宋体"/>
          <w:b/>
          <w:color w:val="auto"/>
          <w:sz w:val="24"/>
          <w:szCs w:val="24"/>
        </w:rPr>
        <w:t>注：</w:t>
      </w:r>
    </w:p>
    <w:p>
      <w:pPr>
        <w:spacing w:line="360" w:lineRule="auto"/>
        <w:ind w:left="-178" w:leftChars="-85" w:right="718" w:rightChars="342" w:firstLine="235" w:firstLineChars="98"/>
        <w:rPr>
          <w:rFonts w:hint="eastAsia" w:ascii="宋体" w:hAnsi="宋体" w:eastAsia="宋体" w:cs="宋体"/>
          <w:b/>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kern w:val="0"/>
          <w:sz w:val="24"/>
          <w:szCs w:val="24"/>
        </w:rPr>
        <w:t>磋商小组可以书面方式要求供应商对响应文件中含义不明确、对同类问题表述不一致或者有明显文字和计算错误的内容作必要的澄清、说明或者纠正。澄清、说明或者补正应以书面方式进行并不得超出响应文件的范围或者改变响应文件的实质性内容。</w:t>
      </w:r>
    </w:p>
    <w:p>
      <w:pPr>
        <w:spacing w:line="360" w:lineRule="auto"/>
        <w:ind w:left="-178" w:leftChars="-85" w:right="718" w:rightChars="342" w:firstLine="352" w:firstLineChars="147"/>
        <w:rPr>
          <w:rFonts w:hint="eastAsia" w:ascii="宋体" w:hAnsi="宋体" w:eastAsia="宋体" w:cs="宋体"/>
          <w:b/>
          <w:color w:val="auto"/>
          <w:sz w:val="24"/>
          <w:szCs w:val="24"/>
        </w:rPr>
      </w:pPr>
      <w:r>
        <w:rPr>
          <w:rFonts w:hint="eastAsia" w:ascii="宋体" w:hAnsi="宋体" w:eastAsia="宋体" w:cs="宋体"/>
          <w:color w:val="auto"/>
          <w:kern w:val="0"/>
          <w:sz w:val="24"/>
          <w:szCs w:val="24"/>
        </w:rPr>
        <w:t>2、响应文件中的大写金额和小写金额不一致的，以大写金额为准；总价金额与单价金额不一致的，以单价金额为准，但单价金额小数点有明显错误的除外；对不同文字文本响应文件的解释发生异议的，以中文文本为准。</w:t>
      </w:r>
    </w:p>
    <w:p>
      <w:pPr>
        <w:spacing w:line="360" w:lineRule="auto"/>
        <w:ind w:left="-176" w:leftChars="-84" w:right="-1233" w:rightChars="-587"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3、供应商对单价报价不予澄清。</w:t>
      </w:r>
    </w:p>
    <w:p>
      <w:pPr>
        <w:spacing w:line="360" w:lineRule="auto"/>
        <w:outlineLvl w:val="9"/>
        <w:rPr>
          <w:rFonts w:hint="eastAsia" w:ascii="宋体" w:hAnsi="宋体" w:eastAsia="宋体" w:cs="宋体"/>
          <w:b/>
          <w:color w:val="auto"/>
          <w:sz w:val="24"/>
          <w:szCs w:val="24"/>
        </w:rPr>
      </w:pPr>
    </w:p>
    <w:p>
      <w:pPr>
        <w:spacing w:line="360" w:lineRule="auto"/>
        <w:outlineLvl w:val="9"/>
        <w:rPr>
          <w:rFonts w:hint="eastAsia" w:ascii="宋体" w:hAnsi="宋体" w:eastAsia="宋体" w:cs="宋体"/>
          <w:b/>
          <w:color w:val="auto"/>
          <w:sz w:val="24"/>
          <w:szCs w:val="24"/>
        </w:rPr>
      </w:pP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附表4：</w:t>
      </w:r>
    </w:p>
    <w:p>
      <w:pPr>
        <w:spacing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进入详细评审的合格供应商表</w:t>
      </w:r>
    </w:p>
    <w:p>
      <w:pPr>
        <w:spacing w:line="360" w:lineRule="auto"/>
        <w:jc w:val="center"/>
        <w:rPr>
          <w:rFonts w:hint="eastAsia" w:ascii="宋体" w:hAnsi="宋体" w:eastAsia="宋体" w:cs="宋体"/>
          <w:b/>
          <w:color w:val="auto"/>
          <w:sz w:val="24"/>
          <w:szCs w:val="24"/>
        </w:rPr>
      </w:pPr>
    </w:p>
    <w:p>
      <w:pPr>
        <w:spacing w:line="360" w:lineRule="auto"/>
        <w:rPr>
          <w:rFonts w:hint="eastAsia" w:ascii="宋体" w:hAnsi="宋体" w:eastAsia="宋体" w:cs="宋体"/>
          <w:bCs/>
          <w:color w:val="auto"/>
          <w:sz w:val="24"/>
          <w:szCs w:val="24"/>
          <w:vertAlign w:val="subscript"/>
        </w:rPr>
      </w:pPr>
      <w:r>
        <w:rPr>
          <w:rFonts w:hint="eastAsia" w:ascii="宋体" w:hAnsi="宋体" w:eastAsia="宋体" w:cs="宋体"/>
          <w:b/>
          <w:color w:val="auto"/>
          <w:sz w:val="24"/>
          <w:szCs w:val="24"/>
        </w:rPr>
        <w:t xml:space="preserve">  </w:t>
      </w: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10"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949"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合格的供应商名称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949" w:type="dxa"/>
            <w:noWrap w:val="0"/>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10"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949" w:type="dxa"/>
            <w:noWrap w:val="0"/>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9" w:type="dxa"/>
            <w:noWrap w:val="0"/>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49" w:type="dxa"/>
            <w:noWrap w:val="0"/>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10" w:type="dxa"/>
            <w:noWrap w:val="0"/>
            <w:vAlign w:val="top"/>
          </w:tcPr>
          <w:p>
            <w:pPr>
              <w:spacing w:line="360" w:lineRule="auto"/>
              <w:jc w:val="center"/>
              <w:rPr>
                <w:rFonts w:hint="eastAsia" w:ascii="宋体" w:hAnsi="宋体" w:eastAsia="宋体" w:cs="宋体"/>
                <w:color w:val="auto"/>
                <w:sz w:val="24"/>
                <w:szCs w:val="24"/>
              </w:rPr>
            </w:pPr>
          </w:p>
        </w:tc>
        <w:tc>
          <w:tcPr>
            <w:tcW w:w="6949" w:type="dxa"/>
            <w:noWrap w:val="0"/>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noWrap w:val="0"/>
            <w:vAlign w:val="top"/>
          </w:tcPr>
          <w:p>
            <w:pPr>
              <w:spacing w:line="360" w:lineRule="auto"/>
              <w:jc w:val="center"/>
              <w:rPr>
                <w:rFonts w:hint="eastAsia" w:ascii="宋体" w:hAnsi="宋体" w:eastAsia="宋体" w:cs="宋体"/>
                <w:color w:val="auto"/>
                <w:sz w:val="24"/>
                <w:szCs w:val="24"/>
              </w:rPr>
            </w:pPr>
          </w:p>
        </w:tc>
        <w:tc>
          <w:tcPr>
            <w:tcW w:w="6949" w:type="dxa"/>
            <w:noWrap w:val="0"/>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8659" w:type="dxa"/>
            <w:gridSpan w:val="2"/>
            <w:noWrap w:val="0"/>
            <w:vAlign w:val="center"/>
          </w:tcPr>
          <w:p>
            <w:pPr>
              <w:pStyle w:val="1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磋商小组成员签字：</w:t>
            </w:r>
          </w:p>
          <w:p>
            <w:pPr>
              <w:spacing w:line="360" w:lineRule="auto"/>
              <w:jc w:val="center"/>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p>
          <w:p>
            <w:pPr>
              <w:spacing w:line="360" w:lineRule="auto"/>
              <w:ind w:firstLine="9897" w:firstLineChars="4124"/>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  日</w:t>
            </w:r>
          </w:p>
        </w:tc>
      </w:tr>
    </w:tbl>
    <w:p>
      <w:pPr>
        <w:spacing w:after="624" w:afterLines="200" w:line="360" w:lineRule="auto"/>
        <w:ind w:firstLine="240" w:firstLineChars="100"/>
        <w:rPr>
          <w:rFonts w:hint="eastAsia" w:ascii="宋体" w:hAnsi="宋体" w:eastAsia="宋体" w:cs="宋体"/>
          <w:b/>
          <w:color w:val="auto"/>
          <w:sz w:val="24"/>
          <w:szCs w:val="24"/>
        </w:rPr>
      </w:pPr>
      <w:r>
        <w:rPr>
          <w:rFonts w:hint="eastAsia" w:ascii="宋体" w:hAnsi="宋体" w:eastAsia="宋体" w:cs="宋体"/>
          <w:color w:val="auto"/>
          <w:sz w:val="24"/>
          <w:szCs w:val="24"/>
        </w:rPr>
        <w:t>磋商小组成员认定供应商资格性和符合性检查合格，确定可以进入最后报价。</w:t>
      </w:r>
    </w:p>
    <w:p>
      <w:pPr>
        <w:spacing w:line="360" w:lineRule="auto"/>
        <w:ind w:firstLine="236" w:firstLineChars="98"/>
        <w:outlineLvl w:val="9"/>
        <w:rPr>
          <w:rFonts w:hint="eastAsia" w:ascii="宋体" w:hAnsi="宋体" w:eastAsia="宋体" w:cs="宋体"/>
          <w:b/>
          <w:color w:val="auto"/>
          <w:sz w:val="24"/>
          <w:szCs w:val="24"/>
        </w:rPr>
      </w:pPr>
    </w:p>
    <w:p>
      <w:pPr>
        <w:spacing w:line="360" w:lineRule="auto"/>
        <w:ind w:firstLine="236" w:firstLineChars="98"/>
        <w:outlineLvl w:val="9"/>
        <w:rPr>
          <w:rFonts w:hint="eastAsia" w:ascii="宋体" w:hAnsi="宋体" w:eastAsia="宋体" w:cs="宋体"/>
          <w:b/>
          <w:color w:val="auto"/>
          <w:sz w:val="24"/>
          <w:szCs w:val="24"/>
        </w:rPr>
      </w:pPr>
    </w:p>
    <w:p>
      <w:pPr>
        <w:spacing w:line="360" w:lineRule="auto"/>
        <w:ind w:firstLine="236" w:firstLineChars="98"/>
        <w:outlineLvl w:val="9"/>
        <w:rPr>
          <w:rFonts w:hint="eastAsia" w:ascii="宋体" w:hAnsi="宋体" w:eastAsia="宋体" w:cs="宋体"/>
          <w:b/>
          <w:color w:val="auto"/>
          <w:sz w:val="24"/>
          <w:szCs w:val="24"/>
        </w:rPr>
      </w:pPr>
    </w:p>
    <w:p>
      <w:pPr>
        <w:spacing w:line="360" w:lineRule="auto"/>
        <w:ind w:firstLine="236" w:firstLineChars="98"/>
        <w:outlineLvl w:val="9"/>
        <w:rPr>
          <w:rFonts w:hint="eastAsia" w:ascii="宋体" w:hAnsi="宋体" w:eastAsia="宋体" w:cs="宋体"/>
          <w:b/>
          <w:color w:val="auto"/>
          <w:sz w:val="24"/>
          <w:szCs w:val="24"/>
        </w:rPr>
      </w:pPr>
    </w:p>
    <w:p>
      <w:pPr>
        <w:spacing w:line="360" w:lineRule="auto"/>
        <w:outlineLvl w:val="9"/>
        <w:rPr>
          <w:rFonts w:hint="eastAsia" w:ascii="宋体" w:hAnsi="宋体" w:eastAsia="宋体" w:cs="宋体"/>
          <w:b/>
          <w:color w:val="auto"/>
          <w:sz w:val="24"/>
          <w:szCs w:val="24"/>
        </w:rPr>
      </w:pPr>
    </w:p>
    <w:p>
      <w:pPr>
        <w:spacing w:line="360" w:lineRule="auto"/>
        <w:outlineLvl w:val="9"/>
        <w:rPr>
          <w:rFonts w:hint="eastAsia" w:ascii="宋体" w:hAnsi="宋体" w:eastAsia="宋体" w:cs="宋体"/>
          <w:b/>
          <w:color w:val="auto"/>
          <w:sz w:val="24"/>
          <w:szCs w:val="24"/>
        </w:rPr>
      </w:pPr>
    </w:p>
    <w:p>
      <w:pPr>
        <w:pStyle w:val="2"/>
        <w:rPr>
          <w:rFonts w:hint="eastAsia" w:ascii="宋体" w:hAnsi="宋体" w:eastAsia="宋体" w:cs="宋体"/>
          <w:sz w:val="24"/>
          <w:szCs w:val="24"/>
        </w:rPr>
      </w:pPr>
    </w:p>
    <w:p>
      <w:pPr>
        <w:spacing w:line="360" w:lineRule="auto"/>
        <w:ind w:firstLine="236" w:firstLineChars="98"/>
        <w:outlineLvl w:val="9"/>
        <w:rPr>
          <w:rFonts w:hint="eastAsia" w:ascii="宋体" w:hAnsi="宋体" w:eastAsia="宋体" w:cs="宋体"/>
          <w:b/>
          <w:color w:val="auto"/>
          <w:sz w:val="24"/>
          <w:szCs w:val="24"/>
        </w:rPr>
      </w:pPr>
    </w:p>
    <w:p>
      <w:pPr>
        <w:spacing w:line="360" w:lineRule="auto"/>
        <w:ind w:firstLine="236" w:firstLineChars="98"/>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附表5：</w:t>
      </w:r>
    </w:p>
    <w:p>
      <w:pPr>
        <w:spacing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不合格供应商名单</w:t>
      </w:r>
    </w:p>
    <w:p>
      <w:pP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pPr w:leftFromText="180" w:rightFromText="180" w:vertAnchor="text" w:horzAnchor="margin" w:tblpY="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16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578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162" w:type="dxa"/>
            <w:noWrap w:val="0"/>
            <w:vAlign w:val="top"/>
          </w:tcPr>
          <w:p>
            <w:pPr>
              <w:spacing w:line="360" w:lineRule="auto"/>
              <w:rPr>
                <w:rFonts w:hint="eastAsia" w:ascii="宋体" w:hAnsi="宋体" w:eastAsia="宋体" w:cs="宋体"/>
                <w:color w:val="auto"/>
                <w:sz w:val="24"/>
                <w:szCs w:val="24"/>
              </w:rPr>
            </w:pPr>
          </w:p>
        </w:tc>
        <w:tc>
          <w:tcPr>
            <w:tcW w:w="578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162" w:type="dxa"/>
            <w:noWrap w:val="0"/>
            <w:vAlign w:val="top"/>
          </w:tcPr>
          <w:p>
            <w:pPr>
              <w:spacing w:line="360" w:lineRule="auto"/>
              <w:rPr>
                <w:rFonts w:hint="eastAsia" w:ascii="宋体" w:hAnsi="宋体" w:eastAsia="宋体" w:cs="宋体"/>
                <w:color w:val="auto"/>
                <w:sz w:val="24"/>
                <w:szCs w:val="24"/>
              </w:rPr>
            </w:pPr>
          </w:p>
        </w:tc>
        <w:tc>
          <w:tcPr>
            <w:tcW w:w="578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162" w:type="dxa"/>
            <w:noWrap w:val="0"/>
            <w:vAlign w:val="top"/>
          </w:tcPr>
          <w:p>
            <w:pPr>
              <w:spacing w:line="360" w:lineRule="auto"/>
              <w:rPr>
                <w:rFonts w:hint="eastAsia" w:ascii="宋体" w:hAnsi="宋体" w:eastAsia="宋体" w:cs="宋体"/>
                <w:color w:val="auto"/>
                <w:sz w:val="24"/>
                <w:szCs w:val="24"/>
              </w:rPr>
            </w:pPr>
          </w:p>
        </w:tc>
        <w:tc>
          <w:tcPr>
            <w:tcW w:w="578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8943" w:type="dxa"/>
            <w:gridSpan w:val="2"/>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磋商小组成员签字：</w:t>
            </w:r>
          </w:p>
          <w:p>
            <w:pPr>
              <w:wordWrap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pStyle w:val="1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磋商小组认定供应商资格性和符合性检查不合格，确定其为不合格供应商。不合格供应商不能进入最后报价。</w:t>
      </w:r>
    </w:p>
    <w:p>
      <w:pPr>
        <w:pStyle w:val="18"/>
        <w:spacing w:line="360" w:lineRule="auto"/>
        <w:rPr>
          <w:rFonts w:hint="eastAsia" w:ascii="宋体" w:hAnsi="宋体" w:eastAsia="宋体" w:cs="宋体"/>
          <w:color w:val="auto"/>
          <w:sz w:val="24"/>
          <w:szCs w:val="24"/>
        </w:rPr>
      </w:pPr>
    </w:p>
    <w:p>
      <w:pPr>
        <w:tabs>
          <w:tab w:val="left" w:pos="0"/>
        </w:tabs>
        <w:adjustRightInd w:val="0"/>
        <w:snapToGrid w:val="0"/>
        <w:spacing w:before="156" w:beforeLines="50"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附表6：</w:t>
      </w:r>
    </w:p>
    <w:p>
      <w:pPr>
        <w:tabs>
          <w:tab w:val="left" w:pos="0"/>
        </w:tabs>
        <w:adjustRightInd w:val="0"/>
        <w:snapToGrid w:val="0"/>
        <w:spacing w:before="156" w:beforeLines="50"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磋商报价评分表</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40"/>
        <w:gridCol w:w="1240"/>
        <w:gridCol w:w="1640"/>
        <w:gridCol w:w="124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08"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p>
        </w:tc>
        <w:tc>
          <w:tcPr>
            <w:tcW w:w="14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最后报价</w:t>
            </w:r>
          </w:p>
        </w:tc>
        <w:tc>
          <w:tcPr>
            <w:tcW w:w="12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评审报价</w:t>
            </w:r>
          </w:p>
        </w:tc>
        <w:tc>
          <w:tcPr>
            <w:tcW w:w="16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磋商基准价</w:t>
            </w:r>
          </w:p>
        </w:tc>
        <w:tc>
          <w:tcPr>
            <w:tcW w:w="12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权数取值</w:t>
            </w:r>
          </w:p>
        </w:tc>
        <w:tc>
          <w:tcPr>
            <w:tcW w:w="1661"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08"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4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40" w:type="dxa"/>
            <w:vMerge w:val="restart"/>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Merge w:val="restart"/>
            <w:noWrap w:val="0"/>
            <w:vAlign w:val="center"/>
          </w:tcPr>
          <w:p>
            <w:pPr>
              <w:tabs>
                <w:tab w:val="left" w:pos="0"/>
              </w:tabs>
              <w:adjustRightInd w:val="0"/>
              <w:snapToGrid w:val="0"/>
              <w:spacing w:before="156" w:beforeLines="50"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0.</w:t>
            </w:r>
            <w:r>
              <w:rPr>
                <w:rFonts w:hint="eastAsia" w:ascii="宋体" w:hAnsi="宋体" w:eastAsia="宋体" w:cs="宋体"/>
                <w:bCs/>
                <w:color w:val="auto"/>
                <w:sz w:val="24"/>
                <w:szCs w:val="24"/>
                <w:lang w:val="en-US" w:eastAsia="zh-CN"/>
              </w:rPr>
              <w:t>30</w:t>
            </w:r>
          </w:p>
        </w:tc>
        <w:tc>
          <w:tcPr>
            <w:tcW w:w="1661"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08"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4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40" w:type="dxa"/>
            <w:vMerge w:val="continue"/>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Merge w:val="continue"/>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61"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08"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4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40" w:type="dxa"/>
            <w:vMerge w:val="continue"/>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Merge w:val="continue"/>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61" w:type="dxa"/>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129" w:type="dxa"/>
            <w:gridSpan w:val="6"/>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报价调整记录：</w:t>
            </w:r>
          </w:p>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9" w:type="dxa"/>
            <w:gridSpan w:val="6"/>
            <w:noWrap w:val="0"/>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磋商小组成员签字：</w:t>
            </w:r>
          </w:p>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注：1、磋商基准价 = 最后报价最低的</w:t>
      </w:r>
      <w:r>
        <w:rPr>
          <w:rFonts w:hint="eastAsia" w:ascii="宋体" w:hAnsi="宋体" w:eastAsia="宋体" w:cs="宋体"/>
          <w:color w:val="auto"/>
          <w:sz w:val="24"/>
          <w:szCs w:val="24"/>
          <w:lang w:eastAsia="zh-CN"/>
        </w:rPr>
        <w:t>价格（得满分）</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950" w:firstLineChars="396"/>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2、磋商报价得分=(磋商基准价／最后磋商报价)×价格权值×100；</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3、报价超过</w:t>
      </w:r>
      <w:r>
        <w:rPr>
          <w:rFonts w:hint="eastAsia" w:ascii="宋体" w:hAnsi="宋体" w:eastAsia="宋体" w:cs="宋体"/>
          <w:color w:val="auto"/>
          <w:sz w:val="24"/>
          <w:szCs w:val="24"/>
          <w:lang w:val="zh-CN"/>
        </w:rPr>
        <w:t>采购预算价</w:t>
      </w:r>
      <w:r>
        <w:rPr>
          <w:rFonts w:hint="eastAsia" w:ascii="宋体" w:hAnsi="宋体" w:eastAsia="宋体" w:cs="宋体"/>
          <w:color w:val="auto"/>
          <w:sz w:val="24"/>
          <w:szCs w:val="24"/>
        </w:rPr>
        <w:t>为无效响应。</w:t>
      </w:r>
    </w:p>
    <w:p>
      <w:pPr>
        <w:adjustRightInd w:val="0"/>
        <w:snapToGrid w:val="0"/>
        <w:spacing w:before="156" w:beforeLines="50" w:line="360" w:lineRule="auto"/>
        <w:jc w:val="center"/>
        <w:rPr>
          <w:rFonts w:hint="eastAsia" w:ascii="宋体" w:hAnsi="宋体" w:eastAsia="宋体" w:cs="宋体"/>
          <w:b/>
          <w:color w:val="auto"/>
          <w:sz w:val="24"/>
          <w:szCs w:val="24"/>
        </w:rPr>
        <w:sectPr>
          <w:footerReference r:id="rId8" w:type="default"/>
          <w:pgSz w:w="11906" w:h="16838"/>
          <w:pgMar w:top="1213" w:right="1361" w:bottom="1213" w:left="1361"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pStyle w:val="20"/>
        <w:spacing w:line="360" w:lineRule="auto"/>
        <w:ind w:left="102" w:leftChars="0" w:hanging="102" w:firstLineChars="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附表7：</w:t>
      </w:r>
    </w:p>
    <w:p>
      <w:pPr>
        <w:pStyle w:val="20"/>
        <w:spacing w:line="360" w:lineRule="auto"/>
        <w:ind w:left="102" w:leftChars="0" w:hanging="102" w:firstLineChars="0"/>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评分细则</w:t>
      </w:r>
    </w:p>
    <w:p>
      <w:pPr>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val="en-US"/>
        </w:rPr>
        <w:t>技术及商务评分</w:t>
      </w:r>
      <w:r>
        <w:rPr>
          <w:rFonts w:hint="eastAsia" w:ascii="宋体" w:hAnsi="宋体" w:eastAsia="宋体" w:cs="宋体"/>
          <w:b/>
          <w:color w:val="auto"/>
          <w:sz w:val="24"/>
          <w:szCs w:val="24"/>
          <w:lang w:val="en-US" w:eastAsia="zh-CN"/>
        </w:rPr>
        <w:t>权重（70%）</w:t>
      </w:r>
      <w:r>
        <w:rPr>
          <w:rFonts w:hint="eastAsia" w:ascii="宋体" w:hAnsi="宋体" w:eastAsia="宋体" w:cs="宋体"/>
          <w:b/>
          <w:color w:val="auto"/>
          <w:sz w:val="24"/>
          <w:szCs w:val="24"/>
        </w:rPr>
        <w:t>：</w:t>
      </w:r>
    </w:p>
    <w:p>
      <w:pPr>
        <w:rPr>
          <w:rFonts w:hint="eastAsia" w:ascii="宋体" w:hAnsi="宋体" w:eastAsia="宋体" w:cs="宋体"/>
          <w:sz w:val="24"/>
          <w:szCs w:val="24"/>
          <w:lang w:eastAsia="zh-CN"/>
        </w:rPr>
      </w:pPr>
    </w:p>
    <w:tbl>
      <w:tblPr>
        <w:tblStyle w:val="47"/>
        <w:tblW w:w="961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853"/>
        <w:gridCol w:w="691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after="1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8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after="1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评分内容</w:t>
            </w:r>
          </w:p>
        </w:tc>
        <w:tc>
          <w:tcPr>
            <w:tcW w:w="6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after="12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评分</w:t>
            </w:r>
            <w:r>
              <w:rPr>
                <w:rFonts w:hint="eastAsia" w:ascii="宋体" w:hAnsi="宋体" w:eastAsia="宋体" w:cs="宋体"/>
                <w:b w:val="0"/>
                <w:bCs w:val="0"/>
                <w:color w:val="auto"/>
                <w:sz w:val="24"/>
                <w:szCs w:val="24"/>
                <w:lang w:eastAsia="zh-CN"/>
              </w:rPr>
              <w:t>方法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after="12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技术参数响应（35分）</w:t>
            </w:r>
          </w:p>
        </w:tc>
        <w:tc>
          <w:tcPr>
            <w:tcW w:w="6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1.全部技术参数是否完全响应招标文件；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2.加注 * 号的条款为重要技术条款，对*号条款每一条负偏离扣3分，扣完为止。</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3.除*号条款以外的为一般技术条款，每一条负偏离扣1分，扣完为止。</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4.对*号技术条款未提供有效技术支持资料的扣1分，扣完为止。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after="12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对投标设备整体评价</w:t>
            </w:r>
          </w:p>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6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1.配置：设备配置是否合理，产品质量认证依据国家确定的认证机构出具的、处于有效期之内的节能产品、环境标志产品认证证书，有一款得1分，最多得2分。（ 0-2分）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 投标产品的质量、性能、功能、寿命、实用性、先进性、可靠性等</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优于招标文件要求，能满足采购人使用需求，质量优良。（6-8分）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符合招标文件要求，能基本满足采购人使用需求。（3-5分）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基本招标文件要求，不能满足采购人使用需求。（0-2分）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after="12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安装、调试、培训及验收方案（6分）</w:t>
            </w:r>
          </w:p>
        </w:tc>
        <w:tc>
          <w:tcPr>
            <w:tcW w:w="6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供应商提供的设备安装、调试、培训及验收等内容有效完整及可实施，方案全面细致，有项目特点，得4-6分。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供应商提供的设备安装、调试、培训及验收等内容有效完整及可实施，方案全面，具有较好的服务保障。方案切实可行，得 1-3分。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供应商提供的设备安装、调试、培训及验收等内容有效完整及可实施，方案不完整，存在重大疏漏或无法执行</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得0分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after="12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8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售后服务承诺及方案</w:t>
            </w:r>
          </w:p>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（9分）</w:t>
            </w:r>
          </w:p>
        </w:tc>
        <w:tc>
          <w:tcPr>
            <w:tcW w:w="6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证售后服务响应及时性，提供7*24小时售后服务，并提供本地化服务，满足以下要求：有优质的售后服务承诺书、说明，保修、售后服务方案（售后服务体系完善，做出针对性的售后方案，切实可行），服务响应时间、修复时间、应急处理、售后机构、人员、零配件供应等售后计划方案（0-9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after="12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85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业绩（10分）</w:t>
            </w:r>
          </w:p>
        </w:tc>
        <w:tc>
          <w:tcPr>
            <w:tcW w:w="6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须提供近三年类似设备业绩，并提供书面证明材料：（提供合同书为主要依据，复印件加盖公章）每提供一个得 2分，不提供或证明材料不齐全，不得分。</w:t>
            </w:r>
          </w:p>
        </w:tc>
      </w:tr>
    </w:tbl>
    <w:p>
      <w:pPr>
        <w:spacing w:before="156" w:beforeLines="50" w:after="156" w:afterLines="50" w:line="240" w:lineRule="exact"/>
        <w:jc w:val="left"/>
        <w:outlineLvl w:val="9"/>
        <w:rPr>
          <w:rFonts w:hint="eastAsia" w:ascii="宋体" w:hAnsi="宋体" w:eastAsia="宋体" w:cs="宋体"/>
          <w:b/>
          <w:color w:val="auto"/>
          <w:sz w:val="24"/>
          <w:szCs w:val="24"/>
          <w:lang w:eastAsia="zh-CN"/>
        </w:rPr>
      </w:pPr>
    </w:p>
    <w:p>
      <w:pPr>
        <w:spacing w:before="156" w:beforeLines="50" w:after="156" w:afterLines="50" w:line="240" w:lineRule="exact"/>
        <w:jc w:val="lef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价格评分表</w:t>
      </w:r>
      <w:r>
        <w:rPr>
          <w:rFonts w:hint="eastAsia" w:ascii="宋体" w:hAnsi="宋体" w:eastAsia="宋体" w:cs="宋体"/>
          <w:b/>
          <w:color w:val="auto"/>
          <w:sz w:val="24"/>
          <w:szCs w:val="24"/>
          <w:lang w:eastAsia="zh-CN"/>
        </w:rPr>
        <w:t>权重</w:t>
      </w:r>
      <w:r>
        <w:rPr>
          <w:rFonts w:hint="eastAsia" w:ascii="宋体" w:hAnsi="宋体" w:eastAsia="宋体" w:cs="宋体"/>
          <w:b/>
          <w:color w:val="auto"/>
          <w:sz w:val="24"/>
          <w:szCs w:val="24"/>
          <w:lang w:val="en-US"/>
        </w:rPr>
        <w:t>（</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lang w:val="en-US"/>
        </w:rPr>
        <w:t>）</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1" w:type="dxa"/>
            <w:noWrap w:val="0"/>
            <w:vAlign w:val="center"/>
          </w:tcPr>
          <w:p>
            <w:pPr>
              <w:spacing w:line="276"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报价</w:t>
            </w:r>
          </w:p>
        </w:tc>
        <w:tc>
          <w:tcPr>
            <w:tcW w:w="7978" w:type="dxa"/>
            <w:noWrap w:val="0"/>
            <w:vAlign w:val="center"/>
          </w:tcPr>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以满足磋商文件要求且最终报价最低的为基准价，其价格分为满分</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分，其他供应商的价格分值统一按照下列公式计算：报价得分＝（基准价/其它供应商的最终报价）×价格权重（</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％）×100&lt;小数点后保留两位&gt;</w:t>
            </w:r>
          </w:p>
        </w:tc>
      </w:tr>
    </w:tbl>
    <w:p>
      <w:pPr>
        <w:adjustRightInd w:val="0"/>
        <w:snapToGrid w:val="0"/>
        <w:spacing w:line="360" w:lineRule="auto"/>
        <w:outlineLvl w:val="9"/>
        <w:rPr>
          <w:rFonts w:hint="eastAsia" w:ascii="宋体" w:hAnsi="宋体" w:eastAsia="宋体" w:cs="宋体"/>
          <w:b/>
          <w:bCs/>
          <w:color w:val="auto"/>
          <w:sz w:val="24"/>
          <w:szCs w:val="24"/>
        </w:rPr>
      </w:pP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附表</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p>
    <w:p>
      <w:pPr>
        <w:spacing w:before="156" w:beforeLines="50" w:after="156" w:afterLines="50"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经评审的供应商排序表</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w:t>
      </w:r>
      <w:r>
        <w:rPr>
          <w:rFonts w:hint="eastAsia" w:ascii="宋体" w:hAnsi="宋体" w:eastAsia="宋体" w:cs="宋体"/>
          <w:bCs/>
          <w:color w:val="auto"/>
          <w:sz w:val="24"/>
          <w:szCs w:val="24"/>
        </w:rPr>
        <w:t xml:space="preserve">编号：                                                            </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8"/>
        <w:gridCol w:w="3463"/>
        <w:gridCol w:w="1843"/>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top w:val="single" w:color="auto" w:sz="4" w:space="0"/>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排序</w:t>
            </w:r>
          </w:p>
        </w:tc>
        <w:tc>
          <w:tcPr>
            <w:tcW w:w="3463" w:type="dxa"/>
            <w:tcBorders>
              <w:top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1843" w:type="dxa"/>
            <w:tcBorders>
              <w:top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得分情况</w:t>
            </w:r>
          </w:p>
        </w:tc>
        <w:tc>
          <w:tcPr>
            <w:tcW w:w="142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第一名</w:t>
            </w:r>
          </w:p>
        </w:tc>
        <w:tc>
          <w:tcPr>
            <w:tcW w:w="3463"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第二名</w:t>
            </w:r>
          </w:p>
        </w:tc>
        <w:tc>
          <w:tcPr>
            <w:tcW w:w="3463"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708"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第三名</w:t>
            </w:r>
          </w:p>
        </w:tc>
        <w:tc>
          <w:tcPr>
            <w:tcW w:w="3463"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3463"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463" w:type="dxa"/>
            <w:tcBorders>
              <w:bottom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843" w:type="dxa"/>
            <w:tcBorders>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bl>
    <w:p>
      <w:pPr>
        <w:spacing w:before="156" w:beforeLines="5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bCs/>
          <w:color w:val="auto"/>
          <w:sz w:val="24"/>
          <w:szCs w:val="24"/>
        </w:rPr>
        <w:t>得分相同的，按最后报价由低到高顺序排列。得分且最后报价相同的，按技术指标优劣顺序推荐。</w:t>
      </w:r>
    </w:p>
    <w:p>
      <w:pPr>
        <w:spacing w:line="360" w:lineRule="auto"/>
        <w:outlineLvl w:val="9"/>
        <w:rPr>
          <w:rFonts w:hint="eastAsia" w:ascii="宋体" w:hAnsi="宋体" w:eastAsia="宋体" w:cs="宋体"/>
          <w:b/>
          <w:color w:val="auto"/>
          <w:sz w:val="24"/>
          <w:szCs w:val="24"/>
        </w:rPr>
      </w:pP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w:t>
      </w:r>
    </w:p>
    <w:p>
      <w:pPr>
        <w:spacing w:before="156" w:beforeLines="50" w:after="156" w:afterLines="50"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推荐成交候选供应商名单</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w:t>
      </w:r>
      <w:r>
        <w:rPr>
          <w:rFonts w:hint="eastAsia" w:ascii="宋体" w:hAnsi="宋体" w:eastAsia="宋体" w:cs="宋体"/>
          <w:bCs/>
          <w:color w:val="auto"/>
          <w:sz w:val="24"/>
          <w:szCs w:val="24"/>
        </w:rPr>
        <w:t xml:space="preserve">编号：                                                            </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3537"/>
        <w:gridCol w:w="1843"/>
        <w:gridCol w:w="14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排序</w:t>
            </w:r>
          </w:p>
        </w:tc>
        <w:tc>
          <w:tcPr>
            <w:tcW w:w="3537" w:type="dxa"/>
            <w:tcBorders>
              <w:top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成交候选供应商</w:t>
            </w:r>
          </w:p>
        </w:tc>
        <w:tc>
          <w:tcPr>
            <w:tcW w:w="1843" w:type="dxa"/>
            <w:tcBorders>
              <w:top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得分情况</w:t>
            </w:r>
          </w:p>
        </w:tc>
        <w:tc>
          <w:tcPr>
            <w:tcW w:w="1495"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第一名</w:t>
            </w:r>
          </w:p>
        </w:tc>
        <w:tc>
          <w:tcPr>
            <w:tcW w:w="3537"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第二名</w:t>
            </w:r>
          </w:p>
        </w:tc>
        <w:tc>
          <w:tcPr>
            <w:tcW w:w="3537"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701"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第三名</w:t>
            </w:r>
          </w:p>
        </w:tc>
        <w:tc>
          <w:tcPr>
            <w:tcW w:w="3537"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537" w:type="dxa"/>
            <w:noWrap w:val="0"/>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3537" w:type="dxa"/>
            <w:tcBorders>
              <w:bottom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843" w:type="dxa"/>
            <w:tcBorders>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r>
    </w:tbl>
    <w:p>
      <w:pPr>
        <w:adjustRightInd w:val="0"/>
        <w:snapToGrid w:val="0"/>
        <w:spacing w:before="156" w:beforeLines="50" w:line="360" w:lineRule="auto"/>
        <w:jc w:val="both"/>
        <w:outlineLvl w:val="9"/>
        <w:rPr>
          <w:rFonts w:hint="eastAsia" w:ascii="宋体" w:hAnsi="宋体" w:cs="宋体"/>
          <w:b/>
          <w:color w:val="auto"/>
          <w:sz w:val="32"/>
          <w:szCs w:val="32"/>
        </w:rPr>
      </w:pPr>
    </w:p>
    <w:p>
      <w:pPr>
        <w:pStyle w:val="23"/>
        <w:rPr>
          <w:rFonts w:hint="eastAsia" w:ascii="宋体" w:hAnsi="宋体" w:cs="宋体"/>
          <w:b/>
          <w:color w:val="auto"/>
          <w:sz w:val="32"/>
          <w:szCs w:val="32"/>
        </w:rPr>
      </w:pPr>
    </w:p>
    <w:p>
      <w:pPr>
        <w:rPr>
          <w:rFonts w:hint="eastAsia" w:ascii="宋体" w:hAnsi="宋体" w:cs="宋体"/>
          <w:b/>
          <w:color w:val="auto"/>
          <w:sz w:val="32"/>
          <w:szCs w:val="32"/>
        </w:rPr>
      </w:pPr>
    </w:p>
    <w:p>
      <w:pPr>
        <w:pStyle w:val="18"/>
        <w:rPr>
          <w:rFonts w:hint="eastAsia" w:ascii="宋体" w:hAnsi="宋体" w:cs="宋体"/>
          <w:b/>
          <w:color w:val="auto"/>
          <w:sz w:val="32"/>
          <w:szCs w:val="32"/>
        </w:rPr>
      </w:pPr>
    </w:p>
    <w:p>
      <w:pPr>
        <w:pStyle w:val="26"/>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4"/>
        </w:numPr>
        <w:adjustRightInd w:val="0"/>
        <w:snapToGrid w:val="0"/>
        <w:spacing w:before="156" w:beforeLines="50" w:line="360" w:lineRule="auto"/>
        <w:jc w:val="center"/>
        <w:outlineLvl w:val="9"/>
        <w:rPr>
          <w:rFonts w:hint="eastAsia" w:ascii="宋体" w:hAnsi="宋体" w:cs="宋体"/>
          <w:b/>
          <w:bCs/>
          <w:color w:val="auto"/>
          <w:sz w:val="32"/>
          <w:szCs w:val="32"/>
        </w:rPr>
      </w:pPr>
      <w:r>
        <w:rPr>
          <w:rFonts w:hint="eastAsia" w:ascii="宋体" w:hAnsi="宋体" w:cs="宋体"/>
          <w:b/>
          <w:color w:val="auto"/>
          <w:sz w:val="32"/>
          <w:szCs w:val="32"/>
        </w:rPr>
        <w:t xml:space="preserve"> </w:t>
      </w:r>
      <w:r>
        <w:rPr>
          <w:rFonts w:hint="eastAsia" w:ascii="宋体" w:hAnsi="宋体" w:cs="宋体"/>
          <w:b/>
          <w:color w:val="auto"/>
          <w:sz w:val="32"/>
          <w:szCs w:val="32"/>
          <w:lang w:eastAsia="zh-CN"/>
        </w:rPr>
        <w:t>合同</w:t>
      </w:r>
    </w:p>
    <w:p>
      <w:pPr>
        <w:pStyle w:val="279"/>
        <w:spacing w:before="312" w:after="156" w:line="520" w:lineRule="exact"/>
        <w:ind w:firstLine="480"/>
        <w:rPr>
          <w:rStyle w:val="280"/>
          <w:rFonts w:hint="eastAsia" w:hAnsi="宋体" w:cs="宋体"/>
          <w:b/>
          <w:bCs/>
          <w:spacing w:val="0"/>
          <w:kern w:val="2"/>
          <w:szCs w:val="24"/>
        </w:rPr>
      </w:pPr>
      <w:bookmarkStart w:id="31" w:name="_Toc101850"/>
      <w:r>
        <w:rPr>
          <w:rFonts w:ascii="宋体" w:hAnsi="宋体" w:eastAsia="宋体" w:cs="宋体"/>
          <w:b/>
          <w:bCs/>
          <w:sz w:val="24"/>
          <w:szCs w:val="24"/>
        </w:rPr>
        <w:t>注：本合同条款仅供参考，甲乙双方可根据实际情况进行补充。</w:t>
      </w:r>
    </w:p>
    <w:p>
      <w:pPr>
        <w:pStyle w:val="279"/>
        <w:spacing w:before="312" w:after="156" w:line="520" w:lineRule="exact"/>
        <w:ind w:firstLine="480"/>
        <w:rPr>
          <w:rStyle w:val="280"/>
          <w:rFonts w:hAnsi="宋体" w:cs="宋体"/>
          <w:spacing w:val="0"/>
          <w:kern w:val="2"/>
          <w:szCs w:val="24"/>
        </w:rPr>
      </w:pPr>
      <w:r>
        <w:rPr>
          <w:rStyle w:val="280"/>
          <w:rFonts w:hint="eastAsia" w:hAnsi="宋体" w:cs="宋体"/>
          <w:spacing w:val="0"/>
          <w:kern w:val="2"/>
          <w:szCs w:val="24"/>
        </w:rPr>
        <w:t>甲乙双方经友好协商，根据《中华人民共和国合同法》及相关法律规定，结合具体情况，在遵循平等互利、友好合作的原则下，就甲方订购乙方产品一事，经协商一致后达成如下条款：</w:t>
      </w:r>
    </w:p>
    <w:p>
      <w:pPr>
        <w:pStyle w:val="279"/>
        <w:spacing w:line="520" w:lineRule="exact"/>
        <w:ind w:firstLine="480"/>
        <w:rPr>
          <w:rStyle w:val="280"/>
          <w:rFonts w:hAnsi="宋体" w:cs="宋体"/>
          <w:spacing w:val="0"/>
          <w:kern w:val="2"/>
          <w:szCs w:val="24"/>
        </w:rPr>
      </w:pPr>
      <w:r>
        <w:rPr>
          <w:rStyle w:val="280"/>
          <w:rFonts w:hint="eastAsia" w:hAnsi="宋体" w:cs="宋体"/>
          <w:spacing w:val="0"/>
          <w:kern w:val="2"/>
          <w:szCs w:val="24"/>
        </w:rPr>
        <w:t>本合同签订时，乙方应将其营业执照复印件、税务登记证复印件、代码证复印件，开户行名称、银行帐号、联系人等相关资料提供给甲方存档，其内容如发生变动应及时书面通知甲方。</w:t>
      </w:r>
    </w:p>
    <w:p>
      <w:pPr>
        <w:pStyle w:val="279"/>
        <w:spacing w:line="520" w:lineRule="exact"/>
        <w:ind w:firstLine="482"/>
        <w:outlineLvl w:val="1"/>
        <w:rPr>
          <w:rStyle w:val="280"/>
          <w:rFonts w:hAnsi="宋体" w:cs="宋体"/>
          <w:b/>
          <w:bCs/>
          <w:szCs w:val="24"/>
        </w:rPr>
      </w:pPr>
      <w:r>
        <w:rPr>
          <w:rStyle w:val="280"/>
          <w:rFonts w:hint="eastAsia" w:hAnsi="宋体" w:cs="宋体"/>
          <w:b/>
          <w:bCs/>
          <w:szCs w:val="24"/>
        </w:rPr>
        <w:t>一、合同双方</w:t>
      </w:r>
    </w:p>
    <w:p>
      <w:pPr>
        <w:pStyle w:val="279"/>
        <w:spacing w:line="520" w:lineRule="exact"/>
        <w:ind w:firstLine="480"/>
        <w:rPr>
          <w:rStyle w:val="280"/>
          <w:rFonts w:hAnsi="宋体" w:cs="宋体"/>
          <w:b/>
          <w:bCs/>
          <w:szCs w:val="24"/>
          <w:u w:val="single"/>
        </w:rPr>
      </w:pPr>
      <w:r>
        <w:rPr>
          <w:rStyle w:val="280"/>
          <w:rFonts w:hint="eastAsia" w:hAnsi="宋体" w:cs="宋体"/>
          <w:szCs w:val="24"/>
        </w:rPr>
        <w:t>1、</w:t>
      </w:r>
      <w:r>
        <w:rPr>
          <w:rStyle w:val="280"/>
          <w:rFonts w:hint="eastAsia" w:hAnsi="宋体" w:cs="宋体"/>
          <w:b/>
          <w:bCs/>
          <w:szCs w:val="24"/>
        </w:rPr>
        <w:t>甲方：</w:t>
      </w:r>
    </w:p>
    <w:p>
      <w:pPr>
        <w:pStyle w:val="279"/>
        <w:spacing w:line="520" w:lineRule="exact"/>
        <w:ind w:firstLine="480"/>
        <w:rPr>
          <w:rStyle w:val="280"/>
          <w:rFonts w:hAnsi="宋体" w:cs="宋体"/>
          <w:b/>
          <w:szCs w:val="24"/>
          <w:u w:val="single"/>
        </w:rPr>
      </w:pPr>
      <w:r>
        <w:rPr>
          <w:rStyle w:val="280"/>
          <w:rFonts w:hint="eastAsia" w:hAnsi="宋体" w:cs="宋体"/>
          <w:szCs w:val="24"/>
        </w:rPr>
        <w:t>2、</w:t>
      </w:r>
      <w:r>
        <w:rPr>
          <w:rStyle w:val="280"/>
          <w:rFonts w:hint="eastAsia" w:hAnsi="宋体" w:cs="宋体"/>
          <w:b/>
          <w:bCs/>
          <w:spacing w:val="-10"/>
          <w:szCs w:val="24"/>
        </w:rPr>
        <w:t>乙方：</w:t>
      </w:r>
    </w:p>
    <w:p>
      <w:pPr>
        <w:pStyle w:val="279"/>
        <w:spacing w:line="520" w:lineRule="exact"/>
        <w:ind w:firstLine="480"/>
        <w:rPr>
          <w:rStyle w:val="280"/>
          <w:rFonts w:hAnsi="宋体" w:cs="宋体"/>
          <w:spacing w:val="0"/>
          <w:kern w:val="2"/>
          <w:szCs w:val="24"/>
        </w:rPr>
      </w:pPr>
      <w:r>
        <w:rPr>
          <w:rStyle w:val="280"/>
          <w:rFonts w:hint="eastAsia" w:hAnsi="宋体" w:cs="宋体"/>
          <w:spacing w:val="0"/>
          <w:kern w:val="2"/>
          <w:szCs w:val="24"/>
        </w:rPr>
        <w:t>乙方的财务信息如下：</w:t>
      </w:r>
    </w:p>
    <w:p>
      <w:pPr>
        <w:pStyle w:val="281"/>
        <w:widowControl/>
        <w:spacing w:line="520" w:lineRule="exact"/>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公司全称：</w:t>
      </w:r>
    </w:p>
    <w:p>
      <w:pPr>
        <w:pStyle w:val="281"/>
        <w:widowControl/>
        <w:tabs>
          <w:tab w:val="left" w:pos="916"/>
          <w:tab w:val="left" w:pos="1832"/>
          <w:tab w:val="left" w:pos="2748"/>
          <w:tab w:val="left" w:pos="3664"/>
          <w:tab w:val="left" w:pos="4580"/>
          <w:tab w:val="left" w:pos="5496"/>
          <w:tab w:val="left" w:pos="6412"/>
          <w:tab w:val="left" w:pos="7328"/>
          <w:tab w:val="left" w:pos="8244"/>
          <w:tab w:val="left" w:pos="8520"/>
        </w:tabs>
        <w:spacing w:line="520" w:lineRule="exact"/>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地址：联系电话： </w:t>
      </w:r>
    </w:p>
    <w:p>
      <w:pPr>
        <w:pStyle w:val="281"/>
        <w:widowControl/>
        <w:tabs>
          <w:tab w:val="left" w:pos="916"/>
          <w:tab w:val="left" w:pos="1832"/>
          <w:tab w:val="left" w:pos="2748"/>
          <w:tab w:val="left" w:pos="3664"/>
          <w:tab w:val="left" w:pos="4580"/>
          <w:tab w:val="left" w:pos="5496"/>
          <w:tab w:val="left" w:pos="6412"/>
          <w:tab w:val="left" w:pos="7328"/>
          <w:tab w:val="left" w:pos="8244"/>
          <w:tab w:val="left" w:pos="8520"/>
        </w:tabs>
        <w:spacing w:line="520" w:lineRule="exact"/>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帐号：                    开户银行：税号： </w:t>
      </w:r>
    </w:p>
    <w:p>
      <w:pPr>
        <w:pStyle w:val="279"/>
        <w:spacing w:line="520" w:lineRule="exact"/>
        <w:ind w:firstLine="482"/>
        <w:outlineLvl w:val="1"/>
        <w:rPr>
          <w:rStyle w:val="280"/>
          <w:rFonts w:hAnsi="宋体" w:cs="宋体"/>
          <w:b/>
          <w:bCs/>
          <w:szCs w:val="24"/>
        </w:rPr>
      </w:pPr>
      <w:r>
        <w:rPr>
          <w:rStyle w:val="280"/>
          <w:rFonts w:hint="eastAsia" w:hAnsi="宋体" w:cs="宋体"/>
          <w:b/>
          <w:bCs/>
          <w:szCs w:val="24"/>
        </w:rPr>
        <w:t>二、设备名称、数量、单价及总金额</w:t>
      </w:r>
    </w:p>
    <w:p>
      <w:pPr>
        <w:pStyle w:val="281"/>
        <w:spacing w:line="520" w:lineRule="exact"/>
        <w:ind w:firstLine="480"/>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本合同项下甲方采购的产品详见技术参数一览表，该附件经双方盖章确认后生效。</w:t>
      </w:r>
    </w:p>
    <w:p>
      <w:pPr>
        <w:pStyle w:val="281"/>
        <w:spacing w:line="520" w:lineRule="exact"/>
        <w:ind w:firstLine="482"/>
        <w:jc w:val="left"/>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三、交货地点、运费、保险费及交货期限</w:t>
      </w:r>
    </w:p>
    <w:p>
      <w:pPr>
        <w:pStyle w:val="281"/>
        <w:spacing w:line="520" w:lineRule="exact"/>
        <w:ind w:firstLine="480"/>
        <w:rPr>
          <w:rStyle w:val="280"/>
          <w:rFonts w:hint="default" w:ascii="宋体" w:hAnsi="宋体" w:eastAsia="宋体" w:cs="宋体"/>
          <w:color w:val="auto"/>
          <w:sz w:val="24"/>
          <w:szCs w:val="24"/>
          <w:u w:val="single"/>
        </w:rPr>
      </w:pPr>
      <w:r>
        <w:rPr>
          <w:rStyle w:val="280"/>
          <w:rFonts w:ascii="宋体" w:hAnsi="宋体" w:eastAsia="宋体" w:cs="宋体"/>
          <w:color w:val="auto"/>
          <w:sz w:val="24"/>
          <w:szCs w:val="24"/>
        </w:rPr>
        <w:t>1、交货地点：</w:t>
      </w:r>
      <w:r>
        <w:rPr>
          <w:rStyle w:val="280"/>
          <w:rFonts w:hint="eastAsia" w:ascii="宋体" w:hAnsi="宋体" w:eastAsia="宋体" w:cs="宋体"/>
          <w:color w:val="auto"/>
          <w:sz w:val="24"/>
          <w:szCs w:val="24"/>
          <w:u w:val="single"/>
          <w:lang w:val="en-US" w:eastAsia="zh-CN"/>
        </w:rPr>
        <w:t xml:space="preserve">         </w:t>
      </w:r>
      <w:r>
        <w:rPr>
          <w:rStyle w:val="280"/>
          <w:rFonts w:ascii="宋体" w:hAnsi="宋体" w:eastAsia="宋体" w:cs="宋体"/>
          <w:color w:val="auto"/>
          <w:sz w:val="24"/>
          <w:szCs w:val="24"/>
        </w:rPr>
        <w:t>，具体以甲方指定地点为准。</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2、交货及安装调试完成期限：</w:t>
      </w:r>
      <w:r>
        <w:rPr>
          <w:rStyle w:val="280"/>
          <w:rFonts w:ascii="宋体" w:hAnsi="宋体" w:eastAsia="宋体" w:cs="宋体"/>
          <w:color w:val="auto"/>
          <w:spacing w:val="10"/>
          <w:sz w:val="24"/>
          <w:szCs w:val="24"/>
        </w:rPr>
        <w:t>乙方应按照合同约定将本合同项下全部设备于合同签订后</w:t>
      </w:r>
      <w:r>
        <w:rPr>
          <w:rStyle w:val="280"/>
          <w:rFonts w:ascii="宋体" w:hAnsi="宋体" w:eastAsia="宋体" w:cs="宋体"/>
          <w:color w:val="auto"/>
          <w:sz w:val="24"/>
          <w:szCs w:val="24"/>
        </w:rPr>
        <w:t>日内运抵甲方指定的施工现场并安装调试完成。</w:t>
      </w:r>
    </w:p>
    <w:p>
      <w:pPr>
        <w:pStyle w:val="281"/>
        <w:spacing w:line="520" w:lineRule="exact"/>
        <w:ind w:left="420"/>
        <w:rPr>
          <w:rStyle w:val="280"/>
          <w:rFonts w:hint="default" w:ascii="宋体" w:hAnsi="宋体" w:eastAsia="宋体" w:cs="宋体"/>
          <w:color w:val="auto"/>
          <w:sz w:val="24"/>
          <w:szCs w:val="24"/>
        </w:rPr>
      </w:pPr>
      <w:r>
        <w:rPr>
          <w:rStyle w:val="280"/>
          <w:rFonts w:ascii="宋体" w:hAnsi="宋体" w:eastAsia="宋体" w:cs="宋体"/>
          <w:color w:val="auto"/>
          <w:sz w:val="24"/>
          <w:szCs w:val="24"/>
        </w:rPr>
        <w:t>3、运输方式：乙方自行选择运输方式。</w:t>
      </w:r>
    </w:p>
    <w:p>
      <w:pPr>
        <w:pStyle w:val="281"/>
        <w:spacing w:line="520" w:lineRule="exact"/>
        <w:ind w:left="420"/>
        <w:rPr>
          <w:rStyle w:val="280"/>
          <w:rFonts w:hint="default" w:ascii="宋体" w:hAnsi="宋体" w:eastAsia="宋体" w:cs="宋体"/>
          <w:color w:val="auto"/>
          <w:sz w:val="24"/>
          <w:szCs w:val="24"/>
        </w:rPr>
      </w:pPr>
      <w:r>
        <w:rPr>
          <w:rStyle w:val="280"/>
          <w:rFonts w:ascii="宋体" w:hAnsi="宋体" w:eastAsia="宋体" w:cs="宋体"/>
          <w:color w:val="auto"/>
          <w:sz w:val="24"/>
          <w:szCs w:val="24"/>
        </w:rPr>
        <w:t>4、运费及保险费用：运输所发生的所有费用由乙方承担。</w:t>
      </w:r>
    </w:p>
    <w:p>
      <w:pPr>
        <w:pStyle w:val="281"/>
        <w:spacing w:line="520" w:lineRule="exact"/>
        <w:ind w:left="420"/>
        <w:rPr>
          <w:rStyle w:val="280"/>
          <w:rFonts w:hint="default" w:ascii="宋体" w:hAnsi="宋体" w:eastAsia="宋体" w:cs="宋体"/>
          <w:color w:val="auto"/>
          <w:sz w:val="24"/>
          <w:szCs w:val="24"/>
        </w:rPr>
      </w:pPr>
      <w:r>
        <w:rPr>
          <w:rStyle w:val="280"/>
          <w:rFonts w:ascii="宋体" w:hAnsi="宋体" w:eastAsia="宋体" w:cs="宋体"/>
          <w:color w:val="auto"/>
          <w:sz w:val="24"/>
          <w:szCs w:val="24"/>
        </w:rPr>
        <w:t>5、运输途中设备的灭失风险：由乙方承担。</w:t>
      </w:r>
    </w:p>
    <w:p>
      <w:pPr>
        <w:pStyle w:val="281"/>
        <w:spacing w:line="520" w:lineRule="exact"/>
        <w:ind w:firstLine="482"/>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四、包装</w:t>
      </w:r>
    </w:p>
    <w:p>
      <w:pPr>
        <w:pStyle w:val="281"/>
        <w:spacing w:line="520" w:lineRule="exact"/>
        <w:ind w:firstLine="482"/>
        <w:rPr>
          <w:rStyle w:val="280"/>
          <w:rFonts w:hint="default" w:ascii="宋体" w:hAnsi="宋体" w:eastAsia="宋体" w:cs="宋体"/>
          <w:color w:val="auto"/>
          <w:sz w:val="24"/>
          <w:szCs w:val="24"/>
        </w:rPr>
      </w:pPr>
      <w:r>
        <w:rPr>
          <w:rStyle w:val="280"/>
          <w:rFonts w:ascii="宋体" w:hAnsi="宋体" w:eastAsia="宋体" w:cs="宋体"/>
          <w:color w:val="auto"/>
          <w:sz w:val="24"/>
          <w:szCs w:val="24"/>
        </w:rPr>
        <w:t>1、货物的包装由乙方负责，费用由乙方承担。</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2、乙方所交付的全部设备均应按包装和运输的标准保护措施进行包装，这类包装应适应按照该设备特定性质所需的远距离运输、防潮、防震、防锈等要求，以确保设备安全地运抵交货地点。</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3、每一个包装箱内应附一份详细装箱单、质量证书及产品使用说明书。</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4、乙方应在每一包装物的合适位置用不褪色的油漆以醒目的中文字样做出下列标记：</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a. 收货人；</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b. 合同号；</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c. 发货单位；</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d. 收货人；</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e. 出厂编号；</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f. 总共箱（件）数及箱号；</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g. 出厂日期；</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h. 货物的名称；</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i. 毛重/净重（公斤）；</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j. 尺寸（长×宽×高，以厘米计）。</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5、如果货物单件重在2吨或2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6、 标志</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6.1 设备应在其明显位置装有固定的金属铭牌或喷涂、打印标志，应列明下列内容：</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a. 制造厂名称；</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b. 产品型号和名称；</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c. 制造厂的产品编号；</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d. 制造许可证级别和编号（针对执行生产许可证的产品）；</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f. 制造日期。</w:t>
      </w:r>
    </w:p>
    <w:p>
      <w:pPr>
        <w:spacing w:line="520" w:lineRule="exact"/>
        <w:ind w:firstLine="480" w:firstLineChars="200"/>
        <w:rPr>
          <w:rStyle w:val="280"/>
          <w:rFonts w:ascii="宋体" w:hAnsi="宋体" w:cs="宋体"/>
          <w:sz w:val="24"/>
        </w:rPr>
      </w:pPr>
      <w:r>
        <w:rPr>
          <w:rStyle w:val="280"/>
          <w:rFonts w:hint="eastAsia" w:ascii="宋体" w:hAnsi="宋体" w:cs="宋体"/>
          <w:sz w:val="24"/>
        </w:rPr>
        <w:t>7、制造厂供货时应提供下列文件及附件：</w:t>
      </w:r>
    </w:p>
    <w:p>
      <w:pPr>
        <w:spacing w:line="520" w:lineRule="exact"/>
        <w:ind w:firstLine="480" w:firstLineChars="200"/>
        <w:rPr>
          <w:rStyle w:val="280"/>
          <w:rFonts w:ascii="宋体" w:hAnsi="宋体" w:cs="宋体"/>
          <w:sz w:val="24"/>
        </w:rPr>
      </w:pPr>
      <w:r>
        <w:rPr>
          <w:rStyle w:val="280"/>
          <w:rFonts w:hint="eastAsia" w:ascii="宋体" w:hAnsi="宋体" w:cs="宋体"/>
          <w:sz w:val="24"/>
        </w:rPr>
        <w:t>7、1 装箱清单；</w:t>
      </w:r>
    </w:p>
    <w:p>
      <w:pPr>
        <w:spacing w:line="520" w:lineRule="exact"/>
        <w:ind w:firstLine="480" w:firstLineChars="200"/>
        <w:outlineLvl w:val="1"/>
        <w:rPr>
          <w:rStyle w:val="280"/>
          <w:rFonts w:ascii="宋体" w:hAnsi="宋体" w:cs="宋体"/>
          <w:sz w:val="24"/>
        </w:rPr>
      </w:pPr>
      <w:r>
        <w:rPr>
          <w:rStyle w:val="280"/>
          <w:rFonts w:hint="eastAsia" w:ascii="宋体" w:hAnsi="宋体" w:cs="宋体"/>
          <w:sz w:val="24"/>
        </w:rPr>
        <w:t>7.2 产品合格证；</w:t>
      </w:r>
    </w:p>
    <w:p>
      <w:pPr>
        <w:spacing w:line="520" w:lineRule="exact"/>
        <w:ind w:firstLine="480" w:firstLineChars="200"/>
        <w:outlineLvl w:val="1"/>
        <w:rPr>
          <w:rStyle w:val="280"/>
          <w:rFonts w:ascii="宋体" w:hAnsi="宋体" w:cs="宋体"/>
          <w:sz w:val="24"/>
        </w:rPr>
      </w:pPr>
      <w:r>
        <w:rPr>
          <w:rStyle w:val="280"/>
          <w:rFonts w:hint="eastAsia" w:ascii="宋体" w:hAnsi="宋体" w:cs="宋体"/>
          <w:sz w:val="24"/>
        </w:rPr>
        <w:t>7.3 使用说明书；</w:t>
      </w:r>
    </w:p>
    <w:p>
      <w:pPr>
        <w:spacing w:line="520" w:lineRule="exact"/>
        <w:ind w:firstLine="480" w:firstLineChars="200"/>
        <w:outlineLvl w:val="1"/>
        <w:rPr>
          <w:rStyle w:val="280"/>
          <w:rFonts w:ascii="宋体" w:hAnsi="宋体" w:cs="宋体"/>
          <w:sz w:val="24"/>
        </w:rPr>
      </w:pPr>
      <w:r>
        <w:rPr>
          <w:rStyle w:val="280"/>
          <w:rFonts w:hint="eastAsia" w:ascii="宋体" w:hAnsi="宋体" w:cs="宋体"/>
          <w:sz w:val="24"/>
        </w:rPr>
        <w:t>7.4 出厂试验报告；</w:t>
      </w:r>
    </w:p>
    <w:p>
      <w:pPr>
        <w:spacing w:line="520" w:lineRule="exact"/>
        <w:ind w:firstLine="480" w:firstLineChars="200"/>
        <w:outlineLvl w:val="1"/>
        <w:rPr>
          <w:rStyle w:val="280"/>
          <w:rFonts w:ascii="宋体" w:hAnsi="宋体" w:cs="宋体"/>
          <w:sz w:val="24"/>
        </w:rPr>
      </w:pPr>
      <w:r>
        <w:rPr>
          <w:rStyle w:val="280"/>
          <w:rFonts w:hint="eastAsia" w:ascii="宋体" w:hAnsi="宋体" w:cs="宋体"/>
          <w:sz w:val="24"/>
        </w:rPr>
        <w:t>7.5 有关技术资料及图纸；</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8、合同生效后 7 日内，乙方应将与所供货物相符的中文技术资料叁套寄给甲方，如样本、操作手册、使用指南、维修指南和服务手册等。</w:t>
      </w:r>
    </w:p>
    <w:p>
      <w:pPr>
        <w:pStyle w:val="281"/>
        <w:spacing w:line="520" w:lineRule="exact"/>
        <w:ind w:firstLine="482"/>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五、合同总价款、付款方式和条件</w:t>
      </w:r>
    </w:p>
    <w:p>
      <w:pPr>
        <w:pStyle w:val="281"/>
        <w:spacing w:line="50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1、合同总价款：元 （人民币大写：</w:t>
      </w:r>
      <w:r>
        <w:rPr>
          <w:rStyle w:val="280"/>
          <w:rFonts w:ascii="宋体" w:hAnsi="宋体" w:eastAsia="宋体" w:cs="宋体"/>
          <w:color w:val="auto"/>
          <w:sz w:val="24"/>
          <w:szCs w:val="24"/>
          <w:u w:val="single"/>
        </w:rPr>
        <w:t xml:space="preserve">                )</w:t>
      </w:r>
      <w:r>
        <w:rPr>
          <w:rStyle w:val="280"/>
          <w:rFonts w:ascii="宋体" w:hAnsi="宋体" w:eastAsia="宋体" w:cs="宋体"/>
          <w:color w:val="auto"/>
          <w:sz w:val="24"/>
          <w:szCs w:val="24"/>
        </w:rPr>
        <w:t>，前述价款已包含税金、货物价款、包装费、运输费、保险费、安装调试费、集成、人员培训等乙方履行本合同所需的全部费用，甲方无需向乙方支付任何其他费用。</w:t>
      </w:r>
    </w:p>
    <w:p>
      <w:pPr>
        <w:pStyle w:val="281"/>
        <w:spacing w:line="500" w:lineRule="exact"/>
        <w:ind w:firstLine="480"/>
        <w:rPr>
          <w:rStyle w:val="280"/>
          <w:rFonts w:hint="eastAsia" w:ascii="宋体" w:hAnsi="宋体" w:eastAsia="宋体" w:cs="宋体"/>
          <w:b/>
          <w:bCs/>
          <w:color w:val="auto"/>
          <w:kern w:val="2"/>
          <w:sz w:val="24"/>
          <w:szCs w:val="24"/>
          <w:lang w:val="en-US" w:eastAsia="zh-CN" w:bidi="ar-SA"/>
        </w:rPr>
      </w:pPr>
      <w:r>
        <w:rPr>
          <w:rStyle w:val="280"/>
          <w:rFonts w:hint="eastAsia" w:ascii="宋体" w:hAnsi="宋体" w:eastAsia="宋体" w:cs="宋体"/>
          <w:b/>
          <w:bCs/>
          <w:color w:val="auto"/>
          <w:kern w:val="2"/>
          <w:sz w:val="24"/>
          <w:szCs w:val="24"/>
          <w:lang w:val="en-US" w:eastAsia="zh-CN" w:bidi="ar-SA"/>
        </w:rPr>
        <w:t>2、付款方式：中标单位所供产品必须保证为正规渠道供货的正宗产品，经验收合格或审计结束后10个工作日内，付至合同价或审定价的95%，其余5%作为质保金，3 年质保期满后，经使用单位确认无质量问题，一次性付清（无息）。</w:t>
      </w:r>
    </w:p>
    <w:p>
      <w:pPr>
        <w:pStyle w:val="281"/>
        <w:spacing w:line="500" w:lineRule="exact"/>
        <w:ind w:firstLine="480"/>
        <w:rPr>
          <w:rStyle w:val="280"/>
          <w:rFonts w:hint="default" w:ascii="宋体" w:hAnsi="宋体" w:eastAsia="宋体" w:cs="宋体"/>
          <w:b/>
          <w:bCs/>
          <w:color w:val="auto"/>
          <w:kern w:val="2"/>
          <w:sz w:val="24"/>
          <w:szCs w:val="24"/>
          <w:lang w:val="en-US" w:eastAsia="zh-CN" w:bidi="ar-SA"/>
        </w:rPr>
      </w:pPr>
      <w:r>
        <w:rPr>
          <w:rStyle w:val="280"/>
          <w:rFonts w:hint="eastAsia" w:ascii="宋体" w:hAnsi="宋体" w:eastAsia="宋体" w:cs="宋体"/>
          <w:b/>
          <w:bCs/>
          <w:color w:val="auto"/>
          <w:kern w:val="2"/>
          <w:sz w:val="24"/>
          <w:szCs w:val="24"/>
          <w:lang w:val="en-US" w:eastAsia="zh-CN" w:bidi="ar-SA"/>
        </w:rPr>
        <w:t>如验收不合格以及发现伪劣产品等，招标人将视其情形采取退货、拒付款、索赔等措施，直至通过质量技术监督部门，依法处理。</w:t>
      </w:r>
    </w:p>
    <w:p>
      <w:pPr>
        <w:pStyle w:val="281"/>
        <w:spacing w:line="520" w:lineRule="exact"/>
        <w:ind w:firstLine="482"/>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六、验收调试</w:t>
      </w:r>
    </w:p>
    <w:p>
      <w:pPr>
        <w:pStyle w:val="281"/>
        <w:spacing w:line="520" w:lineRule="exact"/>
        <w:ind w:firstLine="480"/>
        <w:rPr>
          <w:rStyle w:val="280"/>
          <w:rFonts w:hint="default" w:ascii="宋体" w:hAnsi="宋体" w:eastAsia="宋体" w:cs="宋体"/>
          <w:color w:val="auto"/>
          <w:kern w:val="0"/>
          <w:sz w:val="24"/>
          <w:szCs w:val="24"/>
        </w:rPr>
      </w:pPr>
      <w:r>
        <w:rPr>
          <w:rStyle w:val="280"/>
          <w:rFonts w:ascii="宋体" w:hAnsi="宋体" w:eastAsia="宋体" w:cs="宋体"/>
          <w:color w:val="auto"/>
          <w:sz w:val="24"/>
          <w:szCs w:val="24"/>
        </w:rPr>
        <w:t>1、质量及验收标准：乙方提供设备应符合甲方的技术规范和厂家提供的</w:t>
      </w:r>
      <w:r>
        <w:rPr>
          <w:rStyle w:val="280"/>
          <w:rFonts w:ascii="宋体" w:hAnsi="宋体" w:eastAsia="宋体" w:cs="宋体"/>
          <w:color w:val="auto"/>
          <w:kern w:val="0"/>
          <w:sz w:val="24"/>
          <w:szCs w:val="24"/>
        </w:rPr>
        <w:t>技术规格和参数标准（详见附件一）。设备应为原厂、原装、质量合格、全新的设备，设备应符合国家，行业有关标准，并应符合国家环保标准，前述相关标准不一致的，取其高者适用。</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2、到货验收：乙方将设备运抵甲方指定的交货地点后，甲乙双方应指定专人当场对设备数量、规格、型号、外观等进行验收。</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在到货验收时，如甲方发现设备数量等与本合同约定不符，或设备存在质量、技术问题，甲方有权要求乙方退货或更换其设备，乙方应负责按照甲方的要求在五日内采取补足、更换或退货等处理措施，以保证甲方的施工工期，并承担由此发生的相关费用和甲方的经济损失。</w:t>
      </w:r>
    </w:p>
    <w:p>
      <w:pPr>
        <w:pStyle w:val="281"/>
        <w:spacing w:line="520" w:lineRule="exact"/>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    4、最终验收确认：设备安装调试完成并经甲方（及/或最终用户）最终验收合格后，甲方（及/或最终用户）、乙方共同出具书面的验收确认单并加盖各方单位公章。</w:t>
      </w:r>
    </w:p>
    <w:p>
      <w:pPr>
        <w:pStyle w:val="281"/>
        <w:spacing w:line="520" w:lineRule="exact"/>
        <w:ind w:firstLine="48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七、质保期：</w:t>
      </w:r>
      <w:r>
        <w:rPr>
          <w:rStyle w:val="280"/>
          <w:rFonts w:hint="eastAsia" w:ascii="宋体" w:hAnsi="宋体" w:eastAsia="宋体" w:cs="宋体"/>
          <w:b/>
          <w:bCs/>
          <w:color w:val="auto"/>
          <w:sz w:val="24"/>
          <w:szCs w:val="24"/>
        </w:rPr>
        <w:t>质保期为设备验收合格后</w:t>
      </w:r>
      <w:r>
        <w:rPr>
          <w:rStyle w:val="280"/>
          <w:rFonts w:hint="eastAsia" w:ascii="宋体" w:hAnsi="宋体" w:eastAsia="宋体" w:cs="宋体"/>
          <w:b/>
          <w:bCs/>
          <w:color w:val="auto"/>
          <w:sz w:val="24"/>
          <w:szCs w:val="24"/>
          <w:lang w:val="en-US" w:eastAsia="zh-CN"/>
        </w:rPr>
        <w:t>三</w:t>
      </w:r>
      <w:r>
        <w:rPr>
          <w:rStyle w:val="280"/>
          <w:rFonts w:hint="eastAsia" w:ascii="宋体" w:hAnsi="宋体" w:eastAsia="宋体" w:cs="宋体"/>
          <w:b/>
          <w:bCs/>
          <w:color w:val="auto"/>
          <w:sz w:val="24"/>
          <w:szCs w:val="24"/>
        </w:rPr>
        <w:t>年</w:t>
      </w:r>
      <w:r>
        <w:rPr>
          <w:rStyle w:val="280"/>
          <w:rFonts w:hint="eastAsia" w:ascii="宋体" w:hAnsi="宋体" w:eastAsia="宋体" w:cs="宋体"/>
          <w:b/>
          <w:bCs/>
          <w:color w:val="auto"/>
          <w:sz w:val="24"/>
          <w:szCs w:val="24"/>
          <w:lang w:eastAsia="zh-CN"/>
        </w:rPr>
        <w:t>，质保期内免费维护。</w:t>
      </w:r>
    </w:p>
    <w:p>
      <w:pPr>
        <w:pStyle w:val="281"/>
        <w:spacing w:line="520" w:lineRule="exact"/>
        <w:ind w:firstLine="480"/>
        <w:rPr>
          <w:rStyle w:val="280"/>
          <w:rFonts w:ascii="宋体" w:hAnsi="宋体" w:eastAsia="宋体" w:cs="宋体"/>
          <w:b/>
          <w:bCs/>
          <w:color w:val="auto"/>
          <w:sz w:val="24"/>
          <w:szCs w:val="24"/>
        </w:rPr>
      </w:pPr>
      <w:r>
        <w:rPr>
          <w:rStyle w:val="280"/>
          <w:rFonts w:ascii="宋体" w:hAnsi="宋体" w:eastAsia="宋体" w:cs="宋体"/>
          <w:b/>
          <w:bCs/>
          <w:color w:val="auto"/>
          <w:sz w:val="24"/>
          <w:szCs w:val="24"/>
        </w:rPr>
        <w:t>（</w:t>
      </w:r>
      <w:r>
        <w:rPr>
          <w:rStyle w:val="280"/>
          <w:rFonts w:hint="eastAsia" w:ascii="宋体" w:hAnsi="宋体" w:eastAsia="宋体" w:cs="宋体"/>
          <w:b/>
          <w:bCs/>
          <w:color w:val="auto"/>
          <w:sz w:val="24"/>
          <w:szCs w:val="24"/>
          <w:lang w:val="en-US" w:eastAsia="zh-CN"/>
        </w:rPr>
        <w:t>1</w:t>
      </w:r>
      <w:r>
        <w:rPr>
          <w:rStyle w:val="280"/>
          <w:rFonts w:ascii="宋体" w:hAnsi="宋体" w:eastAsia="宋体" w:cs="宋体"/>
          <w:b/>
          <w:bCs/>
          <w:color w:val="auto"/>
          <w:sz w:val="24"/>
          <w:szCs w:val="24"/>
        </w:rPr>
        <w:t>）质量保证期自验收合格之日起算，在质量保证期内乙方负责维修并承担所有费用。在质保期内由于甲方人为原因造成设备损坏的，乙方只负责维修，甲方承担所有费用。</w:t>
      </w:r>
    </w:p>
    <w:p>
      <w:pPr>
        <w:pStyle w:val="281"/>
        <w:spacing w:line="520" w:lineRule="exact"/>
        <w:ind w:firstLine="480"/>
        <w:rPr>
          <w:rStyle w:val="280"/>
          <w:rFonts w:hint="eastAsia" w:ascii="宋体" w:hAnsi="宋体" w:eastAsia="宋体" w:cs="宋体"/>
          <w:b/>
          <w:bCs/>
          <w:color w:val="auto"/>
          <w:sz w:val="24"/>
          <w:szCs w:val="24"/>
          <w:lang w:eastAsia="zh-CN"/>
        </w:rPr>
      </w:pPr>
      <w:r>
        <w:rPr>
          <w:rStyle w:val="280"/>
          <w:rFonts w:ascii="宋体" w:hAnsi="宋体" w:eastAsia="宋体" w:cs="宋体"/>
          <w:b/>
          <w:bCs/>
          <w:color w:val="auto"/>
          <w:sz w:val="24"/>
          <w:szCs w:val="24"/>
        </w:rPr>
        <w:t>（2）售后技术服务要求</w:t>
      </w:r>
      <w:r>
        <w:rPr>
          <w:rStyle w:val="280"/>
          <w:rFonts w:hint="eastAsia" w:ascii="宋体" w:hAnsi="宋体" w:eastAsia="宋体" w:cs="宋体"/>
          <w:b/>
          <w:bCs/>
          <w:color w:val="auto"/>
          <w:sz w:val="24"/>
          <w:szCs w:val="24"/>
          <w:lang w:eastAsia="zh-CN"/>
        </w:rPr>
        <w:t>：</w:t>
      </w:r>
    </w:p>
    <w:p>
      <w:pPr>
        <w:pStyle w:val="281"/>
        <w:spacing w:line="520" w:lineRule="exact"/>
        <w:ind w:firstLine="480"/>
        <w:rPr>
          <w:rStyle w:val="280"/>
          <w:rFonts w:hint="eastAsia" w:ascii="宋体" w:hAnsi="宋体" w:eastAsia="宋体" w:cs="宋体"/>
          <w:b/>
          <w:bCs/>
          <w:color w:val="auto"/>
          <w:sz w:val="24"/>
          <w:szCs w:val="24"/>
          <w:lang w:eastAsia="zh-CN"/>
        </w:rPr>
      </w:pPr>
      <w:r>
        <w:rPr>
          <w:rStyle w:val="280"/>
          <w:rFonts w:hint="eastAsia" w:ascii="宋体" w:hAnsi="宋体" w:eastAsia="宋体" w:cs="宋体"/>
          <w:b/>
          <w:bCs/>
          <w:color w:val="auto"/>
          <w:sz w:val="24"/>
          <w:szCs w:val="24"/>
          <w:lang w:eastAsia="zh-CN"/>
        </w:rPr>
        <w:t>1）在质保期内，成交供应商应无偿的承担故障维修、系统维护及软件升级的义务，确系质量原因无法正常工作时，成交供应商应根据售后要求无偿更换合格的软件系统。</w:t>
      </w:r>
    </w:p>
    <w:p>
      <w:pPr>
        <w:pStyle w:val="281"/>
        <w:spacing w:line="520" w:lineRule="exact"/>
        <w:ind w:firstLine="480"/>
        <w:rPr>
          <w:rStyle w:val="280"/>
          <w:rFonts w:hint="eastAsia" w:ascii="宋体" w:hAnsi="宋体" w:eastAsia="宋体" w:cs="宋体"/>
          <w:b/>
          <w:bCs/>
          <w:color w:val="auto"/>
          <w:sz w:val="24"/>
          <w:szCs w:val="24"/>
          <w:lang w:eastAsia="zh-CN"/>
        </w:rPr>
      </w:pPr>
      <w:r>
        <w:rPr>
          <w:rStyle w:val="280"/>
          <w:rFonts w:hint="eastAsia" w:ascii="宋体" w:hAnsi="宋体" w:eastAsia="宋体" w:cs="宋体"/>
          <w:b/>
          <w:bCs/>
          <w:color w:val="auto"/>
          <w:sz w:val="24"/>
          <w:szCs w:val="24"/>
          <w:lang w:eastAsia="zh-CN"/>
        </w:rPr>
        <w:t>2）在质保期内，成交供应商应保证接到通知后及时进行现场处理，并应在售后服务承诺书中注明售后服务响应时间以及保证措施。若系统发生重大故障，收到采购人通知后，成交供应商及时给用户做出答复，响应时间为1小时，并在24小时内到达现场服务,48小时内解决问题。维修所需费用由供应商承担。不能在规定时间内解决故障的，要提供应急解决方案。</w:t>
      </w:r>
    </w:p>
    <w:p>
      <w:pPr>
        <w:pStyle w:val="281"/>
        <w:spacing w:line="520" w:lineRule="exact"/>
        <w:ind w:firstLine="480"/>
        <w:rPr>
          <w:rStyle w:val="280"/>
          <w:rFonts w:hint="eastAsia" w:ascii="宋体" w:hAnsi="宋体" w:eastAsia="宋体" w:cs="宋体"/>
          <w:b/>
          <w:bCs/>
          <w:color w:val="auto"/>
          <w:sz w:val="24"/>
          <w:szCs w:val="24"/>
          <w:lang w:eastAsia="zh-CN"/>
        </w:rPr>
      </w:pPr>
      <w:r>
        <w:rPr>
          <w:rStyle w:val="280"/>
          <w:rFonts w:hint="eastAsia" w:ascii="宋体" w:hAnsi="宋体" w:eastAsia="宋体" w:cs="宋体"/>
          <w:b/>
          <w:bCs/>
          <w:color w:val="auto"/>
          <w:sz w:val="24"/>
          <w:szCs w:val="24"/>
          <w:lang w:eastAsia="zh-CN"/>
        </w:rPr>
        <w:t>3）在本地有完善的售后服务机构，能提供本次采购设备的备件紧急服务和本地化技术服务（提供机构营业执照、协议、技术人员等资料须加盖售后服务机构鲜红公章）；</w:t>
      </w:r>
    </w:p>
    <w:p>
      <w:pPr>
        <w:pStyle w:val="281"/>
        <w:spacing w:line="520" w:lineRule="exact"/>
        <w:ind w:firstLine="480"/>
        <w:rPr>
          <w:rStyle w:val="280"/>
          <w:rFonts w:hint="default" w:ascii="宋体" w:hAnsi="宋体" w:eastAsia="宋体" w:cs="宋体"/>
          <w:b/>
          <w:bCs/>
          <w:color w:val="auto"/>
          <w:sz w:val="24"/>
          <w:szCs w:val="24"/>
        </w:rPr>
      </w:pPr>
      <w:r>
        <w:rPr>
          <w:rStyle w:val="280"/>
          <w:rFonts w:hint="eastAsia" w:ascii="宋体" w:hAnsi="宋体" w:eastAsia="宋体" w:cs="宋体"/>
          <w:b/>
          <w:bCs/>
          <w:color w:val="auto"/>
          <w:sz w:val="24"/>
          <w:szCs w:val="24"/>
          <w:lang w:eastAsia="zh-CN"/>
        </w:rPr>
        <w:t>4）技术参数要求中产品技术参数已明确售后服务的按技术要求参数执行，技术参数未明确售后服务的，按以上要求执行。</w:t>
      </w:r>
    </w:p>
    <w:p>
      <w:pPr>
        <w:pStyle w:val="281"/>
        <w:spacing w:line="520" w:lineRule="exact"/>
        <w:ind w:firstLine="48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（3）其他：若质保期内乙方未依约履行保修义务，甲方有权自行或委托第三方对设备进行维修，因此发生的费用由乙方承担。</w:t>
      </w:r>
    </w:p>
    <w:p>
      <w:pPr>
        <w:pStyle w:val="281"/>
        <w:spacing w:line="520" w:lineRule="exact"/>
        <w:ind w:firstLine="48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（4）在此质保期内，凡因设计、材料和制造上的缺陷而造成损坏的，制造商将保证对有缺陷的设备或部件进行免费更换或修复。</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（5）投标人和制造商在质量保证期内应当为采购人提供以下技术支持和服务。</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4.1电话咨询</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中标人和制造商应当为采购人提供技术援助电话，解答采购人在使用中遇到的问题，及时为采购人提出解决问题的建议。</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4.2培训要求：</w:t>
      </w:r>
    </w:p>
    <w:p>
      <w:pPr>
        <w:pStyle w:val="281"/>
        <w:spacing w:line="520" w:lineRule="exact"/>
        <w:ind w:left="480" w:firstLine="482" w:firstLineChars="200"/>
        <w:outlineLvl w:val="0"/>
        <w:rPr>
          <w:rFonts w:ascii="宋体" w:hAnsi="宋体" w:eastAsia="宋体" w:cs="宋体"/>
          <w:b/>
          <w:bCs/>
          <w:color w:val="auto"/>
          <w:sz w:val="24"/>
          <w:szCs w:val="24"/>
        </w:rPr>
      </w:pPr>
      <w:r>
        <w:rPr>
          <w:rFonts w:ascii="宋体" w:hAnsi="宋体" w:eastAsia="宋体" w:cs="宋体"/>
          <w:b/>
          <w:bCs/>
          <w:color w:val="auto"/>
          <w:sz w:val="24"/>
          <w:szCs w:val="24"/>
        </w:rPr>
        <w:t>1）现场培训；</w:t>
      </w:r>
    </w:p>
    <w:p>
      <w:pPr>
        <w:pStyle w:val="281"/>
        <w:spacing w:line="520" w:lineRule="exact"/>
        <w:ind w:left="480" w:firstLine="482" w:firstLineChars="200"/>
        <w:outlineLvl w:val="0"/>
        <w:rPr>
          <w:rFonts w:ascii="宋体" w:hAnsi="宋体" w:eastAsia="宋体" w:cs="宋体"/>
          <w:b/>
          <w:bCs/>
          <w:color w:val="auto"/>
          <w:sz w:val="24"/>
          <w:szCs w:val="24"/>
        </w:rPr>
      </w:pPr>
      <w:r>
        <w:rPr>
          <w:rFonts w:ascii="宋体" w:hAnsi="宋体" w:eastAsia="宋体" w:cs="宋体"/>
          <w:b/>
          <w:bCs/>
          <w:color w:val="auto"/>
          <w:sz w:val="24"/>
          <w:szCs w:val="24"/>
        </w:rPr>
        <w:t>2）人数：20人以上；</w:t>
      </w:r>
    </w:p>
    <w:p>
      <w:pPr>
        <w:pStyle w:val="281"/>
        <w:spacing w:line="520" w:lineRule="exact"/>
        <w:ind w:left="480" w:firstLine="482" w:firstLineChars="200"/>
        <w:outlineLvl w:val="0"/>
        <w:rPr>
          <w:rFonts w:ascii="宋体" w:hAnsi="宋体" w:eastAsia="宋体" w:cs="宋体"/>
          <w:b/>
          <w:bCs/>
          <w:color w:val="auto"/>
          <w:sz w:val="24"/>
          <w:szCs w:val="24"/>
        </w:rPr>
      </w:pPr>
      <w:r>
        <w:rPr>
          <w:rFonts w:ascii="宋体" w:hAnsi="宋体" w:eastAsia="宋体" w:cs="宋体"/>
          <w:b/>
          <w:bCs/>
          <w:color w:val="auto"/>
          <w:sz w:val="24"/>
          <w:szCs w:val="24"/>
        </w:rPr>
        <w:t>3）培训开始时间：软件交付后7天内进行培训，培训时间至少</w:t>
      </w:r>
      <w:r>
        <w:rPr>
          <w:rFonts w:hint="eastAsia" w:ascii="宋体" w:hAnsi="宋体" w:eastAsia="宋体" w:cs="宋体"/>
          <w:b/>
          <w:bCs/>
          <w:color w:val="auto"/>
          <w:sz w:val="24"/>
          <w:szCs w:val="24"/>
        </w:rPr>
        <w:t>15</w:t>
      </w:r>
      <w:r>
        <w:rPr>
          <w:rFonts w:ascii="宋体" w:hAnsi="宋体" w:eastAsia="宋体" w:cs="宋体"/>
          <w:b/>
          <w:bCs/>
          <w:color w:val="auto"/>
          <w:sz w:val="24"/>
          <w:szCs w:val="24"/>
        </w:rPr>
        <w:t>天。</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4.3技术升级</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在质保期内，如果中标人和制造商的产品技术升级，供应商应及时通知采购人，如采购人有相应要求，中标人和制造商应对采购人购买的产品进行升级服务。</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4.4、质保期外服务要求</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4.4.1质量保证期过后，供应商和制造商应同样提供免费电话咨询服务，并应承诺提供产品上门维护服务。</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4.4.2质量保证期过后，采购人需要继续由原供应商和制造商提供售后服务的，该供应商和制造商应以优惠价格提供售后服务。</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4.5备品备件及易损件</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4.5.1中标人和制造商售后服务中，维修使用的备品备件及易损件应为原厂配件，未经采购人同意不得使用非原厂配件，常用的、容易损坏的备品备件及易损件的价格清单须在投标文件中列出。</w:t>
      </w:r>
    </w:p>
    <w:p>
      <w:pPr>
        <w:pStyle w:val="281"/>
        <w:spacing w:line="520" w:lineRule="exact"/>
        <w:ind w:firstLine="482" w:firstLineChars="200"/>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八、甲方责任</w:t>
      </w:r>
    </w:p>
    <w:p>
      <w:pPr>
        <w:pStyle w:val="281"/>
        <w:spacing w:line="520" w:lineRule="exact"/>
        <w:ind w:left="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1、甲方收到乙方交付的符合本合同约定的设备应妥善保管。</w:t>
      </w:r>
    </w:p>
    <w:p>
      <w:pPr>
        <w:pStyle w:val="281"/>
        <w:spacing w:line="520" w:lineRule="exact"/>
        <w:ind w:left="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2、甲方应在合同规定的期限内及时付款。</w:t>
      </w:r>
    </w:p>
    <w:p>
      <w:pPr>
        <w:pStyle w:val="281"/>
        <w:spacing w:line="520" w:lineRule="exact"/>
        <w:ind w:left="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3、甲方对乙方误发或多发的设备不承担保管责任。</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九、乙方的责任</w:t>
      </w:r>
    </w:p>
    <w:p>
      <w:pPr>
        <w:pStyle w:val="281"/>
        <w:spacing w:line="520" w:lineRule="exact"/>
        <w:ind w:left="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1、乙方应按双方约定及时交付设备。</w:t>
      </w:r>
    </w:p>
    <w:p>
      <w:pPr>
        <w:pStyle w:val="281"/>
        <w:spacing w:line="520" w:lineRule="exact"/>
        <w:ind w:left="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2、乙方应提供设备现场安装调试服务。</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3、乙方应按约定为甲方提供设备使用方面的现场及非现场技术支持。</w:t>
      </w:r>
    </w:p>
    <w:p>
      <w:pPr>
        <w:pStyle w:val="281"/>
        <w:spacing w:line="520" w:lineRule="exact"/>
        <w:ind w:left="480"/>
        <w:rPr>
          <w:rStyle w:val="280"/>
          <w:rFonts w:hint="default" w:ascii="宋体" w:hAnsi="宋体" w:eastAsia="宋体" w:cs="宋体"/>
          <w:color w:val="auto"/>
          <w:sz w:val="24"/>
          <w:szCs w:val="24"/>
        </w:rPr>
      </w:pPr>
      <w:r>
        <w:rPr>
          <w:rStyle w:val="280"/>
          <w:rFonts w:ascii="宋体" w:hAnsi="宋体" w:eastAsia="宋体" w:cs="宋体"/>
          <w:color w:val="auto"/>
          <w:sz w:val="24"/>
          <w:szCs w:val="24"/>
        </w:rPr>
        <w:t>4、乙方应及时提供保修服务。</w:t>
      </w:r>
    </w:p>
    <w:p>
      <w:pPr>
        <w:pStyle w:val="281"/>
        <w:spacing w:line="520" w:lineRule="exact"/>
        <w:ind w:firstLine="482"/>
        <w:outlineLvl w:val="0"/>
        <w:rPr>
          <w:rStyle w:val="280"/>
          <w:rFonts w:hint="default" w:ascii="宋体" w:hAnsi="宋体" w:eastAsia="宋体" w:cs="宋体"/>
          <w:color w:val="auto"/>
          <w:sz w:val="24"/>
          <w:szCs w:val="24"/>
        </w:rPr>
      </w:pPr>
      <w:r>
        <w:rPr>
          <w:rStyle w:val="280"/>
          <w:rFonts w:ascii="宋体" w:hAnsi="宋体" w:eastAsia="宋体" w:cs="宋体"/>
          <w:b/>
          <w:bCs/>
          <w:color w:val="auto"/>
          <w:sz w:val="24"/>
          <w:szCs w:val="24"/>
        </w:rPr>
        <w:t>十</w:t>
      </w:r>
      <w:r>
        <w:rPr>
          <w:rStyle w:val="280"/>
          <w:rFonts w:ascii="宋体" w:hAnsi="宋体" w:eastAsia="宋体" w:cs="宋体"/>
          <w:color w:val="auto"/>
          <w:sz w:val="24"/>
          <w:szCs w:val="24"/>
        </w:rPr>
        <w:t>、</w:t>
      </w:r>
      <w:r>
        <w:rPr>
          <w:rStyle w:val="280"/>
          <w:rFonts w:ascii="宋体" w:hAnsi="宋体" w:eastAsia="宋体" w:cs="宋体"/>
          <w:b/>
          <w:bCs/>
          <w:color w:val="auto"/>
          <w:sz w:val="24"/>
          <w:szCs w:val="24"/>
        </w:rPr>
        <w:t>权利瑕疵担保</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1、乙方应当保证对所交付设备享有完全无瑕疵的所有权，所交付的设备上不存在任何未曾向甲方透露的担保物权，如抵押权、质押权、留置权等。</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2、乙方应保证交付的设备没有侵犯任何第三人的知识产权和商业秘密等权利。</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3、如乙方所交付存在上述权利瑕疵或者风险，则由乙方承担全部责任，并赔偿因此给甲方造成的全部损失。</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十一、所有权转移</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设备的所有权应在乙方交付至甲方指定到货地点由乙方转移至甲方，设备毁损灭失的风险在甲方及最终用户最终验收合格后由乙方转移至甲方。</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十二、保密义务</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在本合同生效之日起五年内，双方都应对本合同的内容及履行合同过程中知悉的对方信息和商业秘密承担保密义务；任何一方未经对方允许，不得向第三人披露、泄漏上述信息和秘密，也不得为本合同之外的目的使用或者允许第三人使用上述信息和秘密。</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十三、违约责任</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1、乙方如迟延交货或迟延安装调试完成（不可抗力除外，以交付货物或安装调试完成期限届满的第二日起计算），每五个工作日，乙方应向甲方支付合同总金额1％的违约金。</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2、乙方提供设备如质量不符合合同约定标准或最终验收不合格，甲方有权无条件退货，乙方应按合同总金额的20%向甲方支付违约金，返还甲方已付货款，并赔偿因此给甲方造成的全部损失。</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3、乙方提供的设备若为假冒伪劣产品，甲方有权自行处置其设备，同时乙方应按合同总金额的100%支付违约金，返还甲方已付货款并赔偿因此给甲方造成的全部损失。</w:t>
      </w:r>
    </w:p>
    <w:p>
      <w:pPr>
        <w:pStyle w:val="281"/>
        <w:spacing w:line="520" w:lineRule="exact"/>
        <w:ind w:left="210" w:firstLine="241"/>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十四、不可抗力</w:t>
      </w:r>
    </w:p>
    <w:p>
      <w:pPr>
        <w:pStyle w:val="281"/>
        <w:spacing w:line="520" w:lineRule="exact"/>
        <w:ind w:firstLine="449"/>
        <w:rPr>
          <w:rStyle w:val="280"/>
          <w:rFonts w:hint="default" w:ascii="宋体" w:hAnsi="宋体" w:eastAsia="宋体" w:cs="宋体"/>
          <w:color w:val="auto"/>
          <w:sz w:val="24"/>
          <w:szCs w:val="24"/>
        </w:rPr>
      </w:pPr>
      <w:r>
        <w:rPr>
          <w:rStyle w:val="280"/>
          <w:rFonts w:ascii="宋体" w:hAnsi="宋体" w:eastAsia="宋体" w:cs="宋体"/>
          <w:color w:val="auto"/>
          <w:sz w:val="24"/>
          <w:szCs w:val="24"/>
        </w:rPr>
        <w:t>1、合同双方中的任何一方，由于战争或严重的水灾、火灾，台风和地震等自然灾害，以及双方同意的可作为不可抗力的其他事故而影响合同执行时，则延长履行合同的期限，延长的期限相当于事故所影响的时间。</w:t>
      </w:r>
    </w:p>
    <w:p>
      <w:pPr>
        <w:pStyle w:val="281"/>
        <w:spacing w:line="520" w:lineRule="exact"/>
        <w:ind w:firstLine="449"/>
        <w:rPr>
          <w:rStyle w:val="280"/>
          <w:rFonts w:hint="default" w:ascii="宋体" w:hAnsi="宋体" w:eastAsia="宋体" w:cs="宋体"/>
          <w:color w:val="auto"/>
          <w:sz w:val="24"/>
          <w:szCs w:val="24"/>
        </w:rPr>
      </w:pPr>
      <w:r>
        <w:rPr>
          <w:rStyle w:val="280"/>
          <w:rFonts w:ascii="宋体" w:hAnsi="宋体" w:eastAsia="宋体" w:cs="宋体"/>
          <w:color w:val="auto"/>
          <w:sz w:val="24"/>
          <w:szCs w:val="24"/>
        </w:rPr>
        <w:t>2、受不可抗力影响的一方应尽快将发生不可抗力事故的情况以电传或电报通知对方，并于十四天内以航空挂号信件将有权证明的机构出具的证明文件提交给另一方进行确认。</w:t>
      </w:r>
    </w:p>
    <w:p>
      <w:pPr>
        <w:pStyle w:val="281"/>
        <w:spacing w:line="520" w:lineRule="exact"/>
        <w:ind w:firstLine="509"/>
        <w:rPr>
          <w:rStyle w:val="280"/>
          <w:rFonts w:hint="default" w:ascii="宋体" w:hAnsi="宋体" w:eastAsia="宋体" w:cs="宋体"/>
          <w:color w:val="auto"/>
          <w:sz w:val="24"/>
          <w:szCs w:val="24"/>
        </w:rPr>
      </w:pPr>
      <w:r>
        <w:rPr>
          <w:rStyle w:val="280"/>
          <w:rFonts w:ascii="宋体" w:hAnsi="宋体" w:eastAsia="宋体" w:cs="宋体"/>
          <w:color w:val="auto"/>
          <w:sz w:val="24"/>
          <w:szCs w:val="24"/>
        </w:rPr>
        <w:t>3、如果不可抗力事故的影响延续到一百二十天以上时，合同双方应通过友好协商解决合同的执行问题。</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十五、合同的解除</w:t>
      </w:r>
    </w:p>
    <w:p>
      <w:pPr>
        <w:pStyle w:val="281"/>
        <w:spacing w:line="520" w:lineRule="exact"/>
        <w:ind w:firstLine="482"/>
        <w:rPr>
          <w:rStyle w:val="280"/>
          <w:rFonts w:hint="default" w:ascii="宋体" w:hAnsi="宋体" w:eastAsia="宋体" w:cs="宋体"/>
          <w:color w:val="auto"/>
          <w:sz w:val="24"/>
          <w:szCs w:val="24"/>
        </w:rPr>
      </w:pPr>
      <w:r>
        <w:rPr>
          <w:rStyle w:val="280"/>
          <w:rFonts w:ascii="宋体" w:hAnsi="宋体" w:eastAsia="宋体" w:cs="宋体"/>
          <w:color w:val="auto"/>
          <w:sz w:val="24"/>
          <w:szCs w:val="24"/>
        </w:rPr>
        <w:t>1、迟延交付或迟延安装调试完成的解除权：如果乙方未能在合同规定的期限或双方同意延长的期限内提供本合同项下的设备或安装调试完成，并在甲方发出催告通知的五日内仍未能提供或未能安装调试完成，则甲方有权解除合同；乙方应在收到甲方解除合同的通知之日起五日内将已付合同价款退还给甲方，并按合同总金额的10%支付违约金（甲方有权选择适用本条款或本合同第十三条第1款），同时应赔偿因此给甲方造成的损失。</w:t>
      </w:r>
    </w:p>
    <w:p>
      <w:pPr>
        <w:pStyle w:val="281"/>
        <w:spacing w:line="520" w:lineRule="exact"/>
        <w:ind w:firstLine="482"/>
        <w:rPr>
          <w:rStyle w:val="280"/>
          <w:rFonts w:hint="default" w:ascii="宋体" w:hAnsi="宋体" w:eastAsia="宋体" w:cs="宋体"/>
          <w:color w:val="auto"/>
          <w:sz w:val="24"/>
          <w:szCs w:val="24"/>
        </w:rPr>
      </w:pPr>
      <w:r>
        <w:rPr>
          <w:rStyle w:val="280"/>
          <w:rFonts w:ascii="宋体" w:hAnsi="宋体" w:eastAsia="宋体" w:cs="宋体"/>
          <w:color w:val="auto"/>
          <w:sz w:val="24"/>
          <w:szCs w:val="24"/>
        </w:rPr>
        <w:t>2、迟延付款的解除权：如果甲方未能在合同规定的期限或双方同意延长的期限内按照合同约定的时间和方式支付货款，并在乙方发出催告通知的五日内仍未能提供货款，则乙方有权解除合同；甲方收到乙方解除合同的通知后，仍应当承担相应的违约责任，并应赔偿乙方因此而受到的损失。</w:t>
      </w:r>
    </w:p>
    <w:p>
      <w:pPr>
        <w:pStyle w:val="281"/>
        <w:spacing w:line="520" w:lineRule="exact"/>
        <w:ind w:firstLine="513"/>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十六、争议的解决</w:t>
      </w:r>
    </w:p>
    <w:p>
      <w:pPr>
        <w:pStyle w:val="282"/>
        <w:tabs>
          <w:tab w:val="left" w:pos="1290"/>
        </w:tabs>
        <w:spacing w:line="520" w:lineRule="exact"/>
        <w:ind w:firstLine="520"/>
        <w:rPr>
          <w:rStyle w:val="280"/>
          <w:rFonts w:ascii="宋体" w:hAnsi="宋体" w:cs="宋体"/>
          <w:spacing w:val="10"/>
          <w:sz w:val="24"/>
          <w:szCs w:val="24"/>
        </w:rPr>
      </w:pPr>
      <w:r>
        <w:rPr>
          <w:rStyle w:val="280"/>
          <w:rFonts w:hint="eastAsia" w:ascii="宋体" w:hAnsi="宋体" w:cs="宋体"/>
          <w:spacing w:val="10"/>
          <w:sz w:val="24"/>
          <w:szCs w:val="24"/>
        </w:rPr>
        <w:t>甲乙双方因履行本合同发生争议，应协商解决，协商不成时，双方均可向甲方所在地有管辖权的人民法院提起诉讼。</w:t>
      </w:r>
    </w:p>
    <w:p>
      <w:pPr>
        <w:pStyle w:val="281"/>
        <w:tabs>
          <w:tab w:val="left" w:pos="1290"/>
        </w:tabs>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十七、合同的生效与期限</w:t>
      </w:r>
    </w:p>
    <w:p>
      <w:pPr>
        <w:pStyle w:val="281"/>
        <w:tabs>
          <w:tab w:val="left" w:pos="1290"/>
        </w:tabs>
        <w:spacing w:line="520" w:lineRule="exact"/>
        <w:ind w:firstLine="520"/>
        <w:rPr>
          <w:rStyle w:val="280"/>
          <w:rFonts w:hint="default" w:ascii="宋体" w:hAnsi="宋体" w:eastAsia="宋体" w:cs="宋体"/>
          <w:color w:val="auto"/>
          <w:spacing w:val="10"/>
          <w:sz w:val="24"/>
          <w:szCs w:val="24"/>
        </w:rPr>
      </w:pPr>
      <w:r>
        <w:rPr>
          <w:rStyle w:val="280"/>
          <w:rFonts w:ascii="宋体" w:hAnsi="宋体" w:eastAsia="宋体" w:cs="宋体"/>
          <w:color w:val="auto"/>
          <w:spacing w:val="10"/>
          <w:sz w:val="24"/>
          <w:szCs w:val="24"/>
        </w:rPr>
        <w:t>本合同由双方法人代表或法人授权代表在签署，并于双方签字盖章之日起生效。</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十八、合同的更改</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本合同的执行中，对其条款的任何变更、修改和增减，都须经双方协商同意并签署书面文件，作为合同的组成部分，与本合同具有同等效力。</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十九、合同附件</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本合同附件与本合同具有同等效力。</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附件1：设备清单及价格表</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二十、其他</w:t>
      </w:r>
    </w:p>
    <w:p>
      <w:pPr>
        <w:pStyle w:val="281"/>
        <w:spacing w:line="520" w:lineRule="exact"/>
        <w:ind w:firstLine="480"/>
        <w:rPr>
          <w:rStyle w:val="280"/>
          <w:rFonts w:hint="default" w:ascii="宋体" w:hAnsi="宋体" w:eastAsia="宋体" w:cs="宋体"/>
          <w:color w:val="auto"/>
          <w:spacing w:val="10"/>
          <w:sz w:val="24"/>
          <w:szCs w:val="24"/>
        </w:rPr>
      </w:pPr>
      <w:r>
        <w:rPr>
          <w:rStyle w:val="280"/>
          <w:rFonts w:ascii="宋体" w:hAnsi="宋体" w:eastAsia="宋体" w:cs="宋体"/>
          <w:color w:val="auto"/>
          <w:sz w:val="24"/>
          <w:szCs w:val="24"/>
        </w:rPr>
        <w:t>1、本合同的订立、效力、解释、履行、争议管辖及解决均适用中国法律。</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2、本合同以中文书写和签署。中文本一式</w:t>
      </w:r>
      <w:r>
        <w:rPr>
          <w:rStyle w:val="280"/>
          <w:rFonts w:ascii="宋体" w:hAnsi="宋体" w:eastAsia="宋体" w:cs="宋体"/>
          <w:color w:val="auto"/>
          <w:sz w:val="24"/>
          <w:szCs w:val="24"/>
          <w:u w:val="single"/>
        </w:rPr>
        <w:t>肆</w:t>
      </w:r>
      <w:r>
        <w:rPr>
          <w:rStyle w:val="280"/>
          <w:rFonts w:ascii="宋体" w:hAnsi="宋体" w:eastAsia="宋体" w:cs="宋体"/>
          <w:color w:val="auto"/>
          <w:sz w:val="24"/>
          <w:szCs w:val="24"/>
        </w:rPr>
        <w:t>份，甲方</w:t>
      </w:r>
      <w:r>
        <w:rPr>
          <w:rStyle w:val="280"/>
          <w:rFonts w:ascii="宋体" w:hAnsi="宋体" w:eastAsia="宋体" w:cs="宋体"/>
          <w:color w:val="auto"/>
          <w:sz w:val="24"/>
          <w:szCs w:val="24"/>
          <w:u w:val="single"/>
        </w:rPr>
        <w:t>贰</w:t>
      </w:r>
      <w:r>
        <w:rPr>
          <w:rStyle w:val="280"/>
          <w:rFonts w:ascii="宋体" w:hAnsi="宋体" w:eastAsia="宋体" w:cs="宋体"/>
          <w:color w:val="auto"/>
          <w:sz w:val="24"/>
          <w:szCs w:val="24"/>
        </w:rPr>
        <w:t>份，乙方</w:t>
      </w:r>
      <w:r>
        <w:rPr>
          <w:rStyle w:val="280"/>
          <w:rFonts w:ascii="宋体" w:hAnsi="宋体" w:eastAsia="宋体" w:cs="宋体"/>
          <w:color w:val="auto"/>
          <w:sz w:val="24"/>
          <w:szCs w:val="24"/>
          <w:u w:val="single"/>
        </w:rPr>
        <w:t>贰</w:t>
      </w:r>
      <w:r>
        <w:rPr>
          <w:rStyle w:val="280"/>
          <w:rFonts w:ascii="宋体" w:hAnsi="宋体" w:eastAsia="宋体" w:cs="宋体"/>
          <w:color w:val="auto"/>
          <w:sz w:val="24"/>
          <w:szCs w:val="24"/>
        </w:rPr>
        <w:t>份。</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3、本合同任何条款的无效不影响本合同任何其他条款的有效性。</w:t>
      </w:r>
    </w:p>
    <w:p>
      <w:pPr>
        <w:pStyle w:val="281"/>
        <w:spacing w:line="520" w:lineRule="exact"/>
        <w:ind w:firstLine="480"/>
        <w:rPr>
          <w:rFonts w:hint="default" w:ascii="宋体" w:hAnsi="宋体" w:eastAsia="宋体" w:cs="宋体"/>
          <w:color w:val="auto"/>
          <w:sz w:val="24"/>
          <w:szCs w:val="24"/>
        </w:rPr>
      </w:pPr>
      <w:r>
        <w:rPr>
          <w:rStyle w:val="280"/>
          <w:rFonts w:ascii="宋体" w:hAnsi="宋体" w:eastAsia="宋体" w:cs="宋体"/>
          <w:color w:val="auto"/>
          <w:sz w:val="24"/>
          <w:szCs w:val="24"/>
        </w:rPr>
        <w:t>4、本合同中所述的最终用户为。</w:t>
      </w:r>
    </w:p>
    <w:tbl>
      <w:tblPr>
        <w:tblStyle w:val="47"/>
        <w:tblpPr w:leftFromText="180" w:rightFromText="180" w:vertAnchor="text" w:horzAnchor="page" w:tblpX="1647" w:tblpY="459"/>
        <w:tblOverlap w:val="never"/>
        <w:tblW w:w="8840" w:type="dxa"/>
        <w:tblInd w:w="0" w:type="dxa"/>
        <w:tblLayout w:type="fixed"/>
        <w:tblCellMar>
          <w:top w:w="0" w:type="dxa"/>
          <w:left w:w="108" w:type="dxa"/>
          <w:bottom w:w="0" w:type="dxa"/>
          <w:right w:w="108" w:type="dxa"/>
        </w:tblCellMar>
      </w:tblPr>
      <w:tblGrid>
        <w:gridCol w:w="4619"/>
        <w:gridCol w:w="4221"/>
      </w:tblGrid>
      <w:tr>
        <w:tblPrEx>
          <w:tblCellMar>
            <w:top w:w="0" w:type="dxa"/>
            <w:left w:w="108" w:type="dxa"/>
            <w:bottom w:w="0" w:type="dxa"/>
            <w:right w:w="108" w:type="dxa"/>
          </w:tblCellMar>
        </w:tblPrEx>
        <w:trPr>
          <w:trHeight w:val="632" w:hRule="atLeast"/>
        </w:trPr>
        <w:tc>
          <w:tcPr>
            <w:tcW w:w="4619" w:type="dxa"/>
            <w:noWrap/>
            <w:vAlign w:val="top"/>
          </w:tcPr>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甲 方：</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地 址：</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联系人：</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联系电话：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电子邮件: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邮政编码：</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开户银行：</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账号：</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银行行号：</w:t>
            </w:r>
          </w:p>
        </w:tc>
        <w:tc>
          <w:tcPr>
            <w:tcW w:w="4221" w:type="dxa"/>
            <w:noWrap/>
            <w:vAlign w:val="top"/>
          </w:tcPr>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乙 方：</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地 址：</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联系人：</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联系电话：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电子邮件: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邮政编码：</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开户银行：</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账号：</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银行行号：</w:t>
            </w:r>
          </w:p>
        </w:tc>
      </w:tr>
    </w:tbl>
    <w:p>
      <w:pPr>
        <w:tabs>
          <w:tab w:val="left" w:pos="6022"/>
        </w:tabs>
        <w:bidi w:val="0"/>
        <w:jc w:val="left"/>
        <w:rPr>
          <w:rFonts w:hint="eastAsia" w:eastAsia="宋体"/>
          <w:lang w:eastAsia="zh-CN"/>
        </w:rPr>
      </w:pPr>
    </w:p>
    <w:p>
      <w:pPr>
        <w:pStyle w:val="30"/>
        <w:tabs>
          <w:tab w:val="left" w:pos="382"/>
          <w:tab w:val="center" w:pos="4790"/>
        </w:tabs>
        <w:jc w:val="left"/>
        <w:rPr>
          <w:rFonts w:hint="eastAsia" w:eastAsia="宋体"/>
          <w:lang w:eastAsia="zh-CN"/>
        </w:rPr>
        <w:sectPr>
          <w:footerReference r:id="rId9" w:type="default"/>
          <w:pgSz w:w="11907" w:h="16840"/>
          <w:pgMar w:top="1134" w:right="1029" w:bottom="1134" w:left="1418" w:header="680" w:footer="907" w:gutter="0"/>
          <w:pgNumType w:fmt="decimal"/>
          <w:cols w:space="720" w:num="1"/>
          <w:docGrid w:linePitch="271" w:charSpace="0"/>
        </w:sectPr>
      </w:pPr>
    </w:p>
    <w:p>
      <w:pPr>
        <w:pageBreakBefore/>
        <w:widowControl/>
        <w:numPr>
          <w:ilvl w:val="0"/>
          <w:numId w:val="5"/>
        </w:numPr>
        <w:tabs>
          <w:tab w:val="left" w:pos="954"/>
          <w:tab w:val="center" w:pos="4393"/>
        </w:tabs>
        <w:spacing w:before="120" w:after="120" w:line="360" w:lineRule="auto"/>
        <w:jc w:val="center"/>
        <w:outlineLvl w:val="0"/>
        <w:rPr>
          <w:rStyle w:val="289"/>
          <w:bCs w:val="0"/>
          <w:sz w:val="44"/>
          <w:szCs w:val="44"/>
        </w:rPr>
      </w:pPr>
      <w:r>
        <w:rPr>
          <w:rStyle w:val="289"/>
          <w:rFonts w:hint="eastAsia"/>
          <w:bCs w:val="0"/>
          <w:sz w:val="44"/>
          <w:szCs w:val="44"/>
        </w:rPr>
        <w:t>采购需求及技术参数</w:t>
      </w:r>
    </w:p>
    <w:p>
      <w:pPr>
        <w:keepNext w:val="0"/>
        <w:keepLines w:val="0"/>
        <w:pageBreakBefore w:val="0"/>
        <w:kinsoku/>
        <w:wordWrap/>
        <w:overflowPunct/>
        <w:topLinePunct w:val="0"/>
        <w:autoSpaceDE/>
        <w:autoSpaceDN/>
        <w:bidi w:val="0"/>
        <w:snapToGrid w:val="0"/>
        <w:spacing w:line="500" w:lineRule="exact"/>
        <w:ind w:right="0" w:rightChars="0"/>
        <w:textAlignment w:val="auto"/>
        <w:rPr>
          <w:rFonts w:hint="eastAsia" w:ascii="宋体" w:hAnsi="宋体" w:cs="宋体"/>
          <w:b/>
          <w:sz w:val="24"/>
        </w:rPr>
      </w:pPr>
      <w:r>
        <w:rPr>
          <w:rFonts w:hint="eastAsia" w:ascii="宋体" w:hAnsi="宋体" w:cs="宋体"/>
          <w:b/>
          <w:sz w:val="24"/>
          <w:lang w:eastAsia="zh-CN"/>
        </w:rPr>
        <w:t>一</w:t>
      </w:r>
      <w:r>
        <w:rPr>
          <w:rFonts w:hint="eastAsia" w:ascii="宋体" w:hAnsi="宋体" w:cs="宋体"/>
          <w:b/>
          <w:sz w:val="24"/>
        </w:rPr>
        <w:t>、采购项目名称：伊犁师范大学化学基础实验室仪器设备采购项目</w:t>
      </w:r>
    </w:p>
    <w:p>
      <w:pPr>
        <w:keepNext w:val="0"/>
        <w:keepLines w:val="0"/>
        <w:pageBreakBefore w:val="0"/>
        <w:kinsoku/>
        <w:wordWrap/>
        <w:overflowPunct/>
        <w:topLinePunct w:val="0"/>
        <w:autoSpaceDE/>
        <w:autoSpaceDN/>
        <w:bidi w:val="0"/>
        <w:snapToGrid w:val="0"/>
        <w:spacing w:line="500" w:lineRule="exact"/>
        <w:ind w:right="0" w:rightChars="0"/>
        <w:textAlignment w:val="auto"/>
        <w:rPr>
          <w:rFonts w:hint="eastAsia" w:ascii="宋体" w:hAnsi="宋体" w:cs="宋体"/>
          <w:b/>
          <w:sz w:val="24"/>
        </w:rPr>
      </w:pPr>
      <w:r>
        <w:rPr>
          <w:rFonts w:hint="eastAsia" w:ascii="宋体" w:hAnsi="宋体" w:cs="宋体"/>
          <w:b/>
          <w:sz w:val="24"/>
          <w:lang w:eastAsia="zh-CN"/>
        </w:rPr>
        <w:t>二</w:t>
      </w:r>
      <w:r>
        <w:rPr>
          <w:rFonts w:hint="eastAsia" w:ascii="宋体" w:hAnsi="宋体" w:cs="宋体"/>
          <w:b/>
          <w:sz w:val="24"/>
        </w:rPr>
        <w:t>、项目地点：</w:t>
      </w:r>
      <w:r>
        <w:rPr>
          <w:rFonts w:hint="eastAsia" w:ascii="宋体" w:hAnsi="宋体" w:cs="宋体"/>
          <w:b/>
          <w:sz w:val="24"/>
          <w:lang w:val="en-US" w:eastAsia="zh-CN"/>
        </w:rPr>
        <w:t>采购人指定地点</w:t>
      </w:r>
      <w:r>
        <w:rPr>
          <w:rFonts w:hint="eastAsia" w:ascii="宋体" w:hAnsi="宋体" w:cs="宋体"/>
          <w:b/>
          <w:sz w:val="24"/>
        </w:rPr>
        <w:t xml:space="preserve"> </w:t>
      </w:r>
    </w:p>
    <w:p>
      <w:pPr>
        <w:keepNext w:val="0"/>
        <w:keepLines w:val="0"/>
        <w:pageBreakBefore w:val="0"/>
        <w:kinsoku/>
        <w:wordWrap/>
        <w:overflowPunct/>
        <w:topLinePunct w:val="0"/>
        <w:autoSpaceDE/>
        <w:autoSpaceDN/>
        <w:bidi w:val="0"/>
        <w:snapToGrid w:val="0"/>
        <w:spacing w:line="500" w:lineRule="exact"/>
        <w:ind w:right="0" w:rightChars="0"/>
        <w:textAlignment w:val="auto"/>
        <w:rPr>
          <w:rFonts w:hint="eastAsia" w:ascii="宋体" w:hAnsi="宋体" w:cs="宋体"/>
          <w:b/>
          <w:bCs/>
          <w:sz w:val="24"/>
        </w:rPr>
      </w:pPr>
      <w:r>
        <w:rPr>
          <w:rFonts w:hint="eastAsia" w:ascii="宋体" w:hAnsi="宋体" w:cs="宋体"/>
          <w:b/>
          <w:bCs/>
          <w:sz w:val="24"/>
          <w:lang w:eastAsia="zh-CN"/>
        </w:rPr>
        <w:t>三</w:t>
      </w:r>
      <w:r>
        <w:rPr>
          <w:rFonts w:hint="eastAsia" w:ascii="宋体" w:hAnsi="宋体" w:cs="宋体"/>
          <w:b/>
          <w:bCs/>
          <w:sz w:val="24"/>
        </w:rPr>
        <w:t>、采购内容：（1）材料化学实验室采购蓝电测试系统等材料制备及性能测试仪器设备；（2）有机化学实验室采购半制备色谱仪等在天然产物化学领域的应用；（3）物理化学实验采购自冷式凝固点测定仪等仪器的增补。</w:t>
      </w:r>
    </w:p>
    <w:p>
      <w:pPr>
        <w:keepNext w:val="0"/>
        <w:keepLines w:val="0"/>
        <w:pageBreakBefore w:val="0"/>
        <w:kinsoku/>
        <w:wordWrap/>
        <w:overflowPunct/>
        <w:topLinePunct w:val="0"/>
        <w:autoSpaceDE/>
        <w:autoSpaceDN/>
        <w:bidi w:val="0"/>
        <w:snapToGrid w:val="0"/>
        <w:spacing w:line="500" w:lineRule="exact"/>
        <w:ind w:right="0" w:rightChars="0"/>
        <w:textAlignment w:val="auto"/>
        <w:rPr>
          <w:rFonts w:hint="eastAsia" w:ascii="宋体" w:hAnsi="宋体" w:cs="宋体"/>
          <w:b/>
          <w:bCs/>
          <w:color w:val="auto"/>
          <w:sz w:val="24"/>
        </w:rPr>
      </w:pPr>
      <w:r>
        <w:rPr>
          <w:rFonts w:hint="eastAsia" w:ascii="宋体" w:hAnsi="宋体" w:cs="宋体"/>
          <w:b/>
          <w:bCs/>
          <w:color w:val="auto"/>
          <w:sz w:val="24"/>
          <w:lang w:eastAsia="zh-CN"/>
        </w:rPr>
        <w:t>四</w:t>
      </w:r>
      <w:r>
        <w:rPr>
          <w:rFonts w:hint="eastAsia" w:ascii="宋体" w:hAnsi="宋体" w:cs="宋体"/>
          <w:b/>
          <w:bCs/>
          <w:color w:val="auto"/>
          <w:sz w:val="24"/>
        </w:rPr>
        <w:t>、本项目</w:t>
      </w:r>
      <w:r>
        <w:rPr>
          <w:rFonts w:hint="eastAsia" w:ascii="宋体" w:hAnsi="宋体" w:cs="宋体"/>
          <w:b/>
          <w:bCs/>
          <w:color w:val="auto"/>
          <w:sz w:val="24"/>
          <w:lang w:eastAsia="zh-CN"/>
        </w:rPr>
        <w:t>采购预算价</w:t>
      </w:r>
      <w:r>
        <w:rPr>
          <w:rFonts w:hint="eastAsia" w:ascii="宋体" w:hAnsi="宋体" w:cs="宋体"/>
          <w:b/>
          <w:bCs/>
          <w:color w:val="auto"/>
          <w:sz w:val="24"/>
        </w:rPr>
        <w:t>为949198</w:t>
      </w:r>
      <w:r>
        <w:rPr>
          <w:rFonts w:hint="eastAsia" w:ascii="宋体" w:hAnsi="宋体" w:cs="宋体"/>
          <w:b/>
          <w:bCs/>
          <w:color w:val="auto"/>
          <w:sz w:val="24"/>
          <w:lang w:val="en-US" w:eastAsia="zh-CN"/>
        </w:rPr>
        <w:t>.00</w:t>
      </w:r>
      <w:r>
        <w:rPr>
          <w:rFonts w:hint="eastAsia" w:ascii="宋体" w:hAnsi="宋体" w:cs="宋体"/>
          <w:b/>
          <w:bCs/>
          <w:color w:val="auto"/>
          <w:sz w:val="24"/>
        </w:rPr>
        <w:t>元(大写：</w:t>
      </w:r>
      <w:r>
        <w:rPr>
          <w:rFonts w:hint="eastAsia" w:ascii="宋体" w:hAnsi="宋体" w:cs="宋体"/>
          <w:b/>
          <w:bCs/>
          <w:color w:val="auto"/>
          <w:sz w:val="24"/>
          <w:lang w:eastAsia="zh-CN"/>
        </w:rPr>
        <w:t>玖拾肆万玖仟壹佰玖拾捌元整</w:t>
      </w:r>
      <w:r>
        <w:rPr>
          <w:rFonts w:hint="eastAsia" w:ascii="宋体" w:hAnsi="宋体" w:cs="宋体"/>
          <w:b/>
          <w:bCs/>
          <w:color w:val="auto"/>
          <w:sz w:val="24"/>
        </w:rPr>
        <w:t>）报价不得等于或者高于</w:t>
      </w:r>
      <w:r>
        <w:rPr>
          <w:rFonts w:hint="eastAsia" w:ascii="宋体" w:hAnsi="宋体" w:cs="宋体"/>
          <w:b/>
          <w:bCs/>
          <w:color w:val="auto"/>
          <w:sz w:val="24"/>
          <w:lang w:eastAsia="zh-CN"/>
        </w:rPr>
        <w:t>采购预算价</w:t>
      </w:r>
      <w:r>
        <w:rPr>
          <w:rFonts w:hint="eastAsia" w:ascii="宋体" w:hAnsi="宋体" w:cs="宋体"/>
          <w:b/>
          <w:bCs/>
          <w:color w:val="auto"/>
          <w:sz w:val="24"/>
        </w:rPr>
        <w:t>，否则其报价无效。</w:t>
      </w:r>
    </w:p>
    <w:p>
      <w:pPr>
        <w:keepNext w:val="0"/>
        <w:keepLines w:val="0"/>
        <w:pageBreakBefore w:val="0"/>
        <w:kinsoku/>
        <w:wordWrap/>
        <w:overflowPunct/>
        <w:topLinePunct w:val="0"/>
        <w:autoSpaceDE/>
        <w:autoSpaceDN/>
        <w:bidi w:val="0"/>
        <w:snapToGrid w:val="0"/>
        <w:spacing w:line="500" w:lineRule="exact"/>
        <w:ind w:right="0" w:rightChars="0"/>
        <w:textAlignment w:val="auto"/>
        <w:rPr>
          <w:rFonts w:hint="eastAsia" w:ascii="宋体" w:hAnsi="宋体" w:cs="宋体"/>
          <w:b/>
          <w:bCs/>
          <w:color w:val="auto"/>
          <w:sz w:val="24"/>
        </w:rPr>
      </w:pPr>
      <w:r>
        <w:rPr>
          <w:rFonts w:hint="eastAsia" w:ascii="宋体" w:hAnsi="宋体" w:cs="宋体"/>
          <w:b/>
          <w:bCs/>
          <w:color w:val="auto"/>
          <w:sz w:val="24"/>
          <w:lang w:eastAsia="zh-CN"/>
        </w:rPr>
        <w:t>五</w:t>
      </w:r>
      <w:r>
        <w:rPr>
          <w:rFonts w:hint="eastAsia" w:ascii="宋体" w:hAnsi="宋体" w:cs="宋体"/>
          <w:b/>
          <w:bCs/>
          <w:color w:val="auto"/>
          <w:sz w:val="24"/>
        </w:rPr>
        <w:t>、交货时间：中标公示结束后30日历日内完成。</w:t>
      </w:r>
    </w:p>
    <w:p>
      <w:pPr>
        <w:pStyle w:val="24"/>
        <w:keepNext w:val="0"/>
        <w:keepLines w:val="0"/>
        <w:pageBreakBefore w:val="0"/>
        <w:kinsoku/>
        <w:wordWrap/>
        <w:overflowPunct/>
        <w:topLinePunct w:val="0"/>
        <w:autoSpaceDE/>
        <w:autoSpaceDN/>
        <w:bidi w:val="0"/>
        <w:adjustRightInd w:val="0"/>
        <w:snapToGrid w:val="0"/>
        <w:spacing w:line="500" w:lineRule="exact"/>
        <w:ind w:right="0" w:rightChars="0"/>
        <w:textAlignment w:val="auto"/>
        <w:outlineLvl w:val="2"/>
        <w:rPr>
          <w:rFonts w:hint="eastAsia" w:hAnsi="宋体" w:cs="宋体"/>
          <w:b/>
          <w:bCs/>
          <w:color w:val="auto"/>
          <w:kern w:val="0"/>
          <w:sz w:val="24"/>
          <w:szCs w:val="24"/>
        </w:rPr>
      </w:pPr>
      <w:r>
        <w:rPr>
          <w:rFonts w:hint="eastAsia" w:hAnsi="宋体" w:cs="宋体"/>
          <w:b/>
          <w:bCs/>
          <w:color w:val="auto"/>
          <w:kern w:val="0"/>
          <w:sz w:val="24"/>
          <w:szCs w:val="24"/>
          <w:lang w:eastAsia="zh-CN"/>
        </w:rPr>
        <w:t>六</w:t>
      </w:r>
      <w:r>
        <w:rPr>
          <w:rFonts w:hint="eastAsia" w:hAnsi="宋体" w:cs="宋体"/>
          <w:b/>
          <w:bCs/>
          <w:color w:val="auto"/>
          <w:kern w:val="0"/>
          <w:sz w:val="24"/>
          <w:szCs w:val="24"/>
        </w:rPr>
        <w:t>、</w:t>
      </w:r>
      <w:r>
        <w:rPr>
          <w:rFonts w:hint="eastAsia" w:hAnsi="宋体" w:cs="宋体"/>
          <w:b/>
          <w:bCs/>
          <w:color w:val="auto"/>
          <w:kern w:val="0"/>
          <w:sz w:val="24"/>
          <w:szCs w:val="24"/>
          <w:lang w:val="en-US" w:eastAsia="zh-CN"/>
        </w:rPr>
        <w:t>验收标准：按国家有关规定、磋商文件的质量要求和技术指标、中标人的投标文件及承诺以及合同约定标准进行验收。</w:t>
      </w:r>
    </w:p>
    <w:p>
      <w:pPr>
        <w:pStyle w:val="24"/>
        <w:keepNext w:val="0"/>
        <w:keepLines w:val="0"/>
        <w:pageBreakBefore w:val="0"/>
        <w:kinsoku/>
        <w:wordWrap/>
        <w:overflowPunct/>
        <w:topLinePunct w:val="0"/>
        <w:autoSpaceDE/>
        <w:autoSpaceDN/>
        <w:bidi w:val="0"/>
        <w:adjustRightInd w:val="0"/>
        <w:snapToGrid w:val="0"/>
        <w:spacing w:line="500" w:lineRule="exact"/>
        <w:ind w:right="0" w:rightChars="0"/>
        <w:textAlignment w:val="auto"/>
        <w:outlineLvl w:val="2"/>
        <w:rPr>
          <w:rFonts w:hint="eastAsia" w:hAnsi="宋体" w:cs="宋体"/>
          <w:b/>
          <w:bCs/>
          <w:color w:val="auto"/>
          <w:kern w:val="0"/>
          <w:sz w:val="24"/>
          <w:szCs w:val="24"/>
        </w:rPr>
      </w:pPr>
      <w:r>
        <w:rPr>
          <w:rFonts w:hint="eastAsia" w:hAnsi="宋体" w:cs="宋体"/>
          <w:b/>
          <w:bCs/>
          <w:color w:val="auto"/>
          <w:kern w:val="0"/>
          <w:sz w:val="24"/>
          <w:szCs w:val="24"/>
          <w:lang w:eastAsia="zh-CN"/>
        </w:rPr>
        <w:t>七、</w:t>
      </w:r>
      <w:r>
        <w:rPr>
          <w:rFonts w:hint="eastAsia" w:hAnsi="宋体" w:cs="宋体"/>
          <w:b/>
          <w:bCs/>
          <w:color w:val="auto"/>
          <w:kern w:val="0"/>
          <w:sz w:val="24"/>
          <w:szCs w:val="24"/>
        </w:rPr>
        <w:t>偏离</w:t>
      </w:r>
    </w:p>
    <w:p>
      <w:pPr>
        <w:pStyle w:val="42"/>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both"/>
        <w:textAlignment w:val="auto"/>
        <w:rPr>
          <w:rFonts w:cs="宋体"/>
          <w:b/>
          <w:bCs/>
          <w:color w:val="auto"/>
          <w:kern w:val="0"/>
        </w:rPr>
      </w:pPr>
      <w:r>
        <w:rPr>
          <w:rFonts w:cs="宋体"/>
          <w:b/>
          <w:bCs/>
          <w:color w:val="auto"/>
          <w:kern w:val="0"/>
        </w:rPr>
        <w:t>1</w:t>
      </w:r>
      <w:r>
        <w:rPr>
          <w:rFonts w:hint="eastAsia" w:cs="宋体"/>
          <w:b/>
          <w:bCs/>
          <w:color w:val="auto"/>
          <w:kern w:val="0"/>
          <w:lang w:eastAsia="zh-CN"/>
        </w:rPr>
        <w:t>、</w:t>
      </w:r>
      <w:r>
        <w:rPr>
          <w:rFonts w:cs="宋体"/>
          <w:b/>
          <w:bCs/>
          <w:color w:val="auto"/>
          <w:kern w:val="0"/>
        </w:rPr>
        <w:t>本条所称偏离为响应文件对</w:t>
      </w:r>
      <w:r>
        <w:rPr>
          <w:rFonts w:hint="eastAsia" w:cs="宋体"/>
          <w:b/>
          <w:bCs/>
          <w:color w:val="auto"/>
          <w:kern w:val="0"/>
          <w:lang w:eastAsia="zh-CN"/>
        </w:rPr>
        <w:t>磋商文件</w:t>
      </w:r>
      <w:r>
        <w:rPr>
          <w:rFonts w:cs="宋体"/>
          <w:b/>
          <w:bCs/>
          <w:color w:val="auto"/>
          <w:kern w:val="0"/>
        </w:rPr>
        <w:t>的偏离，即不满足、或不响应</w:t>
      </w:r>
      <w:r>
        <w:rPr>
          <w:rFonts w:hint="eastAsia" w:cs="宋体"/>
          <w:b/>
          <w:bCs/>
          <w:color w:val="auto"/>
          <w:kern w:val="0"/>
          <w:lang w:eastAsia="zh-CN"/>
        </w:rPr>
        <w:t>磋商文件</w:t>
      </w:r>
      <w:r>
        <w:rPr>
          <w:rFonts w:cs="宋体"/>
          <w:b/>
          <w:bCs/>
          <w:color w:val="auto"/>
          <w:kern w:val="0"/>
        </w:rPr>
        <w:t>的要求。偏离分为对</w:t>
      </w:r>
      <w:r>
        <w:rPr>
          <w:rFonts w:hint="eastAsia" w:cs="宋体"/>
          <w:b/>
          <w:bCs/>
          <w:color w:val="auto"/>
          <w:kern w:val="0"/>
          <w:lang w:eastAsia="zh-CN"/>
        </w:rPr>
        <w:t>磋商文件</w:t>
      </w:r>
      <w:r>
        <w:rPr>
          <w:rFonts w:cs="宋体"/>
          <w:b/>
          <w:bCs/>
          <w:color w:val="auto"/>
          <w:kern w:val="0"/>
        </w:rPr>
        <w:t>的实质性要求条款偏离和对</w:t>
      </w:r>
      <w:r>
        <w:rPr>
          <w:rFonts w:hint="eastAsia" w:cs="宋体"/>
          <w:b/>
          <w:bCs/>
          <w:color w:val="auto"/>
          <w:kern w:val="0"/>
          <w:lang w:eastAsia="zh-CN"/>
        </w:rPr>
        <w:t>磋商文件</w:t>
      </w:r>
      <w:r>
        <w:rPr>
          <w:rFonts w:cs="宋体"/>
          <w:b/>
          <w:bCs/>
          <w:color w:val="auto"/>
          <w:kern w:val="0"/>
        </w:rPr>
        <w:t>的一般商务和技术条款（参数）偏离。</w:t>
      </w:r>
    </w:p>
    <w:p>
      <w:pPr>
        <w:keepNext w:val="0"/>
        <w:keepLines w:val="0"/>
        <w:pageBreakBefore w:val="0"/>
        <w:kinsoku/>
        <w:wordWrap/>
        <w:overflowPunct/>
        <w:topLinePunct w:val="0"/>
        <w:autoSpaceDE/>
        <w:autoSpaceDN/>
        <w:bidi w:val="0"/>
        <w:adjustRightInd w:val="0"/>
        <w:snapToGrid w:val="0"/>
        <w:spacing w:line="500" w:lineRule="exact"/>
        <w:ind w:right="0" w:rightChars="0"/>
        <w:jc w:val="left"/>
        <w:textAlignment w:val="auto"/>
        <w:rPr>
          <w:rFonts w:hint="eastAsia" w:ascii="宋体" w:hAnsi="宋体" w:cs="宋体"/>
          <w:b/>
          <w:bCs w:val="0"/>
          <w:color w:val="auto"/>
          <w:sz w:val="24"/>
        </w:rPr>
      </w:pPr>
      <w:r>
        <w:rPr>
          <w:rFonts w:hint="eastAsia" w:ascii="宋体" w:hAnsi="宋体" w:cs="宋体"/>
          <w:b/>
          <w:bCs w:val="0"/>
          <w:color w:val="auto"/>
          <w:sz w:val="24"/>
          <w:lang w:eastAsia="zh-CN"/>
        </w:rPr>
        <w:t>八、</w:t>
      </w:r>
      <w:r>
        <w:rPr>
          <w:rFonts w:hint="eastAsia" w:ascii="宋体" w:hAnsi="宋体" w:cs="宋体"/>
          <w:b/>
          <w:bCs w:val="0"/>
          <w:color w:val="auto"/>
          <w:sz w:val="24"/>
        </w:rPr>
        <w:t>售后服务要求：</w:t>
      </w:r>
    </w:p>
    <w:p>
      <w:pPr>
        <w:keepNext w:val="0"/>
        <w:keepLines w:val="0"/>
        <w:pageBreakBefore w:val="0"/>
        <w:kinsoku/>
        <w:wordWrap/>
        <w:overflowPunct/>
        <w:topLinePunct w:val="0"/>
        <w:autoSpaceDE/>
        <w:autoSpaceDN/>
        <w:bidi w:val="0"/>
        <w:adjustRightInd w:val="0"/>
        <w:snapToGrid w:val="0"/>
        <w:spacing w:line="500" w:lineRule="exact"/>
        <w:ind w:right="0" w:rightChars="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1.质量保证：质保期为设备验收合格后</w:t>
      </w:r>
      <w:r>
        <w:rPr>
          <w:rFonts w:hint="eastAsia" w:ascii="宋体" w:hAnsi="宋体" w:cs="宋体"/>
          <w:b/>
          <w:bCs/>
          <w:color w:val="auto"/>
          <w:sz w:val="24"/>
          <w:szCs w:val="24"/>
          <w:lang w:val="en-US" w:eastAsia="zh-CN"/>
        </w:rPr>
        <w:t>三</w:t>
      </w:r>
      <w:r>
        <w:rPr>
          <w:rFonts w:hint="eastAsia" w:ascii="宋体" w:hAnsi="宋体" w:cs="宋体"/>
          <w:b/>
          <w:bCs/>
          <w:color w:val="auto"/>
          <w:sz w:val="24"/>
          <w:szCs w:val="24"/>
          <w:lang w:eastAsia="zh-CN"/>
        </w:rPr>
        <w:t>年，质保期内免费维护。</w:t>
      </w:r>
    </w:p>
    <w:p>
      <w:pPr>
        <w:keepNext w:val="0"/>
        <w:keepLines w:val="0"/>
        <w:pageBreakBefore w:val="0"/>
        <w:kinsoku/>
        <w:wordWrap/>
        <w:overflowPunct/>
        <w:topLinePunct w:val="0"/>
        <w:autoSpaceDE/>
        <w:autoSpaceDN/>
        <w:bidi w:val="0"/>
        <w:adjustRightInd w:val="0"/>
        <w:snapToGrid w:val="0"/>
        <w:spacing w:line="500" w:lineRule="exact"/>
        <w:ind w:right="0" w:rightChars="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2.售后技术服务要求：</w:t>
      </w:r>
    </w:p>
    <w:p>
      <w:pPr>
        <w:keepNext w:val="0"/>
        <w:keepLines w:val="0"/>
        <w:pageBreakBefore w:val="0"/>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1）在质保期内，成交供应商应无偿的承担故障维修、系统维护及软件升级的义务，确系质量原因无法正常工作时，成交供应商应根据售后要求无偿更换合格的软件系统。</w:t>
      </w:r>
    </w:p>
    <w:p>
      <w:pPr>
        <w:keepNext w:val="0"/>
        <w:keepLines w:val="0"/>
        <w:pageBreakBefore w:val="0"/>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2）在质保期内，成交供应商应保证接到通知后及时进行现场处理，并应在售后服务承诺书中注明售后服务响应时间以及保证措施。若系统发生重大故障，收到采购人通知后，成交供应商及时给用户做出答复，响应时间为1小时，并在24小时内到达现场服务,48小时内解决问题。维修所需费用由供应商承担。不能在规定时间内解决故障的，要提供应急解决方案。</w:t>
      </w:r>
    </w:p>
    <w:p>
      <w:pPr>
        <w:keepNext w:val="0"/>
        <w:keepLines w:val="0"/>
        <w:pageBreakBefore w:val="0"/>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3）在本地有完善的售后服务机构，能提供本次采购设备的备件紧急服务和本地化技术服务（提供机构营业执照、协议、技术人员等资料须加盖售后服务机构鲜红公章）；</w:t>
      </w:r>
    </w:p>
    <w:p>
      <w:pPr>
        <w:keepNext w:val="0"/>
        <w:keepLines w:val="0"/>
        <w:pageBreakBefore w:val="0"/>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4）技术参数要求中产品技术参数已明确售后服务的按技术要求参数执行，技术参数未明确售后服务的，按以上要求执行。</w:t>
      </w:r>
    </w:p>
    <w:p>
      <w:pPr>
        <w:keepNext w:val="0"/>
        <w:keepLines w:val="0"/>
        <w:pageBreakBefore w:val="0"/>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3培.训要求：</w:t>
      </w:r>
    </w:p>
    <w:p>
      <w:pPr>
        <w:keepNext w:val="0"/>
        <w:keepLines w:val="0"/>
        <w:pageBreakBefore w:val="0"/>
        <w:numPr>
          <w:ilvl w:val="0"/>
          <w:numId w:val="6"/>
        </w:numPr>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现场培训；</w:t>
      </w:r>
    </w:p>
    <w:p>
      <w:pPr>
        <w:keepNext w:val="0"/>
        <w:keepLines w:val="0"/>
        <w:pageBreakBefore w:val="0"/>
        <w:numPr>
          <w:ilvl w:val="0"/>
          <w:numId w:val="6"/>
        </w:numPr>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人数：20人以上；</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right="0" w:rightChars="0" w:firstLine="482" w:firstLineChars="200"/>
        <w:jc w:val="left"/>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3）培训开始时间：软件交付后7天内进行培训，培训时间至少15天。九</w:t>
      </w:r>
      <w:r>
        <w:rPr>
          <w:rFonts w:hint="eastAsia" w:ascii="宋体" w:hAnsi="宋体" w:cs="宋体"/>
          <w:b/>
          <w:bCs/>
          <w:color w:val="auto"/>
          <w:sz w:val="24"/>
          <w:szCs w:val="24"/>
        </w:rPr>
        <w:t xml:space="preserve">、检验考核要求 </w:t>
      </w:r>
    </w:p>
    <w:p>
      <w:pPr>
        <w:keepNext w:val="0"/>
        <w:keepLines w:val="0"/>
        <w:pageBreakBefore w:val="0"/>
        <w:widowControl/>
        <w:kinsoku/>
        <w:wordWrap/>
        <w:overflowPunct/>
        <w:topLinePunct w:val="0"/>
        <w:autoSpaceDE/>
        <w:autoSpaceDN/>
        <w:bidi w:val="0"/>
        <w:spacing w:line="500" w:lineRule="exact"/>
        <w:ind w:right="0" w:rightChars="0" w:firstLine="482" w:firstLineChars="200"/>
        <w:jc w:val="left"/>
        <w:textAlignment w:val="auto"/>
        <w:rPr>
          <w:rFonts w:hint="eastAsia" w:ascii="宋体" w:hAnsi="宋体" w:cs="宋体"/>
          <w:color w:val="auto"/>
          <w:sz w:val="24"/>
        </w:rPr>
      </w:pPr>
      <w:r>
        <w:rPr>
          <w:rFonts w:hint="eastAsia" w:ascii="宋体" w:hAnsi="宋体" w:cs="宋体"/>
          <w:b/>
          <w:bCs/>
          <w:color w:val="auto"/>
          <w:sz w:val="24"/>
        </w:rPr>
        <w:t>采购人有权在规定时间内对供应商提供的器材进行验收、考核，器材应达到的技术性能考核指标，采购人可根据合同器材的实际情况，规定可以接受的合同器材的最低技术性能考核指标。</w:t>
      </w:r>
      <w:r>
        <w:rPr>
          <w:rFonts w:hint="eastAsia" w:ascii="宋体" w:hAnsi="宋体" w:cs="宋体"/>
          <w:color w:val="auto"/>
          <w:sz w:val="24"/>
        </w:rPr>
        <w:t xml:space="preserve"> </w:t>
      </w:r>
    </w:p>
    <w:p>
      <w:pPr>
        <w:pStyle w:val="3"/>
        <w:widowControl/>
        <w:numPr>
          <w:ilvl w:val="0"/>
          <w:numId w:val="0"/>
        </w:numPr>
        <w:spacing w:line="440" w:lineRule="exact"/>
        <w:ind w:right="590" w:rightChars="0"/>
        <w:jc w:val="left"/>
        <w:rPr>
          <w:rFonts w:hint="eastAsia" w:ascii="宋体" w:hAnsi="宋体" w:cs="宋体"/>
          <w:b/>
          <w:bCs/>
          <w:color w:val="auto"/>
          <w:sz w:val="24"/>
          <w:szCs w:val="24"/>
          <w:lang w:eastAsia="zh-CN"/>
        </w:rPr>
      </w:pPr>
    </w:p>
    <w:p>
      <w:pPr>
        <w:pStyle w:val="3"/>
        <w:widowControl/>
        <w:numPr>
          <w:ilvl w:val="0"/>
          <w:numId w:val="0"/>
        </w:numPr>
        <w:spacing w:line="440" w:lineRule="exact"/>
        <w:ind w:right="590" w:rightChars="0"/>
        <w:jc w:val="left"/>
        <w:rPr>
          <w:rFonts w:hint="eastAsia" w:ascii="宋体" w:hAnsi="宋体" w:cs="宋体"/>
          <w:b/>
          <w:bCs/>
          <w:color w:val="auto"/>
          <w:sz w:val="24"/>
          <w:szCs w:val="24"/>
          <w:lang w:eastAsia="zh-CN"/>
        </w:rPr>
      </w:pPr>
    </w:p>
    <w:p>
      <w:pPr>
        <w:pStyle w:val="3"/>
        <w:widowControl/>
        <w:numPr>
          <w:ilvl w:val="0"/>
          <w:numId w:val="0"/>
        </w:numPr>
        <w:spacing w:line="440" w:lineRule="exact"/>
        <w:ind w:right="590" w:rightChars="0"/>
        <w:jc w:val="left"/>
        <w:rPr>
          <w:rFonts w:hint="eastAsia"/>
          <w:lang w:eastAsia="zh-CN"/>
        </w:rPr>
      </w:pPr>
      <w:r>
        <w:rPr>
          <w:rFonts w:hint="eastAsia" w:ascii="宋体" w:hAnsi="宋体" w:cs="宋体"/>
          <w:b/>
          <w:bCs/>
          <w:color w:val="auto"/>
          <w:sz w:val="24"/>
          <w:szCs w:val="24"/>
          <w:lang w:eastAsia="zh-CN"/>
        </w:rPr>
        <w:t>九、</w:t>
      </w:r>
      <w:r>
        <w:rPr>
          <w:rFonts w:hint="eastAsia" w:ascii="宋体" w:hAnsi="宋体" w:eastAsia="宋体" w:cs="宋体"/>
          <w:b/>
          <w:bCs/>
          <w:color w:val="auto"/>
          <w:sz w:val="24"/>
          <w:szCs w:val="24"/>
          <w:lang w:eastAsia="zh-CN"/>
        </w:rPr>
        <w:t>技术参</w:t>
      </w:r>
      <w:r>
        <w:rPr>
          <w:rFonts w:hint="eastAsia" w:ascii="宋体" w:hAnsi="宋体" w:cs="宋体"/>
          <w:b/>
          <w:bCs/>
          <w:color w:val="auto"/>
          <w:sz w:val="24"/>
          <w:szCs w:val="24"/>
          <w:lang w:eastAsia="zh-CN"/>
        </w:rPr>
        <w:t>数</w:t>
      </w:r>
    </w:p>
    <w:p>
      <w:pPr>
        <w:pStyle w:val="30"/>
        <w:tabs>
          <w:tab w:val="left" w:pos="3571"/>
          <w:tab w:val="center" w:pos="5460"/>
        </w:tabs>
        <w:jc w:val="left"/>
        <w:rPr>
          <w:rFonts w:hint="eastAsia"/>
          <w:lang w:eastAsia="zh-CN"/>
        </w:rPr>
        <w:sectPr>
          <w:footerReference r:id="rId12" w:type="first"/>
          <w:headerReference r:id="rId10" w:type="default"/>
          <w:footerReference r:id="rId11" w:type="default"/>
          <w:pgSz w:w="12240" w:h="15840"/>
          <w:pgMar w:top="720" w:right="1000" w:bottom="720" w:left="1160" w:header="0" w:footer="850" w:gutter="0"/>
          <w:pgBorders>
            <w:top w:val="none" w:sz="0" w:space="0"/>
            <w:left w:val="none" w:sz="0" w:space="0"/>
            <w:bottom w:val="none" w:sz="0" w:space="0"/>
            <w:right w:val="none" w:sz="0" w:space="0"/>
          </w:pgBorders>
          <w:pgNumType w:fmt="decimal"/>
          <w:cols w:space="720" w:num="1"/>
          <w:titlePg/>
          <w:rtlGutter w:val="0"/>
          <w:docGrid w:linePitch="312" w:charSpace="0"/>
        </w:sectPr>
      </w:pPr>
    </w:p>
    <w:tbl>
      <w:tblPr>
        <w:tblStyle w:val="47"/>
        <w:tblW w:w="13694" w:type="dxa"/>
        <w:tblInd w:w="0" w:type="dxa"/>
        <w:tblLayout w:type="fixed"/>
        <w:tblCellMar>
          <w:top w:w="0" w:type="dxa"/>
          <w:left w:w="0" w:type="dxa"/>
          <w:bottom w:w="0" w:type="dxa"/>
          <w:right w:w="0" w:type="dxa"/>
        </w:tblCellMar>
      </w:tblPr>
      <w:tblGrid>
        <w:gridCol w:w="498"/>
        <w:gridCol w:w="1496"/>
        <w:gridCol w:w="7935"/>
        <w:gridCol w:w="1200"/>
        <w:gridCol w:w="675"/>
        <w:gridCol w:w="600"/>
        <w:gridCol w:w="705"/>
        <w:gridCol w:w="585"/>
      </w:tblGrid>
      <w:tr>
        <w:tblPrEx>
          <w:tblCellMar>
            <w:top w:w="0" w:type="dxa"/>
            <w:left w:w="0" w:type="dxa"/>
            <w:bottom w:w="0" w:type="dxa"/>
            <w:right w:w="0" w:type="dxa"/>
          </w:tblCellMar>
        </w:tblPrEx>
        <w:trPr>
          <w:trHeight w:val="847"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ascii="新宋体" w:hAnsi="新宋体" w:eastAsia="新宋体" w:cs="宋体"/>
                <w:color w:val="000000"/>
                <w:sz w:val="24"/>
              </w:rPr>
            </w:pPr>
            <w:r>
              <w:rPr>
                <w:rFonts w:hint="eastAsia" w:ascii="新宋体" w:hAnsi="新宋体" w:eastAsia="新宋体" w:cs="宋体"/>
                <w:color w:val="000000"/>
                <w:kern w:val="0"/>
                <w:sz w:val="24"/>
                <w:lang w:bidi="ar"/>
              </w:rPr>
              <w:t>序号</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ascii="新宋体" w:hAnsi="新宋体" w:eastAsia="新宋体" w:cs="宋体"/>
                <w:color w:val="000000"/>
                <w:sz w:val="24"/>
              </w:rPr>
            </w:pPr>
            <w:r>
              <w:rPr>
                <w:rFonts w:hint="eastAsia" w:ascii="新宋体" w:hAnsi="新宋体" w:eastAsia="新宋体" w:cs="宋体"/>
                <w:color w:val="000000"/>
                <w:kern w:val="0"/>
                <w:sz w:val="24"/>
                <w:lang w:bidi="ar"/>
              </w:rPr>
              <w:t>仪器名称</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ascii="新宋体" w:hAnsi="新宋体" w:eastAsia="新宋体" w:cs="宋体"/>
                <w:color w:val="000000"/>
                <w:sz w:val="24"/>
              </w:rPr>
            </w:pPr>
            <w:r>
              <w:rPr>
                <w:rFonts w:hint="eastAsia" w:ascii="新宋体" w:hAnsi="新宋体" w:eastAsia="新宋体" w:cs="宋体"/>
                <w:color w:val="000000"/>
                <w:kern w:val="0"/>
                <w:sz w:val="24"/>
                <w:lang w:bidi="ar"/>
              </w:rPr>
              <w:t>参数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ascii="新宋体" w:hAnsi="新宋体" w:eastAsia="新宋体" w:cs="宋体"/>
                <w:color w:val="000000"/>
                <w:sz w:val="24"/>
              </w:rPr>
            </w:pPr>
            <w:r>
              <w:rPr>
                <w:rFonts w:hint="eastAsia" w:ascii="新宋体" w:hAnsi="新宋体" w:eastAsia="新宋体" w:cs="宋体"/>
                <w:color w:val="000000"/>
                <w:kern w:val="0"/>
                <w:sz w:val="24"/>
                <w:lang w:bidi="ar"/>
              </w:rPr>
              <w:t>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ascii="新宋体" w:hAnsi="新宋体" w:eastAsia="新宋体" w:cs="宋体"/>
                <w:color w:val="000000"/>
                <w:sz w:val="24"/>
              </w:rPr>
            </w:pPr>
            <w:r>
              <w:rPr>
                <w:rFonts w:hint="eastAsia" w:ascii="新宋体" w:hAnsi="新宋体" w:eastAsia="新宋体" w:cs="宋体"/>
                <w:color w:val="000000"/>
                <w:kern w:val="0"/>
                <w:sz w:val="24"/>
                <w:lang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hint="eastAsia" w:ascii="新宋体" w:hAnsi="新宋体" w:eastAsia="新宋体" w:cs="宋体"/>
                <w:color w:val="000000"/>
                <w:kern w:val="0"/>
                <w:sz w:val="24"/>
                <w:lang w:eastAsia="zh-CN" w:bidi="ar"/>
              </w:rPr>
            </w:pPr>
            <w:r>
              <w:rPr>
                <w:rFonts w:hint="eastAsia" w:ascii="新宋体" w:hAnsi="新宋体" w:eastAsia="新宋体" w:cs="宋体"/>
                <w:color w:val="000000"/>
                <w:kern w:val="0"/>
                <w:sz w:val="24"/>
                <w:lang w:eastAsia="zh-CN" w:bidi="ar"/>
              </w:rPr>
              <w:t>单价</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hint="eastAsia" w:ascii="新宋体" w:hAnsi="新宋体" w:eastAsia="新宋体" w:cs="宋体"/>
                <w:color w:val="000000"/>
                <w:kern w:val="0"/>
                <w:sz w:val="24"/>
                <w:lang w:eastAsia="zh-CN" w:bidi="ar"/>
              </w:rPr>
            </w:pPr>
            <w:r>
              <w:rPr>
                <w:rFonts w:hint="eastAsia" w:ascii="新宋体" w:hAnsi="新宋体" w:eastAsia="新宋体" w:cs="宋体"/>
                <w:color w:val="000000"/>
                <w:kern w:val="0"/>
                <w:sz w:val="24"/>
                <w:lang w:eastAsia="zh-CN" w:bidi="ar"/>
              </w:rPr>
              <w:t>总价</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contextualSpacing/>
              <w:jc w:val="center"/>
              <w:textAlignment w:val="center"/>
              <w:rPr>
                <w:rFonts w:hint="eastAsia" w:ascii="新宋体" w:hAnsi="新宋体" w:eastAsia="新宋体" w:cs="宋体"/>
                <w:color w:val="000000"/>
                <w:kern w:val="0"/>
                <w:sz w:val="24"/>
                <w:lang w:eastAsia="zh-CN" w:bidi="ar"/>
              </w:rPr>
            </w:pPr>
            <w:r>
              <w:rPr>
                <w:rFonts w:hint="eastAsia" w:ascii="新宋体" w:hAnsi="新宋体" w:eastAsia="新宋体" w:cs="宋体"/>
                <w:color w:val="000000"/>
                <w:kern w:val="0"/>
                <w:sz w:val="24"/>
                <w:lang w:eastAsia="zh-CN" w:bidi="ar"/>
              </w:rPr>
              <w:t>备注</w:t>
            </w: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kern w:val="0"/>
                <w:sz w:val="24"/>
              </w:rPr>
            </w:pPr>
            <w:r>
              <w:rPr>
                <w:rFonts w:hint="eastAsia" w:ascii="新宋体" w:hAnsi="新宋体" w:eastAsia="新宋体" w:cs="宋体"/>
                <w:kern w:val="0"/>
                <w:sz w:val="24"/>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多位光化学反应系统</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 多个样品实验同时进行（6-12位样品分析）/催化剂快速筛选/平行样品分析</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 公转反应形式，内置磁力搅拌、内照式光源配合（双层石英冷阱）受光充分</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 配置滤光观察视窗，观察样品反应状态</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 光源控制器可调节电流控制光强强度</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 主机支持冷却水循环以避免光热高温</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 液压杆防护箱体便于仪器维护与样品更换</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 通过石英镀膜滤光片精确控制波长范围（紫外区/可见区）</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8) 系统标配：氙灯光源/汞灯光源</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9）快速低温冷却循环泵,制冷功率≥1000W</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产品配置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 高稳定氙灯光源系统1套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 高稳定汞灯光源系统1套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 紫外光滤光片6片</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 可见光滤光片 6片</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5）电源、数据线及其他附件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 400*400*700光化学反应箱1台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 6-12位内照式环形反应平台及附件1套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8) 标配50ml石英反应管12支、控温冷凝管12支</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9) 石英冷阱1只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10）快速低温冷却循环泵制冷量 1000W；温度：5-35度；精度：0.1度；水压：0-4bar;容积：8L</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 防紫外眼镜1个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蓝电测试系统</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蓝电电池测试系统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 设备名称：蓝电电池测试系统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1.2 数量：6台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二、工作条件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2.1  电源：220V±10%  50HZ；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2.2  温度：15～35°C；</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2.3：相对湿度：25～85%；</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2.4：连续工作时间:连续操作</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三、技术参数及指标</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3.1电流量程：  1 mA &amp;10mA  2 mA &amp; 20 mA</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3.2电压量程：5V</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3.3双量程范围：</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5V/ 1mA &amp; 10mA（8通道每台）：       4台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充电电压：0V---5.0V；   放电电压：0V---5.0V；</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恒电压：  10mV---5.0V；精度范围（量程一最大误差）:±2uA   精度范围（量程二最大误差）:±10uA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电电流：2uA -10mA    放电电流：2uA -10mA</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5V/ 2mA &amp; 20mA（8通道每台）：   2台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充电电压：0V---5.0V；     放电电压：0V---5.0V；</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恒电压：  10mV---5.0V；精度范围（量程一最大误差）:±4uA   精度范围（量程二最大误差）:±20uA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充电电流：4uA -20mA ， 放电电流：4uA -20mA</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3.4 单元通道：8通道，通道之间完全独立（独立编程）</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3.5 编程工步：恒流充放电、恒电压充电以及恒功率放电、支持倍率充放电、恒阻放电、直流内阻测试、 支持负电压放电（恒压放电）、静置等工作模式</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*3.6 编程形式：支持流程图形式编程</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*3.7  循环保持率：支持记录循环保持率数据（本周的放电容量/上一周的放电容量）*100%</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3.8  限制条件：时间、电压、电流、容量，-△V等近20种</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3.9  保护条件：过压、欠压、过流、欠流、过充容量、过放容量等等</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*3.10  编程步数：不限（不少于800步）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3.11  输入阻抗：1GΩ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3.12  远程控制：支持通过intern远程监控</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3.13  采样速率：100ms，能查看每个记录点的系统时间</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3.14  输出方式：四电极</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*3.15  电压精度：0.05%FS（控制及检测） 电流精度： 0.05%FS（控制及检测）</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3.16  恒功率/恒阻精度： 0.1%RD+0.1%FS（控制）    0.1%RD+0.1%FS（测量）</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3.17  计算机系统时间：±1秒（无累计误差）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3.18  电压分辩率：5位有效数字（自动）  电流分辩率：5位有效数字（自动）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3.19   外形尺寸</w:t>
            </w:r>
            <w:r>
              <w:rPr>
                <w:rFonts w:hint="eastAsia" w:ascii="新宋体" w:hAnsi="新宋体" w:eastAsia="新宋体" w:cs="宋体"/>
                <w:kern w:val="0"/>
                <w:sz w:val="24"/>
              </w:rPr>
              <w:tab/>
            </w:r>
            <w:r>
              <w:rPr>
                <w:rFonts w:hint="eastAsia" w:ascii="新宋体" w:hAnsi="新宋体" w:eastAsia="新宋体" w:cs="宋体"/>
                <w:kern w:val="0"/>
                <w:sz w:val="24"/>
              </w:rPr>
              <w:t xml:space="preserve"> 440*215*44.5mm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3.20    重量</w:t>
            </w:r>
            <w:r>
              <w:rPr>
                <w:rFonts w:hint="eastAsia" w:ascii="新宋体" w:hAnsi="新宋体" w:eastAsia="新宋体" w:cs="宋体"/>
                <w:kern w:val="0"/>
                <w:sz w:val="24"/>
              </w:rPr>
              <w:tab/>
            </w:r>
            <w:r>
              <w:rPr>
                <w:rFonts w:hint="eastAsia" w:ascii="新宋体" w:hAnsi="新宋体" w:eastAsia="新宋体" w:cs="宋体"/>
                <w:kern w:val="0"/>
                <w:sz w:val="24"/>
              </w:rPr>
              <w:t xml:space="preserve"> 7.5kg</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*3.21   设备质保期 ：三年</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3.22    软件：支持Windows7/8/10等系统  ，32/64位操作系统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三、发货配置清单</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1.设备主机8台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2.0.3米通讯线7根  , 3米通讯线1根</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3.0.1米扣式夹具48根，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4.0.1米通道线48根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5.合格证、保修卡、使用手册一份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6.软件一套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7.电源线一根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8，测试机架1套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lang w:eastAsia="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eastAsia="zh-CN"/>
              </w:rPr>
            </w:pPr>
            <w:r>
              <w:rPr>
                <w:rFonts w:hint="eastAsia" w:ascii="新宋体" w:hAnsi="新宋体" w:eastAsia="新宋体" w:cs="宋体"/>
                <w:kern w:val="0"/>
                <w:sz w:val="24"/>
                <w:lang w:val="en-US" w:eastAsia="zh-CN"/>
              </w:rPr>
              <w:t>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电化学工作站</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恒电位仪/双恒电位仪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w:t>
            </w:r>
            <w:r>
              <w:rPr>
                <w:rFonts w:hint="eastAsia" w:ascii="新宋体" w:hAnsi="新宋体" w:eastAsia="新宋体" w:cs="宋体"/>
                <w:kern w:val="0"/>
                <w:sz w:val="24"/>
              </w:rPr>
              <w:t>零阻电流计</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w:t>
            </w:r>
            <w:r>
              <w:rPr>
                <w:rFonts w:hint="eastAsia" w:ascii="新宋体" w:hAnsi="新宋体" w:eastAsia="新宋体" w:cs="宋体"/>
                <w:kern w:val="0"/>
                <w:sz w:val="24"/>
              </w:rPr>
              <w:t>2，3，4电极结构</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w:t>
            </w:r>
            <w:r>
              <w:rPr>
                <w:rFonts w:hint="eastAsia" w:ascii="新宋体" w:hAnsi="新宋体" w:eastAsia="新宋体" w:cs="宋体"/>
                <w:kern w:val="0"/>
                <w:sz w:val="24"/>
              </w:rPr>
              <w:t>浮动地线或实地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4.</w:t>
            </w:r>
            <w:r>
              <w:rPr>
                <w:rFonts w:hint="eastAsia" w:ascii="新宋体" w:hAnsi="新宋体" w:eastAsia="新宋体" w:cs="宋体"/>
                <w:kern w:val="0"/>
                <w:sz w:val="24"/>
              </w:rPr>
              <w:t>两个通道最大电位范围： ±10 V</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5.</w:t>
            </w:r>
            <w:r>
              <w:rPr>
                <w:rFonts w:hint="eastAsia" w:ascii="新宋体" w:hAnsi="新宋体" w:eastAsia="新宋体" w:cs="宋体"/>
                <w:kern w:val="0"/>
                <w:sz w:val="24"/>
              </w:rPr>
              <w:t>最大电流：±250 mA 连续（两个通道电流之和）, ±400 mA 峰值</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6.</w:t>
            </w:r>
            <w:r>
              <w:rPr>
                <w:rFonts w:hint="eastAsia" w:ascii="新宋体" w:hAnsi="新宋体" w:eastAsia="新宋体" w:cs="宋体"/>
                <w:kern w:val="0"/>
                <w:sz w:val="24"/>
              </w:rPr>
              <w:t>槽压：±13 V</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7.</w:t>
            </w:r>
            <w:r>
              <w:rPr>
                <w:rFonts w:hint="eastAsia" w:ascii="新宋体" w:hAnsi="新宋体" w:eastAsia="新宋体" w:cs="宋体"/>
                <w:kern w:val="0"/>
                <w:sz w:val="24"/>
              </w:rPr>
              <w:t xml:space="preserve">恒电位仪上升时间：小于 1 </w:t>
            </w:r>
            <w:r>
              <w:rPr>
                <w:rFonts w:hint="eastAsia" w:ascii="新宋体" w:hAnsi="新宋体" w:eastAsia="新宋体" w:cs="宋体"/>
                <w:kern w:val="0"/>
                <w:sz w:val="24"/>
              </w:rPr>
              <w:sym w:font="Symbol" w:char="006D"/>
            </w:r>
            <w:r>
              <w:rPr>
                <w:rFonts w:hint="eastAsia" w:ascii="新宋体" w:hAnsi="新宋体" w:eastAsia="新宋体" w:cs="宋体"/>
                <w:kern w:val="0"/>
                <w:sz w:val="24"/>
              </w:rPr>
              <w:t xml:space="preserve">s, 通常 0.8 </w:t>
            </w:r>
            <w:r>
              <w:rPr>
                <w:rFonts w:hint="eastAsia" w:ascii="新宋体" w:hAnsi="新宋体" w:eastAsia="新宋体" w:cs="宋体"/>
                <w:kern w:val="0"/>
                <w:sz w:val="24"/>
              </w:rPr>
              <w:sym w:font="Symbol" w:char="006D"/>
            </w:r>
            <w:r>
              <w:rPr>
                <w:rFonts w:hint="eastAsia" w:ascii="新宋体" w:hAnsi="新宋体" w:eastAsia="新宋体" w:cs="宋体"/>
                <w:kern w:val="0"/>
                <w:sz w:val="24"/>
              </w:rPr>
              <w:t>s</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8.</w:t>
            </w:r>
            <w:r>
              <w:rPr>
                <w:rFonts w:hint="eastAsia" w:ascii="新宋体" w:hAnsi="新宋体" w:eastAsia="新宋体" w:cs="宋体"/>
                <w:kern w:val="0"/>
                <w:sz w:val="24"/>
              </w:rPr>
              <w:t xml:space="preserve">恒电位仪带宽（-3分贝）：1 MHz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9.</w:t>
            </w:r>
            <w:r>
              <w:rPr>
                <w:rFonts w:hint="eastAsia" w:ascii="新宋体" w:hAnsi="新宋体" w:eastAsia="新宋体" w:cs="宋体"/>
                <w:kern w:val="0"/>
                <w:sz w:val="24"/>
              </w:rPr>
              <w:t>所加电位范围：±10 mV, ±50 mV, ±100 mV, ±650 mV, ±3.276 V, ±6.553 V, ±10 V</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10.</w:t>
            </w:r>
            <w:r>
              <w:rPr>
                <w:rFonts w:hint="eastAsia" w:ascii="新宋体" w:hAnsi="新宋体" w:eastAsia="新宋体" w:cs="宋体"/>
                <w:kern w:val="0"/>
                <w:sz w:val="24"/>
              </w:rPr>
              <w:t>所加电位分辨：电位范围的0.0015%</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11.</w:t>
            </w:r>
            <w:r>
              <w:rPr>
                <w:rFonts w:hint="eastAsia" w:ascii="新宋体" w:hAnsi="新宋体" w:eastAsia="新宋体" w:cs="宋体"/>
                <w:kern w:val="0"/>
                <w:sz w:val="24"/>
              </w:rPr>
              <w:t>所加电位准确度： ±1 mV,±满量程的0.01%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12.</w:t>
            </w:r>
            <w:r>
              <w:rPr>
                <w:rFonts w:hint="eastAsia" w:ascii="新宋体" w:hAnsi="新宋体" w:eastAsia="新宋体" w:cs="宋体"/>
                <w:kern w:val="0"/>
                <w:sz w:val="24"/>
              </w:rPr>
              <w:t xml:space="preserve">所加电位噪声：&lt; 10 </w:t>
            </w:r>
            <w:r>
              <w:rPr>
                <w:rFonts w:hint="eastAsia" w:ascii="新宋体" w:hAnsi="新宋体" w:eastAsia="新宋体" w:cs="宋体"/>
                <w:kern w:val="0"/>
                <w:sz w:val="24"/>
              </w:rPr>
              <w:sym w:font="Symbol" w:char="006D"/>
            </w:r>
            <w:r>
              <w:rPr>
                <w:rFonts w:hint="eastAsia" w:ascii="新宋体" w:hAnsi="新宋体" w:eastAsia="新宋体" w:cs="宋体"/>
                <w:kern w:val="0"/>
                <w:sz w:val="24"/>
              </w:rPr>
              <w:t>V 均方根植</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13.</w:t>
            </w:r>
            <w:r>
              <w:rPr>
                <w:rFonts w:hint="eastAsia" w:ascii="新宋体" w:hAnsi="新宋体" w:eastAsia="新宋体" w:cs="宋体"/>
                <w:kern w:val="0"/>
                <w:sz w:val="24"/>
              </w:rPr>
              <w:t>测量电流范围：±10 pA 至 ±0.25 A， 12量程</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14.</w:t>
            </w:r>
            <w:r>
              <w:rPr>
                <w:rFonts w:hint="eastAsia" w:ascii="新宋体" w:hAnsi="新宋体" w:eastAsia="新宋体" w:cs="宋体"/>
                <w:kern w:val="0"/>
                <w:sz w:val="24"/>
              </w:rPr>
              <w:t xml:space="preserve">测量电流分辨：电流量程的0.0015%，最低 0.3 fA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15.</w:t>
            </w:r>
            <w:r>
              <w:rPr>
                <w:rFonts w:hint="eastAsia" w:ascii="新宋体" w:hAnsi="新宋体" w:eastAsia="新宋体" w:cs="宋体"/>
                <w:kern w:val="0"/>
                <w:sz w:val="24"/>
              </w:rPr>
              <w:t>电流测量准确度：电流灵敏度大于等于1e-6 A/V时为0.2%，其他量程1%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16.</w:t>
            </w:r>
            <w:r>
              <w:rPr>
                <w:rFonts w:hint="eastAsia" w:ascii="新宋体" w:hAnsi="新宋体" w:eastAsia="新宋体" w:cs="宋体"/>
                <w:kern w:val="0"/>
                <w:sz w:val="24"/>
              </w:rPr>
              <w:t>输入偏置电流：&lt; 50 pA</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恒电流仪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17.</w:t>
            </w:r>
            <w:r>
              <w:rPr>
                <w:rFonts w:hint="eastAsia" w:ascii="新宋体" w:hAnsi="新宋体" w:eastAsia="新宋体" w:cs="宋体"/>
                <w:kern w:val="0"/>
                <w:sz w:val="24"/>
              </w:rPr>
              <w:t>恒电流范围： 3 nA – 250 mA</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18.</w:t>
            </w:r>
            <w:r>
              <w:rPr>
                <w:rFonts w:hint="eastAsia" w:ascii="新宋体" w:hAnsi="新宋体" w:eastAsia="新宋体" w:cs="宋体"/>
                <w:kern w:val="0"/>
                <w:sz w:val="24"/>
              </w:rPr>
              <w:t xml:space="preserve">所加电流准确度：如果电流大于 3e-7A时为0.2%，其他范围为1%，±20 pA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19.</w:t>
            </w:r>
            <w:r>
              <w:rPr>
                <w:rFonts w:hint="eastAsia" w:ascii="新宋体" w:hAnsi="新宋体" w:eastAsia="新宋体" w:cs="宋体"/>
                <w:kern w:val="0"/>
                <w:sz w:val="24"/>
              </w:rPr>
              <w:t>所加电流分辨率：电流范围的0.03%</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20.</w:t>
            </w:r>
            <w:r>
              <w:rPr>
                <w:rFonts w:hint="eastAsia" w:ascii="新宋体" w:hAnsi="新宋体" w:eastAsia="新宋体" w:cs="宋体"/>
                <w:kern w:val="0"/>
                <w:sz w:val="24"/>
              </w:rPr>
              <w:t>测量电流范围：±0.025 V, ±0.1 V, ±0.25 V, ±1 V, ±2.5 V, ±10 V</w:t>
            </w:r>
            <w:r>
              <w:rPr>
                <w:rFonts w:hint="eastAsia" w:ascii="新宋体" w:hAnsi="新宋体" w:eastAsia="新宋体" w:cs="宋体"/>
                <w:kern w:val="0"/>
                <w:sz w:val="24"/>
              </w:rPr>
              <w:br w:type="textWrapping"/>
            </w:r>
            <w:r>
              <w:rPr>
                <w:rFonts w:hint="eastAsia" w:ascii="新宋体" w:hAnsi="新宋体" w:eastAsia="新宋体" w:cs="宋体"/>
                <w:kern w:val="0"/>
                <w:sz w:val="24"/>
                <w:lang w:val="en-US" w:eastAsia="zh-CN"/>
              </w:rPr>
              <w:t>21.</w:t>
            </w:r>
            <w:r>
              <w:rPr>
                <w:rFonts w:hint="eastAsia" w:ascii="新宋体" w:hAnsi="新宋体" w:eastAsia="新宋体" w:cs="宋体"/>
                <w:kern w:val="0"/>
                <w:sz w:val="24"/>
              </w:rPr>
              <w:t xml:space="preserve">测量电位分辨率：测量范围的0.0015%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Electrometer: 电位计</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22.</w:t>
            </w:r>
            <w:r>
              <w:rPr>
                <w:rFonts w:hint="eastAsia" w:ascii="新宋体" w:hAnsi="新宋体" w:eastAsia="新宋体" w:cs="宋体"/>
                <w:kern w:val="0"/>
                <w:sz w:val="24"/>
              </w:rPr>
              <w:t>参比电极输入阻抗：1e12 欧姆</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23.</w:t>
            </w:r>
            <w:r>
              <w:rPr>
                <w:rFonts w:hint="eastAsia" w:ascii="新宋体" w:hAnsi="新宋体" w:eastAsia="新宋体" w:cs="宋体"/>
                <w:kern w:val="0"/>
                <w:sz w:val="24"/>
              </w:rPr>
              <w:t>参比电极输入带宽： 10 MHz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24.</w:t>
            </w:r>
            <w:r>
              <w:rPr>
                <w:rFonts w:hint="eastAsia" w:ascii="新宋体" w:hAnsi="新宋体" w:eastAsia="新宋体" w:cs="宋体"/>
                <w:kern w:val="0"/>
                <w:sz w:val="24"/>
              </w:rPr>
              <w:t>参比电极输入偏置电流：&lt;= 10 pA @ 25°C</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波形发生和数据获得系统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25.</w:t>
            </w:r>
            <w:r>
              <w:rPr>
                <w:rFonts w:hint="eastAsia" w:ascii="新宋体" w:hAnsi="新宋体" w:eastAsia="新宋体" w:cs="宋体"/>
                <w:kern w:val="0"/>
                <w:sz w:val="24"/>
              </w:rPr>
              <w:t>快速信号发生更新速率：10 MHz， 16位分辨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26.</w:t>
            </w:r>
            <w:r>
              <w:rPr>
                <w:rFonts w:hint="eastAsia" w:ascii="新宋体" w:hAnsi="新宋体" w:eastAsia="新宋体" w:cs="宋体"/>
                <w:kern w:val="0"/>
                <w:sz w:val="24"/>
              </w:rPr>
              <w:t>快速数据采集系统：16位分辨，双通道同步采样，采样速率每秒1,000,000 点</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27.</w:t>
            </w:r>
            <w:r>
              <w:rPr>
                <w:rFonts w:hint="eastAsia" w:ascii="新宋体" w:hAnsi="新宋体" w:eastAsia="新宋体" w:cs="宋体"/>
                <w:kern w:val="0"/>
                <w:sz w:val="24"/>
              </w:rPr>
              <w:t>外部信号记录通道最高采样速率1MHz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28.</w:t>
            </w:r>
            <w:r>
              <w:rPr>
                <w:rFonts w:hint="eastAsia" w:ascii="新宋体" w:hAnsi="新宋体" w:eastAsia="新宋体" w:cs="宋体"/>
                <w:kern w:val="0"/>
                <w:sz w:val="24"/>
              </w:rPr>
              <w:t>内置HK801仪器硬件线路检测模块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29.</w:t>
            </w:r>
            <w:r>
              <w:rPr>
                <w:rFonts w:hint="eastAsia" w:ascii="新宋体" w:hAnsi="新宋体" w:eastAsia="新宋体" w:cs="宋体"/>
                <w:kern w:val="0"/>
                <w:sz w:val="24"/>
              </w:rPr>
              <w:t>内置HK802仪器电子电路功能检测模块（可与BAS测试系统通用）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w:t>
            </w:r>
            <w:r>
              <w:rPr>
                <w:rFonts w:hint="eastAsia" w:ascii="新宋体" w:hAnsi="新宋体" w:eastAsia="新宋体" w:cs="宋体"/>
                <w:kern w:val="0"/>
                <w:sz w:val="24"/>
                <w:lang w:val="en-US" w:eastAsia="zh-CN"/>
              </w:rPr>
              <w:t>30.</w:t>
            </w:r>
            <w:r>
              <w:rPr>
                <w:rFonts w:hint="eastAsia" w:ascii="新宋体" w:hAnsi="新宋体" w:eastAsia="新宋体" w:cs="宋体"/>
                <w:kern w:val="0"/>
                <w:sz w:val="24"/>
              </w:rPr>
              <w:t>可拓展扫描电化学显微镜功能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w:t>
            </w:r>
            <w:r>
              <w:rPr>
                <w:rFonts w:hint="eastAsia" w:ascii="新宋体" w:hAnsi="新宋体" w:eastAsia="新宋体" w:cs="宋体"/>
                <w:kern w:val="0"/>
                <w:sz w:val="24"/>
                <w:lang w:val="en-US" w:eastAsia="zh-CN"/>
              </w:rPr>
              <w:t>31.</w:t>
            </w:r>
            <w:r>
              <w:rPr>
                <w:rFonts w:hint="eastAsia" w:ascii="新宋体" w:hAnsi="新宋体" w:eastAsia="新宋体" w:cs="宋体"/>
                <w:kern w:val="0"/>
                <w:sz w:val="24"/>
              </w:rPr>
              <w:t xml:space="preserve">可拓展为十通道并可同时测试交流阻抗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w:t>
            </w:r>
            <w:r>
              <w:rPr>
                <w:rFonts w:hint="eastAsia" w:ascii="新宋体" w:hAnsi="新宋体" w:eastAsia="新宋体" w:cs="宋体"/>
                <w:kern w:val="0"/>
                <w:sz w:val="24"/>
                <w:lang w:val="en-US" w:eastAsia="zh-CN"/>
              </w:rPr>
              <w:t>32.</w:t>
            </w:r>
            <w:r>
              <w:rPr>
                <w:rFonts w:hint="eastAsia" w:ascii="新宋体" w:hAnsi="新宋体" w:eastAsia="新宋体" w:cs="宋体"/>
                <w:kern w:val="0"/>
                <w:sz w:val="24"/>
              </w:rPr>
              <w:t>线性对比器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w:t>
            </w:r>
            <w:r>
              <w:rPr>
                <w:rFonts w:hint="eastAsia" w:ascii="新宋体" w:hAnsi="新宋体" w:eastAsia="新宋体" w:cs="宋体"/>
                <w:kern w:val="0"/>
                <w:sz w:val="24"/>
                <w:lang w:val="en-US" w:eastAsia="zh-CN"/>
              </w:rPr>
              <w:t>33.</w:t>
            </w:r>
            <w:r>
              <w:rPr>
                <w:rFonts w:hint="eastAsia" w:ascii="新宋体" w:hAnsi="新宋体" w:eastAsia="新宋体" w:cs="宋体"/>
                <w:kern w:val="0"/>
                <w:sz w:val="24"/>
              </w:rPr>
              <w:t>拟合器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w:t>
            </w:r>
            <w:r>
              <w:rPr>
                <w:rFonts w:hint="eastAsia" w:ascii="新宋体" w:hAnsi="新宋体" w:eastAsia="新宋体" w:cs="宋体"/>
                <w:kern w:val="0"/>
                <w:sz w:val="24"/>
                <w:lang w:val="en-US" w:eastAsia="zh-CN"/>
              </w:rPr>
              <w:t>34.</w:t>
            </w:r>
            <w:r>
              <w:rPr>
                <w:rFonts w:hint="eastAsia" w:ascii="新宋体" w:hAnsi="新宋体" w:eastAsia="新宋体" w:cs="宋体"/>
                <w:kern w:val="0"/>
                <w:sz w:val="24"/>
              </w:rPr>
              <w:t>样品自动采集器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实验参数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w:t>
            </w:r>
            <w:r>
              <w:rPr>
                <w:rFonts w:hint="eastAsia" w:ascii="新宋体" w:hAnsi="新宋体" w:eastAsia="新宋体" w:cs="宋体"/>
                <w:kern w:val="0"/>
                <w:sz w:val="24"/>
              </w:rPr>
              <w:t>CV和LSV扫描速度： 0.000001V/s 至 10,000 V/s，双通道同步扫描及采样至10,000 V/s</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w:t>
            </w:r>
            <w:r>
              <w:rPr>
                <w:rFonts w:hint="eastAsia" w:ascii="新宋体" w:hAnsi="新宋体" w:eastAsia="新宋体" w:cs="宋体"/>
                <w:kern w:val="0"/>
                <w:sz w:val="24"/>
              </w:rPr>
              <w:t>扫描时的电位增量：0.1 mV （当扫速为 1,000 V/s时）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w:t>
            </w:r>
            <w:r>
              <w:rPr>
                <w:rFonts w:hint="eastAsia" w:ascii="新宋体" w:hAnsi="新宋体" w:eastAsia="新宋体" w:cs="宋体"/>
                <w:kern w:val="0"/>
                <w:sz w:val="24"/>
              </w:rPr>
              <w:t>CA和CC的脉冲宽度： 0.0001 至1000 sec</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4.</w:t>
            </w:r>
            <w:r>
              <w:rPr>
                <w:rFonts w:hint="eastAsia" w:ascii="新宋体" w:hAnsi="新宋体" w:eastAsia="新宋体" w:cs="宋体"/>
                <w:kern w:val="0"/>
                <w:sz w:val="24"/>
              </w:rPr>
              <w:t xml:space="preserve">CA的最小采样间隔： 1 </w:t>
            </w:r>
            <w:r>
              <w:rPr>
                <w:rFonts w:hint="eastAsia" w:ascii="新宋体" w:hAnsi="新宋体" w:eastAsia="新宋体" w:cs="宋体"/>
                <w:kern w:val="0"/>
                <w:sz w:val="24"/>
              </w:rPr>
              <w:sym w:font="Symbol" w:char="006D"/>
            </w:r>
            <w:r>
              <w:rPr>
                <w:rFonts w:hint="eastAsia" w:ascii="新宋体" w:hAnsi="新宋体" w:eastAsia="新宋体" w:cs="宋体"/>
                <w:kern w:val="0"/>
                <w:sz w:val="24"/>
              </w:rPr>
              <w:t>s，双通道同步</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5.</w:t>
            </w:r>
            <w:r>
              <w:rPr>
                <w:rFonts w:hint="eastAsia" w:ascii="新宋体" w:hAnsi="新宋体" w:eastAsia="新宋体" w:cs="宋体"/>
                <w:kern w:val="0"/>
                <w:sz w:val="24"/>
              </w:rPr>
              <w:t xml:space="preserve">CC的最小采样间隔： 1 </w:t>
            </w:r>
            <w:r>
              <w:rPr>
                <w:rFonts w:hint="eastAsia" w:ascii="新宋体" w:hAnsi="新宋体" w:eastAsia="新宋体" w:cs="宋体"/>
                <w:kern w:val="0"/>
                <w:sz w:val="24"/>
              </w:rPr>
              <w:sym w:font="Symbol" w:char="006D"/>
            </w:r>
            <w:r>
              <w:rPr>
                <w:rFonts w:hint="eastAsia" w:ascii="新宋体" w:hAnsi="新宋体" w:eastAsia="新宋体" w:cs="宋体"/>
                <w:kern w:val="0"/>
                <w:sz w:val="24"/>
              </w:rPr>
              <w:t>s</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6.</w:t>
            </w:r>
            <w:r>
              <w:rPr>
                <w:rFonts w:hint="eastAsia" w:ascii="新宋体" w:hAnsi="新宋体" w:eastAsia="新宋体" w:cs="宋体"/>
                <w:kern w:val="0"/>
                <w:sz w:val="24"/>
              </w:rPr>
              <w:t xml:space="preserve"> CC模拟积分器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7.</w:t>
            </w:r>
            <w:r>
              <w:rPr>
                <w:rFonts w:hint="eastAsia" w:ascii="新宋体" w:hAnsi="新宋体" w:eastAsia="新宋体" w:cs="宋体"/>
                <w:kern w:val="0"/>
                <w:sz w:val="24"/>
              </w:rPr>
              <w:t>DPV和NPV的脉冲宽度：0.001 至 10 sec</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8.</w:t>
            </w:r>
            <w:r>
              <w:rPr>
                <w:rFonts w:hint="eastAsia" w:ascii="新宋体" w:hAnsi="新宋体" w:eastAsia="新宋体" w:cs="宋体"/>
                <w:kern w:val="0"/>
                <w:sz w:val="24"/>
              </w:rPr>
              <w:t>SWV频率： 1 至100 kHz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9.</w:t>
            </w:r>
            <w:r>
              <w:rPr>
                <w:rFonts w:hint="eastAsia" w:ascii="新宋体" w:hAnsi="新宋体" w:eastAsia="新宋体" w:cs="宋体"/>
                <w:kern w:val="0"/>
                <w:sz w:val="24"/>
              </w:rPr>
              <w:t xml:space="preserve">i-t 的最小采样间隔： 1 </w:t>
            </w:r>
            <w:r>
              <w:rPr>
                <w:rFonts w:hint="eastAsia" w:ascii="新宋体" w:hAnsi="新宋体" w:eastAsia="新宋体" w:cs="宋体"/>
                <w:kern w:val="0"/>
                <w:sz w:val="24"/>
              </w:rPr>
              <w:sym w:font="Symbol" w:char="006D"/>
            </w:r>
            <w:r>
              <w:rPr>
                <w:rFonts w:hint="eastAsia" w:ascii="新宋体" w:hAnsi="新宋体" w:eastAsia="新宋体" w:cs="宋体"/>
                <w:kern w:val="0"/>
                <w:sz w:val="24"/>
              </w:rPr>
              <w:t>s，双通道同步</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10.</w:t>
            </w:r>
            <w:r>
              <w:rPr>
                <w:rFonts w:hint="eastAsia" w:ascii="新宋体" w:hAnsi="新宋体" w:eastAsia="新宋体" w:cs="宋体"/>
                <w:kern w:val="0"/>
                <w:sz w:val="24"/>
              </w:rPr>
              <w:t>ACV频率范围：0.1 至 10 kHz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11.</w:t>
            </w:r>
            <w:r>
              <w:rPr>
                <w:rFonts w:hint="eastAsia" w:ascii="新宋体" w:hAnsi="新宋体" w:eastAsia="新宋体" w:cs="宋体"/>
                <w:kern w:val="0"/>
                <w:sz w:val="24"/>
              </w:rPr>
              <w:t>SHACV频率范围：0.1 至 5 kHz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12.</w:t>
            </w:r>
            <w:r>
              <w:rPr>
                <w:rFonts w:hint="eastAsia" w:ascii="新宋体" w:hAnsi="新宋体" w:eastAsia="新宋体" w:cs="宋体"/>
                <w:kern w:val="0"/>
                <w:sz w:val="24"/>
              </w:rPr>
              <w:t>FTACV频率范围：0.1 至 50Hz，可同时获取基波，二次谐波，三次谐波，四次谐波，五次谐波，六次谐波的ACV数据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13.</w:t>
            </w:r>
            <w:r>
              <w:rPr>
                <w:rFonts w:hint="eastAsia" w:ascii="新宋体" w:hAnsi="新宋体" w:eastAsia="新宋体" w:cs="宋体"/>
                <w:kern w:val="0"/>
                <w:sz w:val="24"/>
              </w:rPr>
              <w:t>交流阻抗： 0.00001 至 1 MHz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14.</w:t>
            </w:r>
            <w:r>
              <w:rPr>
                <w:rFonts w:hint="eastAsia" w:ascii="新宋体" w:hAnsi="新宋体" w:eastAsia="新宋体" w:cs="宋体"/>
                <w:kern w:val="0"/>
                <w:sz w:val="24"/>
              </w:rPr>
              <w:t>交流阻抗波形幅度： 0.00001 V 至 0.7 V 均方根值</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其他特点</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15.</w:t>
            </w:r>
            <w:r>
              <w:rPr>
                <w:rFonts w:hint="eastAsia" w:ascii="新宋体" w:hAnsi="新宋体" w:eastAsia="新宋体" w:cs="宋体"/>
                <w:kern w:val="0"/>
                <w:sz w:val="24"/>
              </w:rPr>
              <w:t>自动或手动iR降补偿</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16.</w:t>
            </w:r>
            <w:r>
              <w:rPr>
                <w:rFonts w:hint="eastAsia" w:ascii="新宋体" w:hAnsi="新宋体" w:eastAsia="新宋体" w:cs="宋体"/>
                <w:kern w:val="0"/>
                <w:sz w:val="24"/>
              </w:rPr>
              <w:t>电流测量偏置：满量程，16位分辨，0.003% 准确度</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17.</w:t>
            </w:r>
            <w:r>
              <w:rPr>
                <w:rFonts w:hint="eastAsia" w:ascii="新宋体" w:hAnsi="新宋体" w:eastAsia="新宋体" w:cs="宋体"/>
                <w:kern w:val="0"/>
                <w:sz w:val="24"/>
              </w:rPr>
              <w:t>电位测量偏置：±10V，16位分辨，0.003% 准确度</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18.</w:t>
            </w:r>
            <w:r>
              <w:rPr>
                <w:rFonts w:hint="eastAsia" w:ascii="新宋体" w:hAnsi="新宋体" w:eastAsia="新宋体" w:cs="宋体"/>
                <w:kern w:val="0"/>
                <w:sz w:val="24"/>
              </w:rPr>
              <w:t>外部电位输入</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19.</w:t>
            </w:r>
            <w:r>
              <w:rPr>
                <w:rFonts w:hint="eastAsia" w:ascii="新宋体" w:hAnsi="新宋体" w:eastAsia="新宋体" w:cs="宋体"/>
                <w:kern w:val="0"/>
                <w:sz w:val="24"/>
              </w:rPr>
              <w:t>电位和电流的模拟输出</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20.</w:t>
            </w:r>
            <w:r>
              <w:rPr>
                <w:rFonts w:hint="eastAsia" w:ascii="新宋体" w:hAnsi="新宋体" w:eastAsia="新宋体" w:cs="宋体"/>
                <w:kern w:val="0"/>
                <w:sz w:val="24"/>
              </w:rPr>
              <w:t>可控电位滤波器的截止频率： 1.5 MHz, 150 KHz, 15 KHz, 1.5 KHz, 150 Hz, 15 Hz, 1.5 Hz, 0.15 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21.</w:t>
            </w:r>
            <w:r>
              <w:rPr>
                <w:rFonts w:hint="eastAsia" w:ascii="新宋体" w:hAnsi="新宋体" w:eastAsia="新宋体" w:cs="宋体"/>
                <w:kern w:val="0"/>
                <w:sz w:val="24"/>
              </w:rPr>
              <w:t>可控信号滤波器的截止频率： 1.5 MHz, 150 KHz, 15 KHz, 1.5 KHz, 150 Hz, 15 Hz, 1.5 Hz, 0.15 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22.</w:t>
            </w:r>
            <w:r>
              <w:rPr>
                <w:rFonts w:hint="eastAsia" w:ascii="新宋体" w:hAnsi="新宋体" w:eastAsia="新宋体" w:cs="宋体"/>
                <w:kern w:val="0"/>
                <w:sz w:val="24"/>
              </w:rPr>
              <w:t>旋转电极控制电压输出：0-10V 对用于 0-10000 rpm的转速，16位分辨，0.003% 准确度，需要某些旋转电极装置才能工作</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23.</w:t>
            </w:r>
            <w:r>
              <w:rPr>
                <w:rFonts w:hint="eastAsia" w:ascii="新宋体" w:hAnsi="新宋体" w:eastAsia="新宋体" w:cs="宋体"/>
                <w:kern w:val="0"/>
                <w:sz w:val="24"/>
              </w:rPr>
              <w:t>通过宏命令可以控制数字输入输出线</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24.</w:t>
            </w:r>
            <w:r>
              <w:rPr>
                <w:rFonts w:hint="eastAsia" w:ascii="新宋体" w:hAnsi="新宋体" w:eastAsia="新宋体" w:cs="宋体"/>
                <w:kern w:val="0"/>
                <w:sz w:val="24"/>
              </w:rPr>
              <w:t>内闪存储器可迅速更新程序</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25.</w:t>
            </w:r>
            <w:r>
              <w:rPr>
                <w:rFonts w:hint="eastAsia" w:ascii="新宋体" w:hAnsi="新宋体" w:eastAsia="新宋体" w:cs="宋体"/>
                <w:kern w:val="0"/>
                <w:sz w:val="24"/>
              </w:rPr>
              <w:t>串行口或USB口数据通讯</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26.</w:t>
            </w:r>
            <w:r>
              <w:rPr>
                <w:rFonts w:hint="eastAsia" w:ascii="新宋体" w:hAnsi="新宋体" w:eastAsia="新宋体" w:cs="宋体"/>
                <w:kern w:val="0"/>
                <w:sz w:val="24"/>
              </w:rPr>
              <w:t>电解池控制：通氮，搅拌，敲击（需要特殊电解池系统）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27.</w:t>
            </w:r>
            <w:r>
              <w:rPr>
                <w:rFonts w:hint="eastAsia" w:ascii="新宋体" w:hAnsi="新宋体" w:eastAsia="新宋体" w:cs="宋体"/>
                <w:kern w:val="0"/>
                <w:sz w:val="24"/>
              </w:rPr>
              <w:t>CV数字模拟器和拟合器。用户定义反应机理（730E以上）或预定义反应机理（其他型号）</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28.</w:t>
            </w:r>
            <w:r>
              <w:rPr>
                <w:rFonts w:hint="eastAsia" w:ascii="新宋体" w:hAnsi="新宋体" w:eastAsia="新宋体" w:cs="宋体"/>
                <w:kern w:val="0"/>
                <w:sz w:val="24"/>
              </w:rPr>
              <w:t>交流阻抗模拟器和拟合器（具有交流阻抗测量功能的型号）</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29.</w:t>
            </w:r>
            <w:r>
              <w:rPr>
                <w:rFonts w:hint="eastAsia" w:ascii="新宋体" w:hAnsi="新宋体" w:eastAsia="新宋体" w:cs="宋体"/>
                <w:kern w:val="0"/>
                <w:sz w:val="24"/>
              </w:rPr>
              <w:t>最大数据长度：256,000-16,384,000 点可选择</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电源线一根、USB 通讯线一根、电极线一束、串口线一根.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戴尔电脑 Vosteo 3681。直径 3mm 铂电极、直径 3mm 金电极、直径 3mm 银电极、直径 3mm 铜电极、直径 3mm 镍电极各6根及汞硫酸亚汞电极12根、电脑4台。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eastAsia="zh-CN"/>
              </w:rPr>
            </w:pPr>
            <w:r>
              <w:rPr>
                <w:rFonts w:hint="eastAsia" w:ascii="新宋体" w:hAnsi="新宋体" w:eastAsia="新宋体" w:cs="宋体"/>
                <w:kern w:val="0"/>
                <w:sz w:val="24"/>
                <w:lang w:val="en-US" w:eastAsia="zh-CN"/>
              </w:rPr>
              <w:t>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自冷式凝固点测定仪</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特点说明：</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w:t>
            </w:r>
            <w:r>
              <w:rPr>
                <w:rFonts w:hint="eastAsia" w:ascii="新宋体" w:hAnsi="新宋体" w:eastAsia="新宋体" w:cs="宋体"/>
                <w:kern w:val="0"/>
                <w:sz w:val="24"/>
              </w:rPr>
              <w:t>本装置采用国家专利技术，自带制冷系统，机械自动上下垂直搅拌，大屏液晶显示；含软件、接口。</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w:t>
            </w:r>
            <w:r>
              <w:rPr>
                <w:rFonts w:hint="eastAsia" w:ascii="新宋体" w:hAnsi="新宋体" w:eastAsia="新宋体" w:cs="宋体"/>
                <w:kern w:val="0"/>
                <w:sz w:val="24"/>
              </w:rPr>
              <w:t>不锈钢面板，耐腐蚀、体积小、重量轻、无污染、无噪声、无振动，可连续工作。</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w:t>
            </w:r>
            <w:r>
              <w:rPr>
                <w:rFonts w:hint="eastAsia" w:ascii="新宋体" w:hAnsi="新宋体" w:eastAsia="新宋体" w:cs="宋体"/>
                <w:kern w:val="0"/>
                <w:sz w:val="24"/>
              </w:rPr>
              <w:t>采用先进的全自动智能控制系统，温度连续可控，控温精确。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4.</w:t>
            </w:r>
            <w:r>
              <w:rPr>
                <w:rFonts w:hint="eastAsia" w:ascii="新宋体" w:hAnsi="新宋体" w:eastAsia="新宋体" w:cs="宋体"/>
                <w:kern w:val="0"/>
                <w:sz w:val="24"/>
              </w:rPr>
              <w:t>采用计算机处理系统后，可自动显示、记录时间与温度数据，绘制时间与温度曲线。</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5.</w:t>
            </w:r>
            <w:r>
              <w:rPr>
                <w:rFonts w:hint="eastAsia" w:ascii="新宋体" w:hAnsi="新宋体" w:eastAsia="新宋体" w:cs="宋体"/>
                <w:kern w:val="0"/>
                <w:sz w:val="24"/>
              </w:rPr>
              <w:t>配有自动垂直搅拌装置，搅拌匀速可调，使温度更均匀。</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6.</w:t>
            </w:r>
            <w:r>
              <w:rPr>
                <w:rFonts w:hint="eastAsia" w:ascii="新宋体" w:hAnsi="新宋体" w:eastAsia="新宋体" w:cs="宋体"/>
                <w:kern w:val="0"/>
                <w:sz w:val="24"/>
              </w:rPr>
              <w:t>内置多重保护电路，不易损坏，确保实验的安全性。</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技术说明：</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w:t>
            </w:r>
            <w:r>
              <w:rPr>
                <w:rFonts w:hint="eastAsia" w:ascii="新宋体" w:hAnsi="新宋体" w:eastAsia="新宋体" w:cs="宋体"/>
                <w:kern w:val="0"/>
                <w:sz w:val="24"/>
              </w:rPr>
              <w:t>样品管具有恒温夹套设计，样品管与恒温夹套间具有空气浴；样品管可外接冷却系统，夹套内冷却温度随意设定，恒温效果好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w:t>
            </w:r>
            <w:r>
              <w:rPr>
                <w:rFonts w:hint="eastAsia" w:ascii="新宋体" w:hAnsi="新宋体" w:eastAsia="新宋体" w:cs="宋体"/>
                <w:kern w:val="0"/>
                <w:sz w:val="24"/>
              </w:rPr>
              <w:t>采用机械自动上下垂直搅拌，搅拌速度恒定，样品搅拌充分，冰花产生均匀，克服了磁力搅拌样品上下搅拌不一致，冰花产生上下不均匀等缺点</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技术指标：</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w:t>
            </w:r>
            <w:r>
              <w:rPr>
                <w:rFonts w:hint="eastAsia" w:ascii="新宋体" w:hAnsi="新宋体" w:eastAsia="新宋体" w:cs="宋体"/>
                <w:kern w:val="0"/>
                <w:sz w:val="24"/>
                <w:lang w:eastAsia="zh-CN"/>
              </w:rPr>
              <w:t>.</w:t>
            </w:r>
            <w:r>
              <w:rPr>
                <w:rFonts w:hint="eastAsia" w:ascii="新宋体" w:hAnsi="新宋体" w:eastAsia="新宋体" w:cs="宋体"/>
                <w:kern w:val="0"/>
                <w:sz w:val="24"/>
              </w:rPr>
              <w:t>温度测量范围：-20℃～150℃（可扩展范围）</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温差范围：-49.999℃～149.999℃，</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温度/温差分辨率：0.01℃/0.001℃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搅拌速度分段可调（慢速≦180次  快速≧280次） 整机功耗：500W</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w:t>
            </w:r>
            <w:r>
              <w:rPr>
                <w:rFonts w:hint="eastAsia" w:ascii="新宋体" w:hAnsi="新宋体" w:eastAsia="新宋体" w:cs="宋体"/>
                <w:kern w:val="0"/>
                <w:sz w:val="24"/>
              </w:rPr>
              <w:t>制冷系统（冷浴）控温范围： -20℃～100℃，分辨率：±0.01℃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w:t>
            </w:r>
            <w:r>
              <w:rPr>
                <w:rFonts w:hint="eastAsia" w:ascii="新宋体" w:hAnsi="新宋体" w:eastAsia="新宋体" w:cs="宋体"/>
                <w:kern w:val="0"/>
                <w:sz w:val="24"/>
              </w:rPr>
              <w:t>制冷系统温度波动：±0.05℃，工作容积≥6L  泵流量≥6L/min</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4.</w:t>
            </w:r>
            <w:r>
              <w:rPr>
                <w:rFonts w:hint="eastAsia" w:ascii="新宋体" w:hAnsi="新宋体" w:eastAsia="新宋体" w:cs="宋体"/>
                <w:kern w:val="0"/>
                <w:sz w:val="24"/>
              </w:rPr>
              <w:t>制冷系统可独立使用，提高仪器使用率。</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5.</w:t>
            </w:r>
            <w:r>
              <w:rPr>
                <w:rFonts w:hint="eastAsia" w:ascii="新宋体" w:hAnsi="新宋体" w:eastAsia="新宋体" w:cs="宋体"/>
                <w:kern w:val="0"/>
                <w:sz w:val="24"/>
              </w:rPr>
              <w:t>降温速率：常湿（30℃）降至-20℃≤50min；整个实验过程无需加冰，制冷系统无需外接冷却液。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eastAsia="zh-CN"/>
              </w:rPr>
            </w:pPr>
            <w:r>
              <w:rPr>
                <w:rFonts w:hint="eastAsia" w:ascii="新宋体" w:hAnsi="新宋体" w:eastAsia="新宋体" w:cs="宋体"/>
                <w:kern w:val="0"/>
                <w:sz w:val="24"/>
                <w:lang w:val="en-US" w:eastAsia="zh-CN"/>
              </w:rPr>
              <w:t>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水浴恒温振荡器</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一、概况</w:t>
            </w:r>
            <w:r>
              <w:rPr>
                <w:rFonts w:hint="eastAsia" w:ascii="新宋体" w:hAnsi="新宋体" w:eastAsia="新宋体" w:cs="宋体"/>
                <w:kern w:val="0"/>
                <w:sz w:val="24"/>
              </w:rPr>
              <w:br w:type="textWrapping"/>
            </w:r>
            <w:r>
              <w:rPr>
                <w:rFonts w:hint="eastAsia" w:ascii="新宋体" w:hAnsi="新宋体" w:eastAsia="新宋体" w:cs="宋体"/>
                <w:kern w:val="0"/>
                <w:sz w:val="24"/>
              </w:rPr>
              <w:t>多功能数显水浴恒温振荡器广泛用于各院校医疗、石油化工、卫生防疫、环境监测、土壤分析等科研部门作生物、生化、细胞、菌种等各种流态、固态化合物的振荡恒温培养.本机具有结构合理、操作简便、稳定性能高特点,是实验人员得心应手的理想设备、具有往复和回旋两种工作方式。</w:t>
            </w:r>
            <w:r>
              <w:rPr>
                <w:rFonts w:hint="eastAsia" w:ascii="新宋体" w:hAnsi="新宋体" w:eastAsia="新宋体" w:cs="宋体"/>
                <w:kern w:val="0"/>
                <w:sz w:val="24"/>
              </w:rPr>
              <w:br w:type="textWrapping"/>
            </w:r>
            <w:r>
              <w:rPr>
                <w:rFonts w:hint="eastAsia" w:ascii="新宋体" w:hAnsi="新宋体" w:eastAsia="新宋体" w:cs="宋体"/>
                <w:kern w:val="0"/>
                <w:sz w:val="24"/>
              </w:rPr>
              <w:t>二、主要技术参数</w:t>
            </w:r>
            <w:r>
              <w:rPr>
                <w:rFonts w:hint="eastAsia" w:ascii="新宋体" w:hAnsi="新宋体" w:eastAsia="新宋体" w:cs="宋体"/>
                <w:kern w:val="0"/>
                <w:sz w:val="24"/>
              </w:rPr>
              <w:br w:type="textWrapping"/>
            </w:r>
            <w:r>
              <w:rPr>
                <w:rFonts w:hint="eastAsia" w:ascii="新宋体" w:hAnsi="新宋体" w:eastAsia="新宋体" w:cs="宋体"/>
                <w:kern w:val="0"/>
                <w:sz w:val="24"/>
              </w:rPr>
              <w:t>1. 工作电源:220V50HZ</w:t>
            </w:r>
            <w:r>
              <w:rPr>
                <w:rFonts w:hint="eastAsia" w:ascii="新宋体" w:hAnsi="新宋体" w:eastAsia="新宋体" w:cs="宋体"/>
                <w:kern w:val="0"/>
                <w:sz w:val="24"/>
              </w:rPr>
              <w:br w:type="textWrapping"/>
            </w:r>
            <w:r>
              <w:rPr>
                <w:rFonts w:hint="eastAsia" w:ascii="新宋体" w:hAnsi="新宋体" w:eastAsia="新宋体" w:cs="宋体"/>
                <w:kern w:val="0"/>
                <w:sz w:val="24"/>
              </w:rPr>
              <w:t>2. 整机功率:2300W</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 加热功率：2000w</w:t>
            </w:r>
            <w:r>
              <w:rPr>
                <w:rFonts w:hint="eastAsia" w:ascii="新宋体" w:hAnsi="新宋体" w:eastAsia="新宋体" w:cs="宋体"/>
                <w:kern w:val="0"/>
                <w:sz w:val="24"/>
              </w:rPr>
              <w:br w:type="textWrapping"/>
            </w:r>
            <w:r>
              <w:rPr>
                <w:rFonts w:hint="eastAsia" w:ascii="新宋体" w:hAnsi="新宋体" w:eastAsia="新宋体" w:cs="宋体"/>
                <w:kern w:val="0"/>
                <w:sz w:val="24"/>
              </w:rPr>
              <w:t>4. 定时范围:0～120分任选</w:t>
            </w:r>
            <w:r>
              <w:rPr>
                <w:rFonts w:hint="eastAsia" w:ascii="新宋体" w:hAnsi="新宋体" w:eastAsia="新宋体" w:cs="宋体"/>
                <w:kern w:val="0"/>
                <w:sz w:val="24"/>
              </w:rPr>
              <w:br w:type="textWrapping"/>
            </w:r>
            <w:r>
              <w:rPr>
                <w:rFonts w:hint="eastAsia" w:ascii="新宋体" w:hAnsi="新宋体" w:eastAsia="新宋体" w:cs="宋体"/>
                <w:kern w:val="0"/>
                <w:sz w:val="24"/>
              </w:rPr>
              <w:t>5. 振    幅:   20mm</w:t>
            </w:r>
            <w:r>
              <w:rPr>
                <w:rFonts w:hint="eastAsia" w:ascii="新宋体" w:hAnsi="新宋体" w:eastAsia="新宋体" w:cs="宋体"/>
                <w:kern w:val="0"/>
                <w:sz w:val="24"/>
              </w:rPr>
              <w:br w:type="textWrapping"/>
            </w:r>
            <w:r>
              <w:rPr>
                <w:rFonts w:hint="eastAsia" w:ascii="新宋体" w:hAnsi="新宋体" w:eastAsia="新宋体" w:cs="宋体"/>
                <w:kern w:val="0"/>
                <w:sz w:val="24"/>
              </w:rPr>
              <w:t>6. 恒温范围:室温-100℃±0.5℃</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 水箱尺寸：490x390x170 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8. 外形尺寸：700x550x520mm</w:t>
            </w:r>
            <w:r>
              <w:rPr>
                <w:rFonts w:hint="eastAsia" w:ascii="新宋体" w:hAnsi="新宋体" w:eastAsia="新宋体" w:cs="宋体"/>
                <w:kern w:val="0"/>
                <w:sz w:val="24"/>
              </w:rPr>
              <w:br w:type="textWrapping"/>
            </w:r>
            <w:r>
              <w:rPr>
                <w:rFonts w:hint="eastAsia" w:ascii="新宋体" w:hAnsi="新宋体" w:eastAsia="新宋体" w:cs="宋体"/>
                <w:kern w:val="0"/>
                <w:sz w:val="24"/>
              </w:rPr>
              <w:t>9. 振荡频率:起动～300次/分</w:t>
            </w:r>
            <w:r>
              <w:rPr>
                <w:rFonts w:hint="eastAsia" w:ascii="新宋体" w:hAnsi="新宋体" w:eastAsia="新宋体" w:cs="宋体"/>
                <w:kern w:val="0"/>
                <w:sz w:val="24"/>
              </w:rPr>
              <w:br w:type="textWrapping"/>
            </w:r>
            <w:r>
              <w:rPr>
                <w:rFonts w:hint="eastAsia" w:ascii="新宋体" w:hAnsi="新宋体" w:eastAsia="新宋体" w:cs="宋体"/>
                <w:kern w:val="0"/>
                <w:sz w:val="24"/>
              </w:rPr>
              <w:t xml:space="preserve">10. 温度波动:±0.1℃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11. 微电脑P.I.D.智能控温 </w:t>
            </w:r>
            <w:r>
              <w:rPr>
                <w:rFonts w:hint="eastAsia" w:ascii="新宋体" w:hAnsi="新宋体" w:eastAsia="新宋体" w:cs="宋体"/>
                <w:kern w:val="0"/>
                <w:sz w:val="24"/>
              </w:rPr>
              <w:br w:type="textWrapping"/>
            </w:r>
            <w:r>
              <w:rPr>
                <w:rFonts w:hint="eastAsia" w:ascii="新宋体" w:hAnsi="新宋体" w:eastAsia="新宋体" w:cs="宋体"/>
                <w:kern w:val="0"/>
                <w:sz w:val="24"/>
              </w:rPr>
              <w:t>12. 工作方式:往复+回旋   双功能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eastAsia="zh-CN"/>
              </w:rPr>
            </w:pPr>
            <w:r>
              <w:rPr>
                <w:rFonts w:hint="eastAsia" w:ascii="新宋体" w:hAnsi="新宋体" w:eastAsia="新宋体" w:cs="宋体"/>
                <w:kern w:val="0"/>
                <w:sz w:val="24"/>
                <w:lang w:val="en-US" w:eastAsia="zh-CN"/>
              </w:rPr>
              <w:t>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电池封口机</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1.主要应用于实验室电池材料研发的样本制作进行纽扣电池，电容器科研封口，也可用于工厂少批量试产。配置不同的模具还可用于电池拆卸，极片压片，压电</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池粉饼等作业。</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2.标准配置可用于 20 系列扣式电池。也可更换部分模具配件后封装 24</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系列等扣式电池。</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3.技术特点</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3.1</w:t>
            </w:r>
            <w:r>
              <w:rPr>
                <w:rFonts w:hint="eastAsia" w:ascii="新宋体" w:hAnsi="新宋体" w:eastAsia="新宋体" w:cs="宋体"/>
                <w:kern w:val="0"/>
                <w:sz w:val="24"/>
              </w:rPr>
              <w:t>下模采用高精度定位环限位，控制电池封装高度，以免万一封装压力过大不稳定，</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而导致封口杯的损坏。</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3.2</w:t>
            </w:r>
            <w:r>
              <w:rPr>
                <w:rFonts w:hint="eastAsia" w:ascii="新宋体" w:hAnsi="新宋体" w:eastAsia="新宋体" w:cs="宋体"/>
                <w:kern w:val="0"/>
                <w:sz w:val="24"/>
              </w:rPr>
              <w:t>上模封口杯内环设有螺杆弹簧顶心机构，保证万一电池封口时卡住无法取出，只需</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扭动顶部螺杆即可将纽扣电池强硬顶出。</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3.3</w:t>
            </w:r>
            <w:r>
              <w:rPr>
                <w:rFonts w:hint="eastAsia" w:ascii="新宋体" w:hAnsi="新宋体" w:eastAsia="新宋体" w:cs="宋体"/>
                <w:kern w:val="0"/>
                <w:sz w:val="24"/>
              </w:rPr>
              <w:t>内置安全溢流油阀，可根据需要调整压力，同时可设定压力上限，以防由于误操作</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导致的压力过大产生的破坏，保证了机器使用安全。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3.4</w:t>
            </w:r>
            <w:r>
              <w:rPr>
                <w:rFonts w:hint="eastAsia" w:ascii="新宋体" w:hAnsi="新宋体" w:eastAsia="新宋体" w:cs="宋体"/>
                <w:kern w:val="0"/>
                <w:sz w:val="24"/>
              </w:rPr>
              <w:t>内嵌式压力表,可以观察及准确控制封口压力的大小。</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3.5</w:t>
            </w:r>
            <w:r>
              <w:rPr>
                <w:rFonts w:hint="eastAsia" w:ascii="新宋体" w:hAnsi="新宋体" w:eastAsia="新宋体" w:cs="宋体"/>
                <w:kern w:val="0"/>
                <w:sz w:val="24"/>
              </w:rPr>
              <w:t>采用液压式驱动，压力大可达 8T，电池封口无振动，无漏液。</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3.6</w:t>
            </w:r>
            <w:r>
              <w:rPr>
                <w:rFonts w:hint="eastAsia" w:ascii="新宋体" w:hAnsi="新宋体" w:eastAsia="新宋体" w:cs="宋体"/>
                <w:kern w:val="0"/>
                <w:sz w:val="24"/>
              </w:rPr>
              <w:t>特殊设计的液压结构，操作省力。</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3.7</w:t>
            </w:r>
            <w:r>
              <w:rPr>
                <w:rFonts w:hint="eastAsia" w:ascii="新宋体" w:hAnsi="新宋体" w:eastAsia="新宋体" w:cs="宋体"/>
                <w:kern w:val="0"/>
                <w:sz w:val="24"/>
              </w:rPr>
              <w:t>精密的模具设计保证封口成型的精确可靠，牢固的钢结构设计，使用稳定安全。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3.8</w:t>
            </w:r>
            <w:r>
              <w:rPr>
                <w:rFonts w:hint="eastAsia" w:ascii="新宋体" w:hAnsi="新宋体" w:eastAsia="新宋体" w:cs="宋体"/>
                <w:kern w:val="0"/>
                <w:sz w:val="24"/>
              </w:rPr>
              <w:t>体积小，操作方便，可置于手套箱内操作</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3.9</w:t>
            </w:r>
            <w:r>
              <w:rPr>
                <w:rFonts w:hint="eastAsia" w:ascii="新宋体" w:hAnsi="新宋体" w:eastAsia="新宋体" w:cs="宋体"/>
                <w:kern w:val="0"/>
                <w:sz w:val="24"/>
              </w:rPr>
              <w:t>手摇杆操作力度小于5.5kg.</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3.10</w:t>
            </w:r>
            <w:r>
              <w:rPr>
                <w:rFonts w:hint="eastAsia" w:ascii="新宋体" w:hAnsi="新宋体" w:eastAsia="新宋体" w:cs="宋体"/>
                <w:kern w:val="0"/>
                <w:sz w:val="24"/>
              </w:rPr>
              <w:t>采用日本进口模具材质.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3.11</w:t>
            </w:r>
            <w:r>
              <w:rPr>
                <w:rFonts w:hint="eastAsia" w:ascii="新宋体" w:hAnsi="新宋体" w:eastAsia="新宋体" w:cs="宋体"/>
                <w:kern w:val="0"/>
                <w:sz w:val="24"/>
              </w:rPr>
              <w:t>结构件材质：合金铝及高强度的铬钢,表面经过环保电镀处理永不生锈</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eastAsia="zh-CN"/>
              </w:rPr>
            </w:pPr>
            <w:r>
              <w:rPr>
                <w:rFonts w:hint="eastAsia" w:ascii="新宋体" w:hAnsi="新宋体" w:eastAsia="新宋体" w:cs="宋体"/>
                <w:kern w:val="0"/>
                <w:sz w:val="24"/>
                <w:lang w:val="en-US" w:eastAsia="zh-CN"/>
              </w:rPr>
              <w:t>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单工位电池装配真空手套箱</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一、技术指标要求：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w:t>
            </w:r>
            <w:r>
              <w:rPr>
                <w:rFonts w:hint="eastAsia" w:ascii="新宋体" w:hAnsi="新宋体" w:eastAsia="新宋体" w:cs="宋体"/>
                <w:kern w:val="0"/>
                <w:sz w:val="24"/>
              </w:rPr>
              <w:t>箱体材料：304 不锈钢，厚度 3mm。内表面：不锈钢拉丝处理。外表面： 喷漆，白色。尺寸：长度≥1220mm，宽度≥750mm，高度≥900mm。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2.</w:t>
            </w:r>
            <w:r>
              <w:rPr>
                <w:rFonts w:hint="eastAsia" w:ascii="新宋体" w:hAnsi="新宋体" w:eastAsia="新宋体" w:cs="宋体"/>
                <w:kern w:val="0"/>
                <w:sz w:val="24"/>
              </w:rPr>
              <w:t>过渡舱：材料：304 不锈钢，表面：内表面为拉丝处理，外表面喷漆（白色）。大过渡舱尺寸：直径≥ 360mm,长度≥ 600mm。小过渡舱尺寸：直径 ≥150mm,长度≥300mm。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3.</w:t>
            </w:r>
            <w:r>
              <w:rPr>
                <w:rFonts w:hint="eastAsia" w:ascii="新宋体" w:hAnsi="新宋体" w:eastAsia="新宋体" w:cs="宋体"/>
                <w:kern w:val="0"/>
                <w:sz w:val="24"/>
              </w:rPr>
              <w:t>手套口：氧化铝材质，自润滑性能好，易于维护，且密封性能好。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w:t>
            </w:r>
            <w:r>
              <w:rPr>
                <w:rFonts w:hint="eastAsia" w:ascii="新宋体" w:hAnsi="新宋体" w:eastAsia="新宋体" w:cs="宋体"/>
                <w:kern w:val="0"/>
                <w:sz w:val="24"/>
                <w:lang w:eastAsia="zh-CN"/>
              </w:rPr>
              <w:t>.</w:t>
            </w:r>
            <w:r>
              <w:rPr>
                <w:rFonts w:hint="eastAsia" w:ascii="新宋体" w:hAnsi="新宋体" w:eastAsia="新宋体" w:cs="宋体"/>
                <w:kern w:val="0"/>
                <w:sz w:val="24"/>
              </w:rPr>
              <w:t>循环能力：集成风机流量≥90m3/h，加装变频控制。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5.</w:t>
            </w:r>
            <w:r>
              <w:rPr>
                <w:rFonts w:hint="eastAsia" w:ascii="新宋体" w:hAnsi="新宋体" w:eastAsia="新宋体" w:cs="宋体"/>
                <w:kern w:val="0"/>
                <w:sz w:val="24"/>
              </w:rPr>
              <w:t>气体净化柱：净化材料可再生，且再生过程自动控制、自动除水除氧功能，H2O﹤1ppm ，O2﹤1ppm。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6.</w:t>
            </w:r>
            <w:r>
              <w:rPr>
                <w:rFonts w:hint="eastAsia" w:ascii="新宋体" w:hAnsi="新宋体" w:eastAsia="新宋体" w:cs="宋体"/>
                <w:kern w:val="0"/>
                <w:sz w:val="24"/>
              </w:rPr>
              <w:t>气体纯度：水&lt;1ppm，氧&lt;1ppm（证书复印件盖鲜章）。</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7.</w:t>
            </w:r>
            <w:r>
              <w:rPr>
                <w:rFonts w:hint="eastAsia" w:ascii="新宋体" w:hAnsi="新宋体" w:eastAsia="新宋体" w:cs="宋体"/>
                <w:kern w:val="0"/>
                <w:sz w:val="24"/>
              </w:rPr>
              <w:t>小时泄露率：9X10-6h-1（投标文件中提供由第三方质量监督检验机构出具的同等产品符合以上参数的测试报告复印件，并加盖投标人公章）。</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8.</w:t>
            </w:r>
            <w:r>
              <w:rPr>
                <w:rFonts w:hint="eastAsia" w:ascii="新宋体" w:hAnsi="新宋体" w:eastAsia="新宋体" w:cs="宋体"/>
                <w:kern w:val="0"/>
                <w:sz w:val="24"/>
              </w:rPr>
              <w:t>气体控制阀：不锈钢电磁集成阀座。</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9</w:t>
            </w:r>
            <w:r>
              <w:rPr>
                <w:rFonts w:hint="eastAsia" w:ascii="新宋体" w:hAnsi="新宋体" w:eastAsia="新宋体" w:cs="宋体"/>
                <w:kern w:val="0"/>
                <w:sz w:val="24"/>
                <w:lang w:eastAsia="zh-CN"/>
              </w:rPr>
              <w:t>.</w:t>
            </w:r>
            <w:r>
              <w:rPr>
                <w:rFonts w:hint="eastAsia" w:ascii="新宋体" w:hAnsi="新宋体" w:eastAsia="新宋体" w:cs="宋体"/>
                <w:kern w:val="0"/>
                <w:sz w:val="24"/>
              </w:rPr>
              <w:t>真空泵：规格：8m3 /h，旋片泵，带油雾过滤器 ，气振控制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10.</w:t>
            </w:r>
            <w:r>
              <w:rPr>
                <w:rFonts w:hint="eastAsia" w:ascii="新宋体" w:hAnsi="新宋体" w:eastAsia="新宋体" w:cs="宋体"/>
                <w:kern w:val="0"/>
                <w:sz w:val="24"/>
              </w:rPr>
              <w:t>水分析仪：测量范围是0～500ppm，显示精度0.1ppm，不得采用GE探头，水探头可以通过清洗再生程序恢复初始状态，可重复使用，避免了一次污染即报废的问题，要求水分析仪生产厂家提供该功能的证明文件。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11.</w:t>
            </w:r>
            <w:r>
              <w:rPr>
                <w:rFonts w:hint="eastAsia" w:ascii="新宋体" w:hAnsi="新宋体" w:eastAsia="新宋体" w:cs="宋体"/>
                <w:kern w:val="0"/>
                <w:sz w:val="24"/>
              </w:rPr>
              <w:t>氧分析仪：测量范围：0～1000ppm，显示精度0.1ppm，采用ZrO2传感器，不得采用燃料电池，采用二氧化锆传感器，避免了燃料电池（电化学电池）寿命短，不能暴露在高氧中的问题，要求氧分析仪生产厂家提供该功能的证明文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12</w:t>
            </w:r>
            <w:r>
              <w:rPr>
                <w:rFonts w:hint="eastAsia" w:ascii="新宋体" w:hAnsi="新宋体" w:eastAsia="新宋体" w:cs="宋体"/>
                <w:kern w:val="0"/>
                <w:sz w:val="24"/>
                <w:lang w:eastAsia="zh-CN"/>
              </w:rPr>
              <w:t>.</w:t>
            </w:r>
            <w:r>
              <w:rPr>
                <w:rFonts w:hint="eastAsia" w:ascii="新宋体" w:hAnsi="新宋体" w:eastAsia="新宋体" w:cs="宋体"/>
                <w:kern w:val="0"/>
                <w:sz w:val="24"/>
              </w:rPr>
              <w:t>手套箱厂家通过UL认证、CE认证和ISO9001质量管理体系等三方认证复印件盖鲜章，附证书扫描件。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val="en-US" w:eastAsia="zh-CN"/>
              </w:rPr>
              <w:t>13.</w:t>
            </w:r>
            <w:r>
              <w:rPr>
                <w:rFonts w:hint="eastAsia" w:ascii="新宋体" w:hAnsi="新宋体" w:eastAsia="新宋体" w:cs="宋体"/>
                <w:kern w:val="0"/>
                <w:sz w:val="24"/>
              </w:rPr>
              <w:t>提供厂家售后服务承诺原件。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二、基本配置要求：</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w:t>
            </w:r>
            <w:r>
              <w:rPr>
                <w:rFonts w:hint="eastAsia" w:ascii="新宋体" w:hAnsi="新宋体" w:eastAsia="新宋体" w:cs="宋体"/>
                <w:kern w:val="0"/>
                <w:sz w:val="24"/>
                <w:lang w:eastAsia="zh-CN"/>
              </w:rPr>
              <w:t>.一</w:t>
            </w:r>
            <w:r>
              <w:rPr>
                <w:rFonts w:hint="eastAsia" w:ascii="新宋体" w:hAnsi="新宋体" w:eastAsia="新宋体" w:cs="宋体"/>
                <w:kern w:val="0"/>
                <w:sz w:val="24"/>
              </w:rPr>
              <w:t>个304不锈钢的箱体，耐酸，厚度3 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w:t>
            </w:r>
            <w:r>
              <w:rPr>
                <w:rFonts w:hint="eastAsia" w:ascii="新宋体" w:hAnsi="新宋体" w:eastAsia="新宋体" w:cs="宋体"/>
                <w:kern w:val="0"/>
                <w:sz w:val="24"/>
                <w:lang w:eastAsia="zh-CN"/>
              </w:rPr>
              <w:t>.一</w:t>
            </w:r>
            <w:r>
              <w:rPr>
                <w:rFonts w:hint="eastAsia" w:ascii="新宋体" w:hAnsi="新宋体" w:eastAsia="新宋体" w:cs="宋体"/>
                <w:kern w:val="0"/>
                <w:sz w:val="24"/>
              </w:rPr>
              <w:t>个不锈钢制成的真空过渡室，直径360mm， 长度600mm，右侧</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w:t>
            </w:r>
            <w:r>
              <w:rPr>
                <w:rFonts w:hint="eastAsia" w:ascii="新宋体" w:hAnsi="新宋体" w:eastAsia="新宋体" w:cs="宋体"/>
                <w:kern w:val="0"/>
                <w:sz w:val="24"/>
                <w:lang w:eastAsia="zh-CN"/>
              </w:rPr>
              <w:t>.一</w:t>
            </w:r>
            <w:r>
              <w:rPr>
                <w:rFonts w:hint="eastAsia" w:ascii="新宋体" w:hAnsi="新宋体" w:eastAsia="新宋体" w:cs="宋体"/>
                <w:kern w:val="0"/>
                <w:sz w:val="24"/>
              </w:rPr>
              <w:t>个小的过渡室，直径150mm，长度300mm，右侧</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w:t>
            </w:r>
            <w:r>
              <w:rPr>
                <w:rFonts w:hint="eastAsia" w:ascii="新宋体" w:hAnsi="新宋体" w:eastAsia="新宋体" w:cs="宋体"/>
                <w:kern w:val="0"/>
                <w:sz w:val="24"/>
                <w:lang w:eastAsia="zh-CN"/>
              </w:rPr>
              <w:t>.一</w:t>
            </w:r>
            <w:r>
              <w:rPr>
                <w:rFonts w:hint="eastAsia" w:ascii="新宋体" w:hAnsi="新宋体" w:eastAsia="新宋体" w:cs="宋体"/>
                <w:kern w:val="0"/>
                <w:sz w:val="24"/>
              </w:rPr>
              <w:t>副丁基橡胶手套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w:t>
            </w:r>
            <w:r>
              <w:rPr>
                <w:rFonts w:hint="eastAsia" w:ascii="新宋体" w:hAnsi="新宋体" w:eastAsia="新宋体" w:cs="宋体"/>
                <w:kern w:val="0"/>
                <w:sz w:val="24"/>
                <w:lang w:eastAsia="zh-CN"/>
              </w:rPr>
              <w:t>.一</w:t>
            </w:r>
            <w:r>
              <w:rPr>
                <w:rFonts w:hint="eastAsia" w:ascii="新宋体" w:hAnsi="新宋体" w:eastAsia="新宋体" w:cs="宋体"/>
                <w:kern w:val="0"/>
                <w:sz w:val="24"/>
              </w:rPr>
              <w:t>台真空泵</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lang w:eastAsia="zh-CN"/>
              </w:rPr>
              <w:t>一</w:t>
            </w:r>
            <w:r>
              <w:rPr>
                <w:rFonts w:hint="eastAsia" w:ascii="新宋体" w:hAnsi="新宋体" w:eastAsia="新宋体" w:cs="宋体"/>
                <w:kern w:val="0"/>
                <w:sz w:val="24"/>
              </w:rPr>
              <w:t>套气体净化系统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w:t>
            </w:r>
            <w:r>
              <w:rPr>
                <w:rFonts w:hint="eastAsia" w:ascii="新宋体" w:hAnsi="新宋体" w:eastAsia="新宋体" w:cs="宋体"/>
                <w:kern w:val="0"/>
                <w:sz w:val="24"/>
                <w:lang w:eastAsia="zh-CN"/>
              </w:rPr>
              <w:t>.一</w:t>
            </w:r>
            <w:r>
              <w:rPr>
                <w:rFonts w:hint="eastAsia" w:ascii="新宋体" w:hAnsi="新宋体" w:eastAsia="新宋体" w:cs="宋体"/>
                <w:kern w:val="0"/>
                <w:sz w:val="24"/>
              </w:rPr>
              <w:t>套PLC控制及触摸屏操作系统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8</w:t>
            </w:r>
            <w:r>
              <w:rPr>
                <w:rFonts w:hint="eastAsia" w:ascii="新宋体" w:hAnsi="新宋体" w:eastAsia="新宋体" w:cs="宋体"/>
                <w:kern w:val="0"/>
                <w:sz w:val="24"/>
                <w:lang w:eastAsia="zh-CN"/>
              </w:rPr>
              <w:t>.一</w:t>
            </w:r>
            <w:r>
              <w:rPr>
                <w:rFonts w:hint="eastAsia" w:ascii="新宋体" w:hAnsi="新宋体" w:eastAsia="新宋体" w:cs="宋体"/>
                <w:kern w:val="0"/>
                <w:sz w:val="24"/>
              </w:rPr>
              <w:t>台水分析仪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9</w:t>
            </w:r>
            <w:r>
              <w:rPr>
                <w:rFonts w:hint="eastAsia" w:ascii="新宋体" w:hAnsi="新宋体" w:eastAsia="新宋体" w:cs="宋体"/>
                <w:kern w:val="0"/>
                <w:sz w:val="24"/>
                <w:lang w:eastAsia="zh-CN"/>
              </w:rPr>
              <w:t>.一</w:t>
            </w:r>
            <w:r>
              <w:rPr>
                <w:rFonts w:hint="eastAsia" w:ascii="新宋体" w:hAnsi="新宋体" w:eastAsia="新宋体" w:cs="宋体"/>
                <w:kern w:val="0"/>
                <w:sz w:val="24"/>
              </w:rPr>
              <w:t>台氧分析仪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三、售后服务：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1、质保期：具有十年以上的手套箱制造销售经验。提供制造商针对该项目售后服务36个月承诺书，质保期从验收合格后当日起计算。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2、售后服务：卖方终身提供免费的应用咨询及技术帮助，如仪器设备出现问题，卖方要在24小时内响应，提供电话指导、远程诊断、故障排除等服务，并保证能在3日内上门维修。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eastAsia="zh-CN"/>
              </w:rPr>
            </w:pPr>
            <w:r>
              <w:rPr>
                <w:rFonts w:hint="eastAsia" w:ascii="新宋体" w:hAnsi="新宋体" w:eastAsia="新宋体" w:cs="宋体"/>
                <w:kern w:val="0"/>
                <w:sz w:val="24"/>
                <w:lang w:val="en-US" w:eastAsia="zh-CN"/>
              </w:rPr>
              <w:t>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半制备色谱</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技术指标：</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1泵单元</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 四元梯度泵单元：</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1.1.1最大溶剂数：4</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1.1.2输液原理：串联式双柱塞往复泵，全冲程柱塞,自动脉冲抑制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1.1.3 柱塞容量：主泵头100μL，副泵头50μL</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1.1.4 脉冲抑制方式：CPU芯片高速反馈，实时控制，无需额外装置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1.1.5流速范围：0.001-9.999mL/min，增量0.001mL/min</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1.1.6流速精密度：≤0.075%RSD或者≤0.02min，取较大者</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1.2.6压力范围：≥39.2MPa</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1.1.7 梯度控制原理：时间比例阀梯度</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1.1.8 梯度混合方式：泵后高压区混合</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1.1.8梯度混合范围：0-100%</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1.1.9 梯度混合精密度：≤±0.2%</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1.1.10 配备柱塞自动清洗单元</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1.1.11 4路在线脱气单元内置，不占额外空间</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1.1.12漏液传感器：标准配置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 自动进样器：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2.1 进样方法：全部体积直接进样方式（高压进样）</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2.2 样品数：≥200个（标准1.5ml样品瓶）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2.3 扩展样品数： 4mL×128</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2.4 标准进样体积：0.1－50μL（100μL标准注射器）配置200μL</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2.5 扩展进样体积：0.1－4500μL（选配注射器）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2.6 注射器速度：5种可设</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2.6 进样重复性：＜0.3%RSD</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2.7 样品残留：CV＜0.01%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2.9 每个样品最大进样次数：99</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2.10 最大循环时间：999.9min</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2.11 漏液传感器：标准配置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 柱温箱：</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3.1 控温方式：空气循环+半导体温度控制，可以制冷，标配流动相预热模块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3.2 柱温控制：室温以下15℃～65℃</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3.3 控温精度：＜±0.1℃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3.4 色谱柱容量：25cm×3</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3.5 漏液传感器：标准配置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4二极管阵列检测器（DAD）</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4.1 光电二极管数：1024位</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4..2 光源：D2灯，W灯，Hg灯（用于波长校验）</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4.3 波长范围：190～900nm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4.4 波长准确度：＜±1nm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4.5 光谱带宽：1nm，4nm可调</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4.6 噪音：＜0.5×10-5AU</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4.7 漂移：＜0.5×10-3AU/hr</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4.8 波长校验：自动校验，利用内置Hg灯254nm特征谱线</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4.9 漏液传感器：标准配置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 色谱工作站：</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5.1 基于Windows 10的，全64位色谱工作站软件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5.2 简体中文版操作界面，带中文在线帮助系统和中文说明书</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5.3 可双通道采集数据，具备向导功能设置分析方法，谱图处理功能，定量分析功能（归一化法、外标法、内标法等），输出灵活多变的检测报告</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5.4 符合GMP/GLP认证要求</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 配置要求</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6.1 组织器一个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6.2 四元梯度泵一个，配置柱塞自动清洗单元，在线脱气单元</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6.3 自动进样器一个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6.4 柱温箱一个，带制冷和预热功能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6.5 二极管阵列检测器检测器一个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6.6全中文界面色谱工作站一套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6.7 消耗品</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6.7.1 分析色谱柱YMC-ODS 4.6mm X 250mm 一根；半制备柱YMC-Pack Pro-C18色谱柱10mm X 250mm 一根</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6.7.2保护柱卡套一套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6.7.3保护柱芯5个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6.7.4 样品瓶200个</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6.9 工作站计算机（带正版系统，主流配置）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二、基本配置要求：</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Primaide组织器</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PM1110四元泵，包含四元梯度、在线脱气、柱塞清洗附件</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PM1210自动进样器</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PM1310柱温箱</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PM1430二极管阵列检测器</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USB-IFC接口板</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PSM色谱工作站（中文版）</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2ml样品瓶带（盖、垫）</w:t>
            </w:r>
            <w:r>
              <w:rPr>
                <w:rFonts w:hint="eastAsia" w:ascii="新宋体" w:hAnsi="新宋体" w:eastAsia="新宋体" w:cs="宋体"/>
                <w:kern w:val="0"/>
                <w:sz w:val="24"/>
              </w:rPr>
              <w:tab/>
            </w:r>
            <w:r>
              <w:rPr>
                <w:rFonts w:hint="eastAsia" w:ascii="新宋体" w:hAnsi="新宋体" w:eastAsia="新宋体" w:cs="宋体"/>
                <w:kern w:val="0"/>
                <w:sz w:val="24"/>
              </w:rPr>
              <w:t>2台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分析色谱柱YMC-ODS 4.6mm X 250mm一根；半制备柱YMC-Pack Pro-C18色谱柱10mm X 250mm一根</w:t>
            </w:r>
            <w:r>
              <w:rPr>
                <w:rFonts w:hint="eastAsia" w:ascii="新宋体" w:hAnsi="新宋体" w:eastAsia="新宋体" w:cs="宋体"/>
                <w:kern w:val="0"/>
                <w:sz w:val="24"/>
              </w:rPr>
              <w:tab/>
            </w:r>
            <w:r>
              <w:rPr>
                <w:rFonts w:hint="eastAsia" w:ascii="新宋体" w:hAnsi="新宋体" w:eastAsia="新宋体" w:cs="宋体"/>
                <w:kern w:val="0"/>
                <w:sz w:val="24"/>
              </w:rPr>
              <w:t>2台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保护住套</w:t>
            </w:r>
            <w:r>
              <w:rPr>
                <w:rFonts w:hint="eastAsia" w:ascii="新宋体" w:hAnsi="新宋体" w:eastAsia="新宋体" w:cs="宋体"/>
                <w:kern w:val="0"/>
                <w:sz w:val="24"/>
              </w:rPr>
              <w:tab/>
            </w:r>
            <w:r>
              <w:rPr>
                <w:rFonts w:hint="eastAsia" w:ascii="新宋体" w:hAnsi="新宋体" w:eastAsia="新宋体" w:cs="宋体"/>
                <w:kern w:val="0"/>
                <w:sz w:val="24"/>
              </w:rPr>
              <w:t>1套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保护住芯（4个/包）</w:t>
            </w:r>
            <w:r>
              <w:rPr>
                <w:rFonts w:hint="eastAsia" w:ascii="新宋体" w:hAnsi="新宋体" w:eastAsia="新宋体" w:cs="宋体"/>
                <w:kern w:val="0"/>
                <w:sz w:val="24"/>
              </w:rPr>
              <w:tab/>
            </w:r>
            <w:r>
              <w:rPr>
                <w:rFonts w:hint="eastAsia" w:ascii="新宋体" w:hAnsi="新宋体" w:eastAsia="新宋体" w:cs="宋体"/>
                <w:kern w:val="0"/>
                <w:sz w:val="24"/>
              </w:rPr>
              <w:t>1包</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工作站计算机</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A4激光打印机</w:t>
            </w:r>
            <w:r>
              <w:rPr>
                <w:rFonts w:hint="eastAsia" w:ascii="新宋体" w:hAnsi="新宋体" w:eastAsia="新宋体" w:cs="宋体"/>
                <w:kern w:val="0"/>
                <w:sz w:val="24"/>
              </w:rPr>
              <w:tab/>
            </w:r>
            <w:r>
              <w:rPr>
                <w:rFonts w:hint="eastAsia" w:ascii="新宋体" w:hAnsi="新宋体" w:eastAsia="新宋体" w:cs="宋体"/>
                <w:kern w:val="0"/>
                <w:sz w:val="24"/>
              </w:rPr>
              <w:t>1台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三、售后服务</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7.1供应商必须提供仪器的免费现场安装调试，并同时在现场对用户进行操作及维护培训。</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7.2供应商在国内必须设有分析仪器教育中心，为用户提供仪器的基本原理、操作、日常维护及基础分析仪器理论课程和相关的应用培训；</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7.3仪器在调试通过后提供壹年保修服务，在保修期内，所有服务及配件全部免费。保修期外，用户可用人民币结算。并在中国设有保税库，能更及时地为用户提供备品备件。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7.4供应商提供800免费电话，为用户提供免费的电话咨询及技术服务。</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7.5供应商在国内必须设有专业的维修站，有专职的液相色谱维修工程师及应用工程师有效保证售后维修的及时、快捷，并负责提供技术支持，24小时响应，48小时到场，保证仪器的正常操作。</w:t>
            </w:r>
          </w:p>
          <w:p>
            <w:pPr>
              <w:spacing w:line="0" w:lineRule="atLeast"/>
              <w:contextualSpacing/>
              <w:jc w:val="left"/>
              <w:rPr>
                <w:rFonts w:hint="eastAsia" w:ascii="新宋体" w:hAnsi="新宋体" w:eastAsia="新宋体" w:cs="宋体"/>
                <w:kern w:val="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val="en-US" w:eastAsia="zh-CN"/>
              </w:rPr>
            </w:pPr>
            <w:r>
              <w:rPr>
                <w:rFonts w:hint="eastAsia" w:ascii="新宋体" w:hAnsi="新宋体" w:eastAsia="新宋体" w:cs="宋体"/>
                <w:kern w:val="0"/>
                <w:sz w:val="24"/>
                <w:lang w:val="en-US" w:eastAsia="zh-CN"/>
              </w:rPr>
              <w:t>9</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val="en-US" w:eastAsia="zh-CN"/>
              </w:rPr>
            </w:pPr>
            <w:r>
              <w:rPr>
                <w:rFonts w:hint="eastAsia" w:ascii="新宋体" w:hAnsi="新宋体" w:eastAsia="新宋体" w:cs="宋体"/>
                <w:kern w:val="0"/>
                <w:sz w:val="24"/>
              </w:rPr>
              <w:t>红外分光光度计</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招标参数：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1.光谱范围：4000-400cm-1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 波数精度：±4cm-1(4000~2000cm-1)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          ±2cm-1(2000~400cm-1)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3.波数重复性：≤2cm-1(4000~2000cm-1)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           ≤1cm-1(2000~400cm-1)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 分辨能力：聚苯乙烯在3000cm-1附近可分辨7个吸收峰≤1.5cm-1(1000cm-1)附近</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 透过率准确度：±0.2%（不含噪声电平）</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 透过率重复性：≤0.5T（1000cm-1~930cm-1)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 I0平制度：≤±2%T</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8. 杂散光：≤0.5%(4000~650cm-1)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        ≤1.0%(650~400cm-1)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9. 测试模式：透过率/吸光度/单光束，横坐标扩展 任选，纵坐标扩展 任选</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10. *扫描速度：很快/快/正常/慢/很慢</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11.接收器：高品质原装进口TGS红外接收器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12.狭缝宽度 五档（很宽、宽、正常、窄、很窄） </w:t>
            </w:r>
            <w:r>
              <w:rPr>
                <w:rFonts w:hint="eastAsia" w:ascii="新宋体" w:hAnsi="新宋体" w:eastAsia="新宋体" w:cs="宋体"/>
                <w:kern w:val="0"/>
                <w:sz w:val="24"/>
              </w:rPr>
              <w:br w:type="textWrapping"/>
            </w:r>
            <w:r>
              <w:rPr>
                <w:rFonts w:hint="eastAsia" w:ascii="新宋体" w:hAnsi="新宋体" w:eastAsia="新宋体" w:cs="宋体"/>
                <w:kern w:val="0"/>
                <w:sz w:val="24"/>
              </w:rPr>
              <w:t xml:space="preserve">13.响应 五档（很快、快、正常、慢、很慢） </w:t>
            </w:r>
            <w:r>
              <w:rPr>
                <w:rFonts w:hint="eastAsia" w:ascii="新宋体" w:hAnsi="新宋体" w:eastAsia="新宋体" w:cs="宋体"/>
                <w:kern w:val="0"/>
                <w:sz w:val="24"/>
              </w:rPr>
              <w:br w:type="textWrapping"/>
            </w:r>
            <w:r>
              <w:rPr>
                <w:rFonts w:hint="eastAsia" w:ascii="新宋体" w:hAnsi="新宋体" w:eastAsia="新宋体" w:cs="宋体"/>
                <w:kern w:val="0"/>
                <w:sz w:val="24"/>
              </w:rPr>
              <w:t xml:space="preserve">14.工作方式 三种（连续扫描、重复扫描、定波长扫描）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15. 横坐标扩展 任选</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16. 纵坐标扩展 任选</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17.数据传输：USB 2.0</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18.电源 AC220V,50Hz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19.支持系统：WIN Xp/Vista/win7/win10</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20.软件部分：</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除具备谱图对比，打印报告，谱图自添加，红外谱图查询等常规功能外，满足审计追踪功能”，包括访问控制，文件追踪，审计追踪，三级权限管理，编码解码功能等，采用计算机直接比例记录原理 ，采用汉字提示、人机对话操作方式 ，采用计算机进行仪器控制和数据处理、用户可建立自己的光谱数据库.</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21.具有光谱背景基线记忆；光谱背景基线校正；光谱数据平滑运算；光谱基线倾斜校正； 光谱数据微分运算；光谱数据四则运算； 光谱数据累加运算 %T与ABS转换； 光谱文件管理及缝值检出，刻度扩展，光谱吸收扩展等功能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22.技术资料：提供公开发表的文献论文共50篇（光盘，提供证明文件，并加盖鲜章）要求：由制造厂家所生产的红外光谱仪即可不限型号</w:t>
            </w:r>
          </w:p>
          <w:p>
            <w:pPr>
              <w:spacing w:line="0" w:lineRule="atLeast"/>
              <w:contextualSpacing/>
              <w:jc w:val="left"/>
              <w:rPr>
                <w:rFonts w:hint="eastAsia" w:ascii="新宋体" w:hAnsi="新宋体" w:eastAsia="新宋体" w:cs="宋体"/>
                <w:kern w:val="0"/>
                <w:sz w:val="24"/>
                <w:lang w:val="en-US" w:eastAsia="zh-CN"/>
              </w:rPr>
            </w:pPr>
            <w:r>
              <w:rPr>
                <w:rFonts w:hint="eastAsia" w:ascii="新宋体" w:hAnsi="新宋体" w:eastAsia="新宋体" w:cs="宋体"/>
                <w:kern w:val="0"/>
                <w:sz w:val="24"/>
              </w:rPr>
              <w:t>23.配置要求：主机一台，压片机一套，压片磨具一套，玛瑙研钵一套，溴化钾光谱纯50克，固定液体池一套，品牌电脑一套，打印机一台。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kern w:val="2"/>
                <w:sz w:val="24"/>
                <w:szCs w:val="24"/>
                <w:lang w:val="en-US" w:eastAsia="zh-CN" w:bidi="ar-SA"/>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kern w:val="2"/>
                <w:sz w:val="24"/>
                <w:szCs w:val="24"/>
                <w:lang w:val="en-US" w:eastAsia="zh-CN" w:bidi="ar-SA"/>
                <w14:textFill>
                  <w14:solidFill>
                    <w14:schemeClr w14:val="tx1"/>
                  </w14:solidFill>
                </w14:textFill>
              </w:rPr>
            </w:pPr>
            <w:r>
              <w:rPr>
                <w:rFonts w:ascii="新宋体" w:hAnsi="新宋体" w:eastAsia="新宋体" w:cs="宋体"/>
                <w:color w:val="000000" w:themeColor="text1"/>
                <w:sz w:val="24"/>
                <w14:textFill>
                  <w14:solidFill>
                    <w14:schemeClr w14:val="tx1"/>
                  </w14:solidFill>
                </w14:textFill>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default" w:ascii="新宋体" w:hAnsi="新宋体" w:eastAsia="新宋体" w:cs="宋体"/>
                <w:kern w:val="0"/>
                <w:sz w:val="24"/>
                <w:lang w:val="en-US" w:eastAsia="zh-CN"/>
              </w:rPr>
            </w:pPr>
            <w:r>
              <w:rPr>
                <w:rFonts w:hint="eastAsia" w:ascii="新宋体" w:hAnsi="新宋体" w:eastAsia="新宋体" w:cs="宋体"/>
                <w:kern w:val="0"/>
                <w:sz w:val="24"/>
                <w:lang w:val="en-US" w:eastAsia="zh-CN"/>
              </w:rPr>
              <w:t>10</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val="en-US" w:eastAsia="zh-CN"/>
              </w:rPr>
            </w:pPr>
            <w:r>
              <w:rPr>
                <w:rFonts w:hint="eastAsia" w:ascii="新宋体" w:hAnsi="新宋体" w:eastAsia="新宋体" w:cs="宋体"/>
                <w:kern w:val="0"/>
                <w:sz w:val="24"/>
              </w:rPr>
              <w:t>真空管式炉</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一、设备介绍：</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  设备特点：</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1、广泛用于真空或气氛烧结、基片镀膜等要求加热温度较高的实验环境；</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2、该设备技术成熟、质量可靠，温场均匀，结构合理；</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3、可选用液晶屏触摸界面，详细的界面操作提示，使得设备的操作异常简单、方便；</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4、设备的各项技术参数，温度曲线更是一目了然，使得整个实验的运行状态尽在您的掌控之中；</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5、根据管径不同，法兰分为卡箍和折页两种密封方式，安装拆卸简便快捷。</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该设备广泛应用在半导体、纳米材料、碳纤维、石墨烯等新材料、新工艺领域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技术参数：</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1、额定功率：5.2KW</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2、额定电压：AC 220V, 50/60Hz</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3、最高温度：1600℃（1 hour）</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4、持续工作温度：≤1550℃</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5、推荐升温速率：1400℃以下≤10℃/min</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              1400℃~1600℃≤5℃/min</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6、炉管尺寸：高纯刚玉管Φ80*1000mm（纯度＞99%）</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7、控温方式：模糊PID控制和自整定调节，智能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8、30段可编程控制，具有超温和断偶报警功能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9、控温精度：±1℃</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10、加热元件:硅钼棒</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11、加热区长度：300mm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12、恒温区长度：150mm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 xml:space="preserve">13、标准配置 刚玉管1根，氧化铝管堵4只，B型热电偶1只，不锈钢密封法兰1套，硅胶密封圈2套，高温手套1副，坩埚钩1支 </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14、炉子尺寸：610*440*720mm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净重：130KG</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13.最大功率</w:t>
            </w:r>
            <w:r>
              <w:rPr>
                <w:rFonts w:hint="eastAsia" w:ascii="新宋体" w:hAnsi="新宋体" w:eastAsia="新宋体" w:cs="宋体"/>
                <w:kern w:val="0"/>
                <w:sz w:val="24"/>
              </w:rPr>
              <w:tab/>
            </w:r>
            <w:r>
              <w:rPr>
                <w:rFonts w:hint="eastAsia" w:ascii="新宋体" w:hAnsi="新宋体" w:eastAsia="新宋体" w:cs="宋体"/>
                <w:kern w:val="0"/>
                <w:sz w:val="24"/>
              </w:rPr>
              <w:t>3Kw</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14.炉壳结构</w:t>
            </w:r>
            <w:r>
              <w:rPr>
                <w:rFonts w:hint="eastAsia" w:ascii="新宋体" w:hAnsi="新宋体" w:eastAsia="新宋体" w:cs="宋体"/>
                <w:kern w:val="0"/>
                <w:sz w:val="24"/>
              </w:rPr>
              <w:tab/>
            </w:r>
            <w:r>
              <w:rPr>
                <w:rFonts w:hint="eastAsia" w:ascii="新宋体" w:hAnsi="新宋体" w:eastAsia="新宋体" w:cs="宋体"/>
                <w:kern w:val="0"/>
                <w:sz w:val="24"/>
              </w:rPr>
              <w:t>双层壳体带风冷系统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15.可通气体</w:t>
            </w:r>
            <w:r>
              <w:rPr>
                <w:rFonts w:hint="eastAsia" w:ascii="新宋体" w:hAnsi="新宋体" w:eastAsia="新宋体" w:cs="宋体"/>
                <w:kern w:val="0"/>
                <w:sz w:val="24"/>
              </w:rPr>
              <w:tab/>
            </w:r>
            <w:r>
              <w:rPr>
                <w:rFonts w:hint="eastAsia" w:ascii="新宋体" w:hAnsi="新宋体" w:eastAsia="新宋体" w:cs="宋体"/>
                <w:kern w:val="0"/>
                <w:sz w:val="24"/>
              </w:rPr>
              <w:t>氮气、氩气等多种气体</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16.气 密 性</w:t>
            </w:r>
            <w:r>
              <w:rPr>
                <w:rFonts w:hint="eastAsia" w:ascii="新宋体" w:hAnsi="新宋体" w:eastAsia="新宋体" w:cs="宋体"/>
                <w:kern w:val="0"/>
                <w:sz w:val="24"/>
              </w:rPr>
              <w:tab/>
            </w:r>
            <w:r>
              <w:rPr>
                <w:rFonts w:hint="eastAsia" w:ascii="新宋体" w:hAnsi="新宋体" w:eastAsia="新宋体" w:cs="宋体"/>
                <w:kern w:val="0"/>
                <w:sz w:val="24"/>
              </w:rPr>
              <w:t>6.67*10ˉ3Pa</w:t>
            </w:r>
          </w:p>
          <w:p>
            <w:pPr>
              <w:spacing w:line="0" w:lineRule="atLeast"/>
              <w:contextualSpacing/>
              <w:jc w:val="left"/>
              <w:rPr>
                <w:rFonts w:hint="eastAsia" w:ascii="新宋体" w:hAnsi="新宋体" w:eastAsia="新宋体" w:cs="宋体"/>
                <w:kern w:val="0"/>
                <w:sz w:val="24"/>
                <w:lang w:val="en-US" w:eastAsia="zh-CN"/>
              </w:rPr>
            </w:pPr>
            <w:r>
              <w:rPr>
                <w:rFonts w:hint="eastAsia" w:ascii="新宋体" w:hAnsi="新宋体" w:eastAsia="新宋体" w:cs="宋体"/>
                <w:kern w:val="0"/>
                <w:sz w:val="24"/>
              </w:rPr>
              <w:t>17.标准配件:高纯石英管1根、不锈钢密封法兰1对、5cm石英舟10个、真空表一只、管堵2只、连接气管一根4米、高温手套1对、坩埚钩1把、保修卡说明书1份等其他配件用户可选配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ascii="新宋体" w:hAnsi="新宋体" w:eastAsia="新宋体" w:cs="宋体"/>
                <w:color w:val="000000" w:themeColor="text1"/>
                <w:kern w:val="2"/>
                <w:sz w:val="24"/>
                <w:szCs w:val="24"/>
                <w:lang w:val="en-US" w:eastAsia="zh-CN" w:bidi="ar-SA"/>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kern w:val="2"/>
                <w:sz w:val="24"/>
                <w:szCs w:val="24"/>
                <w:lang w:val="en-US" w:eastAsia="zh-CN" w:bidi="ar-SA"/>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default" w:ascii="新宋体" w:hAnsi="新宋体" w:eastAsia="新宋体" w:cs="宋体"/>
                <w:kern w:val="0"/>
                <w:sz w:val="24"/>
                <w:lang w:val="en-US" w:eastAsia="zh-CN"/>
              </w:rPr>
            </w:pPr>
            <w:r>
              <w:rPr>
                <w:rFonts w:hint="eastAsia" w:ascii="新宋体" w:hAnsi="新宋体" w:eastAsia="新宋体" w:cs="宋体"/>
                <w:kern w:val="0"/>
                <w:sz w:val="24"/>
                <w:lang w:val="en-US" w:eastAsia="zh-CN"/>
              </w:rPr>
              <w:t>11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val="en-US" w:eastAsia="zh-CN"/>
              </w:rPr>
            </w:pPr>
            <w:r>
              <w:rPr>
                <w:rFonts w:hint="eastAsia" w:ascii="新宋体" w:hAnsi="新宋体" w:eastAsia="新宋体" w:cs="宋体"/>
                <w:kern w:val="0"/>
                <w:sz w:val="24"/>
              </w:rPr>
              <w:t>UV紫外清洗器</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抽屉式UV光清洗机适用小型基片清洗，如液晶面板，ITO导电膜玻璃，光学玻璃，OLED，LCD，硅片，陶瓷，金属片，聚合物，硅胶等表面清洗，用于清洗产品的表面有机物，即进行表面改质，从而获得较好的亲水性。可提供客户化设计。</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可选择清洗面积：8英寸-200*200mm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一、uv光清洗机配置：</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 电源：220V；</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 灯管：特殊格册状石英灯管(GRID LAMP)，200W,寿命5000小时；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3. 时间控制：0-99.99小时或分钟；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4. 照射高度：20-100mm;</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5. UV ON/OFF指示，异常指示/警报;</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6. 灯管预热：具灯管预热提示功能;</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7. 排风功能：自带抽风机；</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8. 可选样品升降台，方便调节清洗物与灯的距离</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9. uv光清洗机应用领域：</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10. 在进行薄膜沉积之前先进行基片清洗。清除浮渣和稳定化处理光刻胶。超高真空度密封。</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11. 清洗硅芯片，透镜，反光镜，太阳能面板，冷轧钢，惯性引导零件和 GaAs芯片</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12. 清洁焊剂，混合电路以及平板LCD显示器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13. 蚀刻特氟隆，氟橡胶以及其它有机材料</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14. 增强GaAs 和Si氧化物钝化表面</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15. 增强玻璃的除气作用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16. 基片蓝膜去除</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17. 增强塑料表面的镀膜的粘附性</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18. 基片终测后墨迹清楚</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19. 去除光刻胶</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20. 平板显示器/液晶显示器</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21. 去除光刻机台上的光刻胶残留物</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22. 在电路板封装和打片之前清洗</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23. 光纤</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24. 增强表面亲水特性</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25. 为生物科学应用做清洗和消毒</w:t>
            </w:r>
          </w:p>
          <w:p>
            <w:pPr>
              <w:spacing w:line="0" w:lineRule="atLeast"/>
              <w:contextualSpacing/>
              <w:jc w:val="left"/>
              <w:rPr>
                <w:rFonts w:hint="eastAsia" w:ascii="新宋体" w:hAnsi="新宋体" w:eastAsia="新宋体" w:cs="宋体"/>
                <w:kern w:val="0"/>
                <w:sz w:val="24"/>
              </w:rPr>
            </w:pPr>
            <w:r>
              <w:rPr>
                <w:rFonts w:hint="eastAsia" w:ascii="新宋体" w:hAnsi="新宋体" w:eastAsia="新宋体" w:cs="宋体"/>
                <w:kern w:val="0"/>
                <w:sz w:val="24"/>
              </w:rPr>
              <w:t>26. 光学透镜</w:t>
            </w:r>
          </w:p>
          <w:p>
            <w:pPr>
              <w:spacing w:line="0" w:lineRule="atLeast"/>
              <w:contextualSpacing/>
              <w:jc w:val="left"/>
              <w:rPr>
                <w:rFonts w:hint="eastAsia" w:ascii="新宋体" w:hAnsi="新宋体" w:eastAsia="新宋体" w:cs="宋体"/>
                <w:kern w:val="0"/>
                <w:sz w:val="24"/>
                <w:lang w:val="en-US" w:eastAsia="zh-CN"/>
              </w:rPr>
            </w:pPr>
            <w:r>
              <w:rPr>
                <w:rFonts w:hint="eastAsia" w:ascii="新宋体" w:hAnsi="新宋体" w:eastAsia="新宋体" w:cs="宋体"/>
                <w:kern w:val="0"/>
                <w:sz w:val="24"/>
              </w:rPr>
              <w:t>27. 其它应用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kern w:val="2"/>
                <w:sz w:val="24"/>
                <w:szCs w:val="24"/>
                <w:lang w:val="en-US" w:eastAsia="zh-CN" w:bidi="ar-SA"/>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kern w:val="2"/>
                <w:sz w:val="24"/>
                <w:szCs w:val="24"/>
                <w:lang w:val="en-US" w:eastAsia="zh-CN" w:bidi="ar-SA"/>
                <w14:textFill>
                  <w14:solidFill>
                    <w14:schemeClr w14:val="tx1"/>
                  </w14:solidFill>
                </w14:textFill>
              </w:rPr>
            </w:pPr>
            <w:r>
              <w:rPr>
                <w:rFonts w:hint="eastAsia" w:ascii="新宋体" w:hAnsi="新宋体" w:eastAsia="新宋体" w:cs="宋体"/>
                <w:color w:val="000000" w:themeColor="text1"/>
                <w:sz w:val="24"/>
                <w14:textFill>
                  <w14:solidFill>
                    <w14:schemeClr w14:val="tx1"/>
                  </w14:solidFill>
                </w14:textFill>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default" w:ascii="新宋体" w:hAnsi="新宋体" w:eastAsia="新宋体" w:cs="宋体"/>
                <w:kern w:val="0"/>
                <w:sz w:val="24"/>
                <w:lang w:val="en-US" w:eastAsia="zh-CN"/>
              </w:rPr>
            </w:pPr>
            <w:r>
              <w:rPr>
                <w:rFonts w:hint="eastAsia" w:ascii="新宋体" w:hAnsi="新宋体" w:eastAsia="新宋体" w:cs="宋体"/>
                <w:kern w:val="0"/>
                <w:sz w:val="24"/>
                <w:lang w:val="en-US" w:eastAsia="zh-CN"/>
              </w:rPr>
              <w:t>12</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left"/>
              <w:rPr>
                <w:rFonts w:hint="eastAsia" w:ascii="新宋体" w:hAnsi="新宋体" w:eastAsia="新宋体" w:cs="宋体"/>
                <w:kern w:val="0"/>
                <w:sz w:val="24"/>
                <w:lang w:eastAsia="zh-CN"/>
              </w:rPr>
            </w:pPr>
            <w:r>
              <w:rPr>
                <w:rFonts w:hint="eastAsia" w:ascii="新宋体" w:hAnsi="新宋体" w:eastAsia="新宋体" w:cs="宋体"/>
                <w:kern w:val="0"/>
                <w:sz w:val="24"/>
                <w:lang w:eastAsia="zh-CN"/>
              </w:rPr>
              <w:t>总价</w:t>
            </w: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0" w:lineRule="atLeast"/>
              <w:contextualSpacing/>
              <w:jc w:val="center"/>
              <w:rPr>
                <w:rFonts w:hint="eastAsia" w:ascii="新宋体" w:hAnsi="新宋体" w:eastAsia="新宋体" w:cs="宋体"/>
                <w:color w:val="000000" w:themeColor="text1"/>
                <w:sz w:val="24"/>
                <w14:textFill>
                  <w14:solidFill>
                    <w14:schemeClr w14:val="tx1"/>
                  </w14:solidFill>
                </w14:textFill>
              </w:rPr>
            </w:pPr>
          </w:p>
        </w:tc>
      </w:tr>
    </w:tbl>
    <w:p>
      <w:pPr>
        <w:pStyle w:val="30"/>
        <w:jc w:val="both"/>
        <w:rPr>
          <w:rFonts w:hint="eastAsia" w:ascii="宋体" w:hAnsi="宋体" w:eastAsia="宋体" w:cs="宋体"/>
          <w:sz w:val="24"/>
          <w:szCs w:val="24"/>
          <w:lang w:eastAsia="zh-CN"/>
        </w:rPr>
        <w:sectPr>
          <w:pgSz w:w="15840" w:h="12240" w:orient="landscape"/>
          <w:pgMar w:top="1093" w:right="1179" w:bottom="873" w:left="1179" w:header="850" w:footer="850" w:gutter="0"/>
          <w:pgBorders>
            <w:top w:val="none" w:sz="0" w:space="0"/>
            <w:left w:val="none" w:sz="0" w:space="0"/>
            <w:bottom w:val="none" w:sz="0" w:space="0"/>
            <w:right w:val="none" w:sz="0" w:space="0"/>
          </w:pgBorders>
          <w:pgNumType w:fmt="decimal"/>
          <w:cols w:space="720" w:num="1"/>
          <w:titlePg/>
          <w:rtlGutter w:val="0"/>
          <w:docGrid w:linePitch="312" w:charSpace="0"/>
        </w:sectPr>
      </w:pPr>
    </w:p>
    <w:bookmarkEnd w:id="31"/>
    <w:p>
      <w:pPr>
        <w:adjustRightInd w:val="0"/>
        <w:snapToGrid w:val="0"/>
        <w:spacing w:line="360" w:lineRule="auto"/>
        <w:ind w:firstLine="643" w:firstLineChars="200"/>
        <w:jc w:val="center"/>
        <w:outlineLvl w:val="9"/>
        <w:rPr>
          <w:rFonts w:hint="eastAsia" w:ascii="宋体" w:hAnsi="宋体" w:cs="宋体"/>
          <w:b/>
          <w:color w:val="auto"/>
          <w:sz w:val="32"/>
          <w:szCs w:val="32"/>
        </w:rPr>
      </w:pPr>
      <w:r>
        <w:rPr>
          <w:rFonts w:hint="eastAsia" w:ascii="宋体" w:hAnsi="宋体" w:cs="宋体"/>
          <w:b/>
          <w:color w:val="auto"/>
          <w:sz w:val="32"/>
          <w:szCs w:val="32"/>
        </w:rPr>
        <w:t>第六章 响应文件组成</w:t>
      </w:r>
    </w:p>
    <w:p>
      <w:pPr>
        <w:pStyle w:val="2"/>
        <w:rPr>
          <w:rFonts w:hint="eastAsia"/>
        </w:rPr>
      </w:pPr>
    </w:p>
    <w:p>
      <w:pPr>
        <w:spacing w:line="360" w:lineRule="auto"/>
        <w:rPr>
          <w:rFonts w:hint="eastAsia" w:ascii="宋体" w:hAnsi="宋体" w:cs="宋体"/>
          <w:color w:val="auto"/>
          <w:sz w:val="24"/>
          <w:szCs w:val="24"/>
        </w:rPr>
      </w:pPr>
      <w:r>
        <w:rPr>
          <w:rFonts w:hint="eastAsia" w:ascii="宋体" w:hAnsi="宋体" w:cs="宋体"/>
          <w:color w:val="auto"/>
          <w:sz w:val="24"/>
          <w:szCs w:val="24"/>
        </w:rPr>
        <w:t>供应商的响应文件应包含以下部分</w:t>
      </w:r>
      <w:r>
        <w:rPr>
          <w:rFonts w:hint="eastAsia" w:ascii="宋体" w:hAnsi="宋体" w:cs="宋体"/>
          <w:color w:val="auto"/>
          <w:sz w:val="24"/>
          <w:szCs w:val="24"/>
          <w:lang w:eastAsia="zh-CN"/>
        </w:rPr>
        <w:t>（但不限于）</w:t>
      </w:r>
      <w:r>
        <w:rPr>
          <w:rFonts w:hint="eastAsia" w:ascii="宋体" w:hAnsi="宋体" w:cs="宋体"/>
          <w:color w:val="auto"/>
          <w:sz w:val="24"/>
          <w:szCs w:val="24"/>
        </w:rPr>
        <w:t>：</w:t>
      </w:r>
    </w:p>
    <w:p>
      <w:pPr>
        <w:spacing w:line="360" w:lineRule="auto"/>
        <w:rPr>
          <w:rFonts w:hint="eastAsia" w:ascii="宋体" w:hAnsi="宋体" w:cs="宋体"/>
          <w:color w:val="auto"/>
          <w:sz w:val="24"/>
          <w:szCs w:val="24"/>
        </w:rPr>
      </w:pPr>
    </w:p>
    <w:p>
      <w:pPr>
        <w:adjustRightInd w:val="0"/>
        <w:snapToGrid w:val="0"/>
        <w:spacing w:line="360" w:lineRule="auto"/>
        <w:jc w:val="left"/>
        <w:outlineLvl w:val="9"/>
        <w:rPr>
          <w:rFonts w:hint="eastAsia" w:ascii="宋体" w:hAnsi="宋体" w:cs="宋体"/>
          <w:b/>
          <w:color w:val="auto"/>
          <w:sz w:val="24"/>
          <w:szCs w:val="24"/>
        </w:rPr>
      </w:pPr>
      <w:r>
        <w:rPr>
          <w:rFonts w:hint="eastAsia" w:ascii="宋体" w:hAnsi="宋体" w:cs="宋体"/>
          <w:b/>
          <w:color w:val="auto"/>
          <w:sz w:val="24"/>
          <w:szCs w:val="24"/>
        </w:rPr>
        <w:t>一、磋商响应声明</w:t>
      </w:r>
    </w:p>
    <w:p>
      <w:pPr>
        <w:adjustRightInd w:val="0"/>
        <w:snapToGrid w:val="0"/>
        <w:spacing w:line="360" w:lineRule="auto"/>
        <w:ind w:firstLine="480" w:firstLineChars="200"/>
        <w:jc w:val="left"/>
        <w:outlineLvl w:val="9"/>
        <w:rPr>
          <w:rFonts w:hint="eastAsia" w:ascii="宋体" w:hAnsi="宋体" w:cs="宋体"/>
          <w:color w:val="auto"/>
          <w:sz w:val="24"/>
          <w:szCs w:val="24"/>
        </w:rPr>
      </w:pPr>
      <w:r>
        <w:rPr>
          <w:rFonts w:hint="eastAsia" w:ascii="宋体" w:hAnsi="宋体" w:cs="宋体"/>
          <w:color w:val="auto"/>
          <w:sz w:val="24"/>
          <w:szCs w:val="24"/>
        </w:rPr>
        <w:t>附件1：法定代表人身份证明(法定代表人参加磋商)</w:t>
      </w:r>
    </w:p>
    <w:p>
      <w:pPr>
        <w:adjustRightInd w:val="0"/>
        <w:snapToGrid w:val="0"/>
        <w:spacing w:line="360" w:lineRule="auto"/>
        <w:ind w:firstLine="480" w:firstLineChars="200"/>
        <w:jc w:val="left"/>
        <w:outlineLvl w:val="9"/>
        <w:rPr>
          <w:rFonts w:hint="eastAsia" w:ascii="宋体" w:hAnsi="宋体" w:cs="宋体"/>
          <w:color w:val="auto"/>
          <w:sz w:val="24"/>
          <w:szCs w:val="24"/>
        </w:rPr>
      </w:pPr>
      <w:r>
        <w:rPr>
          <w:rFonts w:hint="eastAsia" w:ascii="宋体" w:hAnsi="宋体" w:cs="宋体"/>
          <w:color w:val="auto"/>
          <w:sz w:val="24"/>
          <w:szCs w:val="24"/>
        </w:rPr>
        <w:t>附件2：法定代表人授权书(委托代理人参加磋商)</w:t>
      </w:r>
    </w:p>
    <w:p>
      <w:pPr>
        <w:numPr>
          <w:ilvl w:val="0"/>
          <w:numId w:val="0"/>
        </w:numPr>
        <w:adjustRightInd w:val="0"/>
        <w:snapToGrid w:val="0"/>
        <w:spacing w:line="360" w:lineRule="auto"/>
        <w:ind w:leftChars="0"/>
        <w:jc w:val="left"/>
        <w:outlineLvl w:val="9"/>
        <w:rPr>
          <w:rFonts w:hint="eastAsia" w:hAnsi="宋体" w:cs="宋体"/>
          <w:b/>
          <w:color w:val="auto"/>
          <w:sz w:val="24"/>
          <w:szCs w:val="24"/>
        </w:rPr>
      </w:pPr>
      <w:r>
        <w:rPr>
          <w:rFonts w:hint="eastAsia" w:hAnsi="宋体" w:cs="宋体"/>
          <w:b/>
          <w:color w:val="auto"/>
          <w:sz w:val="24"/>
          <w:szCs w:val="24"/>
          <w:lang w:eastAsia="zh-CN"/>
        </w:rPr>
        <w:t>二、</w:t>
      </w:r>
      <w:r>
        <w:rPr>
          <w:rFonts w:hint="eastAsia" w:hAnsi="宋体" w:cs="宋体"/>
          <w:b/>
          <w:color w:val="auto"/>
          <w:sz w:val="24"/>
          <w:szCs w:val="24"/>
        </w:rPr>
        <w:t>报价一览表及报价文件</w:t>
      </w:r>
    </w:p>
    <w:p>
      <w:pPr>
        <w:adjustRightInd w:val="0"/>
        <w:snapToGrid w:val="0"/>
        <w:spacing w:line="360" w:lineRule="auto"/>
        <w:ind w:firstLine="420" w:firstLineChars="200"/>
        <w:jc w:val="left"/>
        <w:outlineLvl w:val="9"/>
        <w:rPr>
          <w:rFonts w:hint="eastAsia" w:eastAsia="宋体"/>
          <w:lang w:val="en-US" w:eastAsia="zh-CN"/>
        </w:rPr>
      </w:pPr>
      <w:r>
        <w:rPr>
          <w:rFonts w:hint="eastAsia"/>
          <w:lang w:val="en-US" w:eastAsia="zh-CN"/>
        </w:rPr>
        <w:t xml:space="preserve"> </w:t>
      </w:r>
      <w:r>
        <w:rPr>
          <w:rFonts w:hint="eastAsia" w:ascii="宋体" w:hAnsi="宋体" w:cs="宋体"/>
          <w:color w:val="auto"/>
          <w:sz w:val="24"/>
          <w:szCs w:val="24"/>
        </w:rPr>
        <w:t>附件</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bCs/>
          <w:color w:val="auto"/>
          <w:sz w:val="24"/>
          <w:szCs w:val="24"/>
        </w:rPr>
        <w:t>报价</w:t>
      </w:r>
      <w:r>
        <w:rPr>
          <w:rFonts w:hint="eastAsia" w:ascii="宋体" w:hAnsi="宋体" w:cs="宋体"/>
          <w:bCs/>
          <w:color w:val="auto"/>
          <w:sz w:val="24"/>
          <w:szCs w:val="24"/>
          <w:lang w:eastAsia="zh-CN"/>
        </w:rPr>
        <w:t>一览表</w:t>
      </w:r>
    </w:p>
    <w:p>
      <w:pPr>
        <w:adjustRightInd w:val="0"/>
        <w:snapToGrid w:val="0"/>
        <w:spacing w:line="360" w:lineRule="auto"/>
        <w:jc w:val="left"/>
        <w:outlineLvl w:val="9"/>
        <w:rPr>
          <w:rFonts w:hint="eastAsia" w:ascii="宋体" w:hAnsi="宋体" w:cs="宋体"/>
          <w:b/>
          <w:color w:val="auto"/>
          <w:sz w:val="24"/>
          <w:szCs w:val="24"/>
        </w:rPr>
      </w:pPr>
      <w:r>
        <w:rPr>
          <w:rFonts w:hint="eastAsia" w:ascii="宋体" w:hAnsi="宋体" w:cs="宋体"/>
          <w:b/>
          <w:color w:val="auto"/>
          <w:sz w:val="24"/>
          <w:szCs w:val="24"/>
        </w:rPr>
        <w:t>三、保证金</w:t>
      </w:r>
    </w:p>
    <w:p>
      <w:pPr>
        <w:adjustRightInd w:val="0"/>
        <w:snapToGrid w:val="0"/>
        <w:spacing w:line="360" w:lineRule="auto"/>
        <w:jc w:val="left"/>
        <w:outlineLvl w:val="9"/>
        <w:rPr>
          <w:rFonts w:hint="eastAsia" w:ascii="宋体" w:hAnsi="宋体" w:cs="宋体"/>
          <w:b/>
          <w:color w:val="auto"/>
          <w:sz w:val="24"/>
          <w:szCs w:val="24"/>
        </w:rPr>
      </w:pPr>
      <w:r>
        <w:rPr>
          <w:rFonts w:hint="eastAsia" w:ascii="宋体" w:hAnsi="宋体" w:cs="宋体"/>
          <w:b/>
          <w:color w:val="auto"/>
          <w:sz w:val="24"/>
          <w:szCs w:val="24"/>
          <w:lang w:eastAsia="zh-CN"/>
        </w:rPr>
        <w:t>四、</w:t>
      </w:r>
      <w:r>
        <w:rPr>
          <w:rFonts w:hint="eastAsia" w:ascii="宋体" w:hAnsi="宋体" w:cs="宋体"/>
          <w:b/>
          <w:color w:val="auto"/>
          <w:sz w:val="24"/>
          <w:szCs w:val="24"/>
        </w:rPr>
        <w:t>供应商的资格证明材料</w:t>
      </w:r>
    </w:p>
    <w:p>
      <w:pPr>
        <w:adjustRightInd w:val="0"/>
        <w:snapToGrid w:val="0"/>
        <w:spacing w:line="360" w:lineRule="auto"/>
        <w:ind w:firstLine="480" w:firstLineChars="200"/>
        <w:jc w:val="left"/>
        <w:outlineLvl w:val="9"/>
        <w:rPr>
          <w:rFonts w:hint="eastAsia" w:ascii="宋体" w:hAnsi="宋体" w:cs="宋体"/>
          <w:color w:val="auto"/>
          <w:sz w:val="24"/>
          <w:szCs w:val="24"/>
        </w:rPr>
      </w:pPr>
      <w:r>
        <w:rPr>
          <w:rFonts w:hint="eastAsia" w:ascii="宋体" w:hAnsi="宋体" w:cs="宋体"/>
          <w:color w:val="auto"/>
          <w:sz w:val="24"/>
          <w:szCs w:val="24"/>
        </w:rPr>
        <w:t>附件</w:t>
      </w:r>
      <w:r>
        <w:rPr>
          <w:rFonts w:hint="eastAsia" w:ascii="宋体" w:hAnsi="宋体" w:cs="宋体"/>
          <w:color w:val="auto"/>
          <w:sz w:val="24"/>
          <w:szCs w:val="24"/>
          <w:lang w:val="en-US" w:eastAsia="zh-CN"/>
        </w:rPr>
        <w:t>4</w:t>
      </w:r>
      <w:r>
        <w:rPr>
          <w:rFonts w:hint="eastAsia" w:ascii="宋体" w:hAnsi="宋体" w:cs="宋体"/>
          <w:color w:val="auto"/>
          <w:sz w:val="24"/>
          <w:szCs w:val="24"/>
        </w:rPr>
        <w:t>：供应商基本情况表</w:t>
      </w:r>
    </w:p>
    <w:p>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附件</w:t>
      </w:r>
      <w:r>
        <w:rPr>
          <w:rFonts w:hint="eastAsia" w:ascii="宋体" w:hAnsi="宋体" w:cs="宋体"/>
          <w:color w:val="auto"/>
          <w:sz w:val="24"/>
          <w:szCs w:val="24"/>
          <w:lang w:val="en-US" w:eastAsia="zh-CN"/>
        </w:rPr>
        <w:t>5</w:t>
      </w:r>
      <w:r>
        <w:rPr>
          <w:rFonts w:hint="eastAsia" w:ascii="宋体" w:hAnsi="宋体" w:cs="宋体"/>
          <w:color w:val="auto"/>
          <w:sz w:val="24"/>
          <w:szCs w:val="24"/>
        </w:rPr>
        <w:t>：供应商有关评分内容的材料</w:t>
      </w: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lang w:eastAsia="zh-CN"/>
        </w:rPr>
        <w:t>五</w:t>
      </w:r>
      <w:r>
        <w:rPr>
          <w:rFonts w:hint="eastAsia" w:hAnsi="宋体" w:cs="宋体"/>
          <w:b/>
          <w:color w:val="auto"/>
          <w:sz w:val="24"/>
          <w:szCs w:val="24"/>
        </w:rPr>
        <w:t>、技术/商务响应与偏离表</w:t>
      </w: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lang w:eastAsia="zh-CN"/>
        </w:rPr>
        <w:t>六</w:t>
      </w:r>
      <w:r>
        <w:rPr>
          <w:rFonts w:hint="eastAsia" w:hAnsi="宋体" w:cs="宋体"/>
          <w:b/>
          <w:color w:val="auto"/>
          <w:sz w:val="24"/>
          <w:szCs w:val="24"/>
        </w:rPr>
        <w:t>、供应商认为需提供的其它资料</w:t>
      </w: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lang w:eastAsia="zh-CN"/>
        </w:rPr>
        <w:t>七</w:t>
      </w:r>
      <w:r>
        <w:rPr>
          <w:rFonts w:hint="eastAsia" w:hAnsi="宋体" w:cs="宋体"/>
          <w:b/>
          <w:color w:val="auto"/>
          <w:sz w:val="24"/>
          <w:szCs w:val="24"/>
        </w:rPr>
        <w:t>、最后报价</w:t>
      </w:r>
    </w:p>
    <w:p>
      <w:pPr>
        <w:adjustRightInd w:val="0"/>
        <w:snapToGrid w:val="0"/>
        <w:spacing w:line="360" w:lineRule="auto"/>
        <w:jc w:val="left"/>
        <w:rPr>
          <w:rFonts w:hint="eastAsia" w:ascii="宋体" w:hAnsi="宋体" w:cs="宋体"/>
          <w:b/>
          <w:sz w:val="24"/>
        </w:rPr>
      </w:pPr>
      <w:r>
        <w:rPr>
          <w:rFonts w:hint="eastAsia" w:ascii="宋体" w:hAnsi="宋体" w:cs="宋体"/>
          <w:b/>
          <w:sz w:val="24"/>
        </w:rPr>
        <w:t>八、1-1中小企业声明函（如有）</w:t>
      </w:r>
    </w:p>
    <w:p>
      <w:pPr>
        <w:adjustRightInd w:val="0"/>
        <w:snapToGrid w:val="0"/>
        <w:spacing w:line="360" w:lineRule="auto"/>
        <w:ind w:firstLine="482" w:firstLineChars="200"/>
        <w:jc w:val="left"/>
        <w:rPr>
          <w:rFonts w:hint="eastAsia" w:ascii="宋体" w:hAnsi="宋体" w:cs="宋体"/>
          <w:b/>
          <w:sz w:val="24"/>
        </w:rPr>
      </w:pPr>
      <w:r>
        <w:rPr>
          <w:rFonts w:hint="eastAsia" w:ascii="宋体" w:hAnsi="宋体" w:cs="宋体"/>
          <w:b/>
          <w:sz w:val="24"/>
        </w:rPr>
        <w:t>1-2残疾人福利性单位声明函（如有）</w:t>
      </w:r>
    </w:p>
    <w:p>
      <w:pPr>
        <w:adjustRightInd w:val="0"/>
        <w:snapToGrid w:val="0"/>
        <w:spacing w:line="360" w:lineRule="auto"/>
        <w:ind w:firstLine="482" w:firstLineChars="200"/>
        <w:jc w:val="left"/>
        <w:rPr>
          <w:rFonts w:hint="eastAsia" w:ascii="宋体" w:hAnsi="宋体" w:cs="宋体"/>
          <w:b/>
          <w:sz w:val="24"/>
        </w:rPr>
      </w:pPr>
      <w:r>
        <w:rPr>
          <w:rFonts w:hint="eastAsia" w:ascii="宋体" w:hAnsi="宋体" w:cs="宋体"/>
          <w:b/>
          <w:sz w:val="24"/>
        </w:rPr>
        <w:t>1-3监狱企业证明文件（如有）</w:t>
      </w:r>
    </w:p>
    <w:p>
      <w:pPr>
        <w:pStyle w:val="24"/>
        <w:adjustRightInd w:val="0"/>
        <w:snapToGrid w:val="0"/>
        <w:spacing w:line="360" w:lineRule="auto"/>
        <w:outlineLvl w:val="9"/>
        <w:rPr>
          <w:rFonts w:hint="eastAsia" w:hAnsi="宋体" w:cs="宋体"/>
          <w:b/>
          <w:color w:val="auto"/>
          <w:sz w:val="24"/>
          <w:szCs w:val="24"/>
        </w:rPr>
      </w:pPr>
    </w:p>
    <w:p>
      <w:pPr>
        <w:adjustRightInd w:val="0"/>
        <w:snapToGrid w:val="0"/>
        <w:spacing w:line="360" w:lineRule="auto"/>
        <w:ind w:firstLine="482" w:firstLineChars="200"/>
        <w:jc w:val="left"/>
        <w:outlineLvl w:val="9"/>
        <w:rPr>
          <w:rFonts w:hint="eastAsia" w:ascii="宋体" w:hAnsi="宋体" w:cs="宋体"/>
          <w:b/>
          <w:color w:val="auto"/>
          <w:sz w:val="24"/>
          <w:szCs w:val="24"/>
        </w:rPr>
      </w:pPr>
    </w:p>
    <w:p>
      <w:pPr>
        <w:tabs>
          <w:tab w:val="left" w:pos="6300"/>
        </w:tabs>
        <w:snapToGrid w:val="0"/>
        <w:spacing w:line="500" w:lineRule="exact"/>
        <w:ind w:firstLine="480" w:firstLineChars="200"/>
        <w:rPr>
          <w:sz w:val="24"/>
        </w:rPr>
      </w:pPr>
    </w:p>
    <w:p>
      <w:pPr>
        <w:pStyle w:val="24"/>
        <w:adjustRightInd w:val="0"/>
        <w:snapToGrid w:val="0"/>
        <w:spacing w:line="360" w:lineRule="auto"/>
        <w:outlineLvl w:val="9"/>
        <w:rPr>
          <w:rFonts w:hint="eastAsia" w:ascii="宋体" w:hAnsi="宋体" w:cs="宋体"/>
          <w:b/>
          <w:color w:val="auto"/>
          <w:sz w:val="28"/>
          <w:szCs w:val="28"/>
          <w:lang w:eastAsia="zh-CN"/>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adjustRightInd w:val="0"/>
        <w:snapToGrid w:val="0"/>
        <w:spacing w:line="360" w:lineRule="auto"/>
        <w:rPr>
          <w:rFonts w:hint="eastAsia" w:ascii="宋体" w:hAnsi="宋体" w:cs="宋体"/>
          <w:b/>
          <w:color w:val="auto"/>
          <w:sz w:val="24"/>
        </w:rPr>
      </w:pPr>
    </w:p>
    <w:p>
      <w:pPr>
        <w:spacing w:line="360" w:lineRule="auto"/>
        <w:jc w:val="righ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正/副本</w:t>
      </w:r>
    </w:p>
    <w:p>
      <w:pPr>
        <w:spacing w:line="360" w:lineRule="auto"/>
        <w:jc w:val="center"/>
        <w:rPr>
          <w:rFonts w:hint="eastAsia" w:ascii="宋体" w:hAnsi="宋体" w:eastAsia="宋体" w:cs="宋体"/>
          <w:b/>
          <w:color w:val="000000"/>
          <w:sz w:val="44"/>
          <w:szCs w:val="44"/>
          <w:lang w:eastAsia="zh-CN"/>
        </w:rPr>
      </w:pPr>
      <w:r>
        <w:rPr>
          <w:rFonts w:hint="eastAsia" w:ascii="宋体" w:hAnsi="宋体" w:eastAsia="宋体" w:cs="宋体"/>
          <w:b/>
          <w:color w:val="000000"/>
          <w:sz w:val="44"/>
          <w:szCs w:val="44"/>
          <w:lang w:eastAsia="zh-CN"/>
        </w:rPr>
        <w:t>伊犁师范大学化学基础实验室仪器设备采购项目</w:t>
      </w:r>
    </w:p>
    <w:p>
      <w:pPr>
        <w:spacing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lang w:eastAsia="zh-CN"/>
        </w:rPr>
        <w:t>响</w:t>
      </w:r>
      <w:r>
        <w:rPr>
          <w:rFonts w:hint="eastAsia" w:ascii="宋体" w:hAnsi="宋体" w:eastAsia="宋体" w:cs="宋体"/>
          <w:b/>
          <w:color w:val="000000"/>
          <w:sz w:val="44"/>
          <w:szCs w:val="44"/>
          <w:lang w:val="en-US" w:eastAsia="zh-CN"/>
        </w:rPr>
        <w:t xml:space="preserve">  </w:t>
      </w:r>
      <w:r>
        <w:rPr>
          <w:rFonts w:hint="eastAsia" w:ascii="宋体" w:hAnsi="宋体" w:eastAsia="宋体" w:cs="宋体"/>
          <w:b/>
          <w:color w:val="000000"/>
          <w:sz w:val="44"/>
          <w:szCs w:val="44"/>
          <w:lang w:eastAsia="zh-CN"/>
        </w:rPr>
        <w:t>应</w:t>
      </w:r>
      <w:r>
        <w:rPr>
          <w:rFonts w:hint="eastAsia" w:ascii="宋体" w:hAnsi="宋体" w:eastAsia="宋体" w:cs="宋体"/>
          <w:b/>
          <w:color w:val="000000"/>
          <w:sz w:val="44"/>
          <w:szCs w:val="44"/>
        </w:rPr>
        <w:t xml:space="preserve">  文  件</w:t>
      </w: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val="0"/>
          <w:color w:val="000000"/>
          <w:sz w:val="30"/>
          <w:lang w:eastAsia="zh-CN"/>
        </w:rPr>
        <w:t>项目</w:t>
      </w:r>
      <w:r>
        <w:rPr>
          <w:rFonts w:hint="eastAsia" w:ascii="宋体" w:hAnsi="宋体" w:eastAsia="宋体" w:cs="宋体"/>
          <w:b w:val="0"/>
          <w:color w:val="000000"/>
          <w:sz w:val="30"/>
        </w:rPr>
        <w:t>编号：XJQSQZB202</w:t>
      </w:r>
      <w:r>
        <w:rPr>
          <w:rFonts w:hint="eastAsia" w:ascii="宋体" w:hAnsi="宋体" w:eastAsia="宋体" w:cs="宋体"/>
          <w:b w:val="0"/>
          <w:color w:val="000000"/>
          <w:sz w:val="30"/>
          <w:lang w:val="en-US" w:eastAsia="zh-CN"/>
        </w:rPr>
        <w:t>1</w:t>
      </w:r>
      <w:r>
        <w:rPr>
          <w:rFonts w:hint="eastAsia" w:ascii="宋体" w:hAnsi="宋体" w:eastAsia="宋体" w:cs="宋体"/>
          <w:b w:val="0"/>
          <w:color w:val="000000"/>
          <w:sz w:val="30"/>
        </w:rPr>
        <w:t>-0</w:t>
      </w:r>
      <w:r>
        <w:rPr>
          <w:rFonts w:hint="eastAsia" w:ascii="宋体" w:hAnsi="宋体" w:cs="宋体"/>
          <w:b w:val="0"/>
          <w:color w:val="000000"/>
          <w:sz w:val="30"/>
          <w:lang w:val="en-US" w:eastAsia="zh-CN"/>
        </w:rPr>
        <w:t>59</w:t>
      </w:r>
      <w:r>
        <w:rPr>
          <w:rFonts w:hint="eastAsia" w:ascii="宋体" w:hAnsi="宋体" w:eastAsia="宋体" w:cs="宋体"/>
          <w:b w:val="0"/>
          <w:color w:val="000000"/>
          <w:sz w:val="30"/>
          <w:lang w:val="en-US" w:eastAsia="zh-CN"/>
        </w:rPr>
        <w:t xml:space="preserve"> </w:t>
      </w:r>
    </w:p>
    <w:p>
      <w:pPr>
        <w:spacing w:line="360" w:lineRule="auto"/>
        <w:rPr>
          <w:rFonts w:hint="eastAsia" w:ascii="宋体" w:hAnsi="宋体" w:eastAsia="宋体" w:cs="宋体"/>
          <w:b/>
          <w:color w:val="000000"/>
          <w:sz w:val="32"/>
          <w:szCs w:val="32"/>
        </w:rPr>
      </w:pPr>
    </w:p>
    <w:p>
      <w:pPr>
        <w:spacing w:line="360" w:lineRule="auto"/>
        <w:ind w:firstLine="602"/>
        <w:rPr>
          <w:rFonts w:hint="eastAsia" w:ascii="宋体" w:hAnsi="宋体" w:eastAsia="宋体" w:cs="宋体"/>
          <w:b/>
          <w:color w:val="000000"/>
          <w:sz w:val="30"/>
          <w:szCs w:val="30"/>
        </w:rPr>
      </w:pPr>
    </w:p>
    <w:p>
      <w:pPr>
        <w:spacing w:line="360" w:lineRule="auto"/>
        <w:rPr>
          <w:rFonts w:hint="eastAsia" w:ascii="宋体" w:hAnsi="宋体" w:eastAsia="宋体" w:cs="宋体"/>
          <w:b/>
          <w:color w:val="000000"/>
          <w:sz w:val="30"/>
          <w:szCs w:val="30"/>
        </w:rPr>
      </w:pPr>
    </w:p>
    <w:p>
      <w:pPr>
        <w:spacing w:line="360" w:lineRule="auto"/>
        <w:ind w:firstLine="602"/>
        <w:rPr>
          <w:rFonts w:hint="eastAsia" w:ascii="宋体" w:hAnsi="宋体" w:eastAsia="宋体" w:cs="宋体"/>
          <w:b/>
          <w:color w:val="000000"/>
          <w:sz w:val="30"/>
          <w:szCs w:val="30"/>
        </w:rPr>
      </w:pPr>
    </w:p>
    <w:p>
      <w:pPr>
        <w:spacing w:line="360" w:lineRule="auto"/>
        <w:ind w:firstLine="602"/>
        <w:rPr>
          <w:rFonts w:hint="eastAsia" w:ascii="宋体" w:hAnsi="宋体" w:eastAsia="宋体" w:cs="宋体"/>
          <w:b/>
          <w:color w:val="000000"/>
          <w:sz w:val="30"/>
          <w:szCs w:val="30"/>
        </w:rPr>
      </w:pPr>
      <w:r>
        <w:rPr>
          <w:rFonts w:hint="eastAsia" w:ascii="宋体" w:hAnsi="宋体" w:eastAsia="宋体" w:cs="宋体"/>
          <w:b/>
          <w:color w:val="000000"/>
          <w:sz w:val="30"/>
          <w:szCs w:val="30"/>
          <w:lang w:eastAsia="zh-CN"/>
        </w:rPr>
        <w:t>供应商</w:t>
      </w:r>
      <w:r>
        <w:rPr>
          <w:rFonts w:hint="eastAsia" w:ascii="宋体" w:hAnsi="宋体" w:eastAsia="宋体" w:cs="宋体"/>
          <w:b/>
          <w:color w:val="000000"/>
          <w:sz w:val="30"/>
          <w:szCs w:val="30"/>
        </w:rPr>
        <w:t>： （单位名称）盖章</w:t>
      </w:r>
    </w:p>
    <w:p>
      <w:pPr>
        <w:spacing w:line="360" w:lineRule="auto"/>
        <w:rPr>
          <w:rFonts w:hint="eastAsia" w:ascii="宋体" w:hAnsi="宋体" w:eastAsia="宋体" w:cs="宋体"/>
          <w:b/>
          <w:color w:val="000000"/>
          <w:sz w:val="30"/>
          <w:szCs w:val="30"/>
        </w:rPr>
      </w:pPr>
    </w:p>
    <w:p>
      <w:pPr>
        <w:spacing w:line="360" w:lineRule="auto"/>
        <w:ind w:firstLine="602"/>
        <w:rPr>
          <w:rFonts w:hint="eastAsia" w:ascii="宋体" w:hAnsi="宋体" w:eastAsia="宋体" w:cs="宋体"/>
          <w:b/>
          <w:color w:val="000000"/>
          <w:sz w:val="30"/>
          <w:szCs w:val="30"/>
        </w:rPr>
      </w:pPr>
    </w:p>
    <w:p>
      <w:pPr>
        <w:spacing w:line="360" w:lineRule="auto"/>
        <w:ind w:firstLine="602"/>
        <w:rPr>
          <w:rFonts w:hint="eastAsia" w:ascii="宋体" w:hAnsi="宋体" w:eastAsia="宋体" w:cs="宋体"/>
          <w:b/>
          <w:color w:val="000000"/>
          <w:sz w:val="30"/>
          <w:szCs w:val="30"/>
        </w:rPr>
      </w:pPr>
      <w:r>
        <w:rPr>
          <w:rFonts w:hint="eastAsia" w:ascii="宋体" w:hAnsi="宋体" w:eastAsia="宋体" w:cs="宋体"/>
          <w:b/>
          <w:color w:val="000000"/>
          <w:sz w:val="30"/>
          <w:szCs w:val="30"/>
        </w:rPr>
        <w:t>单位地址：</w:t>
      </w:r>
    </w:p>
    <w:p>
      <w:pPr>
        <w:spacing w:line="360" w:lineRule="auto"/>
        <w:rPr>
          <w:rFonts w:hint="eastAsia" w:ascii="宋体" w:hAnsi="宋体" w:eastAsia="宋体" w:cs="宋体"/>
          <w:b/>
          <w:color w:val="000000"/>
          <w:sz w:val="30"/>
          <w:szCs w:val="30"/>
        </w:rPr>
      </w:pPr>
    </w:p>
    <w:p>
      <w:pPr>
        <w:pStyle w:val="24"/>
        <w:spacing w:line="360" w:lineRule="auto"/>
        <w:ind w:firstLine="596" w:firstLineChars="198"/>
        <w:rPr>
          <w:rFonts w:hint="eastAsia" w:ascii="宋体" w:hAnsi="宋体" w:eastAsia="宋体" w:cs="宋体"/>
          <w:b/>
          <w:color w:val="000000"/>
          <w:sz w:val="30"/>
          <w:szCs w:val="30"/>
        </w:rPr>
      </w:pPr>
    </w:p>
    <w:p>
      <w:pPr>
        <w:pStyle w:val="24"/>
        <w:spacing w:line="360" w:lineRule="auto"/>
        <w:ind w:firstLine="596" w:firstLineChars="198"/>
        <w:rPr>
          <w:rFonts w:hint="eastAsia" w:ascii="宋体" w:hAnsi="宋体" w:eastAsia="宋体" w:cs="宋体"/>
          <w:b/>
          <w:color w:val="000000"/>
          <w:sz w:val="30"/>
          <w:szCs w:val="30"/>
        </w:rPr>
      </w:pPr>
      <w:r>
        <w:rPr>
          <w:rFonts w:hint="eastAsia" w:ascii="宋体" w:hAnsi="宋体" w:eastAsia="宋体" w:cs="宋体"/>
          <w:b/>
          <w:color w:val="000000"/>
          <w:sz w:val="30"/>
          <w:szCs w:val="30"/>
        </w:rPr>
        <w:t>联系人：                   联系电话：</w:t>
      </w:r>
    </w:p>
    <w:p>
      <w:pPr>
        <w:pStyle w:val="2"/>
        <w:rPr>
          <w:rFonts w:hint="eastAsia"/>
        </w:rPr>
      </w:pPr>
    </w:p>
    <w:p>
      <w:pPr>
        <w:adjustRightInd w:val="0"/>
        <w:snapToGrid w:val="0"/>
        <w:spacing w:line="360" w:lineRule="auto"/>
        <w:jc w:val="center"/>
        <w:outlineLvl w:val="9"/>
        <w:rPr>
          <w:rFonts w:hint="eastAsia" w:ascii="宋体" w:hAnsi="宋体" w:cs="宋体"/>
          <w:b/>
          <w:bCs/>
          <w:color w:val="auto"/>
          <w:sz w:val="28"/>
          <w:szCs w:val="28"/>
        </w:rPr>
      </w:pPr>
    </w:p>
    <w:p>
      <w:pPr>
        <w:adjustRightInd w:val="0"/>
        <w:snapToGrid w:val="0"/>
        <w:spacing w:line="360" w:lineRule="auto"/>
        <w:jc w:val="both"/>
        <w:outlineLvl w:val="9"/>
        <w:rPr>
          <w:rFonts w:hint="eastAsia" w:ascii="宋体" w:hAnsi="宋体" w:cs="宋体"/>
          <w:b/>
          <w:bCs/>
          <w:color w:val="auto"/>
          <w:sz w:val="28"/>
          <w:szCs w:val="28"/>
        </w:rPr>
      </w:pPr>
    </w:p>
    <w:p>
      <w:pPr>
        <w:adjustRightInd w:val="0"/>
        <w:snapToGrid w:val="0"/>
        <w:spacing w:line="360" w:lineRule="auto"/>
        <w:jc w:val="center"/>
        <w:outlineLvl w:val="9"/>
        <w:rPr>
          <w:rFonts w:hint="eastAsia" w:ascii="宋体" w:hAnsi="宋体" w:cs="宋体"/>
          <w:b/>
          <w:bCs/>
          <w:color w:val="auto"/>
          <w:sz w:val="28"/>
          <w:szCs w:val="28"/>
        </w:rPr>
      </w:pPr>
    </w:p>
    <w:p>
      <w:pPr>
        <w:adjustRightInd w:val="0"/>
        <w:snapToGrid w:val="0"/>
        <w:spacing w:line="360" w:lineRule="auto"/>
        <w:jc w:val="center"/>
        <w:outlineLvl w:val="9"/>
        <w:rPr>
          <w:rFonts w:hint="eastAsia" w:ascii="宋体" w:hAnsi="宋体" w:cs="宋体"/>
          <w:b/>
          <w:bCs/>
          <w:color w:val="auto"/>
          <w:sz w:val="28"/>
          <w:szCs w:val="28"/>
        </w:rPr>
      </w:pPr>
    </w:p>
    <w:p>
      <w:pPr>
        <w:adjustRightInd w:val="0"/>
        <w:snapToGrid w:val="0"/>
        <w:spacing w:line="360" w:lineRule="auto"/>
        <w:jc w:val="center"/>
        <w:outlineLvl w:val="9"/>
        <w:rPr>
          <w:rFonts w:hint="eastAsia" w:ascii="宋体" w:hAnsi="宋体" w:cs="宋体"/>
          <w:b/>
          <w:bCs/>
          <w:color w:val="auto"/>
          <w:sz w:val="28"/>
          <w:szCs w:val="28"/>
        </w:rPr>
      </w:pPr>
    </w:p>
    <w:p>
      <w:pPr>
        <w:pStyle w:val="2"/>
        <w:rPr>
          <w:rFonts w:hint="eastAsia" w:ascii="宋体" w:hAnsi="宋体" w:cs="宋体"/>
          <w:b w:val="0"/>
          <w:bCs w:val="0"/>
          <w:color w:val="auto"/>
          <w:sz w:val="28"/>
          <w:szCs w:val="28"/>
        </w:rPr>
      </w:pPr>
    </w:p>
    <w:p>
      <w:pPr>
        <w:rPr>
          <w:rFonts w:hint="eastAsia"/>
        </w:rPr>
      </w:pPr>
    </w:p>
    <w:p>
      <w:pPr>
        <w:adjustRightInd w:val="0"/>
        <w:snapToGrid w:val="0"/>
        <w:spacing w:line="360" w:lineRule="auto"/>
        <w:jc w:val="center"/>
        <w:outlineLvl w:val="9"/>
        <w:rPr>
          <w:rFonts w:hint="eastAsia" w:ascii="宋体" w:hAnsi="宋体" w:cs="宋体"/>
          <w:b/>
          <w:bCs/>
          <w:color w:val="auto"/>
          <w:sz w:val="28"/>
          <w:szCs w:val="28"/>
        </w:rPr>
      </w:pP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一、磋商响应声明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(采购人或采购代理机构)：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项目名称)的竞争性磋商文件（</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）的全部内容，知悉参加竞争性磋商的风险，我方承诺接受磋商文件的全部条款且无任何异议。</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一、我方同意在磋商文件中规定的提交首次响应文件截止时间起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日内(响应文件有效期)遵守本响应文件中的承诺且在此期限期满之前均具有法律约束力。</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二、我方提交响应文件正本一份和副本一式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份，同时提供一份电子文档（</w:t>
      </w:r>
      <w:r>
        <w:rPr>
          <w:rFonts w:hint="eastAsia" w:ascii="宋体" w:hAnsi="宋体" w:eastAsia="宋体" w:cs="宋体"/>
          <w:color w:val="auto"/>
          <w:sz w:val="24"/>
          <w:szCs w:val="24"/>
          <w:lang w:eastAsia="zh-CN"/>
        </w:rPr>
        <w:t>U盘及光盘</w:t>
      </w:r>
      <w:r>
        <w:rPr>
          <w:rFonts w:hint="eastAsia" w:ascii="宋体" w:hAnsi="宋体" w:eastAsia="宋体" w:cs="宋体"/>
          <w:color w:val="auto"/>
          <w:sz w:val="24"/>
          <w:szCs w:val="24"/>
        </w:rPr>
        <w:t>），并保证响应文件提供的数据和材料是真实、准确的。否则，愿承担《政府采购法》</w:t>
      </w:r>
      <w:r>
        <w:rPr>
          <w:rFonts w:hint="eastAsia" w:ascii="宋体" w:hAnsi="宋体" w:eastAsia="宋体" w:cs="宋体"/>
          <w:bCs/>
          <w:color w:val="auto"/>
          <w:sz w:val="24"/>
          <w:szCs w:val="24"/>
        </w:rPr>
        <w:t>第七十七条规定的法律责任。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三、我方愿意向贵方提供任何与本项采购有关的数据、情况和技术资料。若贵方需要，我方愿意提供我方作出的一切承诺的证明材料。</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四、我方愿意按磋商文件规定和磋商小组要求重新提交响应文件和最后报价。</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五、我方承诺遵守《中华人民共和国政府采购法》的有关规定，保证在获得成交资格后，按照磋商文件确定的事项签订合同，履行双方所签订的合同，并承担合同规定的责任和义务。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附件1：</w:t>
      </w:r>
      <w:r>
        <w:rPr>
          <w:rFonts w:hint="eastAsia" w:ascii="宋体" w:hAnsi="宋体" w:eastAsia="宋体" w:cs="宋体"/>
          <w:color w:val="auto"/>
          <w:sz w:val="24"/>
          <w:szCs w:val="24"/>
        </w:rPr>
        <w:t>法定代表人身份证明(法定代表人参加磋商)</w:t>
      </w: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附件2</w:t>
      </w:r>
      <w:r>
        <w:rPr>
          <w:rFonts w:hint="eastAsia" w:ascii="宋体" w:hAnsi="宋体" w:eastAsia="宋体" w:cs="宋体"/>
          <w:color w:val="auto"/>
          <w:sz w:val="24"/>
          <w:szCs w:val="24"/>
        </w:rPr>
        <w:t>：法定代表人授权书(委托代理人参加磋商)</w:t>
      </w:r>
    </w:p>
    <w:p>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pPr>
        <w:pStyle w:val="24"/>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供应商名称(盖单位章)：</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 (签字)：</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60" w:lineRule="auto"/>
        <w:ind w:right="24"/>
        <w:rPr>
          <w:rFonts w:hint="eastAsia" w:ascii="宋体" w:hAnsi="宋体" w:cs="宋体"/>
          <w:bCs/>
          <w:color w:val="auto"/>
          <w:szCs w:val="21"/>
        </w:rPr>
      </w:pPr>
    </w:p>
    <w:p>
      <w:pPr>
        <w:adjustRightInd w:val="0"/>
        <w:snapToGrid w:val="0"/>
        <w:spacing w:line="360" w:lineRule="auto"/>
        <w:ind w:right="24"/>
        <w:rPr>
          <w:rFonts w:hint="eastAsia" w:ascii="宋体" w:hAnsi="宋体" w:cs="宋体"/>
          <w:bCs/>
          <w:color w:val="auto"/>
          <w:sz w:val="32"/>
          <w:szCs w:val="32"/>
        </w:rPr>
      </w:pPr>
    </w:p>
    <w:p>
      <w:pPr>
        <w:adjustRightInd w:val="0"/>
        <w:snapToGrid w:val="0"/>
        <w:spacing w:line="360" w:lineRule="auto"/>
        <w:ind w:right="24"/>
        <w:rPr>
          <w:rFonts w:hint="eastAsia" w:ascii="宋体" w:hAnsi="宋体" w:cs="宋体"/>
          <w:bCs/>
          <w:color w:val="auto"/>
          <w:sz w:val="32"/>
          <w:szCs w:val="32"/>
        </w:rPr>
      </w:pPr>
      <w:r>
        <w:rPr>
          <w:rFonts w:hint="eastAsia" w:ascii="宋体" w:hAnsi="宋体" w:cs="宋体"/>
          <w:bCs/>
          <w:color w:val="auto"/>
          <w:sz w:val="32"/>
          <w:szCs w:val="32"/>
        </w:rPr>
        <w:t>附件1</w:t>
      </w:r>
    </w:p>
    <w:p>
      <w:pPr>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法定代表人身份证明(法定代表人参加磋商)</w:t>
      </w:r>
    </w:p>
    <w:p>
      <w:pPr>
        <w:snapToGrid w:val="0"/>
        <w:spacing w:line="360" w:lineRule="auto"/>
        <w:rPr>
          <w:rFonts w:hint="eastAsia" w:ascii="宋体" w:hAnsi="宋体" w:cs="宋体"/>
          <w:color w:val="auto"/>
          <w:szCs w:val="21"/>
        </w:rPr>
      </w:pP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名称：</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注册号：</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注册地址：</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成立时间：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年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日</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u w:val="single"/>
        </w:rPr>
      </w:pPr>
      <w:r>
        <w:rPr>
          <w:rFonts w:hint="eastAsia" w:ascii="宋体" w:hAnsi="宋体" w:cs="宋体"/>
          <w:color w:val="auto"/>
          <w:kern w:val="0"/>
          <w:sz w:val="24"/>
          <w:szCs w:val="24"/>
        </w:rPr>
        <w:t>经营期限：</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u w:val="single"/>
        </w:rPr>
      </w:pPr>
      <w:r>
        <w:rPr>
          <w:rFonts w:hint="eastAsia" w:ascii="宋体" w:hAnsi="宋体" w:cs="宋体"/>
          <w:color w:val="auto"/>
          <w:kern w:val="0"/>
          <w:sz w:val="24"/>
          <w:szCs w:val="24"/>
        </w:rPr>
        <w:t>经营范围：主营：</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；兼营：</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ind w:right="298" w:rightChars="142"/>
        <w:jc w:val="left"/>
        <w:rPr>
          <w:rFonts w:hint="eastAsia" w:ascii="宋体" w:hAnsi="宋体" w:cs="宋体"/>
          <w:color w:val="auto"/>
          <w:kern w:val="0"/>
          <w:sz w:val="24"/>
          <w:szCs w:val="24"/>
        </w:rPr>
      </w:pPr>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年龄：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系</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宋体"/>
          <w:color w:val="auto"/>
          <w:sz w:val="24"/>
          <w:szCs w:val="24"/>
        </w:rPr>
        <w:t>供应商</w:t>
      </w:r>
      <w:r>
        <w:rPr>
          <w:rFonts w:hint="eastAsia" w:ascii="宋体" w:hAnsi="宋体" w:cs="宋体"/>
          <w:color w:val="auto"/>
          <w:kern w:val="0"/>
          <w:sz w:val="24"/>
          <w:szCs w:val="24"/>
        </w:rPr>
        <w:t>名称）的法定代表人。</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特此证明。</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sz w:val="24"/>
          <w:szCs w:val="24"/>
        </w:rPr>
        <w:t>附：法定代表人身份证复印件</w:t>
      </w: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adjustRightInd w:val="0"/>
        <w:snapToGrid w:val="0"/>
        <w:spacing w:line="360" w:lineRule="auto"/>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供应商名称（盖单位章）：</w:t>
      </w: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日      </w:t>
      </w:r>
    </w:p>
    <w:p>
      <w:pPr>
        <w:adjustRightInd w:val="0"/>
        <w:snapToGrid w:val="0"/>
        <w:spacing w:before="156" w:beforeLines="50" w:line="360" w:lineRule="auto"/>
        <w:rPr>
          <w:rFonts w:hint="eastAsia" w:ascii="宋体" w:hAnsi="宋体" w:cs="宋体"/>
          <w:color w:val="auto"/>
          <w:szCs w:val="21"/>
        </w:rPr>
      </w:pPr>
    </w:p>
    <w:p>
      <w:pPr>
        <w:adjustRightInd w:val="0"/>
        <w:snapToGrid w:val="0"/>
        <w:spacing w:before="156" w:beforeLines="50" w:line="360" w:lineRule="auto"/>
        <w:rPr>
          <w:rFonts w:hint="eastAsia" w:ascii="宋体" w:hAnsi="宋体" w:cs="宋体"/>
          <w:color w:val="auto"/>
          <w:szCs w:val="21"/>
        </w:rPr>
      </w:pPr>
    </w:p>
    <w:p>
      <w:pPr>
        <w:adjustRightInd w:val="0"/>
        <w:snapToGrid w:val="0"/>
        <w:spacing w:before="156" w:beforeLines="50" w:line="360" w:lineRule="auto"/>
        <w:rPr>
          <w:rFonts w:hint="eastAsia" w:ascii="宋体" w:hAnsi="宋体" w:cs="宋体"/>
          <w:color w:val="auto"/>
          <w:sz w:val="32"/>
          <w:szCs w:val="32"/>
        </w:rPr>
      </w:pPr>
      <w:r>
        <w:rPr>
          <w:rFonts w:hint="eastAsia" w:ascii="宋体" w:hAnsi="宋体" w:cs="宋体"/>
          <w:color w:val="auto"/>
          <w:szCs w:val="21"/>
        </w:rPr>
        <w:br w:type="page"/>
      </w:r>
      <w:r>
        <w:rPr>
          <w:rFonts w:hint="eastAsia" w:ascii="宋体" w:hAnsi="宋体" w:cs="宋体"/>
          <w:bCs/>
          <w:color w:val="auto"/>
          <w:sz w:val="32"/>
          <w:szCs w:val="32"/>
        </w:rPr>
        <w:t>附件2</w:t>
      </w:r>
    </w:p>
    <w:p>
      <w:pPr>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法定代表人授权书(委托代理人参加磋商)</w:t>
      </w:r>
    </w:p>
    <w:p>
      <w:pPr>
        <w:adjustRightInd w:val="0"/>
        <w:snapToGrid w:val="0"/>
        <w:spacing w:line="360" w:lineRule="auto"/>
        <w:jc w:val="center"/>
        <w:rPr>
          <w:rFonts w:hint="eastAsia" w:ascii="宋体" w:hAnsi="宋体" w:cs="宋体"/>
          <w:b/>
          <w:bCs/>
          <w:color w:val="auto"/>
          <w:sz w:val="28"/>
          <w:szCs w:val="28"/>
        </w:rPr>
      </w:pPr>
    </w:p>
    <w:p>
      <w:pPr>
        <w:autoSpaceDE w:val="0"/>
        <w:autoSpaceDN w:val="0"/>
        <w:adjustRightInd w:val="0"/>
        <w:snapToGrid w:val="0"/>
        <w:spacing w:before="156" w:beforeLines="5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本人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（姓名、职务）系</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r>
        <w:rPr>
          <w:rFonts w:hint="eastAsia" w:ascii="宋体" w:hAnsi="宋体" w:cs="宋体"/>
          <w:color w:val="auto"/>
          <w:sz w:val="24"/>
          <w:szCs w:val="24"/>
        </w:rPr>
        <w:t>供应商</w:t>
      </w:r>
      <w:r>
        <w:rPr>
          <w:rFonts w:hint="eastAsia" w:ascii="宋体" w:hAnsi="宋体" w:cs="宋体"/>
          <w:color w:val="auto"/>
          <w:kern w:val="0"/>
          <w:sz w:val="24"/>
          <w:szCs w:val="24"/>
        </w:rPr>
        <w:t>名称）的法定代表人，现授权</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（姓名、职务）为我方代理人。代理人根据授权，以我方名义：(1)签署、澄清、补正、修改、撤回、提交</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（项目名称、</w:t>
      </w:r>
      <w:r>
        <w:rPr>
          <w:rFonts w:hint="eastAsia" w:ascii="宋体" w:hAnsi="宋体" w:cs="宋体"/>
          <w:color w:val="auto"/>
          <w:sz w:val="24"/>
          <w:szCs w:val="24"/>
          <w:lang w:eastAsia="zh-CN"/>
        </w:rPr>
        <w:t>项目</w:t>
      </w:r>
      <w:r>
        <w:rPr>
          <w:rFonts w:hint="eastAsia" w:ascii="宋体" w:hAnsi="宋体" w:cs="宋体"/>
          <w:color w:val="auto"/>
          <w:kern w:val="0"/>
          <w:sz w:val="24"/>
          <w:szCs w:val="24"/>
        </w:rPr>
        <w:t>编号）响应文件；(2)签署并重新提交响应文件及最后报价；(3)退出磋商；(4)签订合同和处理有关事宜，其法律后果由我方承担。</w:t>
      </w:r>
    </w:p>
    <w:p>
      <w:pPr>
        <w:autoSpaceDE w:val="0"/>
        <w:autoSpaceDN w:val="0"/>
        <w:adjustRightInd w:val="0"/>
        <w:snapToGrid w:val="0"/>
        <w:spacing w:before="156" w:beforeLines="5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委托期限：</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spacing w:line="360" w:lineRule="auto"/>
        <w:ind w:firstLine="435"/>
        <w:rPr>
          <w:rFonts w:hint="eastAsia" w:ascii="宋体" w:hAnsi="宋体" w:cs="宋体"/>
          <w:color w:val="auto"/>
          <w:kern w:val="0"/>
          <w:sz w:val="24"/>
          <w:szCs w:val="24"/>
        </w:rPr>
      </w:pPr>
      <w:r>
        <w:rPr>
          <w:rFonts w:hint="eastAsia" w:ascii="宋体" w:hAnsi="宋体" w:cs="宋体"/>
          <w:color w:val="auto"/>
          <w:kern w:val="0"/>
          <w:sz w:val="24"/>
          <w:szCs w:val="24"/>
        </w:rPr>
        <w:t>代理人无转委托权。</w:t>
      </w:r>
    </w:p>
    <w:p>
      <w:pPr>
        <w:spacing w:line="360" w:lineRule="auto"/>
        <w:ind w:firstLine="435"/>
        <w:rPr>
          <w:rFonts w:hint="eastAsia" w:ascii="宋体" w:hAnsi="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adjustRightInd w:val="0"/>
        <w:snapToGrid w:val="0"/>
        <w:spacing w:before="156" w:beforeLines="5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附：法定代表人身份</w:t>
      </w:r>
      <w:r>
        <w:rPr>
          <w:rFonts w:hint="eastAsia" w:ascii="宋体" w:hAnsi="宋体" w:cs="宋体"/>
          <w:color w:val="auto"/>
          <w:sz w:val="24"/>
          <w:szCs w:val="24"/>
          <w:lang w:eastAsia="zh-CN"/>
        </w:rPr>
        <w:t>证及</w:t>
      </w:r>
      <w:r>
        <w:rPr>
          <w:rFonts w:hint="eastAsia" w:ascii="宋体" w:hAnsi="宋体" w:cs="宋体"/>
          <w:color w:val="auto"/>
          <w:sz w:val="24"/>
          <w:szCs w:val="24"/>
        </w:rPr>
        <w:t>委托代理人身份证复印件证明</w:t>
      </w:r>
    </w:p>
    <w:p>
      <w:pPr>
        <w:adjustRightInd w:val="0"/>
        <w:snapToGrid w:val="0"/>
        <w:spacing w:line="360" w:lineRule="auto"/>
        <w:ind w:right="420"/>
        <w:rPr>
          <w:rFonts w:hint="eastAsia" w:ascii="宋体" w:hAnsi="宋体" w:cs="宋体"/>
          <w:color w:val="auto"/>
          <w:sz w:val="24"/>
          <w:szCs w:val="24"/>
        </w:rPr>
      </w:pPr>
      <w:r>
        <w:rPr>
          <w:rFonts w:hint="eastAsia" w:ascii="宋体" w:hAnsi="宋体" w:eastAsia="宋体" w:cs="宋体"/>
          <w:sz w:val="28"/>
          <w:szCs w:val="28"/>
        </w:rPr>
        <mc:AlternateContent>
          <mc:Choice Requires="wpg">
            <w:drawing>
              <wp:anchor distT="0" distB="0" distL="114300" distR="114300" simplePos="0" relativeHeight="251659264" behindDoc="0" locked="0" layoutInCell="1" allowOverlap="1">
                <wp:simplePos x="0" y="0"/>
                <wp:positionH relativeFrom="column">
                  <wp:posOffset>83185</wp:posOffset>
                </wp:positionH>
                <wp:positionV relativeFrom="paragraph">
                  <wp:posOffset>170815</wp:posOffset>
                </wp:positionV>
                <wp:extent cx="5337175" cy="1265555"/>
                <wp:effectExtent l="7620" t="7620" r="8255" b="22225"/>
                <wp:wrapNone/>
                <wp:docPr id="12" name="组合 12"/>
                <wp:cNvGraphicFramePr/>
                <a:graphic xmlns:a="http://schemas.openxmlformats.org/drawingml/2006/main">
                  <a:graphicData uri="http://schemas.microsoft.com/office/word/2010/wordprocessingGroup">
                    <wpg:wgp>
                      <wpg:cNvGrpSpPr/>
                      <wpg:grpSpPr>
                        <a:xfrm>
                          <a:off x="0" y="0"/>
                          <a:ext cx="5337175" cy="1265555"/>
                          <a:chOff x="3301" y="520920"/>
                          <a:chExt cx="9030" cy="2594"/>
                        </a:xfrm>
                      </wpg:grpSpPr>
                      <wps:wsp>
                        <wps:cNvPr id="10" name="圆角矩形 10"/>
                        <wps:cNvSpPr/>
                        <wps:spPr>
                          <a:xfrm>
                            <a:off x="3301" y="520920"/>
                            <a:ext cx="4320" cy="256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txbx>
                          <w:txbxContent>
                            <w:p>
                              <w:pPr>
                                <w:rPr>
                                  <w:rFonts w:hint="eastAsia"/>
                                </w:rPr>
                              </w:pPr>
                            </w:p>
                            <w:p>
                              <w:pPr>
                                <w:rPr>
                                  <w:rFonts w:hint="eastAsia"/>
                                </w:rPr>
                              </w:pPr>
                            </w:p>
                            <w:p>
                              <w:pPr>
                                <w:rPr>
                                  <w:rFonts w:hint="eastAsia"/>
                                  <w:sz w:val="24"/>
                                </w:rPr>
                              </w:pPr>
                              <w:r>
                                <w:rPr>
                                  <w:rFonts w:hint="eastAsia"/>
                                  <w:sz w:val="24"/>
                                </w:rPr>
                                <w:t xml:space="preserve">    法定代表人身份证（正面）</w:t>
                              </w:r>
                            </w:p>
                          </w:txbxContent>
                        </wps:txbx>
                        <wps:bodyPr upright="1"/>
                      </wps:wsp>
                      <wps:wsp>
                        <wps:cNvPr id="11" name="圆角矩形 11"/>
                        <wps:cNvSpPr/>
                        <wps:spPr>
                          <a:xfrm>
                            <a:off x="8011" y="520950"/>
                            <a:ext cx="4320" cy="256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txbx>
                          <w:txbxContent>
                            <w:p>
                              <w:pPr>
                                <w:rPr>
                                  <w:rFonts w:hint="eastAsia"/>
                                </w:rPr>
                              </w:pPr>
                            </w:p>
                            <w:p>
                              <w:pPr>
                                <w:rPr>
                                  <w:rFonts w:hint="eastAsia"/>
                                </w:rPr>
                              </w:pPr>
                            </w:p>
                            <w:p>
                              <w:pPr>
                                <w:rPr>
                                  <w:rFonts w:hint="eastAsia"/>
                                  <w:sz w:val="24"/>
                                </w:rPr>
                              </w:pPr>
                              <w:r>
                                <w:rPr>
                                  <w:rFonts w:hint="eastAsia"/>
                                  <w:sz w:val="24"/>
                                </w:rPr>
                                <w:t xml:space="preserve">    法定代表人身份证（背面）</w:t>
                              </w:r>
                            </w:p>
                          </w:txbxContent>
                        </wps:txbx>
                        <wps:bodyPr upright="1"/>
                      </wps:wsp>
                    </wpg:wgp>
                  </a:graphicData>
                </a:graphic>
              </wp:anchor>
            </w:drawing>
          </mc:Choice>
          <mc:Fallback>
            <w:pict>
              <v:group id="_x0000_s1026" o:spid="_x0000_s1026" o:spt="203" style="position:absolute;left:0pt;margin-left:6.55pt;margin-top:13.45pt;height:99.65pt;width:420.25pt;z-index:251659264;mso-width-relative:page;mso-height-relative:page;" coordorigin="3301,520920" coordsize="9030,2594" o:gfxdata="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F+OtsLYAAAA&#10;CQEAAA8AAAAAAAAAAQAgAAAAIgAAAGRycy9kb3ducmV2LnhtbFBLAQIUABQAAAAIAIdO4kDLwwDi&#10;AQMAAB0JAAAOAAAAAAAAAAEAIAAAACcBAABkcnMvZTJvRG9jLnhtbFBLBQYAAAAABgAGAFkBAACa&#10;BgAAAAA=&#10;">
                <o:lock v:ext="edit" aspectratio="f"/>
                <v:roundrect id="_x0000_s1026" o:spid="_x0000_s1026" o:spt="2" style="position:absolute;left:3301;top:520920;height:2565;width:4320;" fillcolor="#FFFFFF" filled="t" stroked="t" coordsize="21600,21600" arcsize="0.166666666666667" o:gfxdata="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RILsAAADb&#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sz w:val="24"/>
                          </w:rPr>
                        </w:pPr>
                        <w:r>
                          <w:rPr>
                            <w:rFonts w:hint="eastAsia"/>
                            <w:sz w:val="24"/>
                          </w:rPr>
                          <w:t xml:space="preserve">    法定代表人身份证（正面）</w:t>
                        </w:r>
                      </w:p>
                    </w:txbxContent>
                  </v:textbox>
                </v:roundrect>
                <v:roundrect id="_x0000_s1026" o:spid="_x0000_s1026" o:spt="2" style="position:absolute;left:8011;top:520950;height:2565;width:4320;" fillcolor="#FFFFFF" filled="t" stroked="t" coordsize="21600,21600" arcsize="0.166666666666667" o:gfxdata="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Ra9Lu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sz w:val="24"/>
                          </w:rPr>
                        </w:pPr>
                        <w:r>
                          <w:rPr>
                            <w:rFonts w:hint="eastAsia"/>
                            <w:sz w:val="24"/>
                          </w:rPr>
                          <w:t xml:space="preserve">    法定代表人身份证（背面）</w:t>
                        </w:r>
                      </w:p>
                    </w:txbxContent>
                  </v:textbox>
                </v:roundrect>
              </v:group>
            </w:pict>
          </mc:Fallback>
        </mc:AlternateContent>
      </w: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r>
        <w:rPr>
          <w:rFonts w:hint="eastAsia" w:ascii="宋体" w:hAnsi="宋体" w:eastAsia="宋体" w:cs="宋体"/>
          <w:sz w:val="28"/>
          <w:szCs w:val="28"/>
        </w:rPr>
        <mc:AlternateContent>
          <mc:Choice Requires="wpg">
            <w:drawing>
              <wp:anchor distT="0" distB="0" distL="114300" distR="114300" simplePos="0" relativeHeight="251660288" behindDoc="0" locked="0" layoutInCell="1" allowOverlap="1">
                <wp:simplePos x="0" y="0"/>
                <wp:positionH relativeFrom="column">
                  <wp:posOffset>122555</wp:posOffset>
                </wp:positionH>
                <wp:positionV relativeFrom="paragraph">
                  <wp:posOffset>207645</wp:posOffset>
                </wp:positionV>
                <wp:extent cx="5536565" cy="1223010"/>
                <wp:effectExtent l="7620" t="7620" r="18415" b="26670"/>
                <wp:wrapNone/>
                <wp:docPr id="18" name="组合 18"/>
                <wp:cNvGraphicFramePr/>
                <a:graphic xmlns:a="http://schemas.openxmlformats.org/drawingml/2006/main">
                  <a:graphicData uri="http://schemas.microsoft.com/office/word/2010/wordprocessingGroup">
                    <wpg:wgp>
                      <wpg:cNvGrpSpPr/>
                      <wpg:grpSpPr>
                        <a:xfrm>
                          <a:off x="0" y="0"/>
                          <a:ext cx="5536817" cy="1222696"/>
                          <a:chOff x="3313" y="520950"/>
                          <a:chExt cx="9018" cy="2568"/>
                        </a:xfrm>
                      </wpg:grpSpPr>
                      <wps:wsp>
                        <wps:cNvPr id="16" name="圆角矩形 16"/>
                        <wps:cNvSpPr/>
                        <wps:spPr>
                          <a:xfrm>
                            <a:off x="3313" y="520953"/>
                            <a:ext cx="4320" cy="256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rPr>
                                  <w:rFonts w:hint="eastAsia"/>
                                  <w:sz w:val="24"/>
                                </w:rPr>
                              </w:pPr>
                              <w:r>
                                <w:rPr>
                                  <w:rFonts w:hint="eastAsia"/>
                                  <w:sz w:val="24"/>
                                </w:rPr>
                                <w:t xml:space="preserve">    法定代表人身份证（正面）</w:t>
                              </w:r>
                            </w:p>
                          </w:txbxContent>
                        </wps:txbx>
                        <wps:bodyPr upright="1"/>
                      </wps:wsp>
                      <wps:wsp>
                        <wps:cNvPr id="17" name="圆角矩形 17"/>
                        <wps:cNvSpPr/>
                        <wps:spPr>
                          <a:xfrm>
                            <a:off x="8011" y="520950"/>
                            <a:ext cx="4320" cy="256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rPr>
                                  <w:rFonts w:hint="eastAsia"/>
                                  <w:sz w:val="24"/>
                                </w:rPr>
                              </w:pPr>
                              <w:r>
                                <w:rPr>
                                  <w:rFonts w:hint="eastAsia"/>
                                  <w:sz w:val="24"/>
                                </w:rPr>
                                <w:t xml:space="preserve">    法定代表人身份证（背面）</w:t>
                              </w:r>
                            </w:p>
                          </w:txbxContent>
                        </wps:txbx>
                        <wps:bodyPr upright="1"/>
                      </wps:wsp>
                    </wpg:wgp>
                  </a:graphicData>
                </a:graphic>
              </wp:anchor>
            </w:drawing>
          </mc:Choice>
          <mc:Fallback>
            <w:pict>
              <v:group id="_x0000_s1026" o:spid="_x0000_s1026" o:spt="203" style="position:absolute;left:0pt;margin-left:9.65pt;margin-top:16.35pt;height:96.3pt;width:435.95pt;z-index:251660288;mso-width-relative:page;mso-height-relative:page;" coordorigin="3313,520950" coordsize="9018,2568" o:gfxdata="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pA+3l&#10;2QAAAAkBAAAPAAAAAAAAAAEAIAAAACIAAABkcnMvZG93bnJldi54bWxQSwECFAAUAAAACACHTuJA&#10;UsEgywQDAAAdCQAADgAAAAAAAAABACAAAAAoAQAAZHJzL2Uyb0RvYy54bWxQSwUGAAAAAAYABgBZ&#10;AQAAngYAAAAA&#10;">
                <o:lock v:ext="edit" aspectratio="f"/>
                <v:roundrect id="_x0000_s1026" o:spid="_x0000_s1026" o:spt="2" style="position:absolute;left:3313;top:520953;height:2565;width:4320;" fillcolor="#FFFFFF" filled="t" stroked="t" coordsize="21600,21600" arcsize="0.166666666666667" o:gfxdata="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zbM+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sz w:val="24"/>
                          </w:rPr>
                        </w:pPr>
                        <w:r>
                          <w:rPr>
                            <w:rFonts w:hint="eastAsia"/>
                            <w:sz w:val="24"/>
                          </w:rPr>
                          <w:t xml:space="preserve">    法定代表人身份证（正面）</w:t>
                        </w:r>
                      </w:p>
                    </w:txbxContent>
                  </v:textbox>
                </v:roundrect>
                <v:roundrect id="_x0000_s1026" o:spid="_x0000_s1026" o:spt="2" style="position:absolute;left:8011;top:520950;height:2565;width:4320;" fillcolor="#FFFFFF" filled="t" stroked="t" coordsize="21600,21600" arcsize="0.166666666666667" o:gfxdata="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T/yVS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sz w:val="24"/>
                          </w:rPr>
                        </w:pPr>
                        <w:r>
                          <w:rPr>
                            <w:rFonts w:hint="eastAsia"/>
                            <w:sz w:val="24"/>
                          </w:rPr>
                          <w:t xml:space="preserve">    法定代表人身份证（背面）</w:t>
                        </w:r>
                      </w:p>
                    </w:txbxContent>
                  </v:textbox>
                </v:roundrect>
              </v:group>
            </w:pict>
          </mc:Fallback>
        </mc:AlternateContent>
      </w:r>
    </w:p>
    <w:p>
      <w:pPr>
        <w:adjustRightInd w:val="0"/>
        <w:snapToGrid w:val="0"/>
        <w:spacing w:line="360" w:lineRule="auto"/>
        <w:ind w:right="420"/>
        <w:jc w:val="right"/>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p>
    <w:p>
      <w:pPr>
        <w:adjustRightInd w:val="0"/>
        <w:snapToGrid w:val="0"/>
        <w:spacing w:line="360" w:lineRule="auto"/>
        <w:ind w:right="420"/>
        <w:jc w:val="both"/>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供应商名称（盖单位章）：</w:t>
      </w: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eastAsia="zh-CN"/>
        </w:rPr>
        <w:t>或</w:t>
      </w:r>
      <w:r>
        <w:rPr>
          <w:rFonts w:hint="eastAsia" w:ascii="宋体" w:hAnsi="宋体" w:cs="宋体"/>
          <w:color w:val="auto"/>
          <w:sz w:val="24"/>
          <w:szCs w:val="24"/>
        </w:rPr>
        <w:t>委托代理人（签字）：</w:t>
      </w:r>
      <w:r>
        <w:rPr>
          <w:rFonts w:hint="eastAsia" w:ascii="宋体" w:hAnsi="宋体" w:cs="宋体"/>
          <w:color w:val="auto"/>
          <w:sz w:val="24"/>
          <w:szCs w:val="24"/>
          <w:u w:val="single"/>
        </w:rPr>
        <w:t xml:space="preserve">                                       </w:t>
      </w:r>
    </w:p>
    <w:p>
      <w:pPr>
        <w:adjustRightInd w:val="0"/>
        <w:snapToGrid w:val="0"/>
        <w:spacing w:line="360" w:lineRule="auto"/>
        <w:ind w:right="24"/>
        <w:jc w:val="right"/>
        <w:rPr>
          <w:rFonts w:hint="eastAsia" w:ascii="宋体" w:hAnsi="宋体" w:cs="宋体"/>
          <w:color w:val="auto"/>
          <w:szCs w:val="21"/>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spacing w:line="360" w:lineRule="auto"/>
        <w:rPr>
          <w:rFonts w:hint="eastAsia" w:ascii="宋体" w:hAnsi="宋体" w:cs="宋体"/>
          <w:b/>
          <w:color w:val="auto"/>
        </w:rPr>
      </w:pPr>
    </w:p>
    <w:p>
      <w:pPr>
        <w:spacing w:line="360" w:lineRule="auto"/>
        <w:jc w:val="center"/>
        <w:outlineLvl w:val="9"/>
        <w:rPr>
          <w:rFonts w:hint="eastAsia" w:hAnsi="宋体" w:cs="宋体"/>
          <w:b/>
          <w:color w:val="auto"/>
          <w:sz w:val="28"/>
          <w:szCs w:val="28"/>
        </w:rPr>
      </w:pPr>
    </w:p>
    <w:p>
      <w:pPr>
        <w:spacing w:line="360" w:lineRule="auto"/>
        <w:jc w:val="center"/>
        <w:outlineLvl w:val="9"/>
        <w:rPr>
          <w:rFonts w:hint="eastAsia" w:ascii="宋体" w:hAnsi="宋体" w:cs="宋体"/>
          <w:b/>
          <w:color w:val="auto"/>
          <w:sz w:val="28"/>
          <w:szCs w:val="28"/>
        </w:rPr>
      </w:pPr>
      <w:r>
        <w:rPr>
          <w:rFonts w:hint="eastAsia" w:hAnsi="宋体" w:cs="宋体"/>
          <w:b/>
          <w:color w:val="auto"/>
          <w:sz w:val="28"/>
          <w:szCs w:val="28"/>
        </w:rPr>
        <w:t>二、</w:t>
      </w:r>
      <w:r>
        <w:rPr>
          <w:rFonts w:hint="eastAsia" w:ascii="宋体" w:hAnsi="宋体" w:cs="宋体"/>
          <w:b/>
          <w:color w:val="auto"/>
          <w:sz w:val="28"/>
          <w:szCs w:val="28"/>
        </w:rPr>
        <w:t>报价一览表</w:t>
      </w:r>
    </w:p>
    <w:p>
      <w:pPr>
        <w:adjustRightInd w:val="0"/>
        <w:snapToGrid w:val="0"/>
        <w:spacing w:line="360" w:lineRule="auto"/>
        <w:ind w:firstLine="640" w:firstLineChars="200"/>
        <w:rPr>
          <w:rFonts w:hint="eastAsia" w:ascii="宋体" w:hAnsi="宋体" w:cs="宋体"/>
          <w:color w:val="auto"/>
          <w:sz w:val="24"/>
        </w:rPr>
      </w:pPr>
      <w:r>
        <w:rPr>
          <w:rFonts w:hint="eastAsia" w:ascii="宋体" w:hAnsi="宋体" w:cs="宋体"/>
          <w:color w:val="auto"/>
          <w:sz w:val="32"/>
          <w:szCs w:val="32"/>
        </w:rPr>
        <w:t>附件</w:t>
      </w:r>
      <w:r>
        <w:rPr>
          <w:rFonts w:hint="eastAsia" w:ascii="宋体" w:hAnsi="宋体" w:cs="宋体"/>
          <w:color w:val="auto"/>
          <w:sz w:val="32"/>
          <w:szCs w:val="32"/>
          <w:lang w:val="en-US" w:eastAsia="zh-CN"/>
        </w:rPr>
        <w:t>3</w:t>
      </w:r>
    </w:p>
    <w:p>
      <w:pPr>
        <w:pStyle w:val="3"/>
        <w:jc w:val="center"/>
        <w:rPr>
          <w:rFonts w:hint="eastAsia" w:ascii="宋体" w:hAnsi="宋体" w:eastAsia="宋体" w:cs="宋体"/>
          <w:sz w:val="28"/>
          <w:szCs w:val="28"/>
          <w:lang w:eastAsia="zh-CN"/>
        </w:rPr>
      </w:pPr>
      <w:bookmarkStart w:id="32" w:name="_Toc6595202"/>
      <w:r>
        <w:rPr>
          <w:rFonts w:hint="eastAsia" w:ascii="宋体" w:hAnsi="宋体" w:eastAsia="宋体" w:cs="宋体"/>
          <w:sz w:val="28"/>
          <w:szCs w:val="28"/>
          <w:lang w:eastAsia="zh-CN"/>
        </w:rPr>
        <w:t>报价</w:t>
      </w:r>
      <w:r>
        <w:rPr>
          <w:rFonts w:hint="eastAsia" w:ascii="宋体" w:hAnsi="宋体" w:eastAsia="宋体" w:cs="宋体"/>
          <w:sz w:val="28"/>
          <w:szCs w:val="28"/>
        </w:rPr>
        <w:t>一览表</w:t>
      </w:r>
      <w:bookmarkEnd w:id="32"/>
      <w:r>
        <w:rPr>
          <w:rFonts w:hint="eastAsia" w:ascii="宋体" w:hAnsi="宋体" w:eastAsia="宋体" w:cs="宋体"/>
          <w:sz w:val="28"/>
          <w:szCs w:val="28"/>
          <w:lang w:eastAsia="zh-CN"/>
        </w:rPr>
        <w:t>（首次）</w:t>
      </w:r>
    </w:p>
    <w:p>
      <w:pPr>
        <w:adjustRightInd w:val="0"/>
        <w:snapToGrid w:val="0"/>
        <w:rPr>
          <w:rFonts w:hint="eastAsia" w:ascii="新宋体" w:hAnsi="新宋体" w:eastAsia="新宋体"/>
          <w:b/>
          <w:sz w:val="24"/>
        </w:rPr>
      </w:pPr>
    </w:p>
    <w:p>
      <w:pPr>
        <w:adjustRightInd w:val="0"/>
        <w:snapToGrid w:val="0"/>
        <w:spacing w:line="360" w:lineRule="auto"/>
        <w:ind w:firstLine="964" w:firstLineChars="400"/>
        <w:jc w:val="left"/>
        <w:rPr>
          <w:rFonts w:hint="eastAsia" w:ascii="宋体" w:hAnsi="宋体" w:eastAsia="宋体" w:cs="宋体"/>
          <w:b/>
          <w:sz w:val="24"/>
          <w:szCs w:val="24"/>
        </w:rPr>
      </w:pPr>
      <w:r>
        <w:rPr>
          <w:rFonts w:hint="eastAsia" w:ascii="宋体" w:hAnsi="宋体" w:eastAsia="宋体" w:cs="宋体"/>
          <w:b/>
          <w:sz w:val="24"/>
          <w:szCs w:val="24"/>
        </w:rPr>
        <w:t>项目名称：</w:t>
      </w:r>
    </w:p>
    <w:p>
      <w:pPr>
        <w:adjustRightInd w:val="0"/>
        <w:snapToGrid w:val="0"/>
        <w:spacing w:line="360" w:lineRule="auto"/>
        <w:ind w:firstLine="964" w:firstLineChars="400"/>
        <w:rPr>
          <w:rFonts w:hint="eastAsia" w:ascii="宋体" w:hAnsi="宋体" w:eastAsia="宋体" w:cs="宋体"/>
          <w:b/>
          <w:sz w:val="24"/>
          <w:szCs w:val="24"/>
        </w:rPr>
      </w:pPr>
      <w:r>
        <w:rPr>
          <w:rFonts w:hint="eastAsia" w:ascii="宋体" w:hAnsi="宋体" w:eastAsia="宋体" w:cs="宋体"/>
          <w:b/>
          <w:sz w:val="24"/>
          <w:szCs w:val="24"/>
        </w:rPr>
        <w:t>项目编号：</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lang w:eastAsia="zh-CN"/>
              </w:rPr>
            </w:pPr>
            <w:r>
              <w:rPr>
                <w:rFonts w:hint="eastAsia" w:ascii="宋体" w:hAnsi="宋体" w:eastAsia="宋体" w:cs="宋体"/>
                <w:sz w:val="24"/>
                <w:szCs w:val="24"/>
              </w:rPr>
              <w:t>投标报价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lang w:eastAsia="zh-CN"/>
              </w:rPr>
            </w:pPr>
          </w:p>
          <w:p>
            <w:pPr>
              <w:widowControl/>
              <w:rPr>
                <w:rFonts w:hint="eastAsia" w:ascii="宋体" w:hAnsi="宋体" w:eastAsia="宋体" w:cs="宋体"/>
                <w:sz w:val="24"/>
                <w:szCs w:val="24"/>
                <w:lang w:val="en-US" w:eastAsia="zh-CN"/>
              </w:rPr>
            </w:pPr>
            <w:r>
              <w:rPr>
                <w:rFonts w:hint="eastAsia" w:ascii="宋体" w:hAnsi="宋体" w:eastAsia="宋体" w:cs="宋体"/>
                <w:sz w:val="24"/>
                <w:szCs w:val="24"/>
                <w:lang w:eastAsia="zh-CN"/>
              </w:rPr>
              <w:t>小写：</w:t>
            </w:r>
            <w:r>
              <w:rPr>
                <w:rFonts w:hint="eastAsia" w:ascii="宋体" w:hAnsi="宋体" w:eastAsia="宋体" w:cs="宋体"/>
                <w:sz w:val="24"/>
                <w:szCs w:val="24"/>
                <w:lang w:val="en-US" w:eastAsia="zh-CN"/>
              </w:rPr>
              <w:t xml:space="preserve">          元</w:t>
            </w:r>
          </w:p>
          <w:p>
            <w:pPr>
              <w:pStyle w:val="2"/>
              <w:rPr>
                <w:rFonts w:hint="eastAsia" w:ascii="宋体" w:hAnsi="宋体" w:eastAsia="宋体" w:cs="宋体"/>
                <w:sz w:val="24"/>
                <w:szCs w:val="24"/>
                <w:lang w:val="en-US" w:eastAsia="zh-CN"/>
              </w:rPr>
            </w:pPr>
          </w:p>
          <w:p>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大写：</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u w:val="single"/>
                <w:lang w:eastAsia="zh-CN"/>
              </w:rPr>
            </w:pPr>
            <w:r>
              <w:rPr>
                <w:rFonts w:hint="eastAsia" w:ascii="宋体" w:hAnsi="宋体" w:cs="宋体"/>
                <w:sz w:val="24"/>
                <w:szCs w:val="24"/>
                <w:u w:val="none"/>
                <w:lang w:eastAsia="zh-CN"/>
              </w:rPr>
              <w:t>交货时间</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宋体" w:hAnsi="宋体" w:eastAsia="宋体" w:cs="宋体"/>
                <w:sz w:val="24"/>
                <w:szCs w:val="24"/>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质量要求</w:t>
            </w:r>
          </w:p>
        </w:tc>
        <w:tc>
          <w:tcPr>
            <w:tcW w:w="466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sz w:val="24"/>
                <w:szCs w:val="24"/>
              </w:rPr>
            </w:pPr>
          </w:p>
        </w:tc>
      </w:tr>
    </w:tbl>
    <w:p>
      <w:pPr>
        <w:adjustRightInd w:val="0"/>
        <w:snapToGrid w:val="0"/>
        <w:spacing w:line="360" w:lineRule="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 1、报价一经涂改，应在涂改处加盖单位公章或者由法定代表人或授权委托人签字或盖章，否则其投标作无效标处理。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2、投标人须按本报价一览表格式制作“最后报价表”，并加盖单位公章后自行带至磋商现场，经磋商后由各投标人填写最后报价。</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（盖单位章）：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p>
    <w:p>
      <w:pPr>
        <w:adjustRightInd w:val="0"/>
        <w:snapToGrid w:val="0"/>
        <w:spacing w:line="360" w:lineRule="auto"/>
        <w:jc w:val="right"/>
        <w:rPr>
          <w:rFonts w:hint="eastAsia" w:ascii="宋体" w:hAnsi="宋体" w:eastAsia="宋体" w:cs="宋体"/>
          <w:b/>
          <w:sz w:val="24"/>
          <w:szCs w:val="24"/>
        </w:rPr>
      </w:pPr>
      <w:bookmarkStart w:id="33" w:name="_Toc446500173"/>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33"/>
    </w:p>
    <w:p>
      <w:pPr>
        <w:adjustRightInd w:val="0"/>
        <w:snapToGrid w:val="0"/>
        <w:spacing w:line="360" w:lineRule="auto"/>
        <w:jc w:val="center"/>
        <w:outlineLvl w:val="9"/>
        <w:rPr>
          <w:rFonts w:hint="eastAsia" w:ascii="宋体" w:hAnsi="宋体"/>
          <w:b/>
          <w:color w:val="000000"/>
          <w:sz w:val="28"/>
          <w:szCs w:val="28"/>
          <w:u w:val="none"/>
        </w:rPr>
      </w:pPr>
      <w:r>
        <w:rPr>
          <w:rFonts w:ascii="新宋体" w:hAnsi="新宋体" w:eastAsia="新宋体"/>
          <w:b w:val="0"/>
          <w:sz w:val="28"/>
          <w:szCs w:val="28"/>
        </w:rPr>
        <w:br w:type="page"/>
      </w:r>
      <w:r>
        <w:rPr>
          <w:rFonts w:hint="eastAsia" w:ascii="宋体" w:hAnsi="宋体" w:cs="宋体"/>
          <w:b/>
          <w:color w:val="auto"/>
          <w:sz w:val="28"/>
          <w:szCs w:val="28"/>
        </w:rPr>
        <w:t>分项</w:t>
      </w:r>
      <w:r>
        <w:rPr>
          <w:rFonts w:hint="eastAsia" w:ascii="宋体" w:hAnsi="宋体" w:cs="宋体"/>
          <w:b/>
          <w:color w:val="auto"/>
          <w:sz w:val="28"/>
          <w:szCs w:val="28"/>
          <w:lang w:eastAsia="zh-CN"/>
        </w:rPr>
        <w:t>明细报价</w:t>
      </w:r>
      <w:r>
        <w:rPr>
          <w:rFonts w:hint="eastAsia" w:ascii="宋体" w:hAnsi="宋体" w:cs="宋体"/>
          <w:b/>
          <w:color w:val="auto"/>
          <w:sz w:val="28"/>
          <w:szCs w:val="28"/>
        </w:rPr>
        <w:t>表</w:t>
      </w:r>
    </w:p>
    <w:tbl>
      <w:tblPr>
        <w:tblStyle w:val="47"/>
        <w:tblpPr w:leftFromText="180" w:rightFromText="180" w:vertAnchor="text" w:horzAnchor="page" w:tblpX="1266" w:tblpY="236"/>
        <w:tblOverlap w:val="never"/>
        <w:tblW w:w="10519" w:type="dxa"/>
        <w:tblInd w:w="0" w:type="dxa"/>
        <w:tblLayout w:type="fixed"/>
        <w:tblCellMar>
          <w:top w:w="0" w:type="dxa"/>
          <w:left w:w="108" w:type="dxa"/>
          <w:bottom w:w="0" w:type="dxa"/>
          <w:right w:w="108" w:type="dxa"/>
        </w:tblCellMar>
      </w:tblPr>
      <w:tblGrid>
        <w:gridCol w:w="794"/>
        <w:gridCol w:w="1961"/>
        <w:gridCol w:w="1908"/>
        <w:gridCol w:w="1360"/>
        <w:gridCol w:w="1046"/>
        <w:gridCol w:w="1138"/>
        <w:gridCol w:w="1287"/>
        <w:gridCol w:w="1025"/>
      </w:tblGrid>
      <w:tr>
        <w:tblPrEx>
          <w:tblCellMar>
            <w:top w:w="0" w:type="dxa"/>
            <w:left w:w="108" w:type="dxa"/>
            <w:bottom w:w="0" w:type="dxa"/>
            <w:right w:w="108" w:type="dxa"/>
          </w:tblCellMar>
        </w:tblPrEx>
        <w:trPr>
          <w:trHeight w:val="755"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pStyle w:val="259"/>
              <w:spacing w:line="480" w:lineRule="exact"/>
              <w:ind w:left="-13" w:leftChars="-50" w:hanging="92" w:hangingChars="38"/>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货物名称</w:t>
            </w:r>
          </w:p>
        </w:tc>
        <w:tc>
          <w:tcPr>
            <w:tcW w:w="1961" w:type="dxa"/>
            <w:tcBorders>
              <w:top w:val="single" w:color="auto" w:sz="4" w:space="0"/>
              <w:left w:val="nil"/>
              <w:bottom w:val="single" w:color="auto" w:sz="4" w:space="0"/>
              <w:right w:val="single" w:color="auto" w:sz="4" w:space="0"/>
            </w:tcBorders>
            <w:noWrap w:val="0"/>
            <w:vAlign w:val="center"/>
          </w:tcPr>
          <w:p>
            <w:pPr>
              <w:pStyle w:val="259"/>
              <w:spacing w:line="480" w:lineRule="exact"/>
              <w:ind w:left="-13" w:leftChars="-50" w:hanging="92" w:hangingChars="38"/>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规格型号</w:t>
            </w:r>
          </w:p>
        </w:tc>
        <w:tc>
          <w:tcPr>
            <w:tcW w:w="190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生产厂家</w:t>
            </w:r>
          </w:p>
        </w:tc>
        <w:tc>
          <w:tcPr>
            <w:tcW w:w="13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品牌</w:t>
            </w:r>
          </w:p>
        </w:tc>
        <w:tc>
          <w:tcPr>
            <w:tcW w:w="104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数量</w:t>
            </w:r>
          </w:p>
        </w:tc>
        <w:tc>
          <w:tcPr>
            <w:tcW w:w="11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1287" w:type="dxa"/>
            <w:tcBorders>
              <w:top w:val="single" w:color="auto" w:sz="4" w:space="0"/>
              <w:left w:val="nil"/>
              <w:bottom w:val="single" w:color="auto" w:sz="4" w:space="0"/>
              <w:right w:val="single" w:color="auto" w:sz="4" w:space="0"/>
            </w:tcBorders>
            <w:noWrap w:val="0"/>
            <w:vAlign w:val="center"/>
          </w:tcPr>
          <w:p>
            <w:pPr>
              <w:ind w:firstLine="241" w:firstLineChars="1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合</w:t>
            </w:r>
            <w:r>
              <w:rPr>
                <w:rFonts w:hint="eastAsia" w:ascii="宋体" w:hAnsi="宋体" w:eastAsia="宋体" w:cs="宋体"/>
                <w:b/>
                <w:bCs/>
                <w:sz w:val="24"/>
                <w:szCs w:val="24"/>
                <w:lang w:val="en-US" w:eastAsia="zh-CN"/>
              </w:rPr>
              <w:t>价</w:t>
            </w:r>
          </w:p>
        </w:tc>
        <w:tc>
          <w:tcPr>
            <w:tcW w:w="1025" w:type="dxa"/>
            <w:tcBorders>
              <w:top w:val="single" w:color="auto" w:sz="4" w:space="0"/>
              <w:left w:val="nil"/>
              <w:bottom w:val="single" w:color="auto" w:sz="4" w:space="0"/>
              <w:right w:val="single" w:color="auto" w:sz="4" w:space="0"/>
            </w:tcBorders>
            <w:noWrap w:val="0"/>
            <w:vAlign w:val="center"/>
          </w:tcPr>
          <w:p>
            <w:pPr>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CellMar>
            <w:top w:w="0" w:type="dxa"/>
            <w:left w:w="108" w:type="dxa"/>
            <w:bottom w:w="0" w:type="dxa"/>
            <w:right w:w="108" w:type="dxa"/>
          </w:tblCellMar>
        </w:tblPrEx>
        <w:trPr>
          <w:trHeight w:val="622" w:hRule="atLeast"/>
        </w:trPr>
        <w:tc>
          <w:tcPr>
            <w:tcW w:w="794" w:type="dxa"/>
            <w:tcBorders>
              <w:top w:val="nil"/>
              <w:left w:val="single" w:color="auto" w:sz="4" w:space="0"/>
              <w:bottom w:val="single" w:color="auto" w:sz="4" w:space="0"/>
              <w:right w:val="single" w:color="auto" w:sz="4" w:space="0"/>
            </w:tcBorders>
            <w:shd w:val="clear" w:color="auto" w:fill="FFFFFF"/>
            <w:noWrap w:val="0"/>
            <w:vAlign w:val="center"/>
          </w:tcPr>
          <w:p>
            <w:pPr>
              <w:ind w:firstLine="0" w:firstLineChars="0"/>
              <w:jc w:val="center"/>
              <w:rPr>
                <w:rFonts w:hint="eastAsia" w:ascii="宋体" w:hAnsi="宋体" w:eastAsia="宋体" w:cs="宋体"/>
                <w:b/>
                <w:bCs/>
                <w:sz w:val="24"/>
                <w:szCs w:val="24"/>
              </w:rPr>
            </w:pPr>
          </w:p>
        </w:tc>
        <w:tc>
          <w:tcPr>
            <w:tcW w:w="1961" w:type="dxa"/>
            <w:tcBorders>
              <w:top w:val="nil"/>
              <w:left w:val="nil"/>
              <w:bottom w:val="single" w:color="auto" w:sz="4" w:space="0"/>
              <w:right w:val="single" w:color="auto" w:sz="4" w:space="0"/>
            </w:tcBorders>
            <w:shd w:val="clear" w:color="auto" w:fill="FFFFFF"/>
            <w:noWrap w:val="0"/>
            <w:vAlign w:val="center"/>
          </w:tcPr>
          <w:p>
            <w:pPr>
              <w:ind w:firstLine="420"/>
              <w:rPr>
                <w:rFonts w:hint="eastAsia" w:ascii="宋体" w:hAnsi="宋体" w:eastAsia="宋体" w:cs="宋体"/>
                <w:sz w:val="24"/>
                <w:szCs w:val="24"/>
              </w:rPr>
            </w:pPr>
          </w:p>
        </w:tc>
        <w:tc>
          <w:tcPr>
            <w:tcW w:w="1908" w:type="dxa"/>
            <w:tcBorders>
              <w:top w:val="nil"/>
              <w:left w:val="nil"/>
              <w:bottom w:val="single" w:color="auto" w:sz="4" w:space="0"/>
              <w:right w:val="single" w:color="auto" w:sz="4" w:space="0"/>
            </w:tcBorders>
            <w:shd w:val="clear" w:color="auto" w:fill="FFFFFF"/>
            <w:noWrap w:val="0"/>
            <w:vAlign w:val="center"/>
          </w:tcPr>
          <w:p>
            <w:pPr>
              <w:ind w:firstLine="420"/>
              <w:rPr>
                <w:rFonts w:hint="eastAsia" w:ascii="宋体" w:hAnsi="宋体" w:eastAsia="宋体" w:cs="宋体"/>
                <w:sz w:val="24"/>
                <w:szCs w:val="24"/>
              </w:rPr>
            </w:pPr>
          </w:p>
        </w:tc>
        <w:tc>
          <w:tcPr>
            <w:tcW w:w="1360" w:type="dxa"/>
            <w:tcBorders>
              <w:top w:val="nil"/>
              <w:left w:val="nil"/>
              <w:bottom w:val="single" w:color="auto" w:sz="4" w:space="0"/>
              <w:right w:val="single" w:color="auto" w:sz="4" w:space="0"/>
            </w:tcBorders>
            <w:shd w:val="clear" w:color="auto" w:fill="FFFFFF"/>
            <w:noWrap w:val="0"/>
            <w:vAlign w:val="center"/>
          </w:tcPr>
          <w:p>
            <w:pPr>
              <w:ind w:firstLine="420"/>
              <w:rPr>
                <w:rFonts w:hint="eastAsia" w:ascii="宋体" w:hAnsi="宋体" w:eastAsia="宋体" w:cs="宋体"/>
                <w:sz w:val="24"/>
                <w:szCs w:val="24"/>
              </w:rPr>
            </w:pPr>
          </w:p>
        </w:tc>
        <w:tc>
          <w:tcPr>
            <w:tcW w:w="1046" w:type="dxa"/>
            <w:tcBorders>
              <w:top w:val="nil"/>
              <w:left w:val="nil"/>
              <w:bottom w:val="single" w:color="auto" w:sz="4" w:space="0"/>
              <w:right w:val="single" w:color="auto" w:sz="4" w:space="0"/>
            </w:tcBorders>
            <w:shd w:val="clear" w:color="auto" w:fill="FFFFFF"/>
            <w:noWrap w:val="0"/>
            <w:vAlign w:val="center"/>
          </w:tcPr>
          <w:p>
            <w:pPr>
              <w:ind w:firstLine="420"/>
              <w:rPr>
                <w:rFonts w:hint="eastAsia" w:ascii="宋体" w:hAnsi="宋体" w:eastAsia="宋体" w:cs="宋体"/>
                <w:sz w:val="24"/>
                <w:szCs w:val="24"/>
              </w:rPr>
            </w:pPr>
          </w:p>
        </w:tc>
        <w:tc>
          <w:tcPr>
            <w:tcW w:w="1138"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287"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025" w:type="dxa"/>
            <w:tcBorders>
              <w:top w:val="nil"/>
              <w:left w:val="nil"/>
              <w:bottom w:val="single" w:color="auto" w:sz="4" w:space="0"/>
              <w:right w:val="single" w:color="auto" w:sz="4" w:space="0"/>
            </w:tcBorders>
            <w:noWrap w:val="0"/>
            <w:vAlign w:val="center"/>
          </w:tcPr>
          <w:p>
            <w:pPr>
              <w:ind w:firstLine="42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99" w:hRule="atLeast"/>
        </w:trPr>
        <w:tc>
          <w:tcPr>
            <w:tcW w:w="794"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hint="eastAsia" w:ascii="宋体" w:hAnsi="宋体" w:eastAsia="宋体" w:cs="宋体"/>
                <w:sz w:val="24"/>
                <w:szCs w:val="24"/>
              </w:rPr>
            </w:pPr>
          </w:p>
        </w:tc>
        <w:tc>
          <w:tcPr>
            <w:tcW w:w="1961" w:type="dxa"/>
            <w:tcBorders>
              <w:top w:val="nil"/>
              <w:left w:val="nil"/>
              <w:bottom w:val="single" w:color="auto" w:sz="4" w:space="0"/>
              <w:right w:val="single" w:color="auto" w:sz="4" w:space="0"/>
            </w:tcBorders>
            <w:shd w:val="clear" w:color="auto" w:fill="auto"/>
            <w:noWrap w:val="0"/>
            <w:vAlign w:val="center"/>
          </w:tcPr>
          <w:p>
            <w:pPr>
              <w:ind w:firstLine="420"/>
              <w:rPr>
                <w:rFonts w:hint="eastAsia" w:ascii="宋体" w:hAnsi="宋体" w:eastAsia="宋体" w:cs="宋体"/>
                <w:sz w:val="24"/>
                <w:szCs w:val="24"/>
              </w:rPr>
            </w:pPr>
          </w:p>
        </w:tc>
        <w:tc>
          <w:tcPr>
            <w:tcW w:w="1908" w:type="dxa"/>
            <w:tcBorders>
              <w:top w:val="nil"/>
              <w:left w:val="nil"/>
              <w:bottom w:val="single" w:color="auto" w:sz="4" w:space="0"/>
              <w:right w:val="single" w:color="auto" w:sz="4" w:space="0"/>
            </w:tcBorders>
            <w:shd w:val="clear" w:color="auto" w:fill="auto"/>
            <w:noWrap w:val="0"/>
            <w:vAlign w:val="center"/>
          </w:tcPr>
          <w:p>
            <w:pPr>
              <w:ind w:firstLine="420"/>
              <w:rPr>
                <w:rFonts w:hint="eastAsia" w:ascii="宋体" w:hAnsi="宋体" w:eastAsia="宋体" w:cs="宋体"/>
                <w:sz w:val="24"/>
                <w:szCs w:val="24"/>
              </w:rPr>
            </w:pPr>
          </w:p>
        </w:tc>
        <w:tc>
          <w:tcPr>
            <w:tcW w:w="1360" w:type="dxa"/>
            <w:tcBorders>
              <w:top w:val="nil"/>
              <w:left w:val="nil"/>
              <w:bottom w:val="single" w:color="auto" w:sz="4" w:space="0"/>
              <w:right w:val="single" w:color="auto" w:sz="4" w:space="0"/>
            </w:tcBorders>
            <w:shd w:val="clear" w:color="auto" w:fill="auto"/>
            <w:noWrap w:val="0"/>
            <w:vAlign w:val="center"/>
          </w:tcPr>
          <w:p>
            <w:pPr>
              <w:ind w:firstLine="420"/>
              <w:rPr>
                <w:rFonts w:hint="eastAsia" w:ascii="宋体" w:hAnsi="宋体" w:eastAsia="宋体" w:cs="宋体"/>
                <w:sz w:val="24"/>
                <w:szCs w:val="24"/>
              </w:rPr>
            </w:pPr>
          </w:p>
        </w:tc>
        <w:tc>
          <w:tcPr>
            <w:tcW w:w="1046" w:type="dxa"/>
            <w:tcBorders>
              <w:top w:val="nil"/>
              <w:left w:val="nil"/>
              <w:bottom w:val="single" w:color="auto" w:sz="4" w:space="0"/>
              <w:right w:val="single" w:color="auto" w:sz="4" w:space="0"/>
            </w:tcBorders>
            <w:shd w:val="clear" w:color="auto" w:fill="auto"/>
            <w:noWrap w:val="0"/>
            <w:vAlign w:val="center"/>
          </w:tcPr>
          <w:p>
            <w:pPr>
              <w:ind w:firstLine="420"/>
              <w:rPr>
                <w:rFonts w:hint="eastAsia" w:ascii="宋体" w:hAnsi="宋体" w:eastAsia="宋体" w:cs="宋体"/>
                <w:sz w:val="24"/>
                <w:szCs w:val="24"/>
              </w:rPr>
            </w:pPr>
          </w:p>
        </w:tc>
        <w:tc>
          <w:tcPr>
            <w:tcW w:w="1138" w:type="dxa"/>
            <w:tcBorders>
              <w:top w:val="nil"/>
              <w:left w:val="nil"/>
              <w:bottom w:val="single" w:color="auto" w:sz="4" w:space="0"/>
              <w:right w:val="single" w:color="auto" w:sz="4" w:space="0"/>
            </w:tcBorders>
            <w:shd w:val="clear" w:color="auto" w:fill="FFFFFF"/>
            <w:noWrap w:val="0"/>
            <w:vAlign w:val="center"/>
          </w:tcPr>
          <w:p>
            <w:pPr>
              <w:ind w:firstLine="422"/>
              <w:jc w:val="center"/>
              <w:rPr>
                <w:rFonts w:hint="eastAsia" w:ascii="宋体" w:hAnsi="宋体" w:eastAsia="宋体" w:cs="宋体"/>
                <w:b/>
                <w:bCs/>
                <w:sz w:val="24"/>
                <w:szCs w:val="24"/>
              </w:rPr>
            </w:pPr>
          </w:p>
        </w:tc>
        <w:tc>
          <w:tcPr>
            <w:tcW w:w="1287" w:type="dxa"/>
            <w:tcBorders>
              <w:top w:val="nil"/>
              <w:left w:val="nil"/>
              <w:bottom w:val="single" w:color="auto" w:sz="4" w:space="0"/>
              <w:right w:val="single" w:color="auto" w:sz="4" w:space="0"/>
            </w:tcBorders>
            <w:shd w:val="clear" w:color="auto" w:fill="FFFFFF"/>
            <w:noWrap w:val="0"/>
            <w:vAlign w:val="center"/>
          </w:tcPr>
          <w:p>
            <w:pPr>
              <w:ind w:firstLine="420"/>
              <w:jc w:val="center"/>
              <w:rPr>
                <w:rFonts w:hint="eastAsia" w:ascii="宋体" w:hAnsi="宋体" w:eastAsia="宋体" w:cs="宋体"/>
                <w:sz w:val="24"/>
                <w:szCs w:val="24"/>
              </w:rPr>
            </w:pPr>
          </w:p>
        </w:tc>
        <w:tc>
          <w:tcPr>
            <w:tcW w:w="1025" w:type="dxa"/>
            <w:tcBorders>
              <w:top w:val="nil"/>
              <w:left w:val="nil"/>
              <w:bottom w:val="single" w:color="auto" w:sz="4" w:space="0"/>
              <w:right w:val="single" w:color="auto" w:sz="4" w:space="0"/>
            </w:tcBorders>
            <w:shd w:val="clear" w:color="auto" w:fill="FFFFFF"/>
            <w:noWrap w:val="0"/>
            <w:vAlign w:val="center"/>
          </w:tcPr>
          <w:p>
            <w:pPr>
              <w:ind w:firstLine="42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99" w:hRule="atLeast"/>
        </w:trPr>
        <w:tc>
          <w:tcPr>
            <w:tcW w:w="794" w:type="dxa"/>
            <w:tcBorders>
              <w:top w:val="nil"/>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sz w:val="24"/>
                <w:szCs w:val="24"/>
              </w:rPr>
            </w:pPr>
          </w:p>
        </w:tc>
        <w:tc>
          <w:tcPr>
            <w:tcW w:w="1961"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908"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360"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046"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138" w:type="dxa"/>
            <w:tcBorders>
              <w:top w:val="nil"/>
              <w:left w:val="nil"/>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287" w:type="dxa"/>
            <w:tcBorders>
              <w:top w:val="nil"/>
              <w:left w:val="nil"/>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025" w:type="dxa"/>
            <w:tcBorders>
              <w:top w:val="nil"/>
              <w:left w:val="nil"/>
              <w:bottom w:val="single" w:color="auto" w:sz="4" w:space="0"/>
              <w:right w:val="single" w:color="auto" w:sz="4" w:space="0"/>
            </w:tcBorders>
            <w:noWrap w:val="0"/>
            <w:vAlign w:val="center"/>
          </w:tcPr>
          <w:p>
            <w:pPr>
              <w:ind w:firstLine="42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99" w:hRule="atLeast"/>
        </w:trPr>
        <w:tc>
          <w:tcPr>
            <w:tcW w:w="794" w:type="dxa"/>
            <w:tcBorders>
              <w:top w:val="nil"/>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sz w:val="24"/>
                <w:szCs w:val="24"/>
              </w:rPr>
            </w:pPr>
          </w:p>
        </w:tc>
        <w:tc>
          <w:tcPr>
            <w:tcW w:w="1961"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908"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360"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046"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138" w:type="dxa"/>
            <w:tcBorders>
              <w:top w:val="nil"/>
              <w:left w:val="nil"/>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287" w:type="dxa"/>
            <w:tcBorders>
              <w:top w:val="nil"/>
              <w:left w:val="nil"/>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025" w:type="dxa"/>
            <w:tcBorders>
              <w:top w:val="nil"/>
              <w:left w:val="nil"/>
              <w:bottom w:val="single" w:color="auto" w:sz="4" w:space="0"/>
              <w:right w:val="single" w:color="auto" w:sz="4" w:space="0"/>
            </w:tcBorders>
            <w:noWrap w:val="0"/>
            <w:vAlign w:val="center"/>
          </w:tcPr>
          <w:p>
            <w:pPr>
              <w:ind w:firstLine="42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67" w:hRule="atLeast"/>
        </w:trPr>
        <w:tc>
          <w:tcPr>
            <w:tcW w:w="794" w:type="dxa"/>
            <w:tcBorders>
              <w:top w:val="nil"/>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sz w:val="24"/>
                <w:szCs w:val="24"/>
              </w:rPr>
            </w:pPr>
          </w:p>
        </w:tc>
        <w:tc>
          <w:tcPr>
            <w:tcW w:w="1961"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908"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360"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046" w:type="dxa"/>
            <w:tcBorders>
              <w:top w:val="nil"/>
              <w:left w:val="nil"/>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138" w:type="dxa"/>
            <w:tcBorders>
              <w:top w:val="nil"/>
              <w:left w:val="nil"/>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287" w:type="dxa"/>
            <w:tcBorders>
              <w:top w:val="nil"/>
              <w:left w:val="nil"/>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025" w:type="dxa"/>
            <w:tcBorders>
              <w:top w:val="nil"/>
              <w:left w:val="nil"/>
              <w:bottom w:val="single" w:color="auto" w:sz="4" w:space="0"/>
              <w:right w:val="single" w:color="auto" w:sz="4" w:space="0"/>
            </w:tcBorders>
            <w:noWrap w:val="0"/>
            <w:vAlign w:val="center"/>
          </w:tcPr>
          <w:p>
            <w:pPr>
              <w:ind w:firstLine="42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1021"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sz w:val="24"/>
                <w:szCs w:val="24"/>
                <w:lang w:eastAsia="zh-CN"/>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ind w:firstLine="420"/>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宋体" w:hAnsi="宋体" w:eastAsia="宋体" w:cs="宋体"/>
                <w:sz w:val="24"/>
                <w:szCs w:val="24"/>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ind w:firstLine="420"/>
              <w:jc w:val="center"/>
              <w:rPr>
                <w:rFonts w:hint="eastAsia" w:ascii="宋体" w:hAnsi="宋体" w:eastAsia="宋体" w:cs="宋体"/>
                <w:sz w:val="24"/>
                <w:szCs w:val="24"/>
              </w:rPr>
            </w:pPr>
          </w:p>
        </w:tc>
      </w:tr>
    </w:tbl>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注：1、供应商必须按“分项报价明细表”的格式详细报出投标总价的各个组成部分的报价，否则作无效投标处理。</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2、“分项报价明细表”各分项报价合计应当与“</w:t>
      </w:r>
      <w:r>
        <w:rPr>
          <w:rFonts w:hint="eastAsia" w:ascii="宋体" w:hAnsi="宋体" w:eastAsia="宋体" w:cs="宋体"/>
          <w:sz w:val="24"/>
          <w:szCs w:val="24"/>
          <w:lang w:eastAsia="zh-CN"/>
        </w:rPr>
        <w:t>报价</w:t>
      </w:r>
      <w:r>
        <w:rPr>
          <w:rFonts w:hint="eastAsia" w:ascii="宋体" w:hAnsi="宋体" w:eastAsia="宋体" w:cs="宋体"/>
          <w:sz w:val="24"/>
          <w:szCs w:val="24"/>
        </w:rPr>
        <w:t>一览表”报价合计相等。</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adjustRightInd w:val="0"/>
        <w:snapToGrid w:val="0"/>
        <w:spacing w:line="360" w:lineRule="auto"/>
        <w:rPr>
          <w:rFonts w:hint="eastAsia" w:ascii="宋体" w:hAnsi="宋体" w:eastAsia="宋体" w:cs="宋体"/>
          <w:sz w:val="24"/>
          <w:szCs w:val="24"/>
          <w:lang w:val="en-US" w:eastAsia="zh-CN"/>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        （盖章）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adjustRightInd w:val="0"/>
        <w:snapToGrid w:val="0"/>
        <w:spacing w:line="360" w:lineRule="auto"/>
        <w:jc w:val="right"/>
        <w:rPr>
          <w:rFonts w:hint="eastAsia" w:ascii="新宋体" w:hAnsi="新宋体" w:eastAsia="新宋体"/>
          <w:sz w:val="24"/>
        </w:rPr>
        <w:sectPr>
          <w:footerReference r:id="rId14" w:type="first"/>
          <w:footerReference r:id="rId13" w:type="default"/>
          <w:pgSz w:w="12240" w:h="15840"/>
          <w:pgMar w:top="720" w:right="720" w:bottom="720" w:left="1140" w:header="0" w:footer="85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p>
    <w:p>
      <w:pPr>
        <w:pStyle w:val="24"/>
        <w:adjustRightInd w:val="0"/>
        <w:snapToGrid w:val="0"/>
        <w:spacing w:line="360" w:lineRule="auto"/>
        <w:jc w:val="both"/>
        <w:outlineLvl w:val="9"/>
        <w:rPr>
          <w:rFonts w:hint="eastAsia" w:hAnsi="宋体" w:cs="宋体"/>
          <w:b/>
          <w:color w:val="auto"/>
          <w:sz w:val="28"/>
          <w:szCs w:val="28"/>
        </w:rPr>
      </w:pPr>
    </w:p>
    <w:p>
      <w:pPr>
        <w:pStyle w:val="24"/>
        <w:adjustRightInd w:val="0"/>
        <w:snapToGrid w:val="0"/>
        <w:spacing w:line="360" w:lineRule="auto"/>
        <w:jc w:val="center"/>
        <w:outlineLvl w:val="9"/>
        <w:rPr>
          <w:rFonts w:hint="eastAsia" w:hAnsi="宋体" w:cs="宋体"/>
          <w:b/>
          <w:color w:val="auto"/>
          <w:sz w:val="28"/>
          <w:szCs w:val="28"/>
        </w:rPr>
      </w:pPr>
      <w:r>
        <w:rPr>
          <w:rFonts w:hint="eastAsia" w:hAnsi="宋体" w:cs="宋体"/>
          <w:b/>
          <w:color w:val="auto"/>
          <w:sz w:val="28"/>
          <w:szCs w:val="28"/>
          <w:lang w:eastAsia="zh-CN"/>
        </w:rPr>
        <w:t>三、投标</w:t>
      </w:r>
      <w:r>
        <w:rPr>
          <w:rFonts w:hint="eastAsia" w:hAnsi="宋体" w:cs="宋体"/>
          <w:b/>
          <w:color w:val="auto"/>
          <w:sz w:val="28"/>
          <w:szCs w:val="28"/>
        </w:rPr>
        <w:t>保证金</w:t>
      </w:r>
    </w:p>
    <w:p>
      <w:pPr>
        <w:pStyle w:val="24"/>
        <w:adjustRightInd w:val="0"/>
        <w:snapToGrid w:val="0"/>
        <w:spacing w:before="156" w:beforeLines="50" w:line="360" w:lineRule="auto"/>
        <w:rPr>
          <w:rFonts w:hint="eastAsia" w:hAnsi="宋体" w:cs="宋体"/>
          <w:color w:val="auto"/>
        </w:rPr>
      </w:pPr>
    </w:p>
    <w:p>
      <w:pPr>
        <w:adjustRightInd w:val="0"/>
        <w:snapToGrid w:val="0"/>
        <w:spacing w:line="360" w:lineRule="auto"/>
        <w:rPr>
          <w:rFonts w:hint="eastAsia" w:ascii="宋体" w:hAnsi="宋体" w:cs="宋体"/>
          <w:bCs/>
          <w:color w:val="auto"/>
          <w:sz w:val="24"/>
        </w:rPr>
      </w:pPr>
      <w:r>
        <w:rPr>
          <w:rFonts w:hint="eastAsia" w:ascii="宋体" w:hAnsi="宋体" w:cs="宋体"/>
          <w:color w:val="auto"/>
          <w:sz w:val="24"/>
          <w:lang w:eastAsia="zh-CN"/>
        </w:rPr>
        <w:t>投标保证金收据</w:t>
      </w:r>
      <w:r>
        <w:rPr>
          <w:rFonts w:hint="eastAsia" w:ascii="宋体" w:hAnsi="宋体" w:cs="宋体"/>
          <w:color w:val="auto"/>
          <w:sz w:val="24"/>
        </w:rPr>
        <w:t>复印件</w:t>
      </w: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供应商名称（盖单位章）：</w:t>
      </w:r>
    </w:p>
    <w:p>
      <w:pPr>
        <w:adjustRightInd w:val="0"/>
        <w:snapToGrid w:val="0"/>
        <w:spacing w:line="360" w:lineRule="auto"/>
        <w:ind w:right="420" w:firstLine="4560" w:firstLineChars="19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eastAsia="zh-CN"/>
        </w:rPr>
        <w:t>或</w:t>
      </w:r>
      <w:r>
        <w:rPr>
          <w:rFonts w:hint="eastAsia" w:ascii="宋体" w:hAnsi="宋体" w:cs="宋体"/>
          <w:color w:val="auto"/>
          <w:sz w:val="24"/>
          <w:szCs w:val="24"/>
        </w:rPr>
        <w:t>委托代理人（签字）：</w:t>
      </w:r>
      <w:r>
        <w:rPr>
          <w:rFonts w:hint="eastAsia" w:ascii="宋体" w:hAnsi="宋体" w:cs="宋体"/>
          <w:color w:val="auto"/>
          <w:sz w:val="24"/>
          <w:szCs w:val="24"/>
          <w:u w:val="single"/>
        </w:rPr>
        <w:t xml:space="preserve">                                       </w:t>
      </w:r>
    </w:p>
    <w:p>
      <w:pPr>
        <w:adjustRightInd w:val="0"/>
        <w:snapToGrid w:val="0"/>
        <w:spacing w:line="360" w:lineRule="auto"/>
        <w:ind w:right="24" w:firstLine="4080" w:firstLineChars="17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autoSpaceDE w:val="0"/>
        <w:autoSpaceDN w:val="0"/>
        <w:adjustRightInd w:val="0"/>
        <w:snapToGrid w:val="0"/>
        <w:spacing w:line="360" w:lineRule="auto"/>
        <w:ind w:firstLine="480" w:firstLineChars="200"/>
        <w:rPr>
          <w:rFonts w:hint="default" w:ascii="宋体" w:hAnsi="宋体" w:eastAsia="宋体" w:cs="宋体"/>
          <w:color w:val="auto"/>
          <w:sz w:val="24"/>
          <w:szCs w:val="24"/>
          <w:lang w:val="en-US" w:eastAsia="zh-CN"/>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rPr>
          <w:rFonts w:hint="eastAsia" w:ascii="宋体" w:hAnsi="宋体" w:cs="宋体"/>
          <w:color w:val="auto"/>
          <w:sz w:val="24"/>
        </w:rPr>
      </w:pPr>
    </w:p>
    <w:p>
      <w:pPr>
        <w:spacing w:line="360" w:lineRule="auto"/>
        <w:rPr>
          <w:rFonts w:hint="eastAsia" w:ascii="宋体" w:hAnsi="宋体" w:eastAsia="宋体" w:cs="宋体"/>
          <w:color w:val="auto"/>
          <w:sz w:val="32"/>
          <w:szCs w:val="32"/>
          <w:lang w:eastAsia="zh-CN"/>
        </w:rPr>
      </w:pPr>
      <w:r>
        <w:rPr>
          <w:rFonts w:hint="eastAsia" w:ascii="宋体" w:hAnsi="宋体" w:cs="宋体"/>
          <w:color w:val="auto"/>
          <w:sz w:val="32"/>
          <w:szCs w:val="32"/>
        </w:rPr>
        <w:t>附件</w:t>
      </w:r>
      <w:r>
        <w:rPr>
          <w:rFonts w:hint="eastAsia" w:ascii="宋体" w:hAnsi="宋体" w:cs="宋体"/>
          <w:color w:val="auto"/>
          <w:sz w:val="32"/>
          <w:szCs w:val="32"/>
          <w:lang w:val="en-US" w:eastAsia="zh-CN"/>
        </w:rPr>
        <w:t>4</w:t>
      </w: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color w:val="auto"/>
          <w:sz w:val="28"/>
          <w:szCs w:val="28"/>
          <w:lang w:eastAsia="zh-CN"/>
        </w:rPr>
        <w:t>四</w:t>
      </w:r>
      <w:r>
        <w:rPr>
          <w:rFonts w:hint="eastAsia" w:ascii="宋体" w:hAnsi="宋体" w:cs="宋体"/>
          <w:b/>
          <w:color w:val="auto"/>
          <w:sz w:val="28"/>
          <w:szCs w:val="28"/>
        </w:rPr>
        <w:t>、供应商</w:t>
      </w:r>
      <w:r>
        <w:rPr>
          <w:rFonts w:hint="eastAsia" w:ascii="宋体" w:hAnsi="宋体" w:cs="宋体"/>
          <w:b/>
          <w:bCs/>
          <w:color w:val="auto"/>
          <w:sz w:val="28"/>
          <w:szCs w:val="28"/>
        </w:rPr>
        <w:t>的资格证明材料</w:t>
      </w: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供应商基本情况表</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盖供应商单位章</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1440"/>
        <w:gridCol w:w="1377"/>
        <w:gridCol w:w="1329"/>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2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396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485"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2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396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485"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2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485"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3960"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2485"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19" w:type="dxa"/>
            <w:vMerge w:val="restart"/>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4"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40"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1377" w:type="dxa"/>
            <w:tcBorders>
              <w:tl2br w:val="nil"/>
              <w:tr2bl w:val="nil"/>
            </w:tcBorders>
            <w:noWrap w:val="0"/>
            <w:vAlign w:val="center"/>
          </w:tcPr>
          <w:p>
            <w:pPr>
              <w:topLinePunct/>
              <w:spacing w:line="360" w:lineRule="auto"/>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814" w:type="dxa"/>
            <w:gridSpan w:val="2"/>
            <w:tcBorders>
              <w:tl2br w:val="nil"/>
              <w:tr2bl w:val="nil"/>
            </w:tcBorders>
            <w:noWrap w:val="0"/>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19" w:type="dxa"/>
            <w:vMerge w:val="continue"/>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2044"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1377" w:type="dxa"/>
            <w:tcBorders>
              <w:tl2br w:val="nil"/>
              <w:tr2bl w:val="nil"/>
            </w:tcBorders>
            <w:noWrap w:val="0"/>
            <w:vAlign w:val="center"/>
          </w:tcPr>
          <w:p>
            <w:pPr>
              <w:topLinePunct/>
              <w:spacing w:line="360" w:lineRule="auto"/>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814" w:type="dxa"/>
            <w:gridSpan w:val="2"/>
            <w:tcBorders>
              <w:tl2br w:val="nil"/>
              <w:tr2bl w:val="nil"/>
            </w:tcBorders>
            <w:noWrap w:val="0"/>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9" w:type="dxa"/>
            <w:vMerge w:val="continue"/>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2044"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631" w:type="dxa"/>
            <w:gridSpan w:val="4"/>
            <w:tcBorders>
              <w:tl2br w:val="nil"/>
              <w:tr2bl w:val="nil"/>
            </w:tcBorders>
            <w:noWrap w:val="0"/>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c>
          <w:tcPr>
            <w:tcW w:w="2044" w:type="dxa"/>
            <w:gridSpan w:val="3"/>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631" w:type="dxa"/>
            <w:gridSpan w:val="4"/>
            <w:tcBorders>
              <w:tl2br w:val="nil"/>
              <w:tr2bl w:val="nil"/>
            </w:tcBorders>
            <w:noWrap w:val="0"/>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3" w:type="dxa"/>
            <w:gridSpan w:val="4"/>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基本账户开户行及帐号</w:t>
            </w:r>
          </w:p>
        </w:tc>
        <w:tc>
          <w:tcPr>
            <w:tcW w:w="6631" w:type="dxa"/>
            <w:gridSpan w:val="4"/>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58" w:type="dxa"/>
            <w:gridSpan w:val="2"/>
            <w:tcBorders>
              <w:tl2br w:val="nil"/>
              <w:tr2bl w:val="nil"/>
            </w:tcBorders>
            <w:noWrap w:val="0"/>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136" w:type="dxa"/>
            <w:gridSpan w:val="6"/>
            <w:tcBorders>
              <w:tl2br w:val="nil"/>
              <w:tr2bl w:val="nil"/>
            </w:tcBorders>
            <w:noWrap w:val="0"/>
            <w:vAlign w:val="center"/>
          </w:tcPr>
          <w:p>
            <w:pPr>
              <w:topLinePunct/>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后附：营业执照、会计事务所出具的20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年度财务审计报告或</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lang w:eastAsia="zh-CN"/>
              </w:rPr>
              <w:t>银行出具的资信证明（资信证明仅限</w:t>
            </w:r>
            <w:r>
              <w:rPr>
                <w:rFonts w:hint="eastAsia" w:ascii="宋体" w:hAnsi="宋体" w:eastAsia="宋体" w:cs="宋体"/>
                <w:color w:val="auto"/>
                <w:sz w:val="24"/>
                <w:szCs w:val="24"/>
                <w:lang w:val="en-US" w:eastAsia="zh-CN"/>
              </w:rPr>
              <w:t>2021年成立的企业</w:t>
            </w:r>
            <w:r>
              <w:rPr>
                <w:rFonts w:hint="eastAsia" w:ascii="宋体" w:hAnsi="宋体" w:eastAsia="宋体" w:cs="宋体"/>
                <w:color w:val="auto"/>
                <w:sz w:val="24"/>
                <w:szCs w:val="24"/>
                <w:lang w:eastAsia="zh-CN"/>
              </w:rPr>
              <w:t>）、税务部门出具的2020年依法纳税证明资料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社保机构出具的供应商被授权委托人缴纳202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月-2021年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eastAsia="zh-CN"/>
              </w:rPr>
              <w:t xml:space="preserve">月的社保资金证明原件或加盖电子专用章的缴费清单、供应商分别在“信用中国”（www.creditchina.gov.cn）网上查询本公司未被列入失信被执行人、重大税收违法案件当事人名单、“中国政府采购网”（ </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"http://www.ccgp.gov.cn）网上查询本公司未被列入政府采购严重违法失信行为记录名单（提供查询结果网页截图并加盖供应商公章，网页打印件须自招标公告发布之日起至截止日内从上述网站中打印）；" </w:instrText>
            </w:r>
            <w:r>
              <w:rPr>
                <w:rFonts w:hint="eastAsia" w:ascii="宋体" w:hAnsi="宋体" w:eastAsia="宋体" w:cs="宋体"/>
                <w:color w:val="auto"/>
                <w:sz w:val="24"/>
                <w:szCs w:val="24"/>
                <w:lang w:eastAsia="zh-CN"/>
              </w:rPr>
              <w:fldChar w:fldCharType="separate"/>
            </w:r>
            <w:r>
              <w:rPr>
                <w:rStyle w:val="56"/>
                <w:rFonts w:hint="eastAsia" w:ascii="宋体" w:hAnsi="宋体" w:eastAsia="宋体" w:cs="宋体"/>
                <w:sz w:val="24"/>
                <w:szCs w:val="24"/>
                <w:lang w:eastAsia="zh-CN"/>
              </w:rPr>
              <w:t>www.ccgp.gov.cn）网上查询本公司未被列入政府采购严重违法失信行为记录名单（提供查询结果网页截图并加盖供应商公章，网页打印件须自公告发布之日起至截止日内从上述网站中打印）。</w:t>
            </w:r>
            <w:r>
              <w:rPr>
                <w:rFonts w:hint="eastAsia" w:ascii="宋体" w:hAnsi="宋体" w:eastAsia="宋体" w:cs="宋体"/>
                <w:color w:val="auto"/>
                <w:sz w:val="24"/>
                <w:szCs w:val="24"/>
                <w:lang w:eastAsia="zh-CN"/>
              </w:rPr>
              <w:fldChar w:fldCharType="end"/>
            </w:r>
            <w:bookmarkStart w:id="34" w:name="_GoBack"/>
            <w:bookmarkEnd w:id="34"/>
          </w:p>
          <w:p>
            <w:pPr>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（注：以上复印件需加盖单位公章）</w:t>
            </w:r>
          </w:p>
        </w:tc>
      </w:tr>
    </w:tbl>
    <w:p>
      <w:pPr>
        <w:tabs>
          <w:tab w:val="left" w:pos="360"/>
          <w:tab w:val="left" w:pos="1800"/>
        </w:tabs>
        <w:spacing w:line="360" w:lineRule="auto"/>
        <w:ind w:right="960"/>
        <w:jc w:val="both"/>
        <w:rPr>
          <w:rFonts w:hint="default" w:ascii="宋体" w:hAnsi="宋体" w:eastAsia="宋体" w:cs="宋体"/>
          <w:b/>
          <w:color w:val="000000"/>
          <w:sz w:val="24"/>
          <w:szCs w:val="24"/>
          <w:highlight w:val="none"/>
          <w:lang w:val="en-US" w:eastAsia="zh-CN"/>
        </w:rPr>
      </w:pPr>
    </w:p>
    <w:p>
      <w:pPr>
        <w:tabs>
          <w:tab w:val="left" w:pos="360"/>
          <w:tab w:val="left" w:pos="1800"/>
        </w:tabs>
        <w:spacing w:line="360" w:lineRule="auto"/>
        <w:ind w:right="960"/>
        <w:jc w:val="both"/>
        <w:rPr>
          <w:rFonts w:hint="eastAsia" w:ascii="宋体" w:hAnsi="宋体" w:eastAsia="宋体" w:cs="宋体"/>
          <w:b/>
          <w:color w:val="000000"/>
          <w:sz w:val="24"/>
          <w:szCs w:val="24"/>
          <w:highlight w:val="none"/>
          <w:lang w:val="en-US" w:eastAsia="zh-CN"/>
        </w:rPr>
      </w:pPr>
    </w:p>
    <w:p>
      <w:pPr>
        <w:pStyle w:val="18"/>
        <w:rPr>
          <w:rFonts w:hint="eastAsia" w:ascii="宋体" w:hAnsi="宋体" w:eastAsia="宋体" w:cs="宋体"/>
          <w:b/>
          <w:color w:val="000000"/>
          <w:sz w:val="24"/>
          <w:szCs w:val="24"/>
          <w:highlight w:val="none"/>
          <w:lang w:val="en-US" w:eastAsia="zh-CN"/>
        </w:rPr>
      </w:pPr>
    </w:p>
    <w:p>
      <w:pPr>
        <w:pStyle w:val="26"/>
        <w:rPr>
          <w:rFonts w:hint="eastAsia"/>
          <w:lang w:val="en-US" w:eastAsia="zh-CN"/>
        </w:rPr>
      </w:pP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供应商有关评分标准内容的证明文件</w:t>
      </w:r>
    </w:p>
    <w:p>
      <w:pPr>
        <w:adjustRightInd w:val="0"/>
        <w:snapToGrid w:val="0"/>
        <w:spacing w:before="156" w:beforeLines="50" w:line="360" w:lineRule="auto"/>
        <w:rPr>
          <w:rFonts w:hint="eastAsia" w:ascii="宋体" w:hAnsi="宋体" w:cs="宋体"/>
          <w:color w:val="auto"/>
          <w:sz w:val="28"/>
          <w:szCs w:val="28"/>
        </w:rPr>
      </w:pPr>
    </w:p>
    <w:p>
      <w:pPr>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说明：</w:t>
      </w:r>
      <w:r>
        <w:rPr>
          <w:rFonts w:hint="eastAsia" w:ascii="宋体" w:hAnsi="宋体" w:cs="宋体"/>
          <w:color w:val="auto"/>
          <w:kern w:val="0"/>
          <w:sz w:val="24"/>
          <w:lang w:val="zh-CN"/>
        </w:rPr>
        <w:t>供应商根据磋商文件第三章“评分细则”的要求，</w:t>
      </w:r>
      <w:r>
        <w:rPr>
          <w:rFonts w:hint="eastAsia" w:ascii="宋体" w:hAnsi="宋体" w:cs="宋体"/>
          <w:color w:val="auto"/>
          <w:sz w:val="24"/>
        </w:rPr>
        <w:t>提供有关证明材料。</w:t>
      </w: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djustRightInd w:val="0"/>
        <w:snapToGrid w:val="0"/>
        <w:spacing w:line="360" w:lineRule="auto"/>
        <w:ind w:firstLine="843" w:firstLineChars="300"/>
        <w:jc w:val="center"/>
        <w:outlineLvl w:val="9"/>
        <w:rPr>
          <w:rFonts w:hint="eastAsia" w:ascii="宋体" w:hAnsi="宋体" w:cs="宋体"/>
          <w:b/>
          <w:color w:val="auto"/>
          <w:sz w:val="28"/>
          <w:szCs w:val="28"/>
          <w:lang w:eastAsia="zh-CN"/>
        </w:rPr>
      </w:pPr>
    </w:p>
    <w:p>
      <w:pPr>
        <w:adjustRightInd w:val="0"/>
        <w:snapToGrid w:val="0"/>
        <w:spacing w:line="360" w:lineRule="auto"/>
        <w:ind w:firstLine="843" w:firstLineChars="300"/>
        <w:jc w:val="center"/>
        <w:outlineLvl w:val="9"/>
        <w:rPr>
          <w:rFonts w:hint="eastAsia" w:ascii="宋体" w:hAnsi="宋体" w:cs="宋体"/>
          <w:b/>
          <w:color w:val="auto"/>
          <w:sz w:val="28"/>
          <w:szCs w:val="28"/>
          <w:lang w:eastAsia="zh-CN"/>
        </w:rPr>
      </w:pPr>
    </w:p>
    <w:p>
      <w:pPr>
        <w:adjustRightInd w:val="0"/>
        <w:snapToGrid w:val="0"/>
        <w:spacing w:line="360" w:lineRule="auto"/>
        <w:ind w:firstLine="843" w:firstLineChars="300"/>
        <w:jc w:val="center"/>
        <w:outlineLvl w:val="9"/>
        <w:rPr>
          <w:rFonts w:hint="eastAsia" w:ascii="宋体" w:hAnsi="宋体" w:cs="宋体"/>
          <w:b/>
          <w:color w:val="auto"/>
          <w:sz w:val="28"/>
          <w:szCs w:val="28"/>
          <w:lang w:eastAsia="zh-CN"/>
        </w:rPr>
      </w:pPr>
    </w:p>
    <w:p>
      <w:pPr>
        <w:adjustRightInd w:val="0"/>
        <w:snapToGrid w:val="0"/>
        <w:spacing w:line="360" w:lineRule="auto"/>
        <w:ind w:firstLine="843" w:firstLineChars="300"/>
        <w:jc w:val="center"/>
        <w:outlineLvl w:val="9"/>
        <w:rPr>
          <w:rFonts w:hint="eastAsia" w:ascii="宋体" w:hAnsi="宋体" w:cs="宋体"/>
          <w:b/>
          <w:color w:val="auto"/>
          <w:sz w:val="28"/>
          <w:szCs w:val="28"/>
          <w:lang w:eastAsia="zh-CN"/>
        </w:rPr>
      </w:pPr>
    </w:p>
    <w:p>
      <w:pPr>
        <w:adjustRightInd w:val="0"/>
        <w:snapToGrid w:val="0"/>
        <w:spacing w:line="360" w:lineRule="auto"/>
        <w:jc w:val="both"/>
        <w:outlineLvl w:val="9"/>
        <w:rPr>
          <w:rFonts w:hint="eastAsia" w:ascii="宋体" w:hAnsi="宋体" w:cs="宋体"/>
          <w:b/>
          <w:color w:val="auto"/>
          <w:sz w:val="28"/>
          <w:szCs w:val="28"/>
          <w:lang w:eastAsia="zh-CN"/>
        </w:rPr>
      </w:pPr>
    </w:p>
    <w:p>
      <w:pPr>
        <w:adjustRightInd w:val="0"/>
        <w:snapToGrid w:val="0"/>
        <w:spacing w:line="360" w:lineRule="auto"/>
        <w:ind w:firstLine="843" w:firstLineChars="300"/>
        <w:jc w:val="center"/>
        <w:outlineLvl w:val="9"/>
        <w:rPr>
          <w:rFonts w:hint="eastAsia" w:ascii="宋体" w:hAnsi="宋体" w:cs="宋体"/>
          <w:b/>
          <w:color w:val="auto"/>
          <w:sz w:val="28"/>
          <w:szCs w:val="28"/>
          <w:lang w:eastAsia="zh-CN"/>
        </w:rPr>
      </w:pPr>
    </w:p>
    <w:p>
      <w:pPr>
        <w:pStyle w:val="2"/>
        <w:jc w:val="both"/>
        <w:rPr>
          <w:rFonts w:hint="eastAsia"/>
          <w:lang w:eastAsia="zh-CN"/>
        </w:rPr>
      </w:pPr>
    </w:p>
    <w:p>
      <w:pPr>
        <w:adjustRightInd w:val="0"/>
        <w:snapToGrid w:val="0"/>
        <w:spacing w:line="360" w:lineRule="auto"/>
        <w:jc w:val="center"/>
        <w:outlineLvl w:val="9"/>
        <w:rPr>
          <w:rFonts w:hint="eastAsia" w:ascii="宋体" w:hAnsi="宋体" w:eastAsia="宋体" w:cs="宋体"/>
          <w:b/>
          <w:color w:val="auto"/>
          <w:sz w:val="28"/>
          <w:szCs w:val="28"/>
          <w:lang w:eastAsia="zh-CN"/>
        </w:rPr>
      </w:pPr>
    </w:p>
    <w:p>
      <w:pPr>
        <w:adjustRightInd w:val="0"/>
        <w:snapToGrid w:val="0"/>
        <w:spacing w:line="360" w:lineRule="auto"/>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、技术/商务响应与偏离表</w:t>
      </w:r>
    </w:p>
    <w:p>
      <w:pPr>
        <w:adjustRightInd w:val="0"/>
        <w:snapToGrid w:val="0"/>
        <w:spacing w:line="360" w:lineRule="auto"/>
        <w:ind w:left="-88" w:leftChars="-42" w:firstLine="315" w:firstLineChars="150"/>
        <w:rPr>
          <w:rFonts w:hint="eastAsia" w:ascii="宋体" w:hAnsi="宋体" w:cs="宋体"/>
          <w:color w:val="auto"/>
          <w:szCs w:val="21"/>
          <w:u w:val="singl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8"/>
        <w:gridCol w:w="1965"/>
        <w:gridCol w:w="2160"/>
        <w:gridCol w:w="2832"/>
        <w:gridCol w:w="129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948"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965"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磋商文件条目号</w:t>
            </w:r>
          </w:p>
        </w:tc>
        <w:tc>
          <w:tcPr>
            <w:tcW w:w="21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采购规格/商务条款</w:t>
            </w:r>
          </w:p>
        </w:tc>
        <w:tc>
          <w:tcPr>
            <w:tcW w:w="2832"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响应文件的规格/商务条款</w:t>
            </w:r>
          </w:p>
        </w:tc>
        <w:tc>
          <w:tcPr>
            <w:tcW w:w="129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响应与偏离</w:t>
            </w:r>
          </w:p>
        </w:tc>
        <w:tc>
          <w:tcPr>
            <w:tcW w:w="7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noWrap w:val="0"/>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noWrap w:val="0"/>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noWrap w:val="0"/>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noWrap w:val="0"/>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noWrap w:val="0"/>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noWrap w:val="0"/>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bl>
    <w:p>
      <w:pPr>
        <w:adjustRightInd w:val="0"/>
        <w:snapToGrid w:val="0"/>
        <w:spacing w:line="360" w:lineRule="auto"/>
        <w:ind w:left="-88" w:leftChars="-42"/>
        <w:rPr>
          <w:rFonts w:hint="eastAsia" w:ascii="宋体" w:hAnsi="宋体" w:cs="宋体"/>
          <w:color w:val="auto"/>
          <w:sz w:val="24"/>
          <w:szCs w:val="24"/>
        </w:rPr>
      </w:pPr>
      <w:r>
        <w:rPr>
          <w:rFonts w:hint="eastAsia" w:ascii="宋体" w:hAnsi="宋体" w:cs="宋体"/>
          <w:color w:val="auto"/>
          <w:sz w:val="24"/>
          <w:szCs w:val="24"/>
        </w:rPr>
        <w:t>说明：1、“响应与偏离”应注明“响应”或“偏离”。</w:t>
      </w:r>
    </w:p>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 xml:space="preserve">     </w:t>
      </w:r>
      <w:r>
        <w:rPr>
          <w:rFonts w:hint="eastAsia" w:ascii="宋体" w:hAnsi="宋体" w:cs="宋体"/>
          <w:color w:val="auto"/>
          <w:sz w:val="24"/>
          <w:szCs w:val="24"/>
        </w:rPr>
        <w:t>2、属磋商文件规定可能变动的内容在“说明”栏中注明。</w:t>
      </w:r>
    </w:p>
    <w:p>
      <w:pPr>
        <w:pStyle w:val="26"/>
        <w:adjustRightInd w:val="0"/>
        <w:snapToGrid w:val="0"/>
        <w:spacing w:line="360" w:lineRule="auto"/>
        <w:outlineLvl w:val="9"/>
        <w:rPr>
          <w:rFonts w:hint="eastAsia" w:ascii="宋体" w:hAnsi="宋体" w:cs="宋体"/>
          <w:color w:val="auto"/>
          <w:sz w:val="24"/>
          <w:szCs w:val="24"/>
        </w:rPr>
      </w:pPr>
    </w:p>
    <w:p>
      <w:pPr>
        <w:pStyle w:val="26"/>
        <w:adjustRightInd w:val="0"/>
        <w:snapToGrid w:val="0"/>
        <w:spacing w:line="360" w:lineRule="auto"/>
        <w:jc w:val="right"/>
        <w:outlineLvl w:val="9"/>
        <w:rPr>
          <w:rFonts w:hint="eastAsia" w:ascii="宋体" w:hAnsi="宋体" w:cs="宋体"/>
          <w:bCs/>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p>
    <w:p>
      <w:pPr>
        <w:adjustRightInd w:val="0"/>
        <w:snapToGrid w:val="0"/>
        <w:spacing w:line="360" w:lineRule="auto"/>
        <w:jc w:val="right"/>
        <w:outlineLvl w:val="9"/>
        <w:rPr>
          <w:rFonts w:hint="eastAsia" w:ascii="宋体" w:hAnsi="宋体" w:cs="宋体"/>
          <w:color w:val="auto"/>
          <w:sz w:val="24"/>
          <w:szCs w:val="24"/>
        </w:rPr>
      </w:pPr>
      <w:r>
        <w:rPr>
          <w:rFonts w:hint="eastAsia" w:ascii="宋体" w:hAnsi="宋体" w:cs="宋体"/>
          <w:color w:val="auto"/>
          <w:sz w:val="24"/>
          <w:szCs w:val="24"/>
        </w:rPr>
        <w:t>法定代表人或其委托代理人(签字)：</w:t>
      </w:r>
      <w:r>
        <w:rPr>
          <w:rFonts w:hint="eastAsia" w:ascii="宋体" w:hAnsi="宋体" w:cs="宋体"/>
          <w:color w:val="auto"/>
          <w:sz w:val="24"/>
          <w:szCs w:val="24"/>
          <w:u w:val="single"/>
        </w:rPr>
        <w:t xml:space="preserve">                   </w:t>
      </w:r>
    </w:p>
    <w:p>
      <w:pPr>
        <w:adjustRightInd w:val="0"/>
        <w:snapToGrid w:val="0"/>
        <w:spacing w:line="360" w:lineRule="auto"/>
        <w:jc w:val="right"/>
        <w:outlineLvl w:val="9"/>
        <w:rPr>
          <w:rFonts w:hint="eastAsia" w:ascii="宋体" w:hAnsi="宋体" w:cs="宋体"/>
          <w:color w:val="auto"/>
          <w:sz w:val="24"/>
          <w:szCs w:val="24"/>
        </w:rPr>
      </w:pPr>
      <w:r>
        <w:rPr>
          <w:rFonts w:hint="eastAsia" w:ascii="宋体" w:hAnsi="宋体" w:cs="宋体"/>
          <w:color w:val="auto"/>
          <w:sz w:val="24"/>
          <w:szCs w:val="24"/>
        </w:rPr>
        <w:t xml:space="preserve">日  期：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月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日</w:t>
      </w:r>
    </w:p>
    <w:p>
      <w:pPr>
        <w:pStyle w:val="2"/>
        <w:jc w:val="both"/>
        <w:rPr>
          <w:rFonts w:hint="eastAsia"/>
        </w:rPr>
      </w:pPr>
    </w:p>
    <w:p>
      <w:pPr>
        <w:rPr>
          <w:rFonts w:hint="eastAsia"/>
        </w:rPr>
      </w:pPr>
    </w:p>
    <w:p>
      <w:pPr>
        <w:adjustRightInd w:val="0"/>
        <w:snapToGrid w:val="0"/>
        <w:spacing w:line="360" w:lineRule="auto"/>
        <w:jc w:val="both"/>
        <w:rPr>
          <w:rFonts w:hint="eastAsia" w:ascii="宋体" w:hAnsi="宋体" w:cs="宋体"/>
          <w:b/>
          <w:color w:val="auto"/>
          <w:sz w:val="32"/>
          <w:szCs w:val="32"/>
        </w:rPr>
      </w:pPr>
    </w:p>
    <w:p>
      <w:pPr>
        <w:adjustRightInd w:val="0"/>
        <w:snapToGrid w:val="0"/>
        <w:spacing w:line="360" w:lineRule="auto"/>
        <w:ind w:left="-88" w:leftChars="-42"/>
        <w:jc w:val="center"/>
        <w:outlineLvl w:val="9"/>
        <w:rPr>
          <w:rFonts w:hint="eastAsia" w:ascii="宋体" w:hAnsi="宋体" w:cs="宋体"/>
          <w:color w:val="auto"/>
          <w:sz w:val="28"/>
          <w:szCs w:val="28"/>
        </w:rPr>
      </w:pPr>
      <w:r>
        <w:rPr>
          <w:rFonts w:hint="eastAsia" w:ascii="宋体" w:hAnsi="宋体" w:cs="宋体"/>
          <w:b/>
          <w:color w:val="auto"/>
          <w:sz w:val="28"/>
          <w:szCs w:val="28"/>
          <w:lang w:eastAsia="zh-CN"/>
        </w:rPr>
        <w:t>六</w:t>
      </w:r>
      <w:r>
        <w:rPr>
          <w:rFonts w:hint="eastAsia" w:ascii="宋体" w:hAnsi="宋体" w:cs="宋体"/>
          <w:b/>
          <w:bCs/>
          <w:color w:val="auto"/>
          <w:sz w:val="28"/>
          <w:szCs w:val="28"/>
        </w:rPr>
        <w:t>、供应商认为需要提供的其它资料</w:t>
      </w:r>
    </w:p>
    <w:p>
      <w:pPr>
        <w:pStyle w:val="2"/>
        <w:jc w:val="both"/>
        <w:rPr>
          <w:rFonts w:hint="eastAsia" w:ascii="宋体" w:hAnsi="宋体" w:cs="宋体"/>
          <w:b w:val="0"/>
          <w:color w:val="auto"/>
          <w:sz w:val="32"/>
          <w:szCs w:val="32"/>
        </w:rPr>
      </w:pPr>
    </w:p>
    <w:p>
      <w:pPr>
        <w:rPr>
          <w:rFonts w:hint="eastAsia"/>
        </w:rPr>
      </w:pPr>
    </w:p>
    <w:p>
      <w:pPr>
        <w:adjustRightInd w:val="0"/>
        <w:snapToGrid w:val="0"/>
        <w:spacing w:before="156" w:beforeLines="50" w:line="360" w:lineRule="auto"/>
        <w:jc w:val="center"/>
        <w:outlineLvl w:val="9"/>
        <w:rPr>
          <w:rFonts w:hint="eastAsia" w:ascii="宋体" w:hAnsi="宋体" w:cs="宋体"/>
          <w:b/>
          <w:color w:val="auto"/>
          <w:sz w:val="28"/>
          <w:szCs w:val="28"/>
        </w:rPr>
      </w:pPr>
      <w:r>
        <w:rPr>
          <w:rFonts w:hint="eastAsia" w:ascii="宋体" w:hAnsi="宋体" w:cs="宋体"/>
          <w:b/>
          <w:color w:val="auto"/>
          <w:sz w:val="28"/>
          <w:szCs w:val="28"/>
          <w:lang w:eastAsia="zh-CN"/>
        </w:rPr>
        <w:t>七</w:t>
      </w:r>
      <w:r>
        <w:rPr>
          <w:rFonts w:hint="eastAsia" w:ascii="宋体" w:hAnsi="宋体" w:cs="宋体"/>
          <w:b/>
          <w:color w:val="auto"/>
          <w:sz w:val="28"/>
          <w:szCs w:val="28"/>
        </w:rPr>
        <w:t>、最后报价</w:t>
      </w:r>
    </w:p>
    <w:p>
      <w:pPr>
        <w:adjustRightInd w:val="0"/>
        <w:snapToGrid w:val="0"/>
        <w:spacing w:line="360" w:lineRule="auto"/>
        <w:ind w:left="-88" w:leftChars="-42"/>
        <w:rPr>
          <w:rFonts w:hint="eastAsia" w:ascii="宋体" w:hAnsi="宋体" w:eastAsia="宋体" w:cs="宋体"/>
          <w:color w:val="auto"/>
          <w:sz w:val="24"/>
          <w:szCs w:val="24"/>
        </w:rPr>
      </w:pP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说明：最后报价按第二章磋商须知第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条规定提供，格式按附件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。最后报价按照磋商小组的要求在磋商后再递交。</w:t>
      </w:r>
    </w:p>
    <w:p>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最终报价表是各供应商在与</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小组</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后的第二次报价表，是响应文件的一部分，但</w:t>
      </w:r>
      <w:r>
        <w:rPr>
          <w:rFonts w:hint="eastAsia" w:ascii="宋体" w:hAnsi="宋体" w:eastAsia="宋体" w:cs="宋体"/>
          <w:b/>
          <w:bCs/>
          <w:color w:val="auto"/>
          <w:sz w:val="24"/>
          <w:szCs w:val="24"/>
          <w:lang w:eastAsia="zh-CN"/>
        </w:rPr>
        <w:t>无</w:t>
      </w:r>
      <w:r>
        <w:rPr>
          <w:rFonts w:hint="eastAsia" w:ascii="宋体" w:hAnsi="宋体" w:eastAsia="宋体" w:cs="宋体"/>
          <w:b/>
          <w:bCs/>
          <w:color w:val="auto"/>
          <w:sz w:val="24"/>
          <w:szCs w:val="24"/>
        </w:rPr>
        <w:t>须装订入响应文件中，由各供应商参加</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的代表带至</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现场，</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后填写，请各供应商先行加盖单位公章。</w:t>
      </w: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adjustRightInd w:val="0"/>
        <w:snapToGrid w:val="0"/>
        <w:spacing w:before="156" w:beforeLines="50" w:line="360" w:lineRule="auto"/>
        <w:jc w:val="center"/>
        <w:rPr>
          <w:rFonts w:hint="eastAsia" w:ascii="宋体" w:hAnsi="宋体" w:cs="宋体"/>
          <w:b/>
          <w:sz w:val="28"/>
          <w:szCs w:val="28"/>
        </w:rPr>
      </w:pPr>
      <w:r>
        <w:rPr>
          <w:rFonts w:hint="eastAsia" w:ascii="宋体" w:hAnsi="宋体" w:cs="宋体"/>
          <w:b/>
          <w:sz w:val="28"/>
          <w:szCs w:val="28"/>
        </w:rPr>
        <w:t>八、</w:t>
      </w:r>
      <w:r>
        <w:rPr>
          <w:rFonts w:hint="eastAsia" w:ascii="宋体" w:hAnsi="宋体"/>
          <w:b/>
          <w:sz w:val="30"/>
          <w:szCs w:val="30"/>
        </w:rPr>
        <w:t>中小企业声明函（如有）</w:t>
      </w:r>
    </w:p>
    <w:p>
      <w:pPr>
        <w:pStyle w:val="286"/>
        <w:spacing w:line="360" w:lineRule="auto"/>
        <w:ind w:right="-97"/>
        <w:jc w:val="center"/>
        <w:rPr>
          <w:rFonts w:hint="eastAsia" w:ascii="宋体" w:hAnsi="宋体"/>
          <w:b/>
          <w:bCs/>
          <w:color w:val="000000"/>
          <w:sz w:val="24"/>
          <w:szCs w:val="24"/>
        </w:rPr>
      </w:pPr>
      <w:r>
        <w:rPr>
          <w:rFonts w:hint="eastAsia" w:ascii="宋体" w:hAnsi="宋体"/>
          <w:b/>
          <w:bCs/>
          <w:color w:val="000000"/>
          <w:sz w:val="24"/>
          <w:szCs w:val="24"/>
        </w:rPr>
        <w:t>1-1 中小企业声明函（货物）</w:t>
      </w:r>
    </w:p>
    <w:p>
      <w:pPr>
        <w:spacing w:line="460" w:lineRule="exact"/>
        <w:ind w:firstLine="480" w:firstLineChars="200"/>
        <w:rPr>
          <w:rFonts w:hint="eastAsia" w:ascii="宋体" w:hAnsi="宋体"/>
          <w:bCs/>
          <w:sz w:val="24"/>
        </w:rPr>
      </w:pPr>
      <w:r>
        <w:rPr>
          <w:rFonts w:hint="eastAsia" w:ascii="宋体" w:hAnsi="宋体"/>
          <w:bCs/>
          <w:sz w:val="24"/>
        </w:rPr>
        <w:t>本公司（联合体）郑重声明，根据《政府采购促进中小企业发展管理办法》（财库（2020)46号）的规定，本公司（联合体）参加</w:t>
      </w:r>
      <w:r>
        <w:rPr>
          <w:rFonts w:hint="eastAsia" w:ascii="宋体" w:hAnsi="宋体"/>
          <w:bCs/>
          <w:sz w:val="24"/>
          <w:u w:val="single"/>
        </w:rPr>
        <w:t>（单位名称）</w:t>
      </w:r>
      <w:r>
        <w:rPr>
          <w:rFonts w:hint="eastAsia" w:ascii="宋体" w:hAnsi="宋体"/>
          <w:bCs/>
          <w:sz w:val="24"/>
        </w:rPr>
        <w:t>的</w:t>
      </w:r>
      <w:r>
        <w:rPr>
          <w:rFonts w:hint="eastAsia" w:ascii="宋体" w:hAnsi="宋体"/>
          <w:bCs/>
          <w:sz w:val="24"/>
          <w:u w:val="single"/>
        </w:rPr>
        <w:t>（项目名称）</w:t>
      </w:r>
      <w:r>
        <w:rPr>
          <w:rFonts w:hint="eastAsia" w:ascii="宋体" w:hAnsi="宋体"/>
          <w:bCs/>
          <w:sz w:val="24"/>
        </w:rPr>
        <w:t>采购活动，提供的货物全部由符合政策要求的中小企业制造。相关企业（含联合体中的中小企业、签订分包意向协议的中小企业）的具体情况如下：</w:t>
      </w:r>
    </w:p>
    <w:p>
      <w:pPr>
        <w:spacing w:line="460" w:lineRule="exact"/>
        <w:ind w:firstLine="480" w:firstLineChars="200"/>
        <w:rPr>
          <w:rFonts w:hint="eastAsia" w:ascii="宋体" w:hAnsi="宋体"/>
          <w:bCs/>
          <w:sz w:val="24"/>
          <w:u w:val="single"/>
        </w:rPr>
      </w:pPr>
      <w:r>
        <w:rPr>
          <w:rFonts w:hint="eastAsia" w:ascii="宋体" w:hAnsi="宋体"/>
          <w:bCs/>
          <w:sz w:val="24"/>
        </w:rPr>
        <w:t>1.</w:t>
      </w:r>
      <w:r>
        <w:rPr>
          <w:rFonts w:hint="eastAsia" w:ascii="宋体" w:hAnsi="宋体"/>
          <w:bCs/>
          <w:sz w:val="24"/>
          <w:u w:val="single"/>
        </w:rPr>
        <w:t>(标的名称）</w:t>
      </w:r>
      <w:r>
        <w:rPr>
          <w:rFonts w:hint="eastAsia" w:ascii="宋体" w:hAnsi="宋体"/>
          <w:bCs/>
          <w:sz w:val="24"/>
        </w:rPr>
        <w:t>，属于</w:t>
      </w:r>
      <w:r>
        <w:rPr>
          <w:rFonts w:hint="eastAsia" w:ascii="宋体" w:hAnsi="宋体"/>
          <w:bCs/>
          <w:sz w:val="24"/>
          <w:u w:val="single"/>
        </w:rPr>
        <w:t>（采购文件中明确的所属行业）行业</w:t>
      </w:r>
      <w:r>
        <w:rPr>
          <w:rFonts w:hint="eastAsia" w:ascii="宋体" w:hAnsi="宋体"/>
          <w:bCs/>
          <w:sz w:val="24"/>
        </w:rPr>
        <w:t>；制造商为</w:t>
      </w:r>
      <w:r>
        <w:rPr>
          <w:rFonts w:hint="eastAsia" w:ascii="宋体" w:hAnsi="宋体"/>
          <w:bCs/>
          <w:sz w:val="24"/>
          <w:u w:val="single"/>
        </w:rPr>
        <w:t>（企业名称）</w:t>
      </w:r>
      <w:r>
        <w:rPr>
          <w:rFonts w:hint="eastAsia" w:ascii="宋体" w:hAnsi="宋体"/>
          <w:bCs/>
          <w:sz w:val="24"/>
        </w:rPr>
        <w:t>，从业人员</w:t>
      </w:r>
      <w:r>
        <w:rPr>
          <w:rFonts w:hint="eastAsia" w:ascii="宋体" w:hAnsi="宋体"/>
          <w:bCs/>
          <w:sz w:val="24"/>
          <w:u w:val="single"/>
        </w:rPr>
        <w:t xml:space="preserve">     </w:t>
      </w:r>
      <w:r>
        <w:rPr>
          <w:rFonts w:hint="eastAsia" w:ascii="宋体" w:hAnsi="宋体"/>
          <w:bCs/>
          <w:sz w:val="24"/>
        </w:rPr>
        <w:t>人，营业收入为</w:t>
      </w:r>
      <w:r>
        <w:rPr>
          <w:rFonts w:hint="eastAsia" w:ascii="宋体" w:hAnsi="宋体"/>
          <w:bCs/>
          <w:sz w:val="24"/>
          <w:u w:val="single"/>
        </w:rPr>
        <w:t xml:space="preserve">   </w:t>
      </w:r>
      <w:r>
        <w:rPr>
          <w:rFonts w:hint="eastAsia" w:ascii="宋体" w:hAnsi="宋体"/>
          <w:bCs/>
          <w:sz w:val="24"/>
        </w:rPr>
        <w:t>万元，资产总额为</w:t>
      </w:r>
      <w:r>
        <w:rPr>
          <w:rFonts w:hint="eastAsia" w:ascii="宋体" w:hAnsi="宋体"/>
          <w:bCs/>
          <w:sz w:val="24"/>
          <w:u w:val="single"/>
        </w:rPr>
        <w:t xml:space="preserve">       </w:t>
      </w:r>
      <w:r>
        <w:rPr>
          <w:rFonts w:hint="eastAsia" w:ascii="宋体" w:hAnsi="宋体"/>
          <w:bCs/>
          <w:sz w:val="24"/>
        </w:rPr>
        <w:t>万元，属于</w:t>
      </w:r>
      <w:r>
        <w:rPr>
          <w:rFonts w:hint="eastAsia" w:ascii="宋体" w:hAnsi="宋体"/>
          <w:bCs/>
          <w:sz w:val="24"/>
          <w:u w:val="single"/>
        </w:rPr>
        <w:t>（中型企业、小型企业、微型企业）；</w:t>
      </w:r>
    </w:p>
    <w:p>
      <w:pPr>
        <w:spacing w:line="460" w:lineRule="exact"/>
        <w:ind w:firstLine="480" w:firstLineChars="200"/>
        <w:rPr>
          <w:rFonts w:hint="eastAsia" w:ascii="宋体" w:hAnsi="宋体"/>
          <w:bCs/>
          <w:sz w:val="24"/>
          <w:u w:val="single"/>
        </w:rPr>
      </w:pPr>
      <w:r>
        <w:rPr>
          <w:rFonts w:hint="eastAsia" w:ascii="宋体" w:hAnsi="宋体"/>
          <w:bCs/>
          <w:sz w:val="24"/>
        </w:rPr>
        <w:t>2.</w:t>
      </w:r>
      <w:r>
        <w:rPr>
          <w:rFonts w:hint="eastAsia" w:ascii="宋体" w:hAnsi="宋体"/>
          <w:bCs/>
          <w:sz w:val="24"/>
          <w:u w:val="single"/>
        </w:rPr>
        <w:t>(标的名称）</w:t>
      </w:r>
      <w:r>
        <w:rPr>
          <w:rFonts w:hint="eastAsia" w:ascii="宋体" w:hAnsi="宋体"/>
          <w:bCs/>
          <w:sz w:val="24"/>
        </w:rPr>
        <w:t>，属于</w:t>
      </w:r>
      <w:r>
        <w:rPr>
          <w:rFonts w:hint="eastAsia" w:ascii="宋体" w:hAnsi="宋体"/>
          <w:bCs/>
          <w:sz w:val="24"/>
          <w:u w:val="single"/>
        </w:rPr>
        <w:t>（采购文件中明确的所属行业）行业</w:t>
      </w:r>
      <w:r>
        <w:rPr>
          <w:rFonts w:hint="eastAsia" w:ascii="宋体" w:hAnsi="宋体"/>
          <w:bCs/>
          <w:sz w:val="24"/>
        </w:rPr>
        <w:t>；制造商为</w:t>
      </w:r>
      <w:r>
        <w:rPr>
          <w:rFonts w:hint="eastAsia" w:ascii="宋体" w:hAnsi="宋体"/>
          <w:bCs/>
          <w:sz w:val="24"/>
          <w:u w:val="single"/>
        </w:rPr>
        <w:t>（企业名称）</w:t>
      </w:r>
      <w:r>
        <w:rPr>
          <w:rFonts w:hint="eastAsia" w:ascii="宋体" w:hAnsi="宋体"/>
          <w:bCs/>
          <w:sz w:val="24"/>
        </w:rPr>
        <w:t>，从业人员</w:t>
      </w:r>
      <w:r>
        <w:rPr>
          <w:rFonts w:hint="eastAsia" w:ascii="宋体" w:hAnsi="宋体"/>
          <w:bCs/>
          <w:sz w:val="24"/>
          <w:u w:val="single"/>
        </w:rPr>
        <w:t xml:space="preserve">        </w:t>
      </w:r>
      <w:r>
        <w:rPr>
          <w:rFonts w:hint="eastAsia" w:ascii="宋体" w:hAnsi="宋体"/>
          <w:bCs/>
          <w:sz w:val="24"/>
        </w:rPr>
        <w:t>人，营业收入为</w:t>
      </w:r>
      <w:r>
        <w:rPr>
          <w:rFonts w:hint="eastAsia" w:ascii="宋体" w:hAnsi="宋体"/>
          <w:bCs/>
          <w:sz w:val="24"/>
          <w:u w:val="single"/>
        </w:rPr>
        <w:t xml:space="preserve">       </w:t>
      </w:r>
      <w:r>
        <w:rPr>
          <w:rFonts w:hint="eastAsia" w:ascii="宋体" w:hAnsi="宋体"/>
          <w:bCs/>
          <w:sz w:val="24"/>
        </w:rPr>
        <w:t>万元，资产总额为</w:t>
      </w:r>
      <w:r>
        <w:rPr>
          <w:rFonts w:hint="eastAsia" w:ascii="宋体" w:hAnsi="宋体"/>
          <w:bCs/>
          <w:sz w:val="24"/>
          <w:u w:val="single"/>
        </w:rPr>
        <w:t xml:space="preserve">       </w:t>
      </w:r>
      <w:r>
        <w:rPr>
          <w:rFonts w:hint="eastAsia" w:ascii="宋体" w:hAnsi="宋体"/>
          <w:bCs/>
          <w:sz w:val="24"/>
        </w:rPr>
        <w:t>万元，属于</w:t>
      </w:r>
      <w:r>
        <w:rPr>
          <w:rFonts w:hint="eastAsia" w:ascii="宋体" w:hAnsi="宋体"/>
          <w:bCs/>
          <w:sz w:val="24"/>
          <w:u w:val="single"/>
        </w:rPr>
        <w:t>（中型企业、小型企业、微型企业）；</w:t>
      </w:r>
    </w:p>
    <w:p>
      <w:pPr>
        <w:spacing w:line="460" w:lineRule="exact"/>
        <w:ind w:firstLine="480" w:firstLineChars="200"/>
        <w:rPr>
          <w:rFonts w:ascii="宋体" w:hAnsi="宋体"/>
          <w:bCs/>
          <w:sz w:val="24"/>
        </w:rPr>
      </w:pPr>
      <w:r>
        <w:rPr>
          <w:rFonts w:hint="eastAsia" w:ascii="宋体" w:hAnsi="宋体"/>
          <w:bCs/>
          <w:sz w:val="24"/>
        </w:rPr>
        <w:t>.........</w:t>
      </w:r>
    </w:p>
    <w:p>
      <w:pPr>
        <w:spacing w:line="460" w:lineRule="exact"/>
        <w:ind w:firstLine="480" w:firstLineChars="200"/>
        <w:rPr>
          <w:rFonts w:hint="eastAsia" w:ascii="宋体" w:hAnsi="宋体"/>
          <w:bCs/>
          <w:sz w:val="24"/>
        </w:rPr>
      </w:pPr>
      <w:r>
        <w:rPr>
          <w:rFonts w:hint="eastAsia" w:ascii="宋体" w:hAnsi="宋体"/>
          <w:bCs/>
          <w:sz w:val="24"/>
        </w:rPr>
        <w:t>以上企业，不属于大企业的分支机构，不存在控股股东为大企业的情形，也不存在与大企业的负责人为同一人的情形。</w:t>
      </w:r>
    </w:p>
    <w:p>
      <w:pPr>
        <w:spacing w:line="460" w:lineRule="exact"/>
        <w:ind w:firstLine="480" w:firstLineChars="200"/>
        <w:rPr>
          <w:rFonts w:hint="eastAsia" w:ascii="宋体" w:hAnsi="宋体"/>
          <w:bCs/>
          <w:sz w:val="24"/>
        </w:rPr>
      </w:pPr>
      <w:r>
        <w:rPr>
          <w:rFonts w:hint="eastAsia" w:ascii="宋体" w:hAnsi="宋体"/>
          <w:bCs/>
          <w:sz w:val="24"/>
        </w:rPr>
        <w:t>本企业对上述声明内容的真实性负责。如有虚假，将依法承担相应责任。</w:t>
      </w:r>
    </w:p>
    <w:p>
      <w:pPr>
        <w:spacing w:line="460" w:lineRule="exact"/>
        <w:jc w:val="right"/>
        <w:rPr>
          <w:rFonts w:hint="eastAsia" w:ascii="宋体" w:hAnsi="宋体"/>
          <w:bCs/>
          <w:sz w:val="24"/>
        </w:rPr>
      </w:pPr>
      <w:r>
        <w:rPr>
          <w:rFonts w:hint="eastAsia" w:ascii="宋体" w:hAnsi="宋体"/>
          <w:bCs/>
          <w:sz w:val="24"/>
        </w:rPr>
        <w:t>企业名称（盖章）：</w:t>
      </w:r>
    </w:p>
    <w:p>
      <w:pPr>
        <w:widowControl/>
        <w:adjustRightInd w:val="0"/>
        <w:snapToGrid w:val="0"/>
        <w:spacing w:line="420" w:lineRule="exact"/>
        <w:jc w:val="center"/>
        <w:rPr>
          <w:sz w:val="24"/>
        </w:rPr>
      </w:pPr>
      <w:r>
        <w:rPr>
          <w:rFonts w:hint="eastAsia"/>
          <w:spacing w:val="6"/>
          <w:kern w:val="0"/>
          <w:sz w:val="24"/>
        </w:rPr>
        <w:t xml:space="preserve">                                                  </w:t>
      </w:r>
      <w:r>
        <w:rPr>
          <w:spacing w:val="6"/>
          <w:kern w:val="0"/>
          <w:sz w:val="24"/>
        </w:rPr>
        <w:t>日期：</w:t>
      </w:r>
      <w:r>
        <w:rPr>
          <w:sz w:val="24"/>
        </w:rPr>
        <w:t>年月日</w:t>
      </w:r>
    </w:p>
    <w:p>
      <w:pPr>
        <w:pStyle w:val="283"/>
        <w:spacing w:before="0"/>
        <w:ind w:left="0"/>
        <w:rPr>
          <w:b w:val="0"/>
          <w:bCs w:val="0"/>
          <w:sz w:val="21"/>
          <w:szCs w:val="21"/>
        </w:rPr>
      </w:pP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注：在政府采购活动中，供应商提供的货物、工程或者服务符合下列情形的，享受中小企业扶持政策：</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（一）在货物采购项目中，货物由中小企业制造，即货物由中小企业生产且使用该中小企业商号或者注册商标；</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（二）在工程采购项目中，工程由中小企业承建，即工程施工单位为中小企业。</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（三）在服务采购项目中，服务由中小企业承接，即提供服务的人员为中小企业依照《中华人民共和国劳动合同法》订立劳动合同的从业人员。</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在货物采购项目中，供应商提供的货物既有中小企业制造货物，也有大型企业制造货物的，不享受本办法规定的中小企业扶持政策。</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以联合体形式参加政府采购活动，联合体各方均为中小企业的，联合体视同中小企业。其中，联合体各方均为小微企业的，联合体视同小微企业。</w:t>
      </w:r>
    </w:p>
    <w:p>
      <w:pPr>
        <w:pStyle w:val="286"/>
        <w:spacing w:line="360" w:lineRule="auto"/>
        <w:ind w:right="-97"/>
        <w:jc w:val="center"/>
        <w:rPr>
          <w:rFonts w:hint="eastAsia" w:ascii="宋体" w:hAnsi="宋体"/>
          <w:b/>
          <w:bCs/>
          <w:color w:val="000000"/>
          <w:sz w:val="24"/>
          <w:szCs w:val="24"/>
        </w:rPr>
      </w:pPr>
      <w:r>
        <w:rPr>
          <w:rFonts w:hint="eastAsia" w:ascii="宋体" w:hAnsi="宋体"/>
          <w:b/>
          <w:bCs/>
          <w:color w:val="000000"/>
          <w:sz w:val="24"/>
          <w:szCs w:val="24"/>
        </w:rPr>
        <w:t>1-1  中小企业声明函（工程、服务）</w:t>
      </w:r>
    </w:p>
    <w:p>
      <w:pPr>
        <w:spacing w:line="460" w:lineRule="exact"/>
        <w:ind w:firstLine="480" w:firstLineChars="200"/>
        <w:rPr>
          <w:rFonts w:hint="eastAsia" w:ascii="宋体" w:hAnsi="宋体"/>
          <w:bCs/>
          <w:sz w:val="24"/>
        </w:rPr>
      </w:pPr>
    </w:p>
    <w:p>
      <w:pPr>
        <w:spacing w:line="460" w:lineRule="exact"/>
        <w:ind w:firstLine="480" w:firstLineChars="200"/>
        <w:rPr>
          <w:rFonts w:hint="eastAsia" w:ascii="宋体" w:hAnsi="宋体"/>
          <w:bCs/>
          <w:sz w:val="24"/>
        </w:rPr>
      </w:pPr>
      <w:r>
        <w:rPr>
          <w:rFonts w:hint="eastAsia" w:ascii="宋体" w:hAnsi="宋体"/>
          <w:bCs/>
          <w:sz w:val="24"/>
        </w:rPr>
        <w:t>本公司（联合体）郑重声明，根据《政府采购促进中小企业发展管理办法》（财库（2020)46号）的规定，本公司（联合体）参加</w:t>
      </w:r>
      <w:r>
        <w:rPr>
          <w:rFonts w:hint="eastAsia" w:ascii="宋体" w:hAnsi="宋体"/>
          <w:bCs/>
          <w:sz w:val="24"/>
          <w:u w:val="single"/>
        </w:rPr>
        <w:t>（单位名称）</w:t>
      </w:r>
      <w:r>
        <w:rPr>
          <w:rFonts w:hint="eastAsia" w:ascii="宋体" w:hAnsi="宋体"/>
          <w:bCs/>
          <w:sz w:val="24"/>
        </w:rPr>
        <w:t>的</w:t>
      </w:r>
      <w:r>
        <w:rPr>
          <w:rFonts w:hint="eastAsia" w:ascii="宋体" w:hAnsi="宋体"/>
          <w:bCs/>
          <w:sz w:val="24"/>
          <w:u w:val="single"/>
        </w:rPr>
        <w:t>（项目名称）</w:t>
      </w:r>
      <w:r>
        <w:rPr>
          <w:rFonts w:hint="eastAsia" w:ascii="宋体" w:hAnsi="宋体"/>
          <w:bCs/>
          <w:sz w:val="24"/>
        </w:rPr>
        <w:t>采购活动，工程的施工单位全部由符合政策要求的中小企业承接。相关企业（含联合体中的中小企业、签订分包意向协议的中小企业）的具体情况如下：</w:t>
      </w:r>
    </w:p>
    <w:p>
      <w:pPr>
        <w:spacing w:line="460" w:lineRule="exact"/>
        <w:ind w:firstLine="480" w:firstLineChars="200"/>
        <w:rPr>
          <w:rFonts w:hint="eastAsia" w:ascii="宋体" w:hAnsi="宋体"/>
          <w:bCs/>
          <w:sz w:val="24"/>
          <w:u w:val="single"/>
        </w:rPr>
      </w:pPr>
      <w:r>
        <w:rPr>
          <w:rFonts w:hint="eastAsia" w:ascii="宋体" w:hAnsi="宋体"/>
          <w:bCs/>
          <w:sz w:val="24"/>
        </w:rPr>
        <w:t>1.</w:t>
      </w:r>
      <w:r>
        <w:rPr>
          <w:rFonts w:hint="eastAsia" w:ascii="宋体" w:hAnsi="宋体"/>
          <w:bCs/>
          <w:sz w:val="24"/>
          <w:u w:val="single"/>
        </w:rPr>
        <w:t>(标的名称）</w:t>
      </w:r>
      <w:r>
        <w:rPr>
          <w:rFonts w:hint="eastAsia" w:ascii="宋体" w:hAnsi="宋体"/>
          <w:bCs/>
          <w:sz w:val="24"/>
        </w:rPr>
        <w:t>，属于</w:t>
      </w:r>
      <w:r>
        <w:rPr>
          <w:rFonts w:hint="eastAsia" w:ascii="宋体" w:hAnsi="宋体"/>
          <w:bCs/>
          <w:sz w:val="24"/>
          <w:u w:val="single"/>
        </w:rPr>
        <w:t>（采购文件中明确的所属行业）行业</w:t>
      </w:r>
      <w:r>
        <w:rPr>
          <w:rFonts w:hint="eastAsia" w:ascii="宋体" w:hAnsi="宋体"/>
          <w:bCs/>
          <w:sz w:val="24"/>
        </w:rPr>
        <w:t>；承建（承接）为</w:t>
      </w:r>
      <w:r>
        <w:rPr>
          <w:rFonts w:hint="eastAsia" w:ascii="宋体" w:hAnsi="宋体"/>
          <w:bCs/>
          <w:sz w:val="24"/>
          <w:u w:val="single"/>
        </w:rPr>
        <w:t>（企业名称）</w:t>
      </w:r>
      <w:r>
        <w:rPr>
          <w:rFonts w:hint="eastAsia" w:ascii="宋体" w:hAnsi="宋体"/>
          <w:bCs/>
          <w:sz w:val="24"/>
        </w:rPr>
        <w:t>，从业人员</w:t>
      </w:r>
      <w:r>
        <w:rPr>
          <w:rFonts w:hint="eastAsia" w:ascii="宋体" w:hAnsi="宋体"/>
          <w:bCs/>
          <w:sz w:val="24"/>
          <w:u w:val="single"/>
        </w:rPr>
        <w:t xml:space="preserve">     </w:t>
      </w:r>
      <w:r>
        <w:rPr>
          <w:rFonts w:hint="eastAsia" w:ascii="宋体" w:hAnsi="宋体"/>
          <w:bCs/>
          <w:sz w:val="24"/>
        </w:rPr>
        <w:t>人，营业收入为</w:t>
      </w:r>
      <w:r>
        <w:rPr>
          <w:rFonts w:hint="eastAsia" w:ascii="宋体" w:hAnsi="宋体"/>
          <w:bCs/>
          <w:sz w:val="24"/>
          <w:u w:val="single"/>
        </w:rPr>
        <w:t xml:space="preserve">   </w:t>
      </w:r>
      <w:r>
        <w:rPr>
          <w:rFonts w:hint="eastAsia" w:ascii="宋体" w:hAnsi="宋体"/>
          <w:bCs/>
          <w:sz w:val="24"/>
        </w:rPr>
        <w:t>万元，资产总额为</w:t>
      </w:r>
      <w:r>
        <w:rPr>
          <w:rFonts w:hint="eastAsia" w:ascii="宋体" w:hAnsi="宋体"/>
          <w:bCs/>
          <w:sz w:val="24"/>
          <w:u w:val="single"/>
        </w:rPr>
        <w:t xml:space="preserve">       </w:t>
      </w:r>
      <w:r>
        <w:rPr>
          <w:rFonts w:hint="eastAsia" w:ascii="宋体" w:hAnsi="宋体"/>
          <w:bCs/>
          <w:sz w:val="24"/>
        </w:rPr>
        <w:t>万元，属于</w:t>
      </w:r>
      <w:r>
        <w:rPr>
          <w:rFonts w:hint="eastAsia" w:ascii="宋体" w:hAnsi="宋体"/>
          <w:bCs/>
          <w:sz w:val="24"/>
          <w:u w:val="single"/>
        </w:rPr>
        <w:t>（中型企业、小型企业、微型企业）；</w:t>
      </w:r>
    </w:p>
    <w:p>
      <w:pPr>
        <w:spacing w:line="460" w:lineRule="exact"/>
        <w:ind w:firstLine="480" w:firstLineChars="200"/>
        <w:rPr>
          <w:rFonts w:hint="eastAsia" w:ascii="宋体" w:hAnsi="宋体"/>
          <w:bCs/>
          <w:sz w:val="24"/>
          <w:u w:val="single"/>
        </w:rPr>
      </w:pPr>
      <w:r>
        <w:rPr>
          <w:rFonts w:hint="eastAsia" w:ascii="宋体" w:hAnsi="宋体"/>
          <w:bCs/>
          <w:sz w:val="24"/>
        </w:rPr>
        <w:t>2.</w:t>
      </w:r>
      <w:r>
        <w:rPr>
          <w:rFonts w:hint="eastAsia" w:ascii="宋体" w:hAnsi="宋体"/>
          <w:bCs/>
          <w:sz w:val="24"/>
          <w:u w:val="single"/>
        </w:rPr>
        <w:t>(标的名称）</w:t>
      </w:r>
      <w:r>
        <w:rPr>
          <w:rFonts w:hint="eastAsia" w:ascii="宋体" w:hAnsi="宋体"/>
          <w:bCs/>
          <w:sz w:val="24"/>
        </w:rPr>
        <w:t>，属于</w:t>
      </w:r>
      <w:r>
        <w:rPr>
          <w:rFonts w:hint="eastAsia" w:ascii="宋体" w:hAnsi="宋体"/>
          <w:bCs/>
          <w:sz w:val="24"/>
          <w:u w:val="single"/>
        </w:rPr>
        <w:t>（采购文件中明确的所属行业）行业</w:t>
      </w:r>
      <w:r>
        <w:rPr>
          <w:rFonts w:hint="eastAsia" w:ascii="宋体" w:hAnsi="宋体"/>
          <w:bCs/>
          <w:sz w:val="24"/>
        </w:rPr>
        <w:t>；承建（承接）为</w:t>
      </w:r>
      <w:r>
        <w:rPr>
          <w:rFonts w:hint="eastAsia" w:ascii="宋体" w:hAnsi="宋体"/>
          <w:bCs/>
          <w:sz w:val="24"/>
          <w:u w:val="single"/>
        </w:rPr>
        <w:t>（企业名称）</w:t>
      </w:r>
      <w:r>
        <w:rPr>
          <w:rFonts w:hint="eastAsia" w:ascii="宋体" w:hAnsi="宋体"/>
          <w:bCs/>
          <w:sz w:val="24"/>
        </w:rPr>
        <w:t>，从业人员</w:t>
      </w:r>
      <w:r>
        <w:rPr>
          <w:rFonts w:hint="eastAsia" w:ascii="宋体" w:hAnsi="宋体"/>
          <w:bCs/>
          <w:sz w:val="24"/>
          <w:u w:val="single"/>
        </w:rPr>
        <w:t xml:space="preserve">        </w:t>
      </w:r>
      <w:r>
        <w:rPr>
          <w:rFonts w:hint="eastAsia" w:ascii="宋体" w:hAnsi="宋体"/>
          <w:bCs/>
          <w:sz w:val="24"/>
        </w:rPr>
        <w:t>人，营业收入为</w:t>
      </w:r>
      <w:r>
        <w:rPr>
          <w:rFonts w:hint="eastAsia" w:ascii="宋体" w:hAnsi="宋体"/>
          <w:bCs/>
          <w:sz w:val="24"/>
          <w:u w:val="single"/>
        </w:rPr>
        <w:t xml:space="preserve">       </w:t>
      </w:r>
      <w:r>
        <w:rPr>
          <w:rFonts w:hint="eastAsia" w:ascii="宋体" w:hAnsi="宋体"/>
          <w:bCs/>
          <w:sz w:val="24"/>
        </w:rPr>
        <w:t>万元，资产总额为</w:t>
      </w:r>
      <w:r>
        <w:rPr>
          <w:rFonts w:hint="eastAsia" w:ascii="宋体" w:hAnsi="宋体"/>
          <w:bCs/>
          <w:sz w:val="24"/>
          <w:u w:val="single"/>
        </w:rPr>
        <w:t xml:space="preserve">       </w:t>
      </w:r>
      <w:r>
        <w:rPr>
          <w:rFonts w:hint="eastAsia" w:ascii="宋体" w:hAnsi="宋体"/>
          <w:bCs/>
          <w:sz w:val="24"/>
        </w:rPr>
        <w:t>万元，属于</w:t>
      </w:r>
      <w:r>
        <w:rPr>
          <w:rFonts w:hint="eastAsia" w:ascii="宋体" w:hAnsi="宋体"/>
          <w:bCs/>
          <w:sz w:val="24"/>
          <w:u w:val="single"/>
        </w:rPr>
        <w:t>（中型企业、小型企业、微型企业）；</w:t>
      </w:r>
    </w:p>
    <w:p>
      <w:pPr>
        <w:spacing w:line="460" w:lineRule="exact"/>
        <w:ind w:firstLine="480" w:firstLineChars="200"/>
        <w:rPr>
          <w:rFonts w:ascii="宋体" w:hAnsi="宋体"/>
          <w:bCs/>
          <w:sz w:val="24"/>
        </w:rPr>
      </w:pPr>
      <w:r>
        <w:rPr>
          <w:rFonts w:hint="eastAsia" w:ascii="宋体" w:hAnsi="宋体"/>
          <w:bCs/>
          <w:sz w:val="24"/>
        </w:rPr>
        <w:t>.........</w:t>
      </w:r>
    </w:p>
    <w:p>
      <w:pPr>
        <w:spacing w:line="460" w:lineRule="exact"/>
        <w:ind w:firstLine="480" w:firstLineChars="200"/>
        <w:rPr>
          <w:rFonts w:hint="eastAsia" w:ascii="宋体" w:hAnsi="宋体"/>
          <w:bCs/>
          <w:sz w:val="24"/>
        </w:rPr>
      </w:pPr>
      <w:r>
        <w:rPr>
          <w:rFonts w:hint="eastAsia" w:ascii="宋体" w:hAnsi="宋体"/>
          <w:bCs/>
          <w:sz w:val="24"/>
        </w:rPr>
        <w:t>以上企业，不属于大企业的分支机构，不存在控股股东为大企业的情形，也不存在与大企业的负责人为同一人的情形。</w:t>
      </w:r>
    </w:p>
    <w:p>
      <w:pPr>
        <w:spacing w:line="460" w:lineRule="exact"/>
        <w:ind w:firstLine="480" w:firstLineChars="200"/>
        <w:rPr>
          <w:rFonts w:hint="eastAsia" w:ascii="宋体" w:hAnsi="宋体"/>
          <w:bCs/>
          <w:sz w:val="24"/>
        </w:rPr>
      </w:pPr>
      <w:r>
        <w:rPr>
          <w:rFonts w:hint="eastAsia" w:ascii="宋体" w:hAnsi="宋体"/>
          <w:bCs/>
          <w:sz w:val="24"/>
        </w:rPr>
        <w:t>本企业对上述声明内容的真实性负责。如有虚假，将依法承担相应责任。</w:t>
      </w:r>
    </w:p>
    <w:p>
      <w:pPr>
        <w:spacing w:line="460" w:lineRule="exact"/>
        <w:jc w:val="right"/>
        <w:rPr>
          <w:rFonts w:hint="eastAsia" w:ascii="宋体" w:hAnsi="宋体"/>
          <w:bCs/>
          <w:sz w:val="24"/>
        </w:rPr>
      </w:pPr>
      <w:r>
        <w:rPr>
          <w:rFonts w:hint="eastAsia" w:ascii="宋体" w:hAnsi="宋体"/>
          <w:bCs/>
          <w:sz w:val="24"/>
        </w:rPr>
        <w:t>企业名称（盖章）：</w:t>
      </w:r>
    </w:p>
    <w:p>
      <w:pPr>
        <w:widowControl/>
        <w:adjustRightInd w:val="0"/>
        <w:snapToGrid w:val="0"/>
        <w:spacing w:line="420" w:lineRule="exact"/>
        <w:jc w:val="center"/>
        <w:rPr>
          <w:sz w:val="24"/>
        </w:rPr>
      </w:pPr>
      <w:r>
        <w:rPr>
          <w:rFonts w:hint="eastAsia"/>
          <w:spacing w:val="6"/>
          <w:kern w:val="0"/>
          <w:sz w:val="24"/>
        </w:rPr>
        <w:t xml:space="preserve">                                                  </w:t>
      </w:r>
      <w:r>
        <w:rPr>
          <w:spacing w:val="6"/>
          <w:kern w:val="0"/>
          <w:sz w:val="24"/>
        </w:rPr>
        <w:t>日期：</w:t>
      </w:r>
      <w:r>
        <w:rPr>
          <w:sz w:val="24"/>
        </w:rPr>
        <w:t>年月日</w:t>
      </w:r>
    </w:p>
    <w:p>
      <w:pPr>
        <w:spacing w:line="460" w:lineRule="exact"/>
        <w:ind w:firstLine="480" w:firstLineChars="200"/>
        <w:rPr>
          <w:rFonts w:hint="eastAsia" w:ascii="宋体" w:hAnsi="宋体" w:eastAsia="宋体" w:cs="Times New Roman"/>
          <w:bCs/>
          <w:sz w:val="24"/>
        </w:rPr>
      </w:pP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注：在政府采购活动中，供应商提供的货物、工程或者服务符合下列情形的，享受中小企业扶持政策：</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（一）在货物采购项目中，货物由中小企业制造，即货物由中小企业生产且使用该中小企业商号或者注册商标；</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（二）在工程采购项目中，工程由中小企业承建，即工程施工单位为中小企业。</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（三）在服务采购项目中，服务由中小企业承接，即提供服务的人员为中小企业依照《中华人民共和国劳动合同法》订立劳动合同的从业人员。</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在货物采购项目中，供应商提供的货物既有中小企业制造货物，也有大型企业制造货物的，不享受本办法规定的中小企业扶持政策。</w:t>
      </w:r>
    </w:p>
    <w:p>
      <w:pPr>
        <w:pStyle w:val="283"/>
        <w:adjustRightInd w:val="0"/>
        <w:snapToGrid w:val="0"/>
        <w:spacing w:before="0"/>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以联合体形式参加政府采购活动，联合体各方均为中小企业的，联合体视同中小企业。其中，联合体各方均为小微企业的，联合体视同小微企业。</w:t>
      </w:r>
    </w:p>
    <w:p>
      <w:pPr>
        <w:pStyle w:val="283"/>
        <w:adjustRightInd w:val="0"/>
        <w:snapToGrid w:val="0"/>
        <w:spacing w:before="0"/>
        <w:ind w:left="0"/>
        <w:rPr>
          <w:rFonts w:hint="eastAsia" w:ascii="宋体" w:hAnsi="宋体" w:eastAsia="宋体" w:cs="宋体"/>
          <w:b w:val="0"/>
          <w:bCs w:val="0"/>
          <w:sz w:val="21"/>
          <w:szCs w:val="21"/>
        </w:rPr>
      </w:pPr>
    </w:p>
    <w:p>
      <w:pPr>
        <w:spacing w:line="460" w:lineRule="exact"/>
        <w:ind w:firstLine="602" w:firstLineChars="200"/>
        <w:jc w:val="center"/>
        <w:rPr>
          <w:rFonts w:eastAsia="方正仿宋_GBK"/>
        </w:rPr>
      </w:pPr>
      <w:r>
        <w:rPr>
          <w:rFonts w:hint="eastAsia"/>
          <w:b/>
          <w:sz w:val="30"/>
        </w:rPr>
        <w:t>1</w:t>
      </w:r>
      <w:r>
        <w:rPr>
          <w:b/>
          <w:sz w:val="30"/>
        </w:rPr>
        <w:t>-</w:t>
      </w:r>
      <w:r>
        <w:rPr>
          <w:rFonts w:hint="eastAsia"/>
          <w:b/>
          <w:sz w:val="30"/>
        </w:rPr>
        <w:t>2</w:t>
      </w:r>
      <w:r>
        <w:rPr>
          <w:b/>
          <w:sz w:val="30"/>
        </w:rPr>
        <w:t xml:space="preserve"> 残疾人福利性单位声明函（如有）</w:t>
      </w:r>
    </w:p>
    <w:p>
      <w:pPr>
        <w:tabs>
          <w:tab w:val="left" w:pos="6300"/>
        </w:tabs>
        <w:snapToGrid w:val="0"/>
        <w:spacing w:line="500" w:lineRule="exact"/>
        <w:ind w:firstLine="480" w:firstLineChars="200"/>
        <w:rPr>
          <w:sz w:val="24"/>
        </w:rPr>
      </w:pPr>
    </w:p>
    <w:p>
      <w:pPr>
        <w:tabs>
          <w:tab w:val="left" w:pos="6300"/>
        </w:tabs>
        <w:snapToGrid w:val="0"/>
        <w:spacing w:line="500" w:lineRule="exact"/>
        <w:ind w:firstLine="480" w:firstLineChars="200"/>
        <w:rPr>
          <w:sz w:val="24"/>
        </w:rPr>
      </w:pPr>
      <w:r>
        <w:rPr>
          <w:sz w:val="24"/>
        </w:rPr>
        <w:t>本单位郑重声明，根据《财政部 民政部 中国残疾人联合会关于促进残疾人就业政府采购政策的通知》（财库〔2017〕 141号）的规定，本单位为符合条件的残疾人福利性单位，且本单位参加</w:t>
      </w:r>
      <w:r>
        <w:rPr>
          <w:sz w:val="24"/>
          <w:u w:val="single"/>
        </w:rPr>
        <w:t>_（采购人）单位</w:t>
      </w:r>
      <w:r>
        <w:rPr>
          <w:sz w:val="24"/>
        </w:rPr>
        <w:t>的______项目采购活动提供本单位制造的货物</w:t>
      </w:r>
      <w:r>
        <w:rPr>
          <w:sz w:val="24"/>
          <w:u w:val="single"/>
        </w:rPr>
        <w:t>（由本单位承担工程/提供服务）</w:t>
      </w:r>
      <w:r>
        <w:rPr>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sz w:val="24"/>
        </w:rPr>
      </w:pPr>
      <w:r>
        <w:rPr>
          <w:sz w:val="24"/>
        </w:rPr>
        <w:t>本单位对上述声明的真实性负责。如有虚假，将依法承担相应责任。</w:t>
      </w:r>
    </w:p>
    <w:p>
      <w:pPr>
        <w:tabs>
          <w:tab w:val="left" w:pos="6300"/>
        </w:tabs>
        <w:snapToGrid w:val="0"/>
        <w:spacing w:line="500" w:lineRule="exact"/>
        <w:ind w:firstLine="480" w:firstLineChars="200"/>
        <w:rPr>
          <w:rFonts w:eastAsia="方正仿宋_GBK"/>
          <w:sz w:val="24"/>
        </w:rPr>
      </w:pPr>
    </w:p>
    <w:p>
      <w:pPr>
        <w:widowControl/>
        <w:adjustRightInd w:val="0"/>
        <w:snapToGrid w:val="0"/>
        <w:spacing w:line="420" w:lineRule="exact"/>
        <w:ind w:firstLine="480" w:firstLineChars="200"/>
        <w:jc w:val="center"/>
        <w:rPr>
          <w:rFonts w:eastAsia="方正仿宋_GBK"/>
          <w:sz w:val="24"/>
        </w:rPr>
      </w:pPr>
    </w:p>
    <w:p>
      <w:pPr>
        <w:spacing w:line="460" w:lineRule="exact"/>
        <w:rPr>
          <w:rFonts w:ascii="宋体"/>
          <w:sz w:val="24"/>
        </w:rPr>
      </w:pPr>
      <w:r>
        <w:rPr>
          <w:rFonts w:hint="eastAsia" w:ascii="宋体" w:hAnsi="宋体"/>
          <w:bCs/>
          <w:sz w:val="24"/>
        </w:rPr>
        <w:t>投标单位：</w:t>
      </w:r>
      <w:r>
        <w:rPr>
          <w:rFonts w:hint="eastAsia" w:ascii="宋体" w:hAnsi="宋体"/>
          <w:bCs/>
          <w:sz w:val="24"/>
          <w:u w:val="single"/>
        </w:rPr>
        <w:t>（全称）（盖章）</w:t>
      </w:r>
    </w:p>
    <w:p>
      <w:pPr>
        <w:pStyle w:val="18"/>
        <w:spacing w:line="420" w:lineRule="exact"/>
        <w:rPr>
          <w:bCs/>
          <w:sz w:val="24"/>
        </w:rPr>
      </w:pPr>
      <w:r>
        <w:rPr>
          <w:bCs/>
          <w:sz w:val="24"/>
        </w:rPr>
        <w:t>法定代表人或委托代理人：</w:t>
      </w:r>
      <w:r>
        <w:rPr>
          <w:bCs/>
          <w:sz w:val="24"/>
          <w:u w:val="single"/>
        </w:rPr>
        <w:t>（签字或盖章）</w:t>
      </w:r>
    </w:p>
    <w:p>
      <w:pPr>
        <w:widowControl/>
        <w:adjustRightInd w:val="0"/>
        <w:snapToGrid w:val="0"/>
        <w:spacing w:line="420" w:lineRule="exact"/>
        <w:rPr>
          <w:sz w:val="24"/>
        </w:rPr>
      </w:pPr>
      <w:r>
        <w:rPr>
          <w:spacing w:val="6"/>
          <w:kern w:val="0"/>
          <w:sz w:val="24"/>
        </w:rPr>
        <w:t>日期：</w:t>
      </w:r>
      <w:r>
        <w:rPr>
          <w:sz w:val="24"/>
        </w:rPr>
        <w:t>年月日</w:t>
      </w:r>
    </w:p>
    <w:p>
      <w:pPr>
        <w:spacing w:line="360" w:lineRule="auto"/>
        <w:jc w:val="center"/>
        <w:rPr>
          <w:rFonts w:ascii="宋体" w:hAnsi="宋体"/>
          <w:b/>
          <w:bCs/>
          <w:sz w:val="30"/>
          <w:szCs w:val="30"/>
        </w:rPr>
      </w:pPr>
    </w:p>
    <w:p>
      <w:pPr>
        <w:pStyle w:val="287"/>
        <w:spacing w:before="38"/>
        <w:ind w:left="157"/>
        <w:rPr>
          <w:rFonts w:ascii="宋体" w:hAnsi="宋体"/>
          <w:sz w:val="24"/>
          <w:szCs w:val="24"/>
        </w:rPr>
      </w:pPr>
    </w:p>
    <w:p>
      <w:pPr>
        <w:pStyle w:val="287"/>
        <w:spacing w:before="38"/>
        <w:ind w:left="157"/>
        <w:rPr>
          <w:rFonts w:ascii="宋体" w:hAnsi="宋体"/>
          <w:sz w:val="24"/>
          <w:szCs w:val="24"/>
        </w:rPr>
      </w:pPr>
    </w:p>
    <w:p>
      <w:pPr>
        <w:pStyle w:val="287"/>
        <w:spacing w:before="38"/>
        <w:ind w:left="157"/>
        <w:rPr>
          <w:rFonts w:ascii="宋体" w:hAnsi="宋体"/>
          <w:sz w:val="24"/>
          <w:szCs w:val="24"/>
        </w:rPr>
      </w:pPr>
    </w:p>
    <w:p>
      <w:pPr>
        <w:pStyle w:val="283"/>
        <w:spacing w:before="0"/>
        <w:ind w:left="0"/>
        <w:rPr>
          <w:b w:val="0"/>
          <w:bCs w:val="0"/>
          <w:sz w:val="21"/>
          <w:szCs w:val="21"/>
        </w:rPr>
      </w:pPr>
      <w:r>
        <w:rPr>
          <w:rFonts w:hint="eastAsia"/>
          <w:b w:val="0"/>
          <w:bCs w:val="0"/>
          <w:sz w:val="21"/>
          <w:szCs w:val="21"/>
        </w:rPr>
        <w:t>备注：享受政府采购支持政策的残疾人福利性单位应当同时满足以下条件：</w:t>
      </w:r>
    </w:p>
    <w:p>
      <w:pPr>
        <w:pStyle w:val="283"/>
        <w:spacing w:before="0"/>
        <w:ind w:left="0"/>
        <w:rPr>
          <w:b w:val="0"/>
          <w:bCs w:val="0"/>
          <w:sz w:val="21"/>
          <w:szCs w:val="21"/>
        </w:rPr>
      </w:pPr>
      <w:r>
        <w:rPr>
          <w:rFonts w:hint="eastAsia"/>
          <w:b w:val="0"/>
          <w:bCs w:val="0"/>
          <w:sz w:val="21"/>
          <w:szCs w:val="21"/>
        </w:rPr>
        <w:t>（1）安置的残疾人占本单位在职职工人数的比例不低于 25%（含 25%），并且安置的残疾人 人数不少于 10 人（含 10 人）；</w:t>
      </w:r>
    </w:p>
    <w:p>
      <w:pPr>
        <w:pStyle w:val="283"/>
        <w:spacing w:before="0"/>
        <w:ind w:left="0"/>
        <w:rPr>
          <w:b w:val="0"/>
          <w:bCs w:val="0"/>
          <w:sz w:val="21"/>
          <w:szCs w:val="21"/>
        </w:rPr>
      </w:pPr>
      <w:r>
        <w:rPr>
          <w:rFonts w:hint="eastAsia"/>
          <w:b w:val="0"/>
          <w:bCs w:val="0"/>
          <w:sz w:val="21"/>
          <w:szCs w:val="21"/>
        </w:rPr>
        <w:t>（2）依法与安置的每位残疾人签订了一年以上（含一年）的劳动合同或服务协议；</w:t>
      </w:r>
    </w:p>
    <w:p>
      <w:pPr>
        <w:pStyle w:val="283"/>
        <w:spacing w:before="0"/>
        <w:ind w:left="0"/>
        <w:rPr>
          <w:b w:val="0"/>
          <w:bCs w:val="0"/>
          <w:sz w:val="21"/>
          <w:szCs w:val="21"/>
        </w:rPr>
      </w:pPr>
      <w:r>
        <w:rPr>
          <w:rFonts w:hint="eastAsia"/>
          <w:b w:val="0"/>
          <w:bCs w:val="0"/>
          <w:sz w:val="21"/>
          <w:szCs w:val="21"/>
        </w:rPr>
        <w:t>（3）为安置的每位残疾人按月足额缴纳了基本养老保险、基本医疗保险、失业保险、工伤保 险和生育保险等社会保险费；</w:t>
      </w:r>
    </w:p>
    <w:p>
      <w:pPr>
        <w:pStyle w:val="283"/>
        <w:spacing w:before="0"/>
        <w:ind w:left="0"/>
        <w:rPr>
          <w:b w:val="0"/>
          <w:bCs w:val="0"/>
          <w:sz w:val="21"/>
          <w:szCs w:val="21"/>
        </w:rPr>
      </w:pPr>
      <w:r>
        <w:rPr>
          <w:rFonts w:hint="eastAsia"/>
          <w:b w:val="0"/>
          <w:bCs w:val="0"/>
          <w:sz w:val="21"/>
          <w:szCs w:val="21"/>
        </w:rPr>
        <w:t>（4）通过银行等金融机构向安置的每位残疾人，按月支付了不低于单位所在区县适用的经省 级人民政府批准的月最低工资标准的工资；</w:t>
      </w:r>
    </w:p>
    <w:p>
      <w:pPr>
        <w:pStyle w:val="283"/>
        <w:spacing w:before="0"/>
        <w:ind w:left="0"/>
        <w:rPr>
          <w:b w:val="0"/>
          <w:bCs w:val="0"/>
          <w:sz w:val="21"/>
          <w:szCs w:val="21"/>
        </w:rPr>
      </w:pPr>
      <w:r>
        <w:rPr>
          <w:rFonts w:hint="eastAsia"/>
          <w:b w:val="0"/>
          <w:bCs w:val="0"/>
          <w:sz w:val="21"/>
          <w:szCs w:val="21"/>
        </w:rPr>
        <w:t>（5）提供本单位制造的货物、承担的工程或者服务（以下简称产品），或者提供其他残疾人 福利性单位制造的货物（不包括使用非残疾人福利性单位注册商标的货物）。</w:t>
      </w:r>
    </w:p>
    <w:p>
      <w:pPr>
        <w:pStyle w:val="283"/>
        <w:spacing w:before="0"/>
        <w:ind w:left="0"/>
        <w:rPr>
          <w:b w:val="0"/>
          <w:bCs w:val="0"/>
          <w:sz w:val="21"/>
          <w:szCs w:val="21"/>
        </w:rPr>
      </w:pPr>
      <w:r>
        <w:rPr>
          <w:rFonts w:hint="eastAsia"/>
          <w:b w:val="0"/>
          <w:bCs w:val="0"/>
          <w:sz w:val="21"/>
          <w:szCs w:val="21"/>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pPr>
        <w:widowControl/>
        <w:spacing w:line="560" w:lineRule="exact"/>
        <w:jc w:val="center"/>
        <w:outlineLvl w:val="0"/>
        <w:rPr>
          <w:rFonts w:eastAsia="方正仿宋_GBK"/>
        </w:rPr>
      </w:pPr>
      <w:r>
        <w:rPr>
          <w:rFonts w:hint="eastAsia"/>
          <w:b/>
          <w:sz w:val="32"/>
          <w:szCs w:val="32"/>
        </w:rPr>
        <w:t>1</w:t>
      </w:r>
      <w:r>
        <w:rPr>
          <w:b/>
          <w:sz w:val="32"/>
          <w:szCs w:val="32"/>
        </w:rPr>
        <w:t>-</w:t>
      </w:r>
      <w:r>
        <w:rPr>
          <w:rFonts w:hint="eastAsia"/>
          <w:b/>
          <w:sz w:val="32"/>
          <w:szCs w:val="32"/>
        </w:rPr>
        <w:t>3</w:t>
      </w:r>
      <w:r>
        <w:rPr>
          <w:b/>
          <w:sz w:val="32"/>
          <w:szCs w:val="32"/>
        </w:rPr>
        <w:t>监狱企业证明文件（如有）</w:t>
      </w:r>
    </w:p>
    <w:p>
      <w:pPr>
        <w:spacing w:line="400" w:lineRule="exact"/>
        <w:ind w:firstLine="480" w:firstLineChars="200"/>
        <w:jc w:val="left"/>
        <w:rPr>
          <w:rFonts w:ascii="宋体" w:hAnsi="宋体"/>
          <w:sz w:val="24"/>
        </w:rPr>
      </w:pPr>
    </w:p>
    <w:p>
      <w:pPr>
        <w:spacing w:line="400" w:lineRule="exact"/>
        <w:ind w:firstLine="480" w:firstLineChars="200"/>
        <w:jc w:val="left"/>
        <w:rPr>
          <w:rFonts w:ascii="宋体"/>
          <w:sz w:val="24"/>
        </w:rPr>
      </w:pPr>
      <w:r>
        <w:rPr>
          <w:rFonts w:hint="eastAsia" w:ascii="宋体" w:hAnsi="宋体"/>
          <w:sz w:val="24"/>
        </w:rPr>
        <w:t>1</w:t>
      </w:r>
      <w:r>
        <w:rPr>
          <w:rFonts w:ascii="宋体" w:hAnsi="宋体"/>
          <w:sz w:val="24"/>
        </w:rPr>
        <w:t xml:space="preserve">. </w:t>
      </w:r>
      <w:r>
        <w:rPr>
          <w:rFonts w:hint="eastAsia" w:ascii="宋体" w:hAnsi="宋体"/>
          <w:sz w:val="24"/>
        </w:rPr>
        <w:t>监狱企业证明（如属于监狱企业，需提供由省级以上监狱管理局、戒毒管理局（含新疆生产建设兵团）出具的属于监狱企业的证明文件）；</w:t>
      </w:r>
    </w:p>
    <w:p>
      <w:pPr>
        <w:spacing w:line="400" w:lineRule="exact"/>
        <w:ind w:firstLine="480" w:firstLineChars="200"/>
        <w:jc w:val="left"/>
        <w:rPr>
          <w:rFonts w:ascii="宋体"/>
          <w:sz w:val="24"/>
        </w:rPr>
      </w:pPr>
      <w:r>
        <w:rPr>
          <w:rFonts w:hint="eastAsia" w:ascii="宋体" w:hAnsi="宋体"/>
          <w:sz w:val="24"/>
        </w:rPr>
        <w:t>2</w:t>
      </w:r>
      <w:r>
        <w:rPr>
          <w:rFonts w:ascii="宋体" w:hAnsi="宋体"/>
          <w:sz w:val="24"/>
        </w:rPr>
        <w:t>.</w:t>
      </w:r>
      <w:r>
        <w:rPr>
          <w:rFonts w:hint="eastAsia" w:ascii="宋体" w:hAnsi="宋体"/>
          <w:sz w:val="24"/>
        </w:rPr>
        <w:t>证明材料加盖供应商公章。</w:t>
      </w:r>
    </w:p>
    <w:p>
      <w:pPr>
        <w:adjustRightInd w:val="0"/>
        <w:snapToGrid w:val="0"/>
        <w:spacing w:line="440" w:lineRule="exact"/>
        <w:ind w:firstLine="480" w:firstLineChars="200"/>
        <w:rPr>
          <w:rFonts w:ascii="宋体" w:hAnsi="宋体"/>
          <w:sz w:val="24"/>
        </w:rPr>
      </w:pPr>
    </w:p>
    <w:p>
      <w:pPr>
        <w:pStyle w:val="2"/>
        <w:rPr>
          <w:rFonts w:hint="eastAsia"/>
        </w:rPr>
      </w:pPr>
    </w:p>
    <w:p>
      <w:pPr>
        <w:pStyle w:val="2"/>
        <w:jc w:val="both"/>
        <w:rPr>
          <w:rFonts w:hint="eastAsia"/>
        </w:rPr>
      </w:pPr>
    </w:p>
    <w:sectPr>
      <w:footerReference r:id="rId17" w:type="first"/>
      <w:headerReference r:id="rId15" w:type="default"/>
      <w:footerReference r:id="rId16" w:type="default"/>
      <w:pgSz w:w="11906" w:h="16838"/>
      <w:pgMar w:top="1440" w:right="1286" w:bottom="1440" w:left="1800"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0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right" w:pos="882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4hz//TAQAApA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parpE/voca0R4+Jcbh3A27NfA94mWgPMpj0RUIE46ju6aKuGCLh6VG1rKoSQxxjs4P4xdNz&#10;HyC+E86QZDQ04Piyquz4AeKYOqekatY9KK3zCLUlPaKuqjer/OISQnRtsUhiMXabrDjshonazrUn&#10;ZNbjDjTU4spTot9blDity2yE2djNxsEHte/yPqVWwL89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J4hz//TAQAApAMAAA4AAAAAAAAAAQAgAAAA&#10;IgEAAGRycy9lMm9Eb2MueG1sUEsFBgAAAAAGAAYAWQEAAGcFAA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right" w:pos="8820"/>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right" w:pos="8820"/>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&#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gGdlHTAQAApAMAAA4AAAAAAAAAAQAgAAAA&#10;IgEAAGRycy9lMm9Eb2MueG1sUEsFBgAAAAAGAAYAWQEAAGcFAA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right" w:pos="8820"/>
        <w:tab w:val="clear" w:pos="4153"/>
      </w:tabs>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5190"/>
        <w:tab w:val="clear" w:pos="4153"/>
      </w:tabs>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- 80 -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- 80 -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spacing w:line="100" w:lineRule="exact"/>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ind w:firstLine="0" w:firstLineChars="0"/>
      <w:jc w:val="both"/>
      <w:rPr>
        <w:rFonts w:hint="eastAsia" w:ascii="黑体" w:eastAsia="黑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0CBBC"/>
    <w:multiLevelType w:val="singleLevel"/>
    <w:tmpl w:val="8B30CBBC"/>
    <w:lvl w:ilvl="0" w:tentative="0">
      <w:start w:val="1"/>
      <w:numFmt w:val="decimal"/>
      <w:suff w:val="nothing"/>
      <w:lvlText w:val="%1）"/>
      <w:lvlJc w:val="left"/>
    </w:lvl>
  </w:abstractNum>
  <w:abstractNum w:abstractNumId="1">
    <w:nsid w:val="8FB31503"/>
    <w:multiLevelType w:val="singleLevel"/>
    <w:tmpl w:val="8FB31503"/>
    <w:lvl w:ilvl="0" w:tentative="0">
      <w:start w:val="1"/>
      <w:numFmt w:val="chineseCounting"/>
      <w:suff w:val="nothing"/>
      <w:lvlText w:val="%1、"/>
      <w:lvlJc w:val="left"/>
      <w:rPr>
        <w:rFonts w:hint="eastAsia"/>
      </w:rPr>
    </w:lvl>
  </w:abstractNum>
  <w:abstractNum w:abstractNumId="2">
    <w:nsid w:val="906F2CA2"/>
    <w:multiLevelType w:val="singleLevel"/>
    <w:tmpl w:val="906F2CA2"/>
    <w:lvl w:ilvl="0" w:tentative="0">
      <w:start w:val="4"/>
      <w:numFmt w:val="chineseCounting"/>
      <w:suff w:val="space"/>
      <w:lvlText w:val="第%1章"/>
      <w:lvlJc w:val="left"/>
      <w:rPr>
        <w:rFonts w:hint="eastAsia"/>
      </w:rPr>
    </w:lvl>
  </w:abstractNum>
  <w:abstractNum w:abstractNumId="3">
    <w:nsid w:val="BA158299"/>
    <w:multiLevelType w:val="singleLevel"/>
    <w:tmpl w:val="BA158299"/>
    <w:lvl w:ilvl="0" w:tentative="0">
      <w:start w:val="1"/>
      <w:numFmt w:val="decimal"/>
      <w:suff w:val="nothing"/>
      <w:lvlText w:val="（%1）"/>
      <w:lvlJc w:val="left"/>
    </w:lvl>
  </w:abstractNum>
  <w:abstractNum w:abstractNumId="4">
    <w:nsid w:val="01693DC9"/>
    <w:multiLevelType w:val="multilevel"/>
    <w:tmpl w:val="01693DC9"/>
    <w:lvl w:ilvl="0" w:tentative="0">
      <w:start w:val="1"/>
      <w:numFmt w:val="decimal"/>
      <w:lvlText w:val="（%1）"/>
      <w:lvlJc w:val="left"/>
      <w:pPr>
        <w:ind w:left="632" w:hanging="720"/>
      </w:pPr>
      <w:rPr>
        <w:rFonts w:hint="default"/>
      </w:rPr>
    </w:lvl>
    <w:lvl w:ilvl="1" w:tentative="0">
      <w:start w:val="1"/>
      <w:numFmt w:val="lowerLetter"/>
      <w:lvlText w:val="%2)"/>
      <w:lvlJc w:val="left"/>
      <w:pPr>
        <w:ind w:left="752" w:hanging="420"/>
      </w:pPr>
    </w:lvl>
    <w:lvl w:ilvl="2" w:tentative="0">
      <w:start w:val="1"/>
      <w:numFmt w:val="lowerRoman"/>
      <w:lvlText w:val="%3."/>
      <w:lvlJc w:val="right"/>
      <w:pPr>
        <w:ind w:left="1172" w:hanging="420"/>
      </w:pPr>
    </w:lvl>
    <w:lvl w:ilvl="3" w:tentative="0">
      <w:start w:val="1"/>
      <w:numFmt w:val="decimal"/>
      <w:lvlText w:val="%4."/>
      <w:lvlJc w:val="left"/>
      <w:pPr>
        <w:ind w:left="1592" w:hanging="420"/>
      </w:pPr>
    </w:lvl>
    <w:lvl w:ilvl="4" w:tentative="0">
      <w:start w:val="1"/>
      <w:numFmt w:val="lowerLetter"/>
      <w:lvlText w:val="%5)"/>
      <w:lvlJc w:val="left"/>
      <w:pPr>
        <w:ind w:left="2012" w:hanging="420"/>
      </w:pPr>
    </w:lvl>
    <w:lvl w:ilvl="5" w:tentative="0">
      <w:start w:val="1"/>
      <w:numFmt w:val="lowerRoman"/>
      <w:lvlText w:val="%6."/>
      <w:lvlJc w:val="right"/>
      <w:pPr>
        <w:ind w:left="2432" w:hanging="420"/>
      </w:pPr>
    </w:lvl>
    <w:lvl w:ilvl="6" w:tentative="0">
      <w:start w:val="1"/>
      <w:numFmt w:val="decimal"/>
      <w:lvlText w:val="%7."/>
      <w:lvlJc w:val="left"/>
      <w:pPr>
        <w:ind w:left="2852" w:hanging="420"/>
      </w:pPr>
    </w:lvl>
    <w:lvl w:ilvl="7" w:tentative="0">
      <w:start w:val="1"/>
      <w:numFmt w:val="lowerLetter"/>
      <w:lvlText w:val="%8)"/>
      <w:lvlJc w:val="left"/>
      <w:pPr>
        <w:ind w:left="3272" w:hanging="420"/>
      </w:pPr>
    </w:lvl>
    <w:lvl w:ilvl="8" w:tentative="0">
      <w:start w:val="1"/>
      <w:numFmt w:val="lowerRoman"/>
      <w:lvlText w:val="%9."/>
      <w:lvlJc w:val="right"/>
      <w:pPr>
        <w:ind w:left="3692" w:hanging="420"/>
      </w:pPr>
    </w:lvl>
  </w:abstractNum>
  <w:abstractNum w:abstractNumId="5">
    <w:nsid w:val="3F841306"/>
    <w:multiLevelType w:val="singleLevel"/>
    <w:tmpl w:val="3F841306"/>
    <w:lvl w:ilvl="0" w:tentative="0">
      <w:start w:val="5"/>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0C"/>
    <w:rsid w:val="000041E5"/>
    <w:rsid w:val="00004E70"/>
    <w:rsid w:val="000056B2"/>
    <w:rsid w:val="000077E8"/>
    <w:rsid w:val="00012E9C"/>
    <w:rsid w:val="000269B8"/>
    <w:rsid w:val="00036A5B"/>
    <w:rsid w:val="00036CAB"/>
    <w:rsid w:val="0004600C"/>
    <w:rsid w:val="0004634C"/>
    <w:rsid w:val="00051081"/>
    <w:rsid w:val="00054B69"/>
    <w:rsid w:val="0005683F"/>
    <w:rsid w:val="00063209"/>
    <w:rsid w:val="00063BFE"/>
    <w:rsid w:val="0007037B"/>
    <w:rsid w:val="00071649"/>
    <w:rsid w:val="000746D3"/>
    <w:rsid w:val="000749A8"/>
    <w:rsid w:val="00082A1C"/>
    <w:rsid w:val="00082AE8"/>
    <w:rsid w:val="00084A4B"/>
    <w:rsid w:val="000913E5"/>
    <w:rsid w:val="00093221"/>
    <w:rsid w:val="000A14DC"/>
    <w:rsid w:val="000A3470"/>
    <w:rsid w:val="000A3552"/>
    <w:rsid w:val="000A5FCD"/>
    <w:rsid w:val="000B1DAE"/>
    <w:rsid w:val="000B2156"/>
    <w:rsid w:val="000B2C6F"/>
    <w:rsid w:val="000B3BBD"/>
    <w:rsid w:val="000B42A4"/>
    <w:rsid w:val="000B4ADB"/>
    <w:rsid w:val="000B654A"/>
    <w:rsid w:val="000D005B"/>
    <w:rsid w:val="000D4521"/>
    <w:rsid w:val="000D4CCC"/>
    <w:rsid w:val="000D5EA5"/>
    <w:rsid w:val="000D5F5A"/>
    <w:rsid w:val="000E1A98"/>
    <w:rsid w:val="000E2038"/>
    <w:rsid w:val="000E728C"/>
    <w:rsid w:val="000F1F17"/>
    <w:rsid w:val="000F2F6A"/>
    <w:rsid w:val="001030C0"/>
    <w:rsid w:val="00103564"/>
    <w:rsid w:val="0010531F"/>
    <w:rsid w:val="001072CD"/>
    <w:rsid w:val="00115189"/>
    <w:rsid w:val="00116B04"/>
    <w:rsid w:val="001271D4"/>
    <w:rsid w:val="00130853"/>
    <w:rsid w:val="0013457C"/>
    <w:rsid w:val="00136363"/>
    <w:rsid w:val="00137F0A"/>
    <w:rsid w:val="00142086"/>
    <w:rsid w:val="001449F0"/>
    <w:rsid w:val="00146228"/>
    <w:rsid w:val="00146E0B"/>
    <w:rsid w:val="00150297"/>
    <w:rsid w:val="00150EC2"/>
    <w:rsid w:val="00153390"/>
    <w:rsid w:val="001622EF"/>
    <w:rsid w:val="001647E0"/>
    <w:rsid w:val="001661DA"/>
    <w:rsid w:val="00171EB6"/>
    <w:rsid w:val="00182092"/>
    <w:rsid w:val="0018220C"/>
    <w:rsid w:val="00182EE7"/>
    <w:rsid w:val="001837DF"/>
    <w:rsid w:val="00184559"/>
    <w:rsid w:val="00184D5B"/>
    <w:rsid w:val="00184EE0"/>
    <w:rsid w:val="00190B51"/>
    <w:rsid w:val="00194F90"/>
    <w:rsid w:val="001973B9"/>
    <w:rsid w:val="001A2451"/>
    <w:rsid w:val="001A5351"/>
    <w:rsid w:val="001B0075"/>
    <w:rsid w:val="001B34C6"/>
    <w:rsid w:val="001B437E"/>
    <w:rsid w:val="001C2220"/>
    <w:rsid w:val="001C556C"/>
    <w:rsid w:val="001C6E4F"/>
    <w:rsid w:val="001C71E6"/>
    <w:rsid w:val="001D0009"/>
    <w:rsid w:val="001D3162"/>
    <w:rsid w:val="001E0FEE"/>
    <w:rsid w:val="001E3121"/>
    <w:rsid w:val="001E48BD"/>
    <w:rsid w:val="001E543A"/>
    <w:rsid w:val="001E5553"/>
    <w:rsid w:val="001E59C0"/>
    <w:rsid w:val="001E5B64"/>
    <w:rsid w:val="001F1718"/>
    <w:rsid w:val="001F2E10"/>
    <w:rsid w:val="001F3712"/>
    <w:rsid w:val="001F65D4"/>
    <w:rsid w:val="00215521"/>
    <w:rsid w:val="002261D0"/>
    <w:rsid w:val="00230747"/>
    <w:rsid w:val="00231AC3"/>
    <w:rsid w:val="00242727"/>
    <w:rsid w:val="00242AD5"/>
    <w:rsid w:val="00245878"/>
    <w:rsid w:val="0024734F"/>
    <w:rsid w:val="00264634"/>
    <w:rsid w:val="00264718"/>
    <w:rsid w:val="0026561E"/>
    <w:rsid w:val="0027080B"/>
    <w:rsid w:val="0027771D"/>
    <w:rsid w:val="0028022A"/>
    <w:rsid w:val="00284235"/>
    <w:rsid w:val="002861B8"/>
    <w:rsid w:val="00287C5B"/>
    <w:rsid w:val="0029022C"/>
    <w:rsid w:val="00290654"/>
    <w:rsid w:val="00290D91"/>
    <w:rsid w:val="00290DC1"/>
    <w:rsid w:val="00290E42"/>
    <w:rsid w:val="00296000"/>
    <w:rsid w:val="002972CA"/>
    <w:rsid w:val="002A2256"/>
    <w:rsid w:val="002A30B6"/>
    <w:rsid w:val="002A517E"/>
    <w:rsid w:val="002B1A3E"/>
    <w:rsid w:val="002B1BDE"/>
    <w:rsid w:val="002B28FF"/>
    <w:rsid w:val="002B4991"/>
    <w:rsid w:val="002B4E05"/>
    <w:rsid w:val="002B6A09"/>
    <w:rsid w:val="002C1646"/>
    <w:rsid w:val="002C3DC3"/>
    <w:rsid w:val="002C4FE0"/>
    <w:rsid w:val="002C64E1"/>
    <w:rsid w:val="002D1089"/>
    <w:rsid w:val="002D5209"/>
    <w:rsid w:val="002D6988"/>
    <w:rsid w:val="002E075B"/>
    <w:rsid w:val="002E21CB"/>
    <w:rsid w:val="002E6379"/>
    <w:rsid w:val="002F0A28"/>
    <w:rsid w:val="002F0E1A"/>
    <w:rsid w:val="002F362D"/>
    <w:rsid w:val="00302CA0"/>
    <w:rsid w:val="00303366"/>
    <w:rsid w:val="00304DA5"/>
    <w:rsid w:val="003055B7"/>
    <w:rsid w:val="003059E2"/>
    <w:rsid w:val="00323E5C"/>
    <w:rsid w:val="003244D1"/>
    <w:rsid w:val="0032627D"/>
    <w:rsid w:val="00326C91"/>
    <w:rsid w:val="00326CC9"/>
    <w:rsid w:val="0033161A"/>
    <w:rsid w:val="0033586F"/>
    <w:rsid w:val="003431C2"/>
    <w:rsid w:val="003511D4"/>
    <w:rsid w:val="00351293"/>
    <w:rsid w:val="003516BB"/>
    <w:rsid w:val="00352478"/>
    <w:rsid w:val="00355423"/>
    <w:rsid w:val="00355581"/>
    <w:rsid w:val="00355DED"/>
    <w:rsid w:val="00356F70"/>
    <w:rsid w:val="00357D65"/>
    <w:rsid w:val="003606E5"/>
    <w:rsid w:val="00360E3D"/>
    <w:rsid w:val="00360F05"/>
    <w:rsid w:val="0036161C"/>
    <w:rsid w:val="003640B6"/>
    <w:rsid w:val="00367ACE"/>
    <w:rsid w:val="003707CB"/>
    <w:rsid w:val="00370AAD"/>
    <w:rsid w:val="003713E2"/>
    <w:rsid w:val="003723DE"/>
    <w:rsid w:val="00372ED8"/>
    <w:rsid w:val="003748ED"/>
    <w:rsid w:val="00376DB7"/>
    <w:rsid w:val="0037724D"/>
    <w:rsid w:val="003801AD"/>
    <w:rsid w:val="00384440"/>
    <w:rsid w:val="00392DC5"/>
    <w:rsid w:val="003966C0"/>
    <w:rsid w:val="00397311"/>
    <w:rsid w:val="003A363C"/>
    <w:rsid w:val="003A50AD"/>
    <w:rsid w:val="003B18B4"/>
    <w:rsid w:val="003B3C38"/>
    <w:rsid w:val="003B4787"/>
    <w:rsid w:val="003B5C4F"/>
    <w:rsid w:val="003C07AA"/>
    <w:rsid w:val="003D5A60"/>
    <w:rsid w:val="003E0424"/>
    <w:rsid w:val="003E0796"/>
    <w:rsid w:val="003E2107"/>
    <w:rsid w:val="003F189B"/>
    <w:rsid w:val="003F3BE4"/>
    <w:rsid w:val="003F3FF7"/>
    <w:rsid w:val="0040051F"/>
    <w:rsid w:val="00405357"/>
    <w:rsid w:val="00406585"/>
    <w:rsid w:val="00411960"/>
    <w:rsid w:val="00411A11"/>
    <w:rsid w:val="00411F00"/>
    <w:rsid w:val="00412C1C"/>
    <w:rsid w:val="004205C2"/>
    <w:rsid w:val="00422A4B"/>
    <w:rsid w:val="00422D79"/>
    <w:rsid w:val="004231C5"/>
    <w:rsid w:val="0042354E"/>
    <w:rsid w:val="004248BD"/>
    <w:rsid w:val="00427237"/>
    <w:rsid w:val="00454765"/>
    <w:rsid w:val="00455D5D"/>
    <w:rsid w:val="00456122"/>
    <w:rsid w:val="00457100"/>
    <w:rsid w:val="00461BA8"/>
    <w:rsid w:val="00464917"/>
    <w:rsid w:val="00465194"/>
    <w:rsid w:val="00470E84"/>
    <w:rsid w:val="00471C99"/>
    <w:rsid w:val="00474E24"/>
    <w:rsid w:val="004771C2"/>
    <w:rsid w:val="00477523"/>
    <w:rsid w:val="0047782B"/>
    <w:rsid w:val="004778B2"/>
    <w:rsid w:val="00480C8D"/>
    <w:rsid w:val="004908A8"/>
    <w:rsid w:val="0049510C"/>
    <w:rsid w:val="004965BB"/>
    <w:rsid w:val="00496AB6"/>
    <w:rsid w:val="004A1E75"/>
    <w:rsid w:val="004B2E67"/>
    <w:rsid w:val="004B3156"/>
    <w:rsid w:val="004B60CE"/>
    <w:rsid w:val="004C0711"/>
    <w:rsid w:val="004C4008"/>
    <w:rsid w:val="004C73F0"/>
    <w:rsid w:val="004C7656"/>
    <w:rsid w:val="004C7EEB"/>
    <w:rsid w:val="004D2912"/>
    <w:rsid w:val="004D79D1"/>
    <w:rsid w:val="004E0919"/>
    <w:rsid w:val="004E2559"/>
    <w:rsid w:val="004F04F9"/>
    <w:rsid w:val="004F2994"/>
    <w:rsid w:val="004F381C"/>
    <w:rsid w:val="004F515B"/>
    <w:rsid w:val="00501CF6"/>
    <w:rsid w:val="00502D3D"/>
    <w:rsid w:val="00504C85"/>
    <w:rsid w:val="00505849"/>
    <w:rsid w:val="00505D28"/>
    <w:rsid w:val="00510A75"/>
    <w:rsid w:val="005143DA"/>
    <w:rsid w:val="00522229"/>
    <w:rsid w:val="005322F8"/>
    <w:rsid w:val="005348FE"/>
    <w:rsid w:val="005356F4"/>
    <w:rsid w:val="005376DD"/>
    <w:rsid w:val="00537DBD"/>
    <w:rsid w:val="00541D82"/>
    <w:rsid w:val="00542DB5"/>
    <w:rsid w:val="00550179"/>
    <w:rsid w:val="005515A9"/>
    <w:rsid w:val="00560072"/>
    <w:rsid w:val="00564C38"/>
    <w:rsid w:val="00573640"/>
    <w:rsid w:val="00574894"/>
    <w:rsid w:val="005749FE"/>
    <w:rsid w:val="005823B5"/>
    <w:rsid w:val="00582516"/>
    <w:rsid w:val="00584679"/>
    <w:rsid w:val="005854E9"/>
    <w:rsid w:val="00585996"/>
    <w:rsid w:val="00586086"/>
    <w:rsid w:val="00590117"/>
    <w:rsid w:val="005905AB"/>
    <w:rsid w:val="00590EE6"/>
    <w:rsid w:val="005961DA"/>
    <w:rsid w:val="005A00E8"/>
    <w:rsid w:val="005A32DC"/>
    <w:rsid w:val="005A7973"/>
    <w:rsid w:val="005B2F92"/>
    <w:rsid w:val="005B429C"/>
    <w:rsid w:val="005B6122"/>
    <w:rsid w:val="005B68E9"/>
    <w:rsid w:val="005C2E86"/>
    <w:rsid w:val="005C3F51"/>
    <w:rsid w:val="005C4FCF"/>
    <w:rsid w:val="005C6407"/>
    <w:rsid w:val="005D3C70"/>
    <w:rsid w:val="005D522A"/>
    <w:rsid w:val="005D54C4"/>
    <w:rsid w:val="005D7588"/>
    <w:rsid w:val="005D792C"/>
    <w:rsid w:val="005D7A40"/>
    <w:rsid w:val="005F11B7"/>
    <w:rsid w:val="005F25E9"/>
    <w:rsid w:val="005F3471"/>
    <w:rsid w:val="005F48F6"/>
    <w:rsid w:val="006002D3"/>
    <w:rsid w:val="00600B85"/>
    <w:rsid w:val="00602242"/>
    <w:rsid w:val="00602BF3"/>
    <w:rsid w:val="006030E7"/>
    <w:rsid w:val="00603E13"/>
    <w:rsid w:val="00606595"/>
    <w:rsid w:val="006072C3"/>
    <w:rsid w:val="006077A8"/>
    <w:rsid w:val="006171A0"/>
    <w:rsid w:val="00625361"/>
    <w:rsid w:val="006253DC"/>
    <w:rsid w:val="006320AC"/>
    <w:rsid w:val="00637D7C"/>
    <w:rsid w:val="00643301"/>
    <w:rsid w:val="00645245"/>
    <w:rsid w:val="0065724F"/>
    <w:rsid w:val="00661583"/>
    <w:rsid w:val="0066439A"/>
    <w:rsid w:val="006646DA"/>
    <w:rsid w:val="00671D6A"/>
    <w:rsid w:val="00684164"/>
    <w:rsid w:val="00692613"/>
    <w:rsid w:val="00693916"/>
    <w:rsid w:val="006A4295"/>
    <w:rsid w:val="006A538A"/>
    <w:rsid w:val="006A67CB"/>
    <w:rsid w:val="006A7F89"/>
    <w:rsid w:val="006B6E1C"/>
    <w:rsid w:val="006C0403"/>
    <w:rsid w:val="006C2F59"/>
    <w:rsid w:val="006C341E"/>
    <w:rsid w:val="006C40F3"/>
    <w:rsid w:val="006D3F2A"/>
    <w:rsid w:val="006D4BB0"/>
    <w:rsid w:val="006D5AD9"/>
    <w:rsid w:val="006D68A1"/>
    <w:rsid w:val="006E6210"/>
    <w:rsid w:val="006F355C"/>
    <w:rsid w:val="006F6898"/>
    <w:rsid w:val="00703243"/>
    <w:rsid w:val="00703291"/>
    <w:rsid w:val="0070597B"/>
    <w:rsid w:val="007075C8"/>
    <w:rsid w:val="0071098C"/>
    <w:rsid w:val="00712061"/>
    <w:rsid w:val="00713857"/>
    <w:rsid w:val="00715BE2"/>
    <w:rsid w:val="007227E7"/>
    <w:rsid w:val="00723B6E"/>
    <w:rsid w:val="00723E2A"/>
    <w:rsid w:val="00726B32"/>
    <w:rsid w:val="00727ACD"/>
    <w:rsid w:val="00733060"/>
    <w:rsid w:val="0073493B"/>
    <w:rsid w:val="0074502E"/>
    <w:rsid w:val="007460DA"/>
    <w:rsid w:val="00746927"/>
    <w:rsid w:val="00746E28"/>
    <w:rsid w:val="00747118"/>
    <w:rsid w:val="00751FA4"/>
    <w:rsid w:val="0076265A"/>
    <w:rsid w:val="00763E2E"/>
    <w:rsid w:val="00764B16"/>
    <w:rsid w:val="00765052"/>
    <w:rsid w:val="00765F3F"/>
    <w:rsid w:val="00766220"/>
    <w:rsid w:val="00766BF7"/>
    <w:rsid w:val="00767283"/>
    <w:rsid w:val="00767C02"/>
    <w:rsid w:val="007724A3"/>
    <w:rsid w:val="007735FD"/>
    <w:rsid w:val="007767EF"/>
    <w:rsid w:val="00783148"/>
    <w:rsid w:val="007858FB"/>
    <w:rsid w:val="007910F7"/>
    <w:rsid w:val="00793672"/>
    <w:rsid w:val="007A083A"/>
    <w:rsid w:val="007A1BA6"/>
    <w:rsid w:val="007A1C4B"/>
    <w:rsid w:val="007A3744"/>
    <w:rsid w:val="007A4700"/>
    <w:rsid w:val="007B11C6"/>
    <w:rsid w:val="007B15E1"/>
    <w:rsid w:val="007B4126"/>
    <w:rsid w:val="007B4298"/>
    <w:rsid w:val="007B79BB"/>
    <w:rsid w:val="007C2B41"/>
    <w:rsid w:val="007C2D76"/>
    <w:rsid w:val="007C73E4"/>
    <w:rsid w:val="007C74B7"/>
    <w:rsid w:val="007C7DE8"/>
    <w:rsid w:val="007D0D46"/>
    <w:rsid w:val="007D0DC0"/>
    <w:rsid w:val="007D2CB4"/>
    <w:rsid w:val="007D48E0"/>
    <w:rsid w:val="007D70FF"/>
    <w:rsid w:val="007E3317"/>
    <w:rsid w:val="007E3494"/>
    <w:rsid w:val="007E3CE0"/>
    <w:rsid w:val="007E5819"/>
    <w:rsid w:val="007F5BFA"/>
    <w:rsid w:val="0080008B"/>
    <w:rsid w:val="00801B5A"/>
    <w:rsid w:val="00801C86"/>
    <w:rsid w:val="008057C5"/>
    <w:rsid w:val="008109D5"/>
    <w:rsid w:val="00815216"/>
    <w:rsid w:val="00816E60"/>
    <w:rsid w:val="00821F4B"/>
    <w:rsid w:val="008247CC"/>
    <w:rsid w:val="00830F89"/>
    <w:rsid w:val="0083205A"/>
    <w:rsid w:val="00832164"/>
    <w:rsid w:val="0083500D"/>
    <w:rsid w:val="00835CB8"/>
    <w:rsid w:val="008361B3"/>
    <w:rsid w:val="008361E3"/>
    <w:rsid w:val="00837842"/>
    <w:rsid w:val="0083787F"/>
    <w:rsid w:val="00843376"/>
    <w:rsid w:val="00846914"/>
    <w:rsid w:val="00851A38"/>
    <w:rsid w:val="00853676"/>
    <w:rsid w:val="00855FB3"/>
    <w:rsid w:val="00862274"/>
    <w:rsid w:val="00872691"/>
    <w:rsid w:val="00876628"/>
    <w:rsid w:val="00882257"/>
    <w:rsid w:val="00885783"/>
    <w:rsid w:val="0088595B"/>
    <w:rsid w:val="0089158D"/>
    <w:rsid w:val="00892E19"/>
    <w:rsid w:val="00893237"/>
    <w:rsid w:val="00895384"/>
    <w:rsid w:val="008975E5"/>
    <w:rsid w:val="00897942"/>
    <w:rsid w:val="008A0187"/>
    <w:rsid w:val="008A3C7D"/>
    <w:rsid w:val="008A43E4"/>
    <w:rsid w:val="008A7D99"/>
    <w:rsid w:val="008B0FE5"/>
    <w:rsid w:val="008B1305"/>
    <w:rsid w:val="008B2644"/>
    <w:rsid w:val="008B4925"/>
    <w:rsid w:val="008B5B78"/>
    <w:rsid w:val="008B60B6"/>
    <w:rsid w:val="008B6D38"/>
    <w:rsid w:val="008B77BE"/>
    <w:rsid w:val="008C2D7D"/>
    <w:rsid w:val="008C6DF2"/>
    <w:rsid w:val="008C7E9C"/>
    <w:rsid w:val="008C7FEB"/>
    <w:rsid w:val="008D1F45"/>
    <w:rsid w:val="008D2867"/>
    <w:rsid w:val="008D355B"/>
    <w:rsid w:val="008E2EE3"/>
    <w:rsid w:val="008E3D29"/>
    <w:rsid w:val="008E58A1"/>
    <w:rsid w:val="008E5C7F"/>
    <w:rsid w:val="008E7495"/>
    <w:rsid w:val="008F06DF"/>
    <w:rsid w:val="008F383F"/>
    <w:rsid w:val="008F5172"/>
    <w:rsid w:val="008F5DEA"/>
    <w:rsid w:val="008F7317"/>
    <w:rsid w:val="008F735C"/>
    <w:rsid w:val="00900C7F"/>
    <w:rsid w:val="00901DEC"/>
    <w:rsid w:val="0090221E"/>
    <w:rsid w:val="00905F57"/>
    <w:rsid w:val="00906A57"/>
    <w:rsid w:val="0090746D"/>
    <w:rsid w:val="00912B97"/>
    <w:rsid w:val="00917313"/>
    <w:rsid w:val="009202E3"/>
    <w:rsid w:val="00923AA5"/>
    <w:rsid w:val="009244F3"/>
    <w:rsid w:val="00925E3B"/>
    <w:rsid w:val="00926EC9"/>
    <w:rsid w:val="00927603"/>
    <w:rsid w:val="009312E7"/>
    <w:rsid w:val="00934686"/>
    <w:rsid w:val="00934E83"/>
    <w:rsid w:val="0094451C"/>
    <w:rsid w:val="00945B06"/>
    <w:rsid w:val="00952BFD"/>
    <w:rsid w:val="00952FD9"/>
    <w:rsid w:val="00953ADF"/>
    <w:rsid w:val="00961C41"/>
    <w:rsid w:val="00962F19"/>
    <w:rsid w:val="0096605B"/>
    <w:rsid w:val="00971245"/>
    <w:rsid w:val="0097174C"/>
    <w:rsid w:val="00977F9B"/>
    <w:rsid w:val="00980892"/>
    <w:rsid w:val="00984922"/>
    <w:rsid w:val="009A180A"/>
    <w:rsid w:val="009A6725"/>
    <w:rsid w:val="009B142E"/>
    <w:rsid w:val="009B3733"/>
    <w:rsid w:val="009B63DB"/>
    <w:rsid w:val="009B66D6"/>
    <w:rsid w:val="009C1491"/>
    <w:rsid w:val="009C3CED"/>
    <w:rsid w:val="009C4BC1"/>
    <w:rsid w:val="009C4EFB"/>
    <w:rsid w:val="009D207E"/>
    <w:rsid w:val="009D2348"/>
    <w:rsid w:val="009E1B0E"/>
    <w:rsid w:val="009E52C8"/>
    <w:rsid w:val="009F10F3"/>
    <w:rsid w:val="009F10FA"/>
    <w:rsid w:val="009F3099"/>
    <w:rsid w:val="009F3B08"/>
    <w:rsid w:val="009F3C2D"/>
    <w:rsid w:val="009F43D1"/>
    <w:rsid w:val="009F60CD"/>
    <w:rsid w:val="009F7BD5"/>
    <w:rsid w:val="00A02E56"/>
    <w:rsid w:val="00A0625B"/>
    <w:rsid w:val="00A07475"/>
    <w:rsid w:val="00A13586"/>
    <w:rsid w:val="00A20CB0"/>
    <w:rsid w:val="00A258DD"/>
    <w:rsid w:val="00A3069F"/>
    <w:rsid w:val="00A31BD0"/>
    <w:rsid w:val="00A3205D"/>
    <w:rsid w:val="00A333AA"/>
    <w:rsid w:val="00A344D1"/>
    <w:rsid w:val="00A34AF2"/>
    <w:rsid w:val="00A35CD6"/>
    <w:rsid w:val="00A47E28"/>
    <w:rsid w:val="00A51021"/>
    <w:rsid w:val="00A54770"/>
    <w:rsid w:val="00A60734"/>
    <w:rsid w:val="00A608FC"/>
    <w:rsid w:val="00A60EFF"/>
    <w:rsid w:val="00A70E4D"/>
    <w:rsid w:val="00A719E1"/>
    <w:rsid w:val="00A73120"/>
    <w:rsid w:val="00A73A8C"/>
    <w:rsid w:val="00A73D91"/>
    <w:rsid w:val="00A74A9E"/>
    <w:rsid w:val="00A80C6F"/>
    <w:rsid w:val="00A8127C"/>
    <w:rsid w:val="00A81496"/>
    <w:rsid w:val="00A815B0"/>
    <w:rsid w:val="00A83F1E"/>
    <w:rsid w:val="00A8453B"/>
    <w:rsid w:val="00A92D82"/>
    <w:rsid w:val="00A941A5"/>
    <w:rsid w:val="00A96FE5"/>
    <w:rsid w:val="00A97453"/>
    <w:rsid w:val="00AA2770"/>
    <w:rsid w:val="00AA3226"/>
    <w:rsid w:val="00AB0604"/>
    <w:rsid w:val="00AB1CC9"/>
    <w:rsid w:val="00AB752B"/>
    <w:rsid w:val="00AC681C"/>
    <w:rsid w:val="00AC6BB4"/>
    <w:rsid w:val="00AC6C4A"/>
    <w:rsid w:val="00AC6F17"/>
    <w:rsid w:val="00AD0829"/>
    <w:rsid w:val="00AD30FD"/>
    <w:rsid w:val="00AD344A"/>
    <w:rsid w:val="00AD724D"/>
    <w:rsid w:val="00AE45FF"/>
    <w:rsid w:val="00AE58AC"/>
    <w:rsid w:val="00AE5EC0"/>
    <w:rsid w:val="00AF100D"/>
    <w:rsid w:val="00AF3043"/>
    <w:rsid w:val="00AF4E4A"/>
    <w:rsid w:val="00B010AC"/>
    <w:rsid w:val="00B04ED9"/>
    <w:rsid w:val="00B146F3"/>
    <w:rsid w:val="00B16085"/>
    <w:rsid w:val="00B208DA"/>
    <w:rsid w:val="00B22E77"/>
    <w:rsid w:val="00B36107"/>
    <w:rsid w:val="00B36883"/>
    <w:rsid w:val="00B47F7A"/>
    <w:rsid w:val="00B51211"/>
    <w:rsid w:val="00B52AC8"/>
    <w:rsid w:val="00B55913"/>
    <w:rsid w:val="00B56CB3"/>
    <w:rsid w:val="00B56F02"/>
    <w:rsid w:val="00B65C8A"/>
    <w:rsid w:val="00B73650"/>
    <w:rsid w:val="00B740D1"/>
    <w:rsid w:val="00B75884"/>
    <w:rsid w:val="00B75C6F"/>
    <w:rsid w:val="00B80982"/>
    <w:rsid w:val="00B80A40"/>
    <w:rsid w:val="00B84E5A"/>
    <w:rsid w:val="00B94503"/>
    <w:rsid w:val="00B94D4C"/>
    <w:rsid w:val="00BA4C73"/>
    <w:rsid w:val="00BB390A"/>
    <w:rsid w:val="00BB7D5A"/>
    <w:rsid w:val="00BC12E3"/>
    <w:rsid w:val="00BD373A"/>
    <w:rsid w:val="00BD592B"/>
    <w:rsid w:val="00BD5C40"/>
    <w:rsid w:val="00BD72F6"/>
    <w:rsid w:val="00BE29C1"/>
    <w:rsid w:val="00BE61E1"/>
    <w:rsid w:val="00BF221D"/>
    <w:rsid w:val="00BF3C47"/>
    <w:rsid w:val="00C06A53"/>
    <w:rsid w:val="00C171B1"/>
    <w:rsid w:val="00C1792D"/>
    <w:rsid w:val="00C36264"/>
    <w:rsid w:val="00C3743A"/>
    <w:rsid w:val="00C4415D"/>
    <w:rsid w:val="00C44A60"/>
    <w:rsid w:val="00C45AB4"/>
    <w:rsid w:val="00C45F15"/>
    <w:rsid w:val="00C505CB"/>
    <w:rsid w:val="00C512C2"/>
    <w:rsid w:val="00C546EC"/>
    <w:rsid w:val="00C550C0"/>
    <w:rsid w:val="00C57399"/>
    <w:rsid w:val="00C575B9"/>
    <w:rsid w:val="00C61C50"/>
    <w:rsid w:val="00C677C2"/>
    <w:rsid w:val="00C728E4"/>
    <w:rsid w:val="00C72B3F"/>
    <w:rsid w:val="00C7390C"/>
    <w:rsid w:val="00C745B7"/>
    <w:rsid w:val="00C75CF7"/>
    <w:rsid w:val="00C760AA"/>
    <w:rsid w:val="00C773CA"/>
    <w:rsid w:val="00C77C7C"/>
    <w:rsid w:val="00C800A1"/>
    <w:rsid w:val="00C82DC0"/>
    <w:rsid w:val="00C87708"/>
    <w:rsid w:val="00C92FF6"/>
    <w:rsid w:val="00C93933"/>
    <w:rsid w:val="00C953E2"/>
    <w:rsid w:val="00C9634A"/>
    <w:rsid w:val="00CA5711"/>
    <w:rsid w:val="00CB164D"/>
    <w:rsid w:val="00CB2873"/>
    <w:rsid w:val="00CB32E8"/>
    <w:rsid w:val="00CB421A"/>
    <w:rsid w:val="00CB4B95"/>
    <w:rsid w:val="00CB6F36"/>
    <w:rsid w:val="00CC3373"/>
    <w:rsid w:val="00CC4803"/>
    <w:rsid w:val="00CC72F3"/>
    <w:rsid w:val="00CD01BF"/>
    <w:rsid w:val="00CD0B8A"/>
    <w:rsid w:val="00CD147C"/>
    <w:rsid w:val="00CD5329"/>
    <w:rsid w:val="00CD7106"/>
    <w:rsid w:val="00CD7B47"/>
    <w:rsid w:val="00CE3627"/>
    <w:rsid w:val="00CE5374"/>
    <w:rsid w:val="00CF107E"/>
    <w:rsid w:val="00CF3C66"/>
    <w:rsid w:val="00CF78B9"/>
    <w:rsid w:val="00D0250A"/>
    <w:rsid w:val="00D03EEC"/>
    <w:rsid w:val="00D06D4E"/>
    <w:rsid w:val="00D1143A"/>
    <w:rsid w:val="00D14127"/>
    <w:rsid w:val="00D16B1F"/>
    <w:rsid w:val="00D20304"/>
    <w:rsid w:val="00D2111F"/>
    <w:rsid w:val="00D2658F"/>
    <w:rsid w:val="00D26963"/>
    <w:rsid w:val="00D36299"/>
    <w:rsid w:val="00D44580"/>
    <w:rsid w:val="00D50E5D"/>
    <w:rsid w:val="00D5109A"/>
    <w:rsid w:val="00D51319"/>
    <w:rsid w:val="00D54FF2"/>
    <w:rsid w:val="00D6114E"/>
    <w:rsid w:val="00D6411C"/>
    <w:rsid w:val="00D64BDA"/>
    <w:rsid w:val="00D64E40"/>
    <w:rsid w:val="00D7131A"/>
    <w:rsid w:val="00D71440"/>
    <w:rsid w:val="00D73D0B"/>
    <w:rsid w:val="00D7451B"/>
    <w:rsid w:val="00D7544E"/>
    <w:rsid w:val="00D75FD3"/>
    <w:rsid w:val="00D77BBD"/>
    <w:rsid w:val="00D816A6"/>
    <w:rsid w:val="00D81D68"/>
    <w:rsid w:val="00D83A54"/>
    <w:rsid w:val="00D83F3A"/>
    <w:rsid w:val="00D8568E"/>
    <w:rsid w:val="00D862AF"/>
    <w:rsid w:val="00D86737"/>
    <w:rsid w:val="00D87275"/>
    <w:rsid w:val="00D9626A"/>
    <w:rsid w:val="00DA0ADC"/>
    <w:rsid w:val="00DA112E"/>
    <w:rsid w:val="00DA25C8"/>
    <w:rsid w:val="00DA53C0"/>
    <w:rsid w:val="00DB0193"/>
    <w:rsid w:val="00DB0A18"/>
    <w:rsid w:val="00DB19AF"/>
    <w:rsid w:val="00DB371C"/>
    <w:rsid w:val="00DB46E0"/>
    <w:rsid w:val="00DB72B9"/>
    <w:rsid w:val="00DC093C"/>
    <w:rsid w:val="00DD6229"/>
    <w:rsid w:val="00DD6A89"/>
    <w:rsid w:val="00DE27CC"/>
    <w:rsid w:val="00DE7322"/>
    <w:rsid w:val="00DE73D6"/>
    <w:rsid w:val="00DF0EA8"/>
    <w:rsid w:val="00DF1C5B"/>
    <w:rsid w:val="00DF26B4"/>
    <w:rsid w:val="00DF607C"/>
    <w:rsid w:val="00DF61B3"/>
    <w:rsid w:val="00E00398"/>
    <w:rsid w:val="00E024EF"/>
    <w:rsid w:val="00E05B13"/>
    <w:rsid w:val="00E10C95"/>
    <w:rsid w:val="00E17FD5"/>
    <w:rsid w:val="00E20972"/>
    <w:rsid w:val="00E247AD"/>
    <w:rsid w:val="00E24DD0"/>
    <w:rsid w:val="00E30D99"/>
    <w:rsid w:val="00E400D2"/>
    <w:rsid w:val="00E442BD"/>
    <w:rsid w:val="00E448FF"/>
    <w:rsid w:val="00E525B2"/>
    <w:rsid w:val="00E53B20"/>
    <w:rsid w:val="00E54F27"/>
    <w:rsid w:val="00E62680"/>
    <w:rsid w:val="00E64CF7"/>
    <w:rsid w:val="00E656A5"/>
    <w:rsid w:val="00E752E4"/>
    <w:rsid w:val="00E77B23"/>
    <w:rsid w:val="00E80470"/>
    <w:rsid w:val="00E8135C"/>
    <w:rsid w:val="00E816CC"/>
    <w:rsid w:val="00E81C5D"/>
    <w:rsid w:val="00E837F8"/>
    <w:rsid w:val="00E8499C"/>
    <w:rsid w:val="00E87FB0"/>
    <w:rsid w:val="00E95756"/>
    <w:rsid w:val="00EB2CFE"/>
    <w:rsid w:val="00EC28ED"/>
    <w:rsid w:val="00EC429A"/>
    <w:rsid w:val="00EC61E3"/>
    <w:rsid w:val="00EC640E"/>
    <w:rsid w:val="00EC73CF"/>
    <w:rsid w:val="00EC73FA"/>
    <w:rsid w:val="00ED6776"/>
    <w:rsid w:val="00EE2B60"/>
    <w:rsid w:val="00EF0A9B"/>
    <w:rsid w:val="00EF204A"/>
    <w:rsid w:val="00EF2D00"/>
    <w:rsid w:val="00EF3BF5"/>
    <w:rsid w:val="00EF41FD"/>
    <w:rsid w:val="00F00C94"/>
    <w:rsid w:val="00F03FC0"/>
    <w:rsid w:val="00F055F0"/>
    <w:rsid w:val="00F0562B"/>
    <w:rsid w:val="00F114F9"/>
    <w:rsid w:val="00F1373D"/>
    <w:rsid w:val="00F14DB7"/>
    <w:rsid w:val="00F17B0C"/>
    <w:rsid w:val="00F27B81"/>
    <w:rsid w:val="00F42586"/>
    <w:rsid w:val="00F4676F"/>
    <w:rsid w:val="00F51344"/>
    <w:rsid w:val="00F537EE"/>
    <w:rsid w:val="00F53DB3"/>
    <w:rsid w:val="00F55F0E"/>
    <w:rsid w:val="00F56FFE"/>
    <w:rsid w:val="00F57D7D"/>
    <w:rsid w:val="00F6297D"/>
    <w:rsid w:val="00F64307"/>
    <w:rsid w:val="00F66E48"/>
    <w:rsid w:val="00F66E88"/>
    <w:rsid w:val="00F672B0"/>
    <w:rsid w:val="00F75B7D"/>
    <w:rsid w:val="00F75DA1"/>
    <w:rsid w:val="00F812A5"/>
    <w:rsid w:val="00F81343"/>
    <w:rsid w:val="00F815F8"/>
    <w:rsid w:val="00F83CCB"/>
    <w:rsid w:val="00F86B2F"/>
    <w:rsid w:val="00F87B43"/>
    <w:rsid w:val="00F916E6"/>
    <w:rsid w:val="00FA2203"/>
    <w:rsid w:val="00FA2688"/>
    <w:rsid w:val="00FA2AE9"/>
    <w:rsid w:val="00FA79FE"/>
    <w:rsid w:val="00FB209C"/>
    <w:rsid w:val="00FB504F"/>
    <w:rsid w:val="00FB51EA"/>
    <w:rsid w:val="00FB55BF"/>
    <w:rsid w:val="00FC520C"/>
    <w:rsid w:val="00FC605E"/>
    <w:rsid w:val="00FD055D"/>
    <w:rsid w:val="00FD18AB"/>
    <w:rsid w:val="00FD19DD"/>
    <w:rsid w:val="00FD544B"/>
    <w:rsid w:val="00FD7982"/>
    <w:rsid w:val="00FE542D"/>
    <w:rsid w:val="00FE5859"/>
    <w:rsid w:val="00FE6C5D"/>
    <w:rsid w:val="00FF1BB2"/>
    <w:rsid w:val="00FF217D"/>
    <w:rsid w:val="00FF2CC8"/>
    <w:rsid w:val="00FF5FD0"/>
    <w:rsid w:val="00FF767A"/>
    <w:rsid w:val="017A4A8F"/>
    <w:rsid w:val="01B65E79"/>
    <w:rsid w:val="01FA1C14"/>
    <w:rsid w:val="02667F7E"/>
    <w:rsid w:val="02806025"/>
    <w:rsid w:val="02EA1513"/>
    <w:rsid w:val="02F97523"/>
    <w:rsid w:val="03364236"/>
    <w:rsid w:val="03F4673A"/>
    <w:rsid w:val="04112BF4"/>
    <w:rsid w:val="04894060"/>
    <w:rsid w:val="054948BA"/>
    <w:rsid w:val="056962AD"/>
    <w:rsid w:val="05983F4C"/>
    <w:rsid w:val="059D4E0F"/>
    <w:rsid w:val="065C1099"/>
    <w:rsid w:val="070A1140"/>
    <w:rsid w:val="07DE1F31"/>
    <w:rsid w:val="084A53B9"/>
    <w:rsid w:val="0A3B566D"/>
    <w:rsid w:val="0AD80001"/>
    <w:rsid w:val="0B684E17"/>
    <w:rsid w:val="0BA63DE5"/>
    <w:rsid w:val="0BE638D2"/>
    <w:rsid w:val="0C175F34"/>
    <w:rsid w:val="0CCC67E8"/>
    <w:rsid w:val="0CD85A18"/>
    <w:rsid w:val="0D087037"/>
    <w:rsid w:val="0D552822"/>
    <w:rsid w:val="0D842DC2"/>
    <w:rsid w:val="0E4D389D"/>
    <w:rsid w:val="0F2A1437"/>
    <w:rsid w:val="109626A9"/>
    <w:rsid w:val="10C95C24"/>
    <w:rsid w:val="10ED4653"/>
    <w:rsid w:val="11A84D46"/>
    <w:rsid w:val="11CC5A66"/>
    <w:rsid w:val="121224A4"/>
    <w:rsid w:val="127D2645"/>
    <w:rsid w:val="12AB00A5"/>
    <w:rsid w:val="13BB71DD"/>
    <w:rsid w:val="13D9188E"/>
    <w:rsid w:val="146128A0"/>
    <w:rsid w:val="14672052"/>
    <w:rsid w:val="149A7141"/>
    <w:rsid w:val="154B3B6D"/>
    <w:rsid w:val="15AA72D0"/>
    <w:rsid w:val="162F711C"/>
    <w:rsid w:val="16986C9E"/>
    <w:rsid w:val="16EF7EB0"/>
    <w:rsid w:val="178E4C70"/>
    <w:rsid w:val="17BC6ECB"/>
    <w:rsid w:val="180B3A19"/>
    <w:rsid w:val="18183800"/>
    <w:rsid w:val="185841E5"/>
    <w:rsid w:val="18653CB1"/>
    <w:rsid w:val="18D34A70"/>
    <w:rsid w:val="19FC62C7"/>
    <w:rsid w:val="1A2D7545"/>
    <w:rsid w:val="1A4E3384"/>
    <w:rsid w:val="1A574408"/>
    <w:rsid w:val="1AA77145"/>
    <w:rsid w:val="1B7A0FA1"/>
    <w:rsid w:val="1B7E06DD"/>
    <w:rsid w:val="1C2B2CE0"/>
    <w:rsid w:val="1C382FF3"/>
    <w:rsid w:val="1C555E3E"/>
    <w:rsid w:val="1CEC64E0"/>
    <w:rsid w:val="1D0D283A"/>
    <w:rsid w:val="1D904501"/>
    <w:rsid w:val="1DDB09FE"/>
    <w:rsid w:val="1E187D2C"/>
    <w:rsid w:val="1E5D1ABE"/>
    <w:rsid w:val="1EDE37EF"/>
    <w:rsid w:val="1FDE65F7"/>
    <w:rsid w:val="20093A1F"/>
    <w:rsid w:val="2036510E"/>
    <w:rsid w:val="20AD6A38"/>
    <w:rsid w:val="21652D0E"/>
    <w:rsid w:val="22323DAE"/>
    <w:rsid w:val="22593948"/>
    <w:rsid w:val="225E7CC7"/>
    <w:rsid w:val="22DF4C88"/>
    <w:rsid w:val="22FA3CD6"/>
    <w:rsid w:val="23B24C9F"/>
    <w:rsid w:val="23DA44E1"/>
    <w:rsid w:val="240352A6"/>
    <w:rsid w:val="240D0D6C"/>
    <w:rsid w:val="24102138"/>
    <w:rsid w:val="24C13812"/>
    <w:rsid w:val="24FF2938"/>
    <w:rsid w:val="260332C8"/>
    <w:rsid w:val="27140C97"/>
    <w:rsid w:val="2774130C"/>
    <w:rsid w:val="27756788"/>
    <w:rsid w:val="28151E11"/>
    <w:rsid w:val="284B4BC2"/>
    <w:rsid w:val="285130FF"/>
    <w:rsid w:val="29761687"/>
    <w:rsid w:val="29C36909"/>
    <w:rsid w:val="2A606C02"/>
    <w:rsid w:val="2A6D405F"/>
    <w:rsid w:val="2A9053A2"/>
    <w:rsid w:val="2AD632CE"/>
    <w:rsid w:val="2B783D3F"/>
    <w:rsid w:val="2B8564F9"/>
    <w:rsid w:val="2B9B1F67"/>
    <w:rsid w:val="2BB311AE"/>
    <w:rsid w:val="2CA0682F"/>
    <w:rsid w:val="2CD412A8"/>
    <w:rsid w:val="2DB9722D"/>
    <w:rsid w:val="2DFE643A"/>
    <w:rsid w:val="2F2D3B3F"/>
    <w:rsid w:val="2F4549EF"/>
    <w:rsid w:val="2FAC7DEE"/>
    <w:rsid w:val="300565F4"/>
    <w:rsid w:val="317A6C87"/>
    <w:rsid w:val="31DA08B9"/>
    <w:rsid w:val="347F38A5"/>
    <w:rsid w:val="34A17125"/>
    <w:rsid w:val="351E1FDA"/>
    <w:rsid w:val="356B4862"/>
    <w:rsid w:val="35FF7F3C"/>
    <w:rsid w:val="360246C9"/>
    <w:rsid w:val="36163E54"/>
    <w:rsid w:val="36A46611"/>
    <w:rsid w:val="36ED7168"/>
    <w:rsid w:val="370368B3"/>
    <w:rsid w:val="371B3D99"/>
    <w:rsid w:val="37AE116C"/>
    <w:rsid w:val="38EB4B7C"/>
    <w:rsid w:val="39116351"/>
    <w:rsid w:val="3913429A"/>
    <w:rsid w:val="39C04846"/>
    <w:rsid w:val="3A253ABC"/>
    <w:rsid w:val="3A3E7678"/>
    <w:rsid w:val="3A6F7EB5"/>
    <w:rsid w:val="3AB26DFD"/>
    <w:rsid w:val="3B3F27E7"/>
    <w:rsid w:val="3B7E51F9"/>
    <w:rsid w:val="3C2F4A59"/>
    <w:rsid w:val="3C474E08"/>
    <w:rsid w:val="3CE33E7F"/>
    <w:rsid w:val="3D2741C3"/>
    <w:rsid w:val="3E1C6B63"/>
    <w:rsid w:val="3E403C74"/>
    <w:rsid w:val="3E616306"/>
    <w:rsid w:val="3E983B7D"/>
    <w:rsid w:val="3EB33BFA"/>
    <w:rsid w:val="3EF14A2B"/>
    <w:rsid w:val="401E3D56"/>
    <w:rsid w:val="406A1ADE"/>
    <w:rsid w:val="407A0F6A"/>
    <w:rsid w:val="4113629B"/>
    <w:rsid w:val="422A2DD4"/>
    <w:rsid w:val="425F3C2B"/>
    <w:rsid w:val="42F12AAA"/>
    <w:rsid w:val="4390238B"/>
    <w:rsid w:val="44007A04"/>
    <w:rsid w:val="44D1692B"/>
    <w:rsid w:val="44DC2B73"/>
    <w:rsid w:val="45393578"/>
    <w:rsid w:val="46832348"/>
    <w:rsid w:val="47620DD6"/>
    <w:rsid w:val="47C90561"/>
    <w:rsid w:val="482C4331"/>
    <w:rsid w:val="484D7E8F"/>
    <w:rsid w:val="48B21FC6"/>
    <w:rsid w:val="48CD7708"/>
    <w:rsid w:val="48D52849"/>
    <w:rsid w:val="49372991"/>
    <w:rsid w:val="496812F7"/>
    <w:rsid w:val="499977C5"/>
    <w:rsid w:val="49F724B5"/>
    <w:rsid w:val="4A1D6D71"/>
    <w:rsid w:val="4A1E125B"/>
    <w:rsid w:val="4A2C1E00"/>
    <w:rsid w:val="4A333C6B"/>
    <w:rsid w:val="4B0E39F6"/>
    <w:rsid w:val="4BEF564B"/>
    <w:rsid w:val="4C0D0478"/>
    <w:rsid w:val="4CB01F28"/>
    <w:rsid w:val="4CF118E0"/>
    <w:rsid w:val="4CFB0439"/>
    <w:rsid w:val="4DB81986"/>
    <w:rsid w:val="4DE73062"/>
    <w:rsid w:val="4DEC54B6"/>
    <w:rsid w:val="4F945018"/>
    <w:rsid w:val="50A9440A"/>
    <w:rsid w:val="512363F2"/>
    <w:rsid w:val="522451F8"/>
    <w:rsid w:val="52513E5A"/>
    <w:rsid w:val="52563F25"/>
    <w:rsid w:val="526E570A"/>
    <w:rsid w:val="52F961CA"/>
    <w:rsid w:val="53353B3B"/>
    <w:rsid w:val="53525A18"/>
    <w:rsid w:val="53C44483"/>
    <w:rsid w:val="53E20E0F"/>
    <w:rsid w:val="541D5912"/>
    <w:rsid w:val="547114FD"/>
    <w:rsid w:val="550E43A5"/>
    <w:rsid w:val="5537422D"/>
    <w:rsid w:val="553B2720"/>
    <w:rsid w:val="55C96344"/>
    <w:rsid w:val="56000B25"/>
    <w:rsid w:val="57035332"/>
    <w:rsid w:val="58102DB3"/>
    <w:rsid w:val="581D4A79"/>
    <w:rsid w:val="58610F95"/>
    <w:rsid w:val="591D3D35"/>
    <w:rsid w:val="592D2783"/>
    <w:rsid w:val="597D353C"/>
    <w:rsid w:val="599C175A"/>
    <w:rsid w:val="59B875A3"/>
    <w:rsid w:val="59C15552"/>
    <w:rsid w:val="5A76428B"/>
    <w:rsid w:val="5AEA59CD"/>
    <w:rsid w:val="5B044A82"/>
    <w:rsid w:val="5B3A75D2"/>
    <w:rsid w:val="5C9622B3"/>
    <w:rsid w:val="5CD536EC"/>
    <w:rsid w:val="5E3F4A2F"/>
    <w:rsid w:val="5E5E64AA"/>
    <w:rsid w:val="5E7D6EE0"/>
    <w:rsid w:val="5F7A4635"/>
    <w:rsid w:val="5F955667"/>
    <w:rsid w:val="5FB75D35"/>
    <w:rsid w:val="60240466"/>
    <w:rsid w:val="60A05D2A"/>
    <w:rsid w:val="61325196"/>
    <w:rsid w:val="61344D5D"/>
    <w:rsid w:val="61413600"/>
    <w:rsid w:val="61CB3353"/>
    <w:rsid w:val="61DB3332"/>
    <w:rsid w:val="621458D1"/>
    <w:rsid w:val="6309153F"/>
    <w:rsid w:val="63847813"/>
    <w:rsid w:val="63952A8A"/>
    <w:rsid w:val="63A759F4"/>
    <w:rsid w:val="63C4391E"/>
    <w:rsid w:val="640353A7"/>
    <w:rsid w:val="64143EB6"/>
    <w:rsid w:val="6414690B"/>
    <w:rsid w:val="642A3ADA"/>
    <w:rsid w:val="645245BB"/>
    <w:rsid w:val="64F80A31"/>
    <w:rsid w:val="652413EA"/>
    <w:rsid w:val="659E3FBA"/>
    <w:rsid w:val="65D777D2"/>
    <w:rsid w:val="65E80872"/>
    <w:rsid w:val="66093922"/>
    <w:rsid w:val="6774405A"/>
    <w:rsid w:val="67A14304"/>
    <w:rsid w:val="68021CCD"/>
    <w:rsid w:val="687B11FC"/>
    <w:rsid w:val="689D1F81"/>
    <w:rsid w:val="69ED64ED"/>
    <w:rsid w:val="69F001AD"/>
    <w:rsid w:val="69F21D63"/>
    <w:rsid w:val="6A58605F"/>
    <w:rsid w:val="6B4A5FEF"/>
    <w:rsid w:val="6C0A19E4"/>
    <w:rsid w:val="6C402E91"/>
    <w:rsid w:val="6C53563C"/>
    <w:rsid w:val="6C542CCA"/>
    <w:rsid w:val="6C591D57"/>
    <w:rsid w:val="6E00004A"/>
    <w:rsid w:val="6E4C7581"/>
    <w:rsid w:val="6E571918"/>
    <w:rsid w:val="6F777C83"/>
    <w:rsid w:val="6FE02CFD"/>
    <w:rsid w:val="6FF3711A"/>
    <w:rsid w:val="702B50DB"/>
    <w:rsid w:val="702C4227"/>
    <w:rsid w:val="715A2E91"/>
    <w:rsid w:val="726053D8"/>
    <w:rsid w:val="72AC7BAF"/>
    <w:rsid w:val="72AD239A"/>
    <w:rsid w:val="72C8223C"/>
    <w:rsid w:val="736F173E"/>
    <w:rsid w:val="73D751AE"/>
    <w:rsid w:val="73EE1899"/>
    <w:rsid w:val="74686F6D"/>
    <w:rsid w:val="74B73AC8"/>
    <w:rsid w:val="74E37EA5"/>
    <w:rsid w:val="75415895"/>
    <w:rsid w:val="754D5AA2"/>
    <w:rsid w:val="75A61537"/>
    <w:rsid w:val="769D3692"/>
    <w:rsid w:val="76EF774D"/>
    <w:rsid w:val="76FD1F5B"/>
    <w:rsid w:val="770C6C26"/>
    <w:rsid w:val="77267F9B"/>
    <w:rsid w:val="774D28A4"/>
    <w:rsid w:val="778F0789"/>
    <w:rsid w:val="77B43F0C"/>
    <w:rsid w:val="77BE197A"/>
    <w:rsid w:val="77C6046F"/>
    <w:rsid w:val="78E96541"/>
    <w:rsid w:val="78FA1A5E"/>
    <w:rsid w:val="797868F5"/>
    <w:rsid w:val="797E2594"/>
    <w:rsid w:val="79EE2A66"/>
    <w:rsid w:val="79F42671"/>
    <w:rsid w:val="7A480882"/>
    <w:rsid w:val="7A52043F"/>
    <w:rsid w:val="7ACB72ED"/>
    <w:rsid w:val="7B7A76C4"/>
    <w:rsid w:val="7BAB2DA7"/>
    <w:rsid w:val="7BE33146"/>
    <w:rsid w:val="7C21232A"/>
    <w:rsid w:val="7C715C38"/>
    <w:rsid w:val="7D091DF7"/>
    <w:rsid w:val="7D357D84"/>
    <w:rsid w:val="7DA62AB1"/>
    <w:rsid w:val="7E1F6C80"/>
    <w:rsid w:val="7E763DE7"/>
    <w:rsid w:val="7FF647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jc w:val="center"/>
      <w:outlineLvl w:val="0"/>
    </w:pPr>
    <w:rPr>
      <w:b/>
      <w:bCs/>
      <w:sz w:val="24"/>
      <w:szCs w:val="20"/>
    </w:rPr>
  </w:style>
  <w:style w:type="paragraph" w:styleId="3">
    <w:name w:val="heading 2"/>
    <w:basedOn w:val="1"/>
    <w:next w:val="1"/>
    <w:link w:val="64"/>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5"/>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widowControl/>
      <w:ind w:firstLine="420"/>
      <w:jc w:val="left"/>
    </w:pPr>
    <w:rPr>
      <w:kern w:val="0"/>
      <w:sz w:val="20"/>
      <w:szCs w:val="20"/>
    </w:rPr>
  </w:style>
  <w:style w:type="paragraph" w:styleId="13">
    <w:name w:val="caption"/>
    <w:basedOn w:val="1"/>
    <w:next w:val="1"/>
    <w:qFormat/>
    <w:uiPriority w:val="0"/>
    <w:pPr>
      <w:wordWrap w:val="0"/>
      <w:spacing w:beforeLines="50"/>
      <w:jc w:val="center"/>
    </w:pPr>
    <w:rPr>
      <w:rFonts w:ascii="宋体" w:hAnsi="宋体" w:eastAsia="仿宋_GB2312"/>
      <w:b/>
      <w:kern w:val="0"/>
      <w:sz w:val="20"/>
      <w:szCs w:val="21"/>
    </w:rPr>
  </w:style>
  <w:style w:type="paragraph" w:styleId="14">
    <w:name w:val="Document Map"/>
    <w:basedOn w:val="1"/>
    <w:semiHidden/>
    <w:qFormat/>
    <w:uiPriority w:val="0"/>
    <w:pPr>
      <w:shd w:val="clear" w:color="auto" w:fill="000080"/>
    </w:pPr>
  </w:style>
  <w:style w:type="paragraph" w:styleId="15">
    <w:name w:val="annotation text"/>
    <w:basedOn w:val="1"/>
    <w:link w:val="72"/>
    <w:semiHidden/>
    <w:qFormat/>
    <w:uiPriority w:val="0"/>
    <w:pPr>
      <w:jc w:val="left"/>
    </w:pPr>
  </w:style>
  <w:style w:type="paragraph" w:styleId="16">
    <w:name w:val="Salutation"/>
    <w:basedOn w:val="1"/>
    <w:next w:val="1"/>
    <w:qFormat/>
    <w:uiPriority w:val="0"/>
    <w:rPr>
      <w:rFonts w:ascii="仿宋_GB2312" w:eastAsia="仿宋_GB2312"/>
      <w:sz w:val="24"/>
    </w:rPr>
  </w:style>
  <w:style w:type="paragraph" w:styleId="17">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2"/>
    <w:qFormat/>
    <w:uiPriority w:val="0"/>
    <w:pPr>
      <w:spacing w:after="120"/>
    </w:pPr>
  </w:style>
  <w:style w:type="paragraph" w:styleId="19">
    <w:name w:val="Body Text Indent"/>
    <w:basedOn w:val="1"/>
    <w:link w:val="73"/>
    <w:qFormat/>
    <w:uiPriority w:val="0"/>
    <w:pPr>
      <w:spacing w:after="120"/>
      <w:ind w:left="420" w:leftChars="200"/>
    </w:pPr>
  </w:style>
  <w:style w:type="paragraph" w:styleId="20">
    <w:name w:val="List 2"/>
    <w:basedOn w:val="1"/>
    <w:qFormat/>
    <w:uiPriority w:val="0"/>
    <w:pPr>
      <w:ind w:left="100" w:leftChars="200" w:hanging="200" w:hangingChars="20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4"/>
    <w:qFormat/>
    <w:uiPriority w:val="0"/>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5"/>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link w:val="76"/>
    <w:qFormat/>
    <w:uiPriority w:val="0"/>
    <w:rPr>
      <w:rFonts w:ascii="Calibri" w:hAnsi="Calibri"/>
      <w:sz w:val="18"/>
      <w:szCs w:val="18"/>
    </w:rPr>
  </w:style>
  <w:style w:type="paragraph" w:styleId="29">
    <w:name w:val="footer"/>
    <w:basedOn w:val="1"/>
    <w:link w:val="77"/>
    <w:qFormat/>
    <w:uiPriority w:val="0"/>
    <w:pPr>
      <w:tabs>
        <w:tab w:val="center" w:pos="4153"/>
        <w:tab w:val="right" w:pos="8306"/>
      </w:tabs>
      <w:snapToGrid w:val="0"/>
      <w:jc w:val="left"/>
    </w:pPr>
    <w:rPr>
      <w:sz w:val="18"/>
      <w:szCs w:val="18"/>
    </w:rPr>
  </w:style>
  <w:style w:type="paragraph" w:styleId="30">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Lines="50"/>
    </w:pPr>
    <w:rPr>
      <w:rFonts w:eastAsia="黑体"/>
      <w:szCs w:val="30"/>
      <w:lang w:val="zh-CN" w:eastAsia="zh-CN"/>
    </w:rPr>
  </w:style>
  <w:style w:type="paragraph" w:styleId="32">
    <w:name w:val="toc 4"/>
    <w:basedOn w:val="1"/>
    <w:next w:val="1"/>
    <w:qFormat/>
    <w:uiPriority w:val="0"/>
    <w:pPr>
      <w:ind w:left="1260" w:leftChars="600"/>
    </w:pPr>
  </w:style>
  <w:style w:type="paragraph" w:styleId="33">
    <w:name w:val="Subtitle"/>
    <w:basedOn w:val="1"/>
    <w:next w:val="1"/>
    <w:qFormat/>
    <w:uiPriority w:val="0"/>
    <w:pPr>
      <w:spacing w:before="240" w:after="60" w:line="312" w:lineRule="auto"/>
      <w:jc w:val="center"/>
      <w:outlineLvl w:val="1"/>
    </w:pPr>
    <w:rPr>
      <w:rFonts w:ascii="Cambria" w:hAnsi="Cambria" w:cs="黑体"/>
      <w:b/>
      <w:bCs/>
      <w:kern w:val="28"/>
      <w:sz w:val="28"/>
      <w:szCs w:val="28"/>
    </w:rPr>
  </w:style>
  <w:style w:type="paragraph" w:styleId="34">
    <w:name w:val="List"/>
    <w:basedOn w:val="1"/>
    <w:qFormat/>
    <w:uiPriority w:val="0"/>
    <w:pPr>
      <w:ind w:left="200" w:hanging="200" w:hangingChars="200"/>
    </w:pPr>
  </w:style>
  <w:style w:type="paragraph" w:styleId="35">
    <w:name w:val="footnote text"/>
    <w:basedOn w:val="1"/>
    <w:semiHidden/>
    <w:qFormat/>
    <w:uiPriority w:val="0"/>
    <w:pPr>
      <w:widowControl w:val="0"/>
      <w:snapToGrid w:val="0"/>
    </w:pPr>
    <w:rPr>
      <w:kern w:val="2"/>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78"/>
    <w:qFormat/>
    <w:uiPriority w:val="0"/>
    <w:pPr>
      <w:spacing w:after="120"/>
      <w:ind w:left="420" w:leftChars="200"/>
    </w:pPr>
    <w:rPr>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qFormat/>
    <w:uiPriority w:val="0"/>
    <w:pPr>
      <w:spacing w:after="120" w:line="480" w:lineRule="auto"/>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5"/>
    <w:next w:val="15"/>
    <w:link w:val="79"/>
    <w:qFormat/>
    <w:uiPriority w:val="0"/>
    <w:rPr>
      <w:b/>
      <w:bCs/>
    </w:rPr>
  </w:style>
  <w:style w:type="paragraph" w:styleId="46">
    <w:name w:val="Body Text First Indent"/>
    <w:basedOn w:val="18"/>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741274"/>
      <w:u w:val="single"/>
    </w:rPr>
  </w:style>
  <w:style w:type="character" w:styleId="53">
    <w:name w:val="Emphasis"/>
    <w:qFormat/>
    <w:uiPriority w:val="2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0"/>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Char1"/>
    <w:link w:val="30"/>
    <w:qFormat/>
    <w:uiPriority w:val="0"/>
    <w:rPr>
      <w:rFonts w:eastAsia="宋体"/>
      <w:kern w:val="2"/>
      <w:sz w:val="18"/>
      <w:szCs w:val="18"/>
      <w:lang w:val="en-US" w:eastAsia="zh-CN" w:bidi="ar-SA"/>
    </w:rPr>
  </w:style>
  <w:style w:type="character" w:customStyle="1" w:styleId="63">
    <w:name w:val="标题 1 Char1"/>
    <w:link w:val="2"/>
    <w:qFormat/>
    <w:uiPriority w:val="0"/>
    <w:rPr>
      <w:rFonts w:eastAsia="宋体"/>
      <w:b/>
      <w:bCs/>
      <w:kern w:val="2"/>
      <w:sz w:val="24"/>
      <w:lang w:val="en-US" w:eastAsia="zh-CN" w:bidi="ar-SA"/>
    </w:rPr>
  </w:style>
  <w:style w:type="character" w:customStyle="1" w:styleId="64">
    <w:name w:val="标题 2 Char1"/>
    <w:link w:val="3"/>
    <w:qFormat/>
    <w:uiPriority w:val="0"/>
    <w:rPr>
      <w:rFonts w:ascii="Arial" w:hAnsi="Arial" w:eastAsia="宋体"/>
      <w:b/>
      <w:bCs/>
      <w:kern w:val="2"/>
      <w:sz w:val="24"/>
      <w:szCs w:val="32"/>
      <w:lang w:val="en-US" w:eastAsia="zh-CN" w:bidi="ar-SA"/>
    </w:rPr>
  </w:style>
  <w:style w:type="character" w:customStyle="1" w:styleId="65">
    <w:name w:val="标题 3 Char1"/>
    <w:link w:val="4"/>
    <w:qFormat/>
    <w:uiPriority w:val="0"/>
    <w:rPr>
      <w:rFonts w:eastAsia="宋体"/>
      <w:b/>
      <w:bCs/>
      <w:kern w:val="2"/>
      <w:sz w:val="32"/>
      <w:szCs w:val="32"/>
      <w:lang w:val="en-US" w:eastAsia="zh-CN" w:bidi="ar-SA"/>
    </w:rPr>
  </w:style>
  <w:style w:type="character" w:customStyle="1" w:styleId="66">
    <w:name w:val="标题 4 Char1"/>
    <w:link w:val="5"/>
    <w:qFormat/>
    <w:uiPriority w:val="0"/>
    <w:rPr>
      <w:rFonts w:ascii="Arial" w:hAnsi="Arial" w:eastAsia="黑体"/>
      <w:b/>
      <w:bCs/>
      <w:kern w:val="2"/>
      <w:sz w:val="28"/>
      <w:szCs w:val="28"/>
      <w:lang w:val="en-US" w:eastAsia="zh-CN" w:bidi="ar-SA"/>
    </w:rPr>
  </w:style>
  <w:style w:type="character" w:customStyle="1" w:styleId="67">
    <w:name w:val="标题 5 Char1"/>
    <w:link w:val="6"/>
    <w:qFormat/>
    <w:uiPriority w:val="0"/>
    <w:rPr>
      <w:rFonts w:eastAsia="宋体"/>
      <w:b/>
      <w:bCs/>
      <w:sz w:val="28"/>
      <w:szCs w:val="28"/>
      <w:lang w:val="en-US" w:eastAsia="zh-CN" w:bidi="ar-SA"/>
    </w:rPr>
  </w:style>
  <w:style w:type="character" w:customStyle="1" w:styleId="68">
    <w:name w:val="标题 6 Char1"/>
    <w:link w:val="7"/>
    <w:qFormat/>
    <w:uiPriority w:val="0"/>
    <w:rPr>
      <w:rFonts w:ascii="Arial" w:hAnsi="Arial" w:eastAsia="黑体"/>
      <w:b/>
      <w:bCs/>
      <w:sz w:val="24"/>
      <w:szCs w:val="24"/>
      <w:lang w:val="en-US" w:eastAsia="zh-CN" w:bidi="ar-SA"/>
    </w:rPr>
  </w:style>
  <w:style w:type="character" w:customStyle="1" w:styleId="69">
    <w:name w:val="标题 7 Char1"/>
    <w:link w:val="8"/>
    <w:qFormat/>
    <w:uiPriority w:val="0"/>
    <w:rPr>
      <w:rFonts w:eastAsia="宋体"/>
      <w:b/>
      <w:bCs/>
      <w:sz w:val="24"/>
      <w:szCs w:val="24"/>
      <w:lang w:val="en-US" w:eastAsia="zh-CN" w:bidi="ar-SA"/>
    </w:rPr>
  </w:style>
  <w:style w:type="character" w:customStyle="1" w:styleId="70">
    <w:name w:val="标题 8 Char1"/>
    <w:link w:val="9"/>
    <w:qFormat/>
    <w:uiPriority w:val="0"/>
    <w:rPr>
      <w:rFonts w:ascii="Arial" w:hAnsi="Arial" w:eastAsia="黑体"/>
      <w:sz w:val="24"/>
      <w:szCs w:val="24"/>
      <w:lang w:val="en-US" w:eastAsia="zh-CN" w:bidi="ar-SA"/>
    </w:rPr>
  </w:style>
  <w:style w:type="character" w:customStyle="1" w:styleId="71">
    <w:name w:val="标题 9 Char1"/>
    <w:link w:val="10"/>
    <w:qFormat/>
    <w:uiPriority w:val="0"/>
    <w:rPr>
      <w:rFonts w:ascii="Arial" w:hAnsi="Arial" w:eastAsia="黑体"/>
      <w:sz w:val="21"/>
      <w:szCs w:val="21"/>
      <w:lang w:val="en-US" w:eastAsia="zh-CN" w:bidi="ar-SA"/>
    </w:rPr>
  </w:style>
  <w:style w:type="character" w:customStyle="1" w:styleId="72">
    <w:name w:val="批注文字 Char1"/>
    <w:link w:val="15"/>
    <w:qFormat/>
    <w:uiPriority w:val="0"/>
    <w:rPr>
      <w:rFonts w:eastAsia="宋体"/>
      <w:kern w:val="2"/>
      <w:sz w:val="21"/>
      <w:szCs w:val="24"/>
      <w:lang w:val="en-US" w:eastAsia="zh-CN" w:bidi="ar-SA"/>
    </w:rPr>
  </w:style>
  <w:style w:type="character" w:customStyle="1" w:styleId="73">
    <w:name w:val="正文文本缩进 Char"/>
    <w:link w:val="19"/>
    <w:qFormat/>
    <w:uiPriority w:val="0"/>
    <w:rPr>
      <w:rFonts w:eastAsia="宋体"/>
      <w:kern w:val="2"/>
      <w:sz w:val="21"/>
      <w:szCs w:val="24"/>
      <w:lang w:val="en-US" w:eastAsia="zh-CN" w:bidi="ar-SA"/>
    </w:rPr>
  </w:style>
  <w:style w:type="character" w:customStyle="1" w:styleId="74">
    <w:name w:val="纯文本 Char"/>
    <w:link w:val="24"/>
    <w:semiHidden/>
    <w:qFormat/>
    <w:locked/>
    <w:uiPriority w:val="0"/>
    <w:rPr>
      <w:rFonts w:ascii="宋体" w:hAnsi="Courier New" w:eastAsia="宋体" w:cs="Courier New"/>
      <w:kern w:val="2"/>
      <w:sz w:val="21"/>
      <w:szCs w:val="21"/>
      <w:lang w:val="en-US" w:eastAsia="zh-CN" w:bidi="ar-SA"/>
    </w:rPr>
  </w:style>
  <w:style w:type="character" w:customStyle="1" w:styleId="75">
    <w:name w:val="日期 Char1"/>
    <w:link w:val="26"/>
    <w:qFormat/>
    <w:uiPriority w:val="0"/>
    <w:rPr>
      <w:rFonts w:eastAsia="宋体"/>
      <w:kern w:val="2"/>
      <w:sz w:val="24"/>
      <w:lang w:val="en-US" w:eastAsia="zh-CN" w:bidi="ar-SA"/>
    </w:rPr>
  </w:style>
  <w:style w:type="character" w:customStyle="1" w:styleId="76">
    <w:name w:val="批注框文本 Char1"/>
    <w:link w:val="28"/>
    <w:semiHidden/>
    <w:qFormat/>
    <w:locked/>
    <w:uiPriority w:val="0"/>
    <w:rPr>
      <w:rFonts w:ascii="Calibri" w:hAnsi="Calibri" w:eastAsia="宋体"/>
      <w:kern w:val="2"/>
      <w:sz w:val="18"/>
      <w:szCs w:val="18"/>
      <w:lang w:val="en-US" w:eastAsia="zh-CN" w:bidi="ar-SA"/>
    </w:rPr>
  </w:style>
  <w:style w:type="character" w:customStyle="1" w:styleId="77">
    <w:name w:val="页脚 Char1"/>
    <w:link w:val="29"/>
    <w:qFormat/>
    <w:uiPriority w:val="0"/>
    <w:rPr>
      <w:rFonts w:eastAsia="宋体"/>
      <w:kern w:val="2"/>
      <w:sz w:val="18"/>
      <w:szCs w:val="18"/>
      <w:lang w:val="en-US" w:eastAsia="zh-CN" w:bidi="ar-SA"/>
    </w:rPr>
  </w:style>
  <w:style w:type="character" w:customStyle="1" w:styleId="78">
    <w:name w:val="正文文本缩进 3 Char1"/>
    <w:link w:val="37"/>
    <w:qFormat/>
    <w:uiPriority w:val="0"/>
    <w:rPr>
      <w:rFonts w:eastAsia="宋体"/>
      <w:kern w:val="2"/>
      <w:sz w:val="16"/>
      <w:szCs w:val="16"/>
      <w:lang w:val="en-US" w:eastAsia="zh-CN" w:bidi="ar-SA"/>
    </w:rPr>
  </w:style>
  <w:style w:type="character" w:customStyle="1" w:styleId="79">
    <w:name w:val="批注主题 Char1"/>
    <w:link w:val="45"/>
    <w:qFormat/>
    <w:uiPriority w:val="0"/>
    <w:rPr>
      <w:rFonts w:eastAsia="宋体"/>
      <w:b/>
      <w:bCs/>
      <w:kern w:val="2"/>
      <w:sz w:val="21"/>
      <w:szCs w:val="24"/>
      <w:lang w:val="en-US" w:eastAsia="zh-CN" w:bidi="ar-SA"/>
    </w:rPr>
  </w:style>
  <w:style w:type="character" w:customStyle="1" w:styleId="80">
    <w:name w:val="标题 5 Char"/>
    <w:qFormat/>
    <w:uiPriority w:val="0"/>
    <w:rPr>
      <w:b/>
      <w:bCs/>
      <w:kern w:val="2"/>
      <w:sz w:val="28"/>
      <w:szCs w:val="28"/>
    </w:rPr>
  </w:style>
  <w:style w:type="character" w:customStyle="1" w:styleId="81">
    <w:name w:val="Font Style119"/>
    <w:unhideWhenUsed/>
    <w:qFormat/>
    <w:uiPriority w:val="0"/>
    <w:rPr>
      <w:rFonts w:hint="eastAsia" w:ascii="宋体" w:hAnsi="宋体" w:eastAsia="宋体"/>
      <w:sz w:val="24"/>
    </w:rPr>
  </w:style>
  <w:style w:type="character" w:customStyle="1" w:styleId="82">
    <w:name w:val="sidecatalog-index2"/>
    <w:qFormat/>
    <w:uiPriority w:val="0"/>
    <w:rPr>
      <w:rFonts w:ascii="Arail" w:hAnsi="Arail" w:eastAsia="Arail" w:cs="Arail"/>
      <w:color w:val="999999"/>
      <w:sz w:val="21"/>
      <w:szCs w:val="21"/>
    </w:rPr>
  </w:style>
  <w:style w:type="character" w:customStyle="1" w:styleId="83">
    <w:name w:val="t41"/>
    <w:qFormat/>
    <w:uiPriority w:val="0"/>
    <w:rPr>
      <w:sz w:val="21"/>
      <w:szCs w:val="21"/>
    </w:rPr>
  </w:style>
  <w:style w:type="character" w:customStyle="1" w:styleId="84">
    <w:name w:val="bds_nopic2"/>
    <w:qFormat/>
    <w:uiPriority w:val="0"/>
    <w:rPr>
      <w:rFonts w:ascii="Times New Roman" w:hAnsi="Times New Roman" w:eastAsia="宋体"/>
    </w:rPr>
  </w:style>
  <w:style w:type="character" w:customStyle="1" w:styleId="85">
    <w:name w:val="批注框文本 Char"/>
    <w:qFormat/>
    <w:uiPriority w:val="0"/>
    <w:rPr>
      <w:kern w:val="2"/>
      <w:sz w:val="18"/>
      <w:szCs w:val="18"/>
    </w:rPr>
  </w:style>
  <w:style w:type="character" w:customStyle="1" w:styleId="86">
    <w:name w:val="gray1"/>
    <w:qFormat/>
    <w:uiPriority w:val="0"/>
    <w:rPr>
      <w:color w:val="666666"/>
    </w:rPr>
  </w:style>
  <w:style w:type="character" w:customStyle="1" w:styleId="87">
    <w:name w:val="日期 Char"/>
    <w:qFormat/>
    <w:uiPriority w:val="0"/>
    <w:rPr>
      <w:kern w:val="2"/>
      <w:sz w:val="21"/>
      <w:szCs w:val="24"/>
    </w:rPr>
  </w:style>
  <w:style w:type="character" w:customStyle="1" w:styleId="88">
    <w:name w:val="Font Style86"/>
    <w:unhideWhenUsed/>
    <w:qFormat/>
    <w:uiPriority w:val="0"/>
    <w:rPr>
      <w:rFonts w:hint="eastAsia" w:ascii="黑体" w:hAnsi="黑体" w:eastAsia="黑体"/>
      <w:spacing w:val="10"/>
      <w:sz w:val="30"/>
    </w:rPr>
  </w:style>
  <w:style w:type="character" w:customStyle="1" w:styleId="89">
    <w:name w:val=" Char Char16"/>
    <w:qFormat/>
    <w:uiPriority w:val="0"/>
    <w:rPr>
      <w:rFonts w:ascii="宋体" w:hAnsi="Times New Roman" w:eastAsia="宋体"/>
      <w:b/>
      <w:sz w:val="24"/>
      <w:lang w:val="en-US" w:eastAsia="zh-CN" w:bidi="ar-SA"/>
    </w:rPr>
  </w:style>
  <w:style w:type="character" w:customStyle="1" w:styleId="90">
    <w:name w:val="morelink-item"/>
    <w:qFormat/>
    <w:uiPriority w:val="0"/>
    <w:rPr>
      <w:rFonts w:ascii="Times New Roman" w:hAnsi="Times New Roman" w:eastAsia="宋体"/>
    </w:rPr>
  </w:style>
  <w:style w:type="character" w:customStyle="1" w:styleId="91">
    <w:name w:val="标题 Char1"/>
    <w:qFormat/>
    <w:uiPriority w:val="0"/>
    <w:rPr>
      <w:rFonts w:ascii="Cambria" w:hAnsi="Cambria" w:eastAsia="宋体" w:cs="Times New Roman"/>
      <w:b/>
      <w:bCs/>
      <w:sz w:val="32"/>
      <w:szCs w:val="32"/>
    </w:rPr>
  </w:style>
  <w:style w:type="character" w:customStyle="1" w:styleId="92">
    <w:name w:val="Font Style121"/>
    <w:unhideWhenUsed/>
    <w:qFormat/>
    <w:uiPriority w:val="0"/>
    <w:rPr>
      <w:rFonts w:hint="eastAsia" w:ascii="宋体" w:hAnsi="宋体" w:eastAsia="宋体"/>
      <w:spacing w:val="-10"/>
      <w:sz w:val="30"/>
    </w:rPr>
  </w:style>
  <w:style w:type="character" w:customStyle="1" w:styleId="93">
    <w:name w:val="标题 3 Char"/>
    <w:qFormat/>
    <w:uiPriority w:val="0"/>
    <w:rPr>
      <w:b/>
      <w:bCs/>
      <w:sz w:val="24"/>
      <w:szCs w:val="24"/>
    </w:rPr>
  </w:style>
  <w:style w:type="character" w:customStyle="1" w:styleId="94">
    <w:name w:val="Font Style115"/>
    <w:unhideWhenUsed/>
    <w:qFormat/>
    <w:uiPriority w:val="0"/>
    <w:rPr>
      <w:rFonts w:hint="eastAsia" w:ascii="Times New Roman" w:hAnsi="Times New Roman" w:eastAsia="Times New Roman"/>
      <w:sz w:val="16"/>
    </w:rPr>
  </w:style>
  <w:style w:type="character" w:customStyle="1" w:styleId="95">
    <w:name w:val="Font Style131"/>
    <w:unhideWhenUsed/>
    <w:qFormat/>
    <w:uiPriority w:val="0"/>
    <w:rPr>
      <w:rFonts w:hint="eastAsia" w:ascii="Times New Roman" w:hAnsi="Times New Roman" w:eastAsia="Times New Roman"/>
      <w:sz w:val="18"/>
    </w:rPr>
  </w:style>
  <w:style w:type="character" w:customStyle="1" w:styleId="96">
    <w:name w:val="p0 Char Char"/>
    <w:qFormat/>
    <w:uiPriority w:val="0"/>
    <w:rPr>
      <w:rFonts w:eastAsia="宋体"/>
      <w:kern w:val="2"/>
      <w:sz w:val="21"/>
      <w:szCs w:val="21"/>
      <w:lang w:val="en-US" w:eastAsia="zh-CN" w:bidi="ar-SA"/>
    </w:rPr>
  </w:style>
  <w:style w:type="character" w:customStyle="1" w:styleId="97">
    <w:name w:val="批注文字 Char"/>
    <w:qFormat/>
    <w:uiPriority w:val="0"/>
    <w:rPr>
      <w:kern w:val="2"/>
      <w:sz w:val="21"/>
      <w:szCs w:val="24"/>
    </w:rPr>
  </w:style>
  <w:style w:type="character" w:customStyle="1" w:styleId="98">
    <w:name w:val="desc"/>
    <w:qFormat/>
    <w:uiPriority w:val="0"/>
    <w:rPr>
      <w:rFonts w:ascii="Times New Roman" w:hAnsi="Times New Roman" w:eastAsia="宋体"/>
      <w:color w:val="000000"/>
      <w:sz w:val="18"/>
      <w:szCs w:val="18"/>
    </w:rPr>
  </w:style>
  <w:style w:type="character" w:customStyle="1" w:styleId="99">
    <w:name w:val="批注文字 Char Char"/>
    <w:qFormat/>
    <w:uiPriority w:val="0"/>
    <w:rPr>
      <w:kern w:val="2"/>
      <w:sz w:val="21"/>
      <w:szCs w:val="24"/>
      <w:lang w:bidi="ar-SA"/>
    </w:rPr>
  </w:style>
  <w:style w:type="character" w:customStyle="1" w:styleId="100">
    <w:name w:val="批注主题 Char"/>
    <w:qFormat/>
    <w:uiPriority w:val="0"/>
    <w:rPr>
      <w:b/>
      <w:bCs/>
      <w:kern w:val="2"/>
      <w:sz w:val="21"/>
      <w:szCs w:val="24"/>
    </w:rPr>
  </w:style>
  <w:style w:type="character" w:customStyle="1" w:styleId="101">
    <w:name w:val="页脚 Char"/>
    <w:qFormat/>
    <w:uiPriority w:val="0"/>
    <w:rPr>
      <w:kern w:val="2"/>
      <w:sz w:val="18"/>
      <w:szCs w:val="18"/>
    </w:rPr>
  </w:style>
  <w:style w:type="character" w:customStyle="1" w:styleId="102">
    <w:name w:val="标题 8 Char"/>
    <w:qFormat/>
    <w:uiPriority w:val="0"/>
    <w:rPr>
      <w:rFonts w:ascii="Arial" w:hAnsi="Arial" w:eastAsia="黑体"/>
      <w:sz w:val="24"/>
      <w:szCs w:val="24"/>
    </w:rPr>
  </w:style>
  <w:style w:type="character" w:customStyle="1" w:styleId="103">
    <w:name w:val="Font Style125"/>
    <w:unhideWhenUsed/>
    <w:qFormat/>
    <w:uiPriority w:val="0"/>
    <w:rPr>
      <w:rFonts w:hint="eastAsia" w:ascii="宋体" w:hAnsi="宋体" w:eastAsia="宋体"/>
      <w:b/>
      <w:sz w:val="26"/>
    </w:rPr>
  </w:style>
  <w:style w:type="character" w:customStyle="1" w:styleId="104">
    <w:name w:val="apple-style-span"/>
    <w:qFormat/>
    <w:uiPriority w:val="0"/>
  </w:style>
  <w:style w:type="character" w:customStyle="1" w:styleId="105">
    <w:name w:val="sort1"/>
    <w:qFormat/>
    <w:uiPriority w:val="0"/>
    <w:rPr>
      <w:rFonts w:ascii="Times New Roman" w:hAnsi="Times New Roman" w:eastAsia="宋体"/>
    </w:rPr>
  </w:style>
  <w:style w:type="character" w:customStyle="1" w:styleId="106">
    <w:name w:val="font31"/>
    <w:basedOn w:val="49"/>
    <w:qFormat/>
    <w:uiPriority w:val="0"/>
    <w:rPr>
      <w:rFonts w:hint="eastAsia" w:ascii="仿宋" w:hAnsi="仿宋" w:eastAsia="仿宋" w:cs="仿宋"/>
      <w:color w:val="000000"/>
      <w:sz w:val="24"/>
      <w:szCs w:val="24"/>
      <w:u w:val="none"/>
    </w:rPr>
  </w:style>
  <w:style w:type="character" w:customStyle="1" w:styleId="107">
    <w:name w:val="bds_more10"/>
    <w:qFormat/>
    <w:uiPriority w:val="0"/>
    <w:rPr>
      <w:rFonts w:ascii="Times New Roman" w:hAnsi="Times New Roman" w:eastAsia="宋体"/>
    </w:rPr>
  </w:style>
  <w:style w:type="character" w:customStyle="1" w:styleId="108">
    <w:name w:val="Font Style134"/>
    <w:unhideWhenUsed/>
    <w:qFormat/>
    <w:uiPriority w:val="0"/>
    <w:rPr>
      <w:rFonts w:hint="eastAsia" w:ascii="宋体" w:hAnsi="宋体" w:eastAsia="宋体"/>
      <w:spacing w:val="20"/>
      <w:sz w:val="22"/>
    </w:rPr>
  </w:style>
  <w:style w:type="character" w:customStyle="1" w:styleId="109">
    <w:name w:val="polysemyexp"/>
    <w:qFormat/>
    <w:uiPriority w:val="0"/>
    <w:rPr>
      <w:rFonts w:ascii="Times New Roman" w:hAnsi="Times New Roman" w:eastAsia="宋体"/>
      <w:color w:val="AAAAAA"/>
      <w:sz w:val="18"/>
      <w:szCs w:val="18"/>
    </w:rPr>
  </w:style>
  <w:style w:type="character" w:customStyle="1" w:styleId="110">
    <w:name w:val="标题 Char"/>
    <w:qFormat/>
    <w:uiPriority w:val="0"/>
    <w:rPr>
      <w:rFonts w:ascii="Cambria" w:hAnsi="Cambria"/>
      <w:b/>
      <w:kern w:val="2"/>
      <w:sz w:val="32"/>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Font Style123"/>
    <w:unhideWhenUsed/>
    <w:qFormat/>
    <w:uiPriority w:val="0"/>
    <w:rPr>
      <w:rFonts w:hint="eastAsia" w:ascii="宋体" w:hAnsi="宋体" w:eastAsia="宋体"/>
      <w:b/>
      <w:sz w:val="32"/>
    </w:rPr>
  </w:style>
  <w:style w:type="character" w:customStyle="1" w:styleId="113">
    <w:name w:val="sort"/>
    <w:qFormat/>
    <w:uiPriority w:val="0"/>
    <w:rPr>
      <w:rFonts w:ascii="Times New Roman" w:hAnsi="Times New Roman" w:eastAsia="宋体"/>
      <w:color w:val="FFFFFF"/>
      <w:bdr w:val="single" w:color="auto" w:sz="24" w:space="0"/>
    </w:rPr>
  </w:style>
  <w:style w:type="character" w:customStyle="1" w:styleId="114">
    <w:name w:val="无间隔 Char"/>
    <w:link w:val="115"/>
    <w:qFormat/>
    <w:uiPriority w:val="1"/>
    <w:rPr>
      <w:sz w:val="22"/>
      <w:szCs w:val="22"/>
      <w:lang w:val="en-US" w:eastAsia="zh-CN" w:bidi="ar-SA"/>
    </w:rPr>
  </w:style>
  <w:style w:type="paragraph" w:customStyle="1" w:styleId="115">
    <w:name w:val="无间隔12"/>
    <w:link w:val="114"/>
    <w:qFormat/>
    <w:uiPriority w:val="1"/>
    <w:rPr>
      <w:rFonts w:ascii="Times New Roman" w:hAnsi="Times New Roman" w:eastAsia="宋体" w:cs="Times New Roman"/>
      <w:sz w:val="22"/>
      <w:szCs w:val="22"/>
      <w:lang w:val="en-US" w:eastAsia="zh-CN" w:bidi="ar-SA"/>
    </w:rPr>
  </w:style>
  <w:style w:type="character" w:customStyle="1" w:styleId="116">
    <w:name w:val="bds_more7"/>
    <w:qFormat/>
    <w:uiPriority w:val="0"/>
    <w:rPr>
      <w:rFonts w:ascii="Times New Roman" w:hAnsi="Times New Roman" w:eastAsia="宋体"/>
    </w:rPr>
  </w:style>
  <w:style w:type="character" w:customStyle="1" w:styleId="117">
    <w:name w:val="标题 1 Char"/>
    <w:qFormat/>
    <w:uiPriority w:val="0"/>
    <w:rPr>
      <w:rFonts w:ascii="Cambria" w:hAnsi="Cambria"/>
      <w:b/>
      <w:bCs/>
      <w:kern w:val="32"/>
      <w:sz w:val="32"/>
      <w:szCs w:val="32"/>
    </w:rPr>
  </w:style>
  <w:style w:type="character" w:customStyle="1" w:styleId="118">
    <w:name w:val="Font Style94"/>
    <w:unhideWhenUsed/>
    <w:qFormat/>
    <w:uiPriority w:val="0"/>
    <w:rPr>
      <w:rFonts w:hint="eastAsia" w:ascii="Times New Roman" w:hAnsi="Times New Roman" w:eastAsia="Times New Roman"/>
      <w:sz w:val="28"/>
    </w:rPr>
  </w:style>
  <w:style w:type="character" w:customStyle="1" w:styleId="119">
    <w:name w:val="bds_more6"/>
    <w:qFormat/>
    <w:uiPriority w:val="0"/>
    <w:rPr>
      <w:rFonts w:hint="eastAsia" w:ascii="宋体" w:hAnsi="宋体" w:eastAsia="宋体" w:cs="宋体"/>
    </w:rPr>
  </w:style>
  <w:style w:type="character" w:customStyle="1" w:styleId="120">
    <w:name w:val=" Char Char15"/>
    <w:qFormat/>
    <w:uiPriority w:val="0"/>
    <w:rPr>
      <w:b/>
      <w:bCs/>
      <w:sz w:val="24"/>
      <w:szCs w:val="24"/>
    </w:rPr>
  </w:style>
  <w:style w:type="character" w:customStyle="1" w:styleId="121">
    <w:name w:val="sugg-loading"/>
    <w:basedOn w:val="49"/>
    <w:qFormat/>
    <w:uiPriority w:val="0"/>
  </w:style>
  <w:style w:type="character" w:customStyle="1" w:styleId="122">
    <w:name w:val="Font Style133"/>
    <w:unhideWhenUsed/>
    <w:qFormat/>
    <w:uiPriority w:val="0"/>
    <w:rPr>
      <w:rFonts w:hint="eastAsia" w:ascii="宋体" w:hAnsi="宋体" w:eastAsia="宋体"/>
      <w:spacing w:val="30"/>
      <w:sz w:val="24"/>
    </w:rPr>
  </w:style>
  <w:style w:type="character" w:customStyle="1" w:styleId="123">
    <w:name w:val="p0 Char"/>
    <w:link w:val="124"/>
    <w:qFormat/>
    <w:uiPriority w:val="0"/>
    <w:rPr>
      <w:rFonts w:eastAsia="宋体"/>
      <w:sz w:val="21"/>
      <w:szCs w:val="21"/>
      <w:lang w:val="en-US" w:eastAsia="zh-CN" w:bidi="ar-SA"/>
    </w:rPr>
  </w:style>
  <w:style w:type="paragraph" w:customStyle="1" w:styleId="124">
    <w:name w:val="p0"/>
    <w:basedOn w:val="1"/>
    <w:link w:val="123"/>
    <w:qFormat/>
    <w:uiPriority w:val="0"/>
    <w:pPr>
      <w:widowControl/>
    </w:pPr>
    <w:rPr>
      <w:kern w:val="0"/>
      <w:szCs w:val="21"/>
    </w:rPr>
  </w:style>
  <w:style w:type="character" w:customStyle="1" w:styleId="125">
    <w:name w:val=" Char Char13"/>
    <w:qFormat/>
    <w:uiPriority w:val="0"/>
    <w:rPr>
      <w:rFonts w:eastAsia="宋体"/>
      <w:kern w:val="2"/>
      <w:sz w:val="21"/>
      <w:szCs w:val="24"/>
      <w:lang w:val="en-US" w:eastAsia="zh-CN" w:bidi="ar-SA"/>
    </w:rPr>
  </w:style>
  <w:style w:type="character" w:customStyle="1" w:styleId="126">
    <w:name w:val=" Char Char6"/>
    <w:qFormat/>
    <w:uiPriority w:val="0"/>
    <w:rPr>
      <w:rFonts w:ascii="Arial" w:hAnsi="Arial" w:eastAsia="黑体"/>
      <w:sz w:val="24"/>
      <w:szCs w:val="24"/>
      <w:lang w:val="en-US" w:eastAsia="zh-CN" w:bidi="ar-SA"/>
    </w:rPr>
  </w:style>
  <w:style w:type="character" w:customStyle="1" w:styleId="127">
    <w:name w:val="样式2 Char Char"/>
    <w:qFormat/>
    <w:uiPriority w:val="0"/>
    <w:rPr>
      <w:rFonts w:eastAsia="宋体"/>
      <w:kern w:val="2"/>
      <w:sz w:val="18"/>
      <w:szCs w:val="18"/>
      <w:lang w:val="en-US" w:eastAsia="zh-CN" w:bidi="ar-SA"/>
    </w:rPr>
  </w:style>
  <w:style w:type="character" w:customStyle="1" w:styleId="128">
    <w:name w:val="Font Style104"/>
    <w:unhideWhenUsed/>
    <w:qFormat/>
    <w:uiPriority w:val="0"/>
    <w:rPr>
      <w:rFonts w:hint="eastAsia" w:ascii="宋体" w:hAnsi="宋体" w:eastAsia="宋体"/>
      <w:spacing w:val="30"/>
      <w:sz w:val="18"/>
    </w:rPr>
  </w:style>
  <w:style w:type="character" w:customStyle="1" w:styleId="129">
    <w:name w:val=" Char Char17"/>
    <w:qFormat/>
    <w:uiPriority w:val="0"/>
    <w:rPr>
      <w:rFonts w:ascii="宋体" w:hAnsi="Times New Roman" w:eastAsia="宋体"/>
      <w:b/>
      <w:sz w:val="28"/>
      <w:lang w:val="en-US" w:eastAsia="zh-CN" w:bidi="ar-SA"/>
    </w:rPr>
  </w:style>
  <w:style w:type="character" w:customStyle="1" w:styleId="130">
    <w:name w:val="bds_more9"/>
    <w:qFormat/>
    <w:uiPriority w:val="0"/>
    <w:rPr>
      <w:rFonts w:ascii="Times New Roman" w:hAnsi="Times New Roman" w:eastAsia="宋体"/>
    </w:rPr>
  </w:style>
  <w:style w:type="character" w:customStyle="1" w:styleId="131">
    <w:name w:val="Font Style124"/>
    <w:unhideWhenUsed/>
    <w:qFormat/>
    <w:uiPriority w:val="0"/>
    <w:rPr>
      <w:rFonts w:hint="eastAsia" w:ascii="宋体" w:hAnsi="宋体" w:eastAsia="宋体"/>
      <w:spacing w:val="30"/>
      <w:sz w:val="24"/>
    </w:rPr>
  </w:style>
  <w:style w:type="character" w:customStyle="1" w:styleId="132">
    <w:name w:val="page-cur"/>
    <w:qFormat/>
    <w:uiPriority w:val="0"/>
    <w:rPr>
      <w:b/>
      <w:color w:val="333333"/>
      <w:bdr w:val="single" w:color="E5E5E5" w:sz="6" w:space="0"/>
      <w:shd w:val="clear" w:color="auto" w:fill="F2F2F2"/>
    </w:rPr>
  </w:style>
  <w:style w:type="character" w:customStyle="1" w:styleId="133">
    <w:name w:val="Font Style122"/>
    <w:unhideWhenUsed/>
    <w:qFormat/>
    <w:uiPriority w:val="0"/>
    <w:rPr>
      <w:rFonts w:hint="eastAsia" w:ascii="宋体" w:hAnsi="宋体" w:eastAsia="宋体"/>
      <w:spacing w:val="20"/>
      <w:sz w:val="24"/>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sidecatalog-dot1"/>
    <w:qFormat/>
    <w:uiPriority w:val="0"/>
    <w:rPr>
      <w:rFonts w:ascii="Times New Roman" w:hAnsi="Times New Roman" w:eastAsia="宋体"/>
    </w:rPr>
  </w:style>
  <w:style w:type="character" w:customStyle="1" w:styleId="136">
    <w:name w:val="Font Style105"/>
    <w:unhideWhenUsed/>
    <w:qFormat/>
    <w:uiPriority w:val="0"/>
    <w:rPr>
      <w:rFonts w:hint="eastAsia" w:ascii="Times New Roman" w:hAnsi="Times New Roman" w:eastAsia="Times New Roman"/>
      <w:w w:val="60"/>
      <w:sz w:val="26"/>
    </w:rPr>
  </w:style>
  <w:style w:type="character" w:customStyle="1" w:styleId="137">
    <w:name w:val="标题 6 Char"/>
    <w:qFormat/>
    <w:uiPriority w:val="0"/>
    <w:rPr>
      <w:rFonts w:ascii="Arial" w:hAnsi="Arial" w:eastAsia="黑体"/>
      <w:b/>
      <w:bCs/>
      <w:sz w:val="24"/>
      <w:szCs w:val="24"/>
    </w:rPr>
  </w:style>
  <w:style w:type="character" w:customStyle="1" w:styleId="138">
    <w:name w:val="标题 7 Char"/>
    <w:qFormat/>
    <w:uiPriority w:val="0"/>
    <w:rPr>
      <w:b/>
      <w:bCs/>
      <w:sz w:val="24"/>
      <w:szCs w:val="24"/>
    </w:rPr>
  </w:style>
  <w:style w:type="character" w:customStyle="1" w:styleId="139">
    <w:name w:val="样式 标题 3 + 小四 Char"/>
    <w:qFormat/>
    <w:uiPriority w:val="0"/>
    <w:rPr>
      <w:rFonts w:ascii="宋体" w:hAnsi="宋体" w:eastAsia="宋体" w:cs="Arial"/>
      <w:b/>
      <w:bCs/>
      <w:smallCaps/>
      <w:kern w:val="2"/>
      <w:sz w:val="24"/>
      <w:szCs w:val="24"/>
      <w:lang w:val="en-US" w:eastAsia="zh-CN" w:bidi="ar-SA"/>
    </w:rPr>
  </w:style>
  <w:style w:type="character" w:customStyle="1" w:styleId="140">
    <w:name w:val="plus"/>
    <w:qFormat/>
    <w:uiPriority w:val="0"/>
    <w:rPr>
      <w:rFonts w:ascii="Times New Roman" w:hAnsi="Times New Roman" w:eastAsia="宋体"/>
      <w:b/>
      <w:vanish/>
      <w:color w:val="1F8DEF"/>
      <w:sz w:val="24"/>
      <w:szCs w:val="24"/>
    </w:rPr>
  </w:style>
  <w:style w:type="character" w:customStyle="1" w:styleId="141">
    <w:name w:val="标题 4 Char"/>
    <w:qFormat/>
    <w:uiPriority w:val="0"/>
    <w:rPr>
      <w:rFonts w:ascii="Arial" w:hAnsi="Arial" w:eastAsia="宋体" w:cs="Times New Roman"/>
      <w:b/>
      <w:bCs/>
      <w:szCs w:val="28"/>
    </w:rPr>
  </w:style>
  <w:style w:type="character" w:customStyle="1" w:styleId="142">
    <w:name w:val="标题 9 Char"/>
    <w:qFormat/>
    <w:uiPriority w:val="0"/>
    <w:rPr>
      <w:rFonts w:ascii="Arial" w:hAnsi="Arial" w:eastAsia="黑体"/>
      <w:sz w:val="21"/>
      <w:szCs w:val="21"/>
    </w:rPr>
  </w:style>
  <w:style w:type="character" w:customStyle="1" w:styleId="143">
    <w:name w:val="sidecatalog-index1"/>
    <w:qFormat/>
    <w:uiPriority w:val="0"/>
    <w:rPr>
      <w:rFonts w:ascii="Arial" w:hAnsi="Arial" w:eastAsia="宋体" w:cs="Arial"/>
      <w:b/>
      <w:color w:val="999999"/>
      <w:sz w:val="21"/>
      <w:szCs w:val="21"/>
    </w:rPr>
  </w:style>
  <w:style w:type="character" w:customStyle="1" w:styleId="144">
    <w:name w:val="样式 宋体"/>
    <w:qFormat/>
    <w:uiPriority w:val="0"/>
    <w:rPr>
      <w:rFonts w:ascii="宋体" w:hAnsi="宋体"/>
      <w:sz w:val="24"/>
    </w:rPr>
  </w:style>
  <w:style w:type="character" w:customStyle="1" w:styleId="145">
    <w:name w:val=" Char Char14"/>
    <w:qFormat/>
    <w:uiPriority w:val="0"/>
    <w:rPr>
      <w:rFonts w:ascii="Arial" w:hAnsi="Arial" w:eastAsia="黑体"/>
      <w:b/>
      <w:bCs/>
      <w:sz w:val="28"/>
      <w:szCs w:val="28"/>
      <w:lang w:val="en-US" w:eastAsia="zh-CN" w:bidi="ar-SA"/>
    </w:rPr>
  </w:style>
  <w:style w:type="character" w:customStyle="1" w:styleId="146">
    <w:name w:val="正文文本缩进 3 Char"/>
    <w:qFormat/>
    <w:uiPriority w:val="0"/>
    <w:rPr>
      <w:rFonts w:ascii="宋体" w:hAnsi="MS Sans Serif"/>
      <w:color w:val="000000"/>
      <w:sz w:val="24"/>
    </w:rPr>
  </w:style>
  <w:style w:type="character" w:customStyle="1" w:styleId="147">
    <w:name w:val="标题 4 Char Char"/>
    <w:qFormat/>
    <w:uiPriority w:val="0"/>
    <w:rPr>
      <w:rFonts w:ascii="Arial" w:hAnsi="Arial" w:eastAsia="宋体"/>
      <w:b/>
      <w:bCs/>
      <w:kern w:val="2"/>
      <w:sz w:val="21"/>
      <w:szCs w:val="28"/>
      <w:lang w:val="en-US" w:eastAsia="zh-CN" w:bidi="ar-SA"/>
    </w:rPr>
  </w:style>
  <w:style w:type="character" w:customStyle="1" w:styleId="148">
    <w:name w:val="bds_nopic"/>
    <w:qFormat/>
    <w:uiPriority w:val="0"/>
    <w:rPr>
      <w:rFonts w:ascii="Times New Roman" w:hAnsi="Times New Roman" w:eastAsia="宋体"/>
    </w:rPr>
  </w:style>
  <w:style w:type="character" w:customStyle="1" w:styleId="149">
    <w:name w:val="Font Style127"/>
    <w:unhideWhenUsed/>
    <w:qFormat/>
    <w:uiPriority w:val="0"/>
    <w:rPr>
      <w:rFonts w:hint="eastAsia" w:ascii="Times New Roman" w:hAnsi="Times New Roman" w:eastAsia="Times New Roman"/>
      <w:sz w:val="20"/>
    </w:rPr>
  </w:style>
  <w:style w:type="character" w:customStyle="1" w:styleId="150">
    <w:name w:val="bds_nopic1"/>
    <w:qFormat/>
    <w:uiPriority w:val="0"/>
    <w:rPr>
      <w:rFonts w:ascii="Times New Roman" w:hAnsi="Times New Roman" w:eastAsia="宋体"/>
    </w:rPr>
  </w:style>
  <w:style w:type="character" w:customStyle="1" w:styleId="151">
    <w:name w:val="Font Style116"/>
    <w:unhideWhenUsed/>
    <w:qFormat/>
    <w:uiPriority w:val="0"/>
    <w:rPr>
      <w:rFonts w:hint="eastAsia" w:ascii="宋体" w:hAnsi="宋体" w:eastAsia="宋体"/>
      <w:spacing w:val="-20"/>
      <w:sz w:val="24"/>
    </w:rPr>
  </w:style>
  <w:style w:type="character" w:customStyle="1" w:styleId="152">
    <w:name w:val="lemmatitleh12"/>
    <w:qFormat/>
    <w:uiPriority w:val="0"/>
    <w:rPr>
      <w:rFonts w:ascii="Times New Roman" w:hAnsi="Times New Roman" w:eastAsia="宋体"/>
    </w:rPr>
  </w:style>
  <w:style w:type="character" w:customStyle="1" w:styleId="153">
    <w:name w:val="Font Style90"/>
    <w:unhideWhenUsed/>
    <w:qFormat/>
    <w:uiPriority w:val="0"/>
    <w:rPr>
      <w:rFonts w:hint="eastAsia" w:ascii="宋体" w:hAnsi="宋体" w:eastAsia="宋体"/>
      <w:b/>
      <w:spacing w:val="-20"/>
      <w:sz w:val="40"/>
    </w:rPr>
  </w:style>
  <w:style w:type="character" w:customStyle="1" w:styleId="154">
    <w:name w:val="Font Style128"/>
    <w:unhideWhenUsed/>
    <w:qFormat/>
    <w:uiPriority w:val="0"/>
    <w:rPr>
      <w:rFonts w:hint="eastAsia" w:ascii="Times New Roman" w:hAnsi="Times New Roman" w:eastAsia="Times New Roman"/>
      <w:sz w:val="16"/>
    </w:rPr>
  </w:style>
  <w:style w:type="character" w:customStyle="1" w:styleId="155">
    <w:name w:val="sidecatalog-dot"/>
    <w:qFormat/>
    <w:uiPriority w:val="0"/>
    <w:rPr>
      <w:rFonts w:ascii="Times New Roman" w:hAnsi="Times New Roman" w:eastAsia="宋体"/>
    </w:rPr>
  </w:style>
  <w:style w:type="character" w:customStyle="1" w:styleId="156">
    <w:name w:val="标题 2 Char"/>
    <w:qFormat/>
    <w:uiPriority w:val="0"/>
    <w:rPr>
      <w:rFonts w:ascii="Cambria" w:hAnsi="Cambria" w:eastAsia="宋体" w:cs="Times New Roman"/>
      <w:b/>
      <w:bCs/>
      <w:kern w:val="2"/>
      <w:sz w:val="32"/>
      <w:szCs w:val="32"/>
    </w:rPr>
  </w:style>
  <w:style w:type="character" w:customStyle="1" w:styleId="157">
    <w:name w:val="bds_more8"/>
    <w:qFormat/>
    <w:uiPriority w:val="0"/>
    <w:rPr>
      <w:rFonts w:ascii="Times New Roman" w:hAnsi="Times New Roman" w:eastAsia="宋体"/>
    </w:rPr>
  </w:style>
  <w:style w:type="character" w:customStyle="1" w:styleId="158">
    <w:name w:val="polysemyred"/>
    <w:qFormat/>
    <w:uiPriority w:val="0"/>
    <w:rPr>
      <w:rFonts w:ascii="Times New Roman" w:hAnsi="Times New Roman" w:eastAsia="宋体"/>
      <w:color w:val="FF6666"/>
      <w:sz w:val="18"/>
      <w:szCs w:val="18"/>
    </w:rPr>
  </w:style>
  <w:style w:type="character" w:customStyle="1" w:styleId="159">
    <w:name w:val="页眉 Char"/>
    <w:qFormat/>
    <w:uiPriority w:val="0"/>
    <w:rPr>
      <w:kern w:val="2"/>
      <w:sz w:val="18"/>
      <w:szCs w:val="18"/>
    </w:rPr>
  </w:style>
  <w:style w:type="paragraph" w:customStyle="1" w:styleId="160">
    <w:name w:val="_Style 159"/>
    <w:qFormat/>
    <w:uiPriority w:val="0"/>
    <w:rPr>
      <w:rFonts w:ascii="Times New Roman" w:hAnsi="Times New Roman" w:eastAsia="宋体" w:cs="Times New Roman"/>
      <w:kern w:val="2"/>
      <w:sz w:val="21"/>
      <w:szCs w:val="24"/>
      <w:lang w:val="en-US" w:eastAsia="zh-CN" w:bidi="ar-SA"/>
    </w:rPr>
  </w:style>
  <w:style w:type="paragraph" w:customStyle="1" w:styleId="161">
    <w:name w:val="Style64"/>
    <w:basedOn w:val="1"/>
    <w:unhideWhenUsed/>
    <w:qFormat/>
    <w:uiPriority w:val="0"/>
  </w:style>
  <w:style w:type="paragraph" w:customStyle="1" w:styleId="162">
    <w:name w:val="Style58"/>
    <w:basedOn w:val="1"/>
    <w:unhideWhenUsed/>
    <w:qFormat/>
    <w:uiPriority w:val="0"/>
    <w:pPr>
      <w:spacing w:line="413" w:lineRule="exact"/>
    </w:pPr>
  </w:style>
  <w:style w:type="paragraph" w:customStyle="1" w:styleId="163">
    <w:name w:val="_Style 39"/>
    <w:basedOn w:val="164"/>
    <w:qFormat/>
    <w:uiPriority w:val="0"/>
  </w:style>
  <w:style w:type="paragraph" w:customStyle="1" w:styleId="16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Style81"/>
    <w:basedOn w:val="1"/>
    <w:unhideWhenUsed/>
    <w:qFormat/>
    <w:uiPriority w:val="0"/>
    <w:pPr>
      <w:spacing w:line="547" w:lineRule="exact"/>
    </w:pPr>
  </w:style>
  <w:style w:type="paragraph" w:customStyle="1" w:styleId="166">
    <w:name w:val="Style76"/>
    <w:basedOn w:val="1"/>
    <w:unhideWhenUsed/>
    <w:qFormat/>
    <w:uiPriority w:val="0"/>
  </w:style>
  <w:style w:type="paragraph" w:customStyle="1" w:styleId="167">
    <w:name w:val="Style16"/>
    <w:basedOn w:val="1"/>
    <w:unhideWhenUsed/>
    <w:qFormat/>
    <w:uiPriority w:val="0"/>
    <w:pPr>
      <w:jc w:val="right"/>
    </w:pPr>
  </w:style>
  <w:style w:type="paragraph" w:customStyle="1" w:styleId="168">
    <w:name w:val="Style27"/>
    <w:basedOn w:val="1"/>
    <w:unhideWhenUsed/>
    <w:qFormat/>
    <w:uiPriority w:val="0"/>
  </w:style>
  <w:style w:type="paragraph" w:customStyle="1" w:styleId="169">
    <w:name w:val="_Style 11"/>
    <w:basedOn w:val="2"/>
    <w:next w:val="1"/>
    <w:qFormat/>
    <w:uiPriority w:val="39"/>
    <w:pPr>
      <w:pageBreakBefore w:val="0"/>
      <w:widowControl/>
      <w:numPr>
        <w:ilvl w:val="0"/>
        <w:numId w:val="0"/>
      </w:numPr>
      <w:tabs>
        <w:tab w:val="left" w:pos="432"/>
      </w:tabs>
      <w:spacing w:before="480" w:beforeLines="0" w:afterLines="0" w:line="276" w:lineRule="auto"/>
      <w:outlineLvl w:val="9"/>
    </w:pPr>
    <w:rPr>
      <w:rFonts w:ascii="Cambria" w:hAnsi="Cambria" w:eastAsia="宋体"/>
      <w:color w:val="365F91"/>
      <w:sz w:val="28"/>
      <w:szCs w:val="28"/>
    </w:rPr>
  </w:style>
  <w:style w:type="paragraph" w:customStyle="1" w:styleId="170">
    <w:name w:val="样式20"/>
    <w:basedOn w:val="1"/>
    <w:qFormat/>
    <w:uiPriority w:val="0"/>
    <w:pPr>
      <w:widowControl/>
      <w:jc w:val="center"/>
    </w:pPr>
    <w:rPr>
      <w:kern w:val="0"/>
      <w:sz w:val="21"/>
    </w:rPr>
  </w:style>
  <w:style w:type="paragraph" w:customStyle="1" w:styleId="171">
    <w:name w:val="Char Char1 Char Char Char Char Char1 Char Char Char Char"/>
    <w:basedOn w:val="14"/>
    <w:qFormat/>
    <w:uiPriority w:val="0"/>
    <w:rPr>
      <w:rFonts w:ascii="Tahoma" w:hAnsi="Tahoma"/>
    </w:rPr>
  </w:style>
  <w:style w:type="paragraph" w:customStyle="1" w:styleId="172">
    <w:name w:val="样式 样式 首行缩进:  2.25 字符 + 首行缩进:  2.25 字符"/>
    <w:basedOn w:val="1"/>
    <w:qFormat/>
    <w:uiPriority w:val="0"/>
    <w:pPr>
      <w:ind w:firstLine="480" w:firstLineChars="200"/>
    </w:pPr>
    <w:rPr>
      <w:rFonts w:ascii="宋体" w:hAnsi="宋体"/>
      <w:szCs w:val="20"/>
    </w:rPr>
  </w:style>
  <w:style w:type="paragraph" w:customStyle="1" w:styleId="173">
    <w:name w:val="Style80"/>
    <w:basedOn w:val="1"/>
    <w:unhideWhenUsed/>
    <w:qFormat/>
    <w:uiPriority w:val="0"/>
  </w:style>
  <w:style w:type="paragraph" w:customStyle="1" w:styleId="174">
    <w:name w:val="Style70"/>
    <w:basedOn w:val="1"/>
    <w:unhideWhenUsed/>
    <w:qFormat/>
    <w:uiPriority w:val="0"/>
    <w:pPr>
      <w:spacing w:line="549" w:lineRule="exact"/>
      <w:ind w:firstLine="686"/>
    </w:pPr>
  </w:style>
  <w:style w:type="paragraph" w:customStyle="1" w:styleId="175">
    <w:name w:val="Normal Indent"/>
    <w:basedOn w:val="1"/>
    <w:qFormat/>
    <w:uiPriority w:val="0"/>
    <w:pPr>
      <w:ind w:firstLine="420"/>
    </w:pPr>
    <w:rPr>
      <w:kern w:val="0"/>
    </w:rPr>
  </w:style>
  <w:style w:type="paragraph" w:customStyle="1" w:styleId="176">
    <w:name w:val="Style77"/>
    <w:basedOn w:val="1"/>
    <w:unhideWhenUsed/>
    <w:qFormat/>
    <w:uiPriority w:val="0"/>
  </w:style>
  <w:style w:type="paragraph" w:customStyle="1" w:styleId="177">
    <w:name w:val="小四 段落 宋体 Char Char"/>
    <w:basedOn w:val="1"/>
    <w:qFormat/>
    <w:uiPriority w:val="0"/>
    <w:pPr>
      <w:ind w:firstLine="480" w:firstLineChars="200"/>
    </w:pPr>
    <w:rPr>
      <w:rFonts w:ascii="宋体" w:hAnsi="宋体"/>
    </w:rPr>
  </w:style>
  <w:style w:type="paragraph" w:customStyle="1" w:styleId="178">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9">
    <w:name w:val="Style56"/>
    <w:basedOn w:val="1"/>
    <w:unhideWhenUsed/>
    <w:qFormat/>
    <w:uiPriority w:val="0"/>
  </w:style>
  <w:style w:type="paragraph" w:customStyle="1" w:styleId="180">
    <w:name w:val="Style28"/>
    <w:basedOn w:val="1"/>
    <w:unhideWhenUsed/>
    <w:qFormat/>
    <w:uiPriority w:val="0"/>
    <w:pPr>
      <w:spacing w:line="552" w:lineRule="exact"/>
      <w:ind w:firstLine="547"/>
    </w:pPr>
  </w:style>
  <w:style w:type="paragraph" w:customStyle="1" w:styleId="181">
    <w:name w:val=" Char1 Char Char Char Char Char Char Char Char Char"/>
    <w:basedOn w:val="1"/>
    <w:qFormat/>
    <w:uiPriority w:val="0"/>
    <w:rPr>
      <w:szCs w:val="20"/>
    </w:rPr>
  </w:style>
  <w:style w:type="paragraph" w:customStyle="1" w:styleId="182">
    <w:name w:val="Style34"/>
    <w:basedOn w:val="1"/>
    <w:unhideWhenUsed/>
    <w:qFormat/>
    <w:uiPriority w:val="0"/>
    <w:pPr>
      <w:spacing w:line="375" w:lineRule="exact"/>
    </w:pPr>
  </w:style>
  <w:style w:type="paragraph" w:customStyle="1" w:styleId="183">
    <w:name w:val="Style67"/>
    <w:basedOn w:val="1"/>
    <w:unhideWhenUsed/>
    <w:qFormat/>
    <w:uiPriority w:val="0"/>
    <w:pPr>
      <w:spacing w:line="566" w:lineRule="exact"/>
      <w:ind w:firstLine="552"/>
    </w:pPr>
  </w:style>
  <w:style w:type="paragraph" w:customStyle="1" w:styleId="184">
    <w:name w:val="Char1 Char Char Char 字元 Char Char 字元 Char 字元 Char1 Char Char Char"/>
    <w:basedOn w:val="1"/>
    <w:qFormat/>
    <w:uiPriority w:val="0"/>
    <w:rPr>
      <w:szCs w:val="20"/>
    </w:rPr>
  </w:style>
  <w:style w:type="paragraph" w:styleId="185">
    <w:name w:val="List Paragraph"/>
    <w:basedOn w:val="1"/>
    <w:qFormat/>
    <w:uiPriority w:val="0"/>
    <w:pPr>
      <w:ind w:firstLine="420" w:firstLineChars="200"/>
    </w:pPr>
    <w:rPr>
      <w:rFonts w:ascii="Calibri" w:hAnsi="Calibri"/>
      <w:szCs w:val="22"/>
    </w:rPr>
  </w:style>
  <w:style w:type="paragraph" w:customStyle="1" w:styleId="186">
    <w:name w:val="List Paragraph1"/>
    <w:basedOn w:val="1"/>
    <w:qFormat/>
    <w:uiPriority w:val="0"/>
    <w:pPr>
      <w:ind w:firstLine="420" w:firstLineChars="200"/>
    </w:pPr>
    <w:rPr>
      <w:rFonts w:ascii="Calibri" w:hAnsi="Calibri" w:cs="Calibri"/>
      <w:szCs w:val="21"/>
    </w:rPr>
  </w:style>
  <w:style w:type="paragraph" w:customStyle="1" w:styleId="18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189">
    <w:name w:val="Style5"/>
    <w:basedOn w:val="1"/>
    <w:unhideWhenUsed/>
    <w:qFormat/>
    <w:uiPriority w:val="0"/>
  </w:style>
  <w:style w:type="paragraph" w:customStyle="1" w:styleId="190">
    <w:name w:val="Style78"/>
    <w:basedOn w:val="1"/>
    <w:unhideWhenUsed/>
    <w:qFormat/>
    <w:uiPriority w:val="0"/>
  </w:style>
  <w:style w:type="paragraph" w:customStyle="1" w:styleId="191">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92">
    <w:name w:val=" Char Char Char"/>
    <w:basedOn w:val="1"/>
    <w:qFormat/>
    <w:uiPriority w:val="0"/>
    <w:rPr>
      <w:rFonts w:ascii="宋体" w:hAnsi="宋体"/>
      <w:b/>
      <w:sz w:val="28"/>
      <w:szCs w:val="28"/>
    </w:rPr>
  </w:style>
  <w:style w:type="paragraph" w:customStyle="1" w:styleId="193">
    <w:name w:val="Char Char1 Char Char Char Char Char Char Char"/>
    <w:basedOn w:val="1"/>
    <w:qFormat/>
    <w:uiPriority w:val="0"/>
    <w:pPr>
      <w:widowControl/>
      <w:spacing w:after="160" w:line="240" w:lineRule="exact"/>
      <w:jc w:val="left"/>
    </w:pPr>
  </w:style>
  <w:style w:type="paragraph" w:customStyle="1" w:styleId="19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5">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9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Char"/>
    <w:basedOn w:val="1"/>
    <w:qFormat/>
    <w:uiPriority w:val="0"/>
    <w:pPr>
      <w:tabs>
        <w:tab w:val="left" w:pos="360"/>
      </w:tabs>
      <w:ind w:left="360" w:hanging="360" w:hangingChars="200"/>
    </w:pPr>
    <w:rPr>
      <w:sz w:val="24"/>
    </w:rPr>
  </w:style>
  <w:style w:type="paragraph" w:customStyle="1" w:styleId="199">
    <w:name w:val="Style29"/>
    <w:basedOn w:val="1"/>
    <w:unhideWhenUsed/>
    <w:qFormat/>
    <w:uiPriority w:val="0"/>
    <w:pPr>
      <w:spacing w:line="547" w:lineRule="exact"/>
      <w:ind w:firstLine="547"/>
    </w:pPr>
  </w:style>
  <w:style w:type="paragraph" w:customStyle="1" w:styleId="200">
    <w:name w:val="Style46"/>
    <w:basedOn w:val="1"/>
    <w:unhideWhenUsed/>
    <w:qFormat/>
    <w:uiPriority w:val="0"/>
    <w:pPr>
      <w:spacing w:line="672" w:lineRule="exact"/>
    </w:pPr>
  </w:style>
  <w:style w:type="paragraph" w:customStyle="1" w:styleId="201">
    <w:name w:val="Style11"/>
    <w:basedOn w:val="1"/>
    <w:unhideWhenUsed/>
    <w:qFormat/>
    <w:uiPriority w:val="0"/>
    <w:pPr>
      <w:spacing w:line="559" w:lineRule="exact"/>
      <w:ind w:firstLine="590"/>
    </w:pPr>
  </w:style>
  <w:style w:type="paragraph" w:customStyle="1" w:styleId="202">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3">
    <w:name w:val="正文（缩进）"/>
    <w:basedOn w:val="1"/>
    <w:qFormat/>
    <w:uiPriority w:val="0"/>
    <w:pPr>
      <w:spacing w:beforeLines="50" w:afterLines="50"/>
      <w:ind w:firstLine="480" w:firstLineChars="200"/>
    </w:pPr>
    <w:rPr>
      <w:kern w:val="0"/>
    </w:rPr>
  </w:style>
  <w:style w:type="paragraph" w:customStyle="1" w:styleId="204">
    <w:name w:val="Style4"/>
    <w:basedOn w:val="1"/>
    <w:unhideWhenUsed/>
    <w:qFormat/>
    <w:uiPriority w:val="0"/>
  </w:style>
  <w:style w:type="paragraph" w:customStyle="1" w:styleId="205">
    <w:name w:val="Char Char1 Char Char Char"/>
    <w:basedOn w:val="1"/>
    <w:qFormat/>
    <w:uiPriority w:val="0"/>
    <w:rPr>
      <w:kern w:val="0"/>
      <w:sz w:val="20"/>
      <w:szCs w:val="20"/>
    </w:rPr>
  </w:style>
  <w:style w:type="paragraph" w:customStyle="1" w:styleId="206">
    <w:name w:val="标题2"/>
    <w:basedOn w:val="44"/>
    <w:qFormat/>
    <w:uiPriority w:val="0"/>
    <w:pPr>
      <w:spacing w:after="240"/>
      <w:jc w:val="left"/>
    </w:pPr>
    <w:rPr>
      <w:sz w:val="30"/>
    </w:rPr>
  </w:style>
  <w:style w:type="paragraph" w:customStyle="1" w:styleId="20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8">
    <w:name w:val="4"/>
    <w:basedOn w:val="1"/>
    <w:qFormat/>
    <w:uiPriority w:val="0"/>
    <w:rPr>
      <w:rFonts w:ascii="Tahoma" w:hAnsi="Tahoma"/>
      <w:sz w:val="24"/>
      <w:szCs w:val="20"/>
    </w:rPr>
  </w:style>
  <w:style w:type="paragraph" w:customStyle="1" w:styleId="209">
    <w:name w:val="Style63"/>
    <w:basedOn w:val="1"/>
    <w:unhideWhenUsed/>
    <w:qFormat/>
    <w:uiPriority w:val="0"/>
    <w:pPr>
      <w:spacing w:line="564" w:lineRule="exact"/>
      <w:ind w:firstLine="682"/>
    </w:pPr>
  </w:style>
  <w:style w:type="paragraph" w:customStyle="1" w:styleId="210">
    <w:name w:val="Style13"/>
    <w:basedOn w:val="1"/>
    <w:unhideWhenUsed/>
    <w:qFormat/>
    <w:uiPriority w:val="0"/>
  </w:style>
  <w:style w:type="paragraph" w:customStyle="1" w:styleId="211">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正文缩进4"/>
    <w:basedOn w:val="1"/>
    <w:qFormat/>
    <w:uiPriority w:val="0"/>
    <w:pPr>
      <w:spacing w:beforeLines="50" w:afterLines="50" w:line="300" w:lineRule="auto"/>
      <w:ind w:firstLine="480" w:firstLineChars="200"/>
    </w:pPr>
    <w:rPr>
      <w:rFonts w:eastAsia="仿宋_GB2312"/>
      <w:kern w:val="0"/>
    </w:rPr>
  </w:style>
  <w:style w:type="paragraph" w:customStyle="1" w:styleId="213">
    <w:name w:val="Style52"/>
    <w:basedOn w:val="1"/>
    <w:unhideWhenUsed/>
    <w:qFormat/>
    <w:uiPriority w:val="0"/>
    <w:pPr>
      <w:spacing w:line="682" w:lineRule="exact"/>
      <w:ind w:firstLine="557"/>
    </w:pPr>
  </w:style>
  <w:style w:type="paragraph" w:customStyle="1" w:styleId="214">
    <w:name w:val="标题 1 +"/>
    <w:basedOn w:val="2"/>
    <w:next w:val="1"/>
    <w:qFormat/>
    <w:uiPriority w:val="0"/>
    <w:pPr>
      <w:keepLines/>
      <w:spacing w:line="600" w:lineRule="auto"/>
    </w:pPr>
    <w:rPr>
      <w:rFonts w:eastAsia="黑体"/>
      <w:kern w:val="0"/>
      <w:sz w:val="32"/>
      <w:szCs w:val="32"/>
    </w:rPr>
  </w:style>
  <w:style w:type="paragraph" w:customStyle="1" w:styleId="215">
    <w:name w:val="附录标识"/>
    <w:basedOn w:val="216"/>
    <w:qFormat/>
    <w:uiPriority w:val="0"/>
    <w:pPr>
      <w:tabs>
        <w:tab w:val="left" w:pos="360"/>
        <w:tab w:val="left" w:pos="720"/>
        <w:tab w:val="left" w:pos="6405"/>
      </w:tabs>
      <w:spacing w:after="200"/>
    </w:pPr>
    <w:rPr>
      <w:sz w:val="21"/>
    </w:rPr>
  </w:style>
  <w:style w:type="paragraph" w:customStyle="1" w:styleId="21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7">
    <w:name w:val=" Char1 Char Char Char"/>
    <w:basedOn w:val="1"/>
    <w:qFormat/>
    <w:uiPriority w:val="0"/>
    <w:pPr>
      <w:widowControl/>
      <w:spacing w:after="160" w:line="240" w:lineRule="exact"/>
      <w:jc w:val="left"/>
    </w:pPr>
    <w:rPr>
      <w:kern w:val="0"/>
      <w:sz w:val="24"/>
      <w:szCs w:val="20"/>
    </w:rPr>
  </w:style>
  <w:style w:type="paragraph" w:customStyle="1" w:styleId="218">
    <w:name w:val="Style48"/>
    <w:basedOn w:val="1"/>
    <w:unhideWhenUsed/>
    <w:qFormat/>
    <w:uiPriority w:val="0"/>
    <w:pPr>
      <w:spacing w:line="542" w:lineRule="exact"/>
      <w:jc w:val="right"/>
    </w:pPr>
  </w:style>
  <w:style w:type="paragraph" w:customStyle="1" w:styleId="219">
    <w:name w:val="默认段落字体 Para Char Char Char Char Char Char Char Char Char Char Char Char Char Char Char Char Char Char Char"/>
    <w:basedOn w:val="1"/>
    <w:qFormat/>
    <w:uiPriority w:val="0"/>
  </w:style>
  <w:style w:type="paragraph" w:customStyle="1" w:styleId="220">
    <w:name w:val="标准"/>
    <w:basedOn w:val="1"/>
    <w:qFormat/>
    <w:uiPriority w:val="0"/>
    <w:pPr>
      <w:autoSpaceDE w:val="0"/>
      <w:autoSpaceDN w:val="0"/>
      <w:adjustRightInd w:val="0"/>
      <w:spacing w:line="400" w:lineRule="exact"/>
      <w:textAlignment w:val="baseline"/>
    </w:pPr>
    <w:rPr>
      <w:rFonts w:ascii="黑体" w:eastAsia="黑体"/>
      <w:kern w:val="0"/>
      <w:szCs w:val="20"/>
    </w:rPr>
  </w:style>
  <w:style w:type="paragraph" w:customStyle="1" w:styleId="221">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1 Char Char Char Char"/>
    <w:basedOn w:val="1"/>
    <w:qFormat/>
    <w:uiPriority w:val="0"/>
  </w:style>
  <w:style w:type="paragraph" w:customStyle="1" w:styleId="224">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5">
    <w:name w:val="表格内容"/>
    <w:basedOn w:val="18"/>
    <w:qFormat/>
    <w:uiPriority w:val="0"/>
    <w:pPr>
      <w:suppressLineNumbers/>
      <w:suppressAutoHyphens/>
      <w:jc w:val="left"/>
    </w:pPr>
    <w:rPr>
      <w:rFonts w:cs="Tahoma"/>
      <w:kern w:val="0"/>
      <w:sz w:val="24"/>
    </w:rPr>
  </w:style>
  <w:style w:type="paragraph" w:customStyle="1" w:styleId="226">
    <w:name w:val="Style1"/>
    <w:basedOn w:val="2"/>
    <w:qFormat/>
    <w:uiPriority w:val="0"/>
    <w:pPr>
      <w:keepNext w:val="0"/>
      <w:pageBreakBefore w:val="0"/>
      <w:numPr>
        <w:ilvl w:val="0"/>
        <w:numId w:val="0"/>
      </w:numPr>
      <w:tabs>
        <w:tab w:val="left" w:pos="425"/>
      </w:tabs>
      <w:spacing w:before="340" w:beforeLines="0" w:after="330" w:afterLines="0" w:line="578" w:lineRule="auto"/>
      <w:jc w:val="center"/>
      <w:outlineLvl w:val="9"/>
    </w:pPr>
    <w:rPr>
      <w:rFonts w:ascii="Times New Roman" w:hAnsi="Times New Roman" w:eastAsia="宋体"/>
      <w:b w:val="0"/>
      <w:bCs w:val="0"/>
      <w:smallCaps/>
      <w:spacing w:val="20"/>
      <w:kern w:val="24"/>
      <w:sz w:val="24"/>
      <w:szCs w:val="20"/>
    </w:rPr>
  </w:style>
  <w:style w:type="paragraph" w:customStyle="1" w:styleId="227">
    <w:name w:val="正文-1"/>
    <w:basedOn w:val="1"/>
    <w:qFormat/>
    <w:uiPriority w:val="0"/>
    <w:pPr>
      <w:autoSpaceDE w:val="0"/>
      <w:autoSpaceDN w:val="0"/>
      <w:adjustRightInd w:val="0"/>
      <w:ind w:firstLine="420" w:firstLineChars="200"/>
      <w:jc w:val="left"/>
    </w:pPr>
    <w:rPr>
      <w:kern w:val="0"/>
      <w:sz w:val="20"/>
      <w:szCs w:val="21"/>
    </w:rPr>
  </w:style>
  <w:style w:type="paragraph" w:customStyle="1" w:styleId="228">
    <w:name w:val="Style12"/>
    <w:basedOn w:val="1"/>
    <w:unhideWhenUsed/>
    <w:qFormat/>
    <w:uiPriority w:val="0"/>
    <w:pPr>
      <w:spacing w:line="564" w:lineRule="exact"/>
      <w:ind w:hanging="115"/>
    </w:pPr>
  </w:style>
  <w:style w:type="paragraph" w:customStyle="1" w:styleId="229">
    <w:name w:val="Style45"/>
    <w:basedOn w:val="1"/>
    <w:unhideWhenUsed/>
    <w:qFormat/>
    <w:uiPriority w:val="0"/>
  </w:style>
  <w:style w:type="paragraph" w:customStyle="1" w:styleId="230">
    <w:name w:val="Style8"/>
    <w:basedOn w:val="1"/>
    <w:unhideWhenUsed/>
    <w:qFormat/>
    <w:uiPriority w:val="0"/>
    <w:pPr>
      <w:spacing w:line="566" w:lineRule="exact"/>
      <w:jc w:val="center"/>
    </w:pPr>
  </w:style>
  <w:style w:type="paragraph" w:customStyle="1" w:styleId="23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36"/>
    <w:basedOn w:val="1"/>
    <w:unhideWhenUsed/>
    <w:qFormat/>
    <w:uiPriority w:val="0"/>
  </w:style>
  <w:style w:type="paragraph" w:customStyle="1" w:styleId="233">
    <w:name w:val="p16"/>
    <w:basedOn w:val="1"/>
    <w:qFormat/>
    <w:uiPriority w:val="0"/>
    <w:pPr>
      <w:widowControl/>
      <w:jc w:val="left"/>
    </w:pPr>
    <w:rPr>
      <w:kern w:val="0"/>
      <w:szCs w:val="21"/>
    </w:rPr>
  </w:style>
  <w:style w:type="paragraph" w:customStyle="1" w:styleId="234">
    <w:name w:val="Style74"/>
    <w:basedOn w:val="1"/>
    <w:unhideWhenUsed/>
    <w:qFormat/>
    <w:uiPriority w:val="0"/>
    <w:pPr>
      <w:spacing w:line="437" w:lineRule="exact"/>
    </w:pPr>
  </w:style>
  <w:style w:type="paragraph" w:customStyle="1" w:styleId="235">
    <w:name w:val="WPS Plain"/>
    <w:qFormat/>
    <w:uiPriority w:val="0"/>
    <w:rPr>
      <w:rFonts w:ascii="Times New Roman" w:hAnsi="Times New Roman" w:eastAsia="宋体" w:cs="Times New Roman"/>
      <w:lang w:val="en-US" w:eastAsia="zh-CN" w:bidi="ar-SA"/>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1"/>
    <w:basedOn w:val="1"/>
    <w:qFormat/>
    <w:uiPriority w:val="0"/>
    <w:pPr>
      <w:spacing w:after="156" w:afterLines="50" w:line="360" w:lineRule="auto"/>
    </w:pPr>
    <w:rPr>
      <w:rFonts w:ascii="宋体" w:hAnsi="宋体"/>
      <w:b/>
      <w:sz w:val="30"/>
      <w:szCs w:val="21"/>
    </w:rPr>
  </w:style>
  <w:style w:type="paragraph" w:customStyle="1" w:styleId="238">
    <w:name w:val="Style54"/>
    <w:basedOn w:val="1"/>
    <w:unhideWhenUsed/>
    <w:qFormat/>
    <w:uiPriority w:val="0"/>
  </w:style>
  <w:style w:type="paragraph" w:customStyle="1" w:styleId="239">
    <w:name w:val="Style53"/>
    <w:basedOn w:val="1"/>
    <w:unhideWhenUsed/>
    <w:qFormat/>
    <w:uiPriority w:val="0"/>
    <w:pPr>
      <w:spacing w:line="533" w:lineRule="exact"/>
      <w:ind w:firstLine="581"/>
    </w:pPr>
  </w:style>
  <w:style w:type="paragraph" w:customStyle="1" w:styleId="240">
    <w:name w:val="Style60"/>
    <w:basedOn w:val="1"/>
    <w:unhideWhenUsed/>
    <w:qFormat/>
    <w:uiPriority w:val="0"/>
    <w:pPr>
      <w:spacing w:line="566" w:lineRule="exact"/>
    </w:pPr>
  </w:style>
  <w:style w:type="paragraph" w:customStyle="1" w:styleId="241">
    <w:name w:val="样式19"/>
    <w:basedOn w:val="1"/>
    <w:qFormat/>
    <w:uiPriority w:val="0"/>
    <w:pPr>
      <w:widowControl/>
      <w:tabs>
        <w:tab w:val="left" w:pos="0"/>
      </w:tabs>
      <w:ind w:firstLine="480" w:firstLineChars="200"/>
    </w:pPr>
    <w:rPr>
      <w:rFonts w:ascii="Arial" w:hAnsi="Arial"/>
      <w:color w:val="000000"/>
      <w:kern w:val="0"/>
    </w:rPr>
  </w:style>
  <w:style w:type="paragraph" w:customStyle="1" w:styleId="242">
    <w:name w:val="Style71"/>
    <w:basedOn w:val="1"/>
    <w:unhideWhenUsed/>
    <w:qFormat/>
    <w:uiPriority w:val="0"/>
    <w:pPr>
      <w:spacing w:line="538" w:lineRule="exact"/>
      <w:ind w:firstLine="101"/>
    </w:pPr>
  </w:style>
  <w:style w:type="paragraph" w:customStyle="1" w:styleId="243">
    <w:name w:val="默认段落字体 Para Char Char Char Char Char Char Char Char Char1 Char Char Char Char Char Char Char"/>
    <w:basedOn w:val="14"/>
    <w:qFormat/>
    <w:uiPriority w:val="0"/>
  </w:style>
  <w:style w:type="paragraph" w:customStyle="1" w:styleId="244">
    <w:name w:val="Style9"/>
    <w:basedOn w:val="1"/>
    <w:unhideWhenUsed/>
    <w:qFormat/>
    <w:uiPriority w:val="0"/>
  </w:style>
  <w:style w:type="paragraph" w:customStyle="1" w:styleId="245">
    <w:name w:val="Style24"/>
    <w:basedOn w:val="1"/>
    <w:unhideWhenUsed/>
    <w:qFormat/>
    <w:uiPriority w:val="0"/>
  </w:style>
  <w:style w:type="paragraph" w:customStyle="1" w:styleId="24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47">
    <w:name w:val="Style65"/>
    <w:basedOn w:val="1"/>
    <w:unhideWhenUsed/>
    <w:qFormat/>
    <w:uiPriority w:val="0"/>
  </w:style>
  <w:style w:type="paragraph" w:customStyle="1" w:styleId="248">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49">
    <w:name w:val="Style26"/>
    <w:basedOn w:val="1"/>
    <w:unhideWhenUsed/>
    <w:qFormat/>
    <w:uiPriority w:val="0"/>
  </w:style>
  <w:style w:type="paragraph" w:customStyle="1" w:styleId="250">
    <w:name w:val="Style23"/>
    <w:basedOn w:val="1"/>
    <w:unhideWhenUsed/>
    <w:qFormat/>
    <w:uiPriority w:val="0"/>
  </w:style>
  <w:style w:type="paragraph" w:customStyle="1" w:styleId="251">
    <w:name w:val="Style73"/>
    <w:basedOn w:val="1"/>
    <w:unhideWhenUsed/>
    <w:qFormat/>
    <w:uiPriority w:val="0"/>
    <w:pPr>
      <w:spacing w:line="538" w:lineRule="exact"/>
      <w:ind w:firstLine="533"/>
    </w:pPr>
  </w:style>
  <w:style w:type="paragraph" w:customStyle="1" w:styleId="25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Style61"/>
    <w:basedOn w:val="1"/>
    <w:unhideWhenUsed/>
    <w:qFormat/>
    <w:uiPriority w:val="0"/>
  </w:style>
  <w:style w:type="paragraph" w:customStyle="1" w:styleId="25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55">
    <w:name w:val="正文1.25"/>
    <w:basedOn w:val="1"/>
    <w:qFormat/>
    <w:uiPriority w:val="0"/>
    <w:pPr>
      <w:spacing w:line="300" w:lineRule="auto"/>
      <w:ind w:firstLine="480" w:firstLineChars="200"/>
    </w:pPr>
    <w:rPr>
      <w:rFonts w:ascii="Calibri" w:hAnsi="Calibri"/>
      <w:szCs w:val="20"/>
    </w:rPr>
  </w:style>
  <w:style w:type="paragraph" w:customStyle="1" w:styleId="256">
    <w:name w:val="Style21"/>
    <w:basedOn w:val="1"/>
    <w:unhideWhenUsed/>
    <w:qFormat/>
    <w:uiPriority w:val="0"/>
    <w:pPr>
      <w:spacing w:line="566" w:lineRule="exact"/>
      <w:ind w:firstLine="682"/>
    </w:pPr>
  </w:style>
  <w:style w:type="paragraph" w:customStyle="1" w:styleId="257">
    <w:name w:val="Style10"/>
    <w:basedOn w:val="1"/>
    <w:unhideWhenUsed/>
    <w:qFormat/>
    <w:uiPriority w:val="0"/>
    <w:pPr>
      <w:spacing w:line="538" w:lineRule="exact"/>
    </w:pPr>
  </w:style>
  <w:style w:type="paragraph" w:customStyle="1" w:styleId="258">
    <w:name w:val="Style15"/>
    <w:basedOn w:val="1"/>
    <w:unhideWhenUsed/>
    <w:qFormat/>
    <w:uiPriority w:val="0"/>
    <w:pPr>
      <w:spacing w:line="557" w:lineRule="exact"/>
      <w:ind w:firstLine="672"/>
    </w:pPr>
  </w:style>
  <w:style w:type="paragraph" w:customStyle="1" w:styleId="259">
    <w:name w:val="case3"/>
    <w:basedOn w:val="1"/>
    <w:qFormat/>
    <w:uiPriority w:val="0"/>
    <w:pPr>
      <w:widowControl/>
      <w:spacing w:before="100" w:beforeAutospacing="1" w:after="100" w:afterAutospacing="1" w:line="520" w:lineRule="atLeast"/>
      <w:jc w:val="left"/>
    </w:pPr>
    <w:rPr>
      <w:rFonts w:ascii="_x000B__x000C_" w:hAnsi="_x000B__x000C_"/>
      <w:color w:val="000000"/>
      <w:kern w:val="0"/>
      <w:sz w:val="28"/>
      <w:szCs w:val="28"/>
    </w:rPr>
  </w:style>
  <w:style w:type="paragraph" w:customStyle="1" w:styleId="260">
    <w:name w:val="Style72"/>
    <w:basedOn w:val="1"/>
    <w:unhideWhenUsed/>
    <w:qFormat/>
    <w:uiPriority w:val="0"/>
  </w:style>
  <w:style w:type="paragraph" w:customStyle="1" w:styleId="261">
    <w:name w:val="Style69"/>
    <w:basedOn w:val="1"/>
    <w:unhideWhenUsed/>
    <w:qFormat/>
    <w:uiPriority w:val="0"/>
    <w:pPr>
      <w:spacing w:line="557" w:lineRule="exact"/>
      <w:ind w:firstLine="1666"/>
    </w:pPr>
  </w:style>
  <w:style w:type="paragraph" w:customStyle="1" w:styleId="262">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63">
    <w:name w:val="Style50"/>
    <w:basedOn w:val="1"/>
    <w:unhideWhenUsed/>
    <w:qFormat/>
    <w:uiPriority w:val="0"/>
  </w:style>
  <w:style w:type="paragraph" w:customStyle="1" w:styleId="264">
    <w:name w:val="*正文"/>
    <w:basedOn w:val="1"/>
    <w:qFormat/>
    <w:uiPriority w:val="0"/>
    <w:pPr>
      <w:ind w:firstLine="200" w:firstLineChars="200"/>
    </w:pPr>
    <w:rPr>
      <w:rFonts w:ascii="宋体" w:hAnsi="宋体"/>
    </w:rPr>
  </w:style>
  <w:style w:type="paragraph" w:customStyle="1" w:styleId="26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6">
    <w:name w:val="Style47"/>
    <w:basedOn w:val="1"/>
    <w:unhideWhenUsed/>
    <w:qFormat/>
    <w:uiPriority w:val="0"/>
  </w:style>
  <w:style w:type="paragraph" w:customStyle="1" w:styleId="267">
    <w:name w:val="_Style 34"/>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Style59"/>
    <w:basedOn w:val="1"/>
    <w:unhideWhenUsed/>
    <w:qFormat/>
    <w:uiPriority w:val="0"/>
  </w:style>
  <w:style w:type="paragraph" w:customStyle="1" w:styleId="269">
    <w:name w:val="_Style 28"/>
    <w:basedOn w:val="1"/>
    <w:qFormat/>
    <w:uiPriority w:val="0"/>
    <w:pPr>
      <w:ind w:firstLine="420" w:firstLineChars="200"/>
    </w:pPr>
  </w:style>
  <w:style w:type="paragraph" w:customStyle="1" w:styleId="2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1">
    <w:name w:val="Style68"/>
    <w:basedOn w:val="1"/>
    <w:unhideWhenUsed/>
    <w:qFormat/>
    <w:uiPriority w:val="0"/>
    <w:pPr>
      <w:spacing w:line="547" w:lineRule="exact"/>
    </w:pPr>
  </w:style>
  <w:style w:type="paragraph" w:customStyle="1" w:styleId="272">
    <w:name w:val="Style62"/>
    <w:basedOn w:val="1"/>
    <w:unhideWhenUsed/>
    <w:qFormat/>
    <w:uiPriority w:val="0"/>
  </w:style>
  <w:style w:type="paragraph" w:customStyle="1" w:styleId="273">
    <w:name w:val="Style41"/>
    <w:basedOn w:val="1"/>
    <w:unhideWhenUsed/>
    <w:qFormat/>
    <w:uiPriority w:val="0"/>
    <w:pPr>
      <w:spacing w:line="542" w:lineRule="exact"/>
      <w:ind w:firstLine="125"/>
    </w:pPr>
  </w:style>
  <w:style w:type="paragraph" w:customStyle="1" w:styleId="27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75">
    <w:name w:val="Style44"/>
    <w:basedOn w:val="1"/>
    <w:unhideWhenUsed/>
    <w:qFormat/>
    <w:uiPriority w:val="0"/>
  </w:style>
  <w:style w:type="paragraph" w:customStyle="1" w:styleId="276">
    <w:name w:val="Style42"/>
    <w:basedOn w:val="1"/>
    <w:unhideWhenUsed/>
    <w:qFormat/>
    <w:uiPriority w:val="0"/>
    <w:pPr>
      <w:spacing w:line="542" w:lineRule="exact"/>
      <w:ind w:firstLine="547"/>
    </w:pPr>
  </w:style>
  <w:style w:type="table" w:customStyle="1" w:styleId="277">
    <w:name w:val="TableGrid"/>
    <w:qFormat/>
    <w:uiPriority w:val="0"/>
    <w:tblPr>
      <w:tblCellMar>
        <w:top w:w="0" w:type="dxa"/>
        <w:left w:w="0" w:type="dxa"/>
        <w:bottom w:w="0" w:type="dxa"/>
        <w:right w:w="0" w:type="dxa"/>
      </w:tblCellMar>
    </w:tblPr>
  </w:style>
  <w:style w:type="paragraph" w:customStyle="1" w:styleId="278">
    <w:name w:val="Table Paragraph"/>
    <w:basedOn w:val="1"/>
    <w:qFormat/>
    <w:uiPriority w:val="1"/>
    <w:rPr>
      <w:rFonts w:ascii="宋体" w:hAnsi="宋体" w:eastAsia="宋体" w:cs="宋体"/>
      <w:lang w:val="zh-CN" w:eastAsia="zh-CN" w:bidi="zh-CN"/>
    </w:rPr>
  </w:style>
  <w:style w:type="paragraph" w:customStyle="1" w:styleId="279">
    <w:name w:val="正文文本缩进1"/>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character" w:customStyle="1" w:styleId="280">
    <w:name w:val="页码1"/>
    <w:basedOn w:val="49"/>
    <w:qFormat/>
    <w:uiPriority w:val="0"/>
  </w:style>
  <w:style w:type="paragraph" w:customStyle="1" w:styleId="28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282">
    <w:name w:val="正文文本缩进 21"/>
    <w:basedOn w:val="1"/>
    <w:qFormat/>
    <w:uiPriority w:val="0"/>
    <w:pPr>
      <w:ind w:firstLine="640" w:firstLineChars="200"/>
    </w:pPr>
    <w:rPr>
      <w:sz w:val="32"/>
      <w:szCs w:val="20"/>
    </w:rPr>
  </w:style>
  <w:style w:type="paragraph" w:customStyle="1" w:styleId="283">
    <w:name w:val="Heading 5"/>
    <w:basedOn w:val="284"/>
    <w:qFormat/>
    <w:uiPriority w:val="0"/>
    <w:pPr>
      <w:spacing w:before="26" w:after="100" w:afterAutospacing="1"/>
      <w:ind w:left="157"/>
      <w:jc w:val="left"/>
      <w:outlineLvl w:val="5"/>
    </w:pPr>
    <w:rPr>
      <w:rFonts w:ascii="宋体" w:hAnsi="宋体" w:cs="宋体"/>
      <w:b/>
      <w:bCs/>
      <w:kern w:val="0"/>
      <w:sz w:val="24"/>
      <w:szCs w:val="24"/>
    </w:rPr>
  </w:style>
  <w:style w:type="paragraph" w:customStyle="1" w:styleId="284">
    <w:name w:val="正文_4_0_0_0"/>
    <w:basedOn w:val="285"/>
    <w:qFormat/>
    <w:uiPriority w:val="0"/>
    <w:rPr>
      <w:rFonts w:ascii="Times New Roman" w:hAnsi="Times New Roman"/>
      <w:szCs w:val="21"/>
    </w:rPr>
  </w:style>
  <w:style w:type="paragraph" w:customStyle="1" w:styleId="28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6">
    <w:name w:val="正文_4_0_0"/>
    <w:basedOn w:val="285"/>
    <w:qFormat/>
    <w:uiPriority w:val="0"/>
    <w:rPr>
      <w:rFonts w:ascii="Times New Roman" w:hAnsi="Times New Roman"/>
      <w:szCs w:val="21"/>
    </w:rPr>
  </w:style>
  <w:style w:type="paragraph" w:customStyle="1" w:styleId="287">
    <w:name w:val="正文_4_0_0_0_0"/>
    <w:basedOn w:val="285"/>
    <w:qFormat/>
    <w:uiPriority w:val="0"/>
    <w:rPr>
      <w:szCs w:val="21"/>
    </w:rPr>
  </w:style>
  <w:style w:type="paragraph" w:customStyle="1" w:styleId="288">
    <w:name w:val="Char Char Char1 Char8"/>
    <w:basedOn w:val="1"/>
    <w:qFormat/>
    <w:uiPriority w:val="0"/>
    <w:pPr>
      <w:spacing w:line="360" w:lineRule="auto"/>
      <w:ind w:firstLine="200" w:firstLineChars="200"/>
    </w:pPr>
    <w:rPr>
      <w:rFonts w:hint="eastAsia" w:ascii="宋体" w:hAnsi="宋体"/>
      <w:sz w:val="24"/>
    </w:rPr>
  </w:style>
  <w:style w:type="character" w:customStyle="1" w:styleId="289">
    <w:name w:val="标题一"/>
    <w:qFormat/>
    <w:uiPriority w:val="0"/>
    <w:rPr>
      <w:rFonts w:ascii="宋体" w:hAnsi="宋体"/>
      <w:b/>
      <w:bCs/>
      <w:sz w:val="36"/>
    </w:rPr>
  </w:style>
  <w:style w:type="character" w:customStyle="1" w:styleId="290">
    <w:name w:val="c lh15"/>
    <w:basedOn w:val="49"/>
    <w:qFormat/>
    <w:uiPriority w:val="0"/>
  </w:style>
  <w:style w:type="paragraph" w:customStyle="1" w:styleId="29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74</Pages>
  <Words>36881</Words>
  <Characters>40552</Characters>
  <Lines>423</Lines>
  <Paragraphs>119</Paragraphs>
  <TotalTime>56</TotalTime>
  <ScaleCrop>false</ScaleCrop>
  <LinksUpToDate>false</LinksUpToDate>
  <CharactersWithSpaces>43091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2016-03-31T06:49:00Z</dcterms:created>
  <dc:creator>湖南中招张小兰</dc:creator>
  <cp:lastModifiedBy>NTKO</cp:lastModifiedBy>
  <cp:lastPrinted>2021-07-02T09:10:00Z</cp:lastPrinted>
  <dcterms:modified xsi:type="dcterms:W3CDTF">2021-09-27T08:22:17Z</dcterms:modified>
  <dc:title>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9DC8BD3458DA49BBA61C62B780292CEA</vt:lpwstr>
  </property>
</Properties>
</file>