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44"/>
          <w:szCs w:val="44"/>
          <w:highlight w:val="none"/>
        </w:rPr>
      </w:pPr>
      <w:bookmarkStart w:id="0" w:name="_Toc2310"/>
      <w:bookmarkStart w:id="1" w:name="_Toc306369294"/>
      <w:bookmarkStart w:id="2" w:name="_Toc293326129"/>
    </w:p>
    <w:p>
      <w:pPr>
        <w:spacing w:line="360" w:lineRule="auto"/>
        <w:jc w:val="center"/>
        <w:rPr>
          <w:rFonts w:hint="eastAsia" w:ascii="仿宋" w:hAnsi="仿宋" w:eastAsia="仿宋" w:cs="仿宋"/>
          <w:b/>
          <w:bCs/>
          <w:sz w:val="44"/>
          <w:szCs w:val="44"/>
          <w:highlight w:val="none"/>
        </w:rPr>
      </w:pPr>
    </w:p>
    <w:p>
      <w:pPr>
        <w:spacing w:line="360" w:lineRule="auto"/>
        <w:jc w:val="center"/>
        <w:rPr>
          <w:rFonts w:hint="eastAsia" w:ascii="仿宋" w:hAnsi="仿宋" w:eastAsia="仿宋" w:cs="仿宋"/>
          <w:b/>
          <w:bCs/>
          <w:sz w:val="44"/>
          <w:szCs w:val="44"/>
          <w:highlight w:val="none"/>
        </w:rPr>
      </w:pPr>
    </w:p>
    <w:p>
      <w:pPr>
        <w:jc w:val="center"/>
        <w:rPr>
          <w:rFonts w:hint="eastAsia" w:ascii="仿宋" w:hAnsi="仿宋" w:eastAsia="仿宋" w:cs="仿宋"/>
          <w:b/>
          <w:bCs/>
          <w:sz w:val="48"/>
          <w:szCs w:val="48"/>
          <w:highlight w:val="none"/>
          <w:lang w:eastAsia="zh-CN"/>
        </w:rPr>
      </w:pPr>
      <w:r>
        <w:rPr>
          <w:rFonts w:hint="eastAsia" w:ascii="仿宋" w:hAnsi="仿宋" w:eastAsia="仿宋" w:cs="仿宋"/>
          <w:b/>
          <w:bCs/>
          <w:sz w:val="44"/>
          <w:szCs w:val="44"/>
          <w:highlight w:val="none"/>
          <w:lang w:eastAsia="zh-CN"/>
        </w:rPr>
        <w:t>新疆医科大学第七附属医院医教综合楼医用气体集中供应安装工程</w:t>
      </w:r>
    </w:p>
    <w:p>
      <w:pPr>
        <w:jc w:val="left"/>
        <w:rPr>
          <w:rFonts w:hint="eastAsia" w:ascii="仿宋" w:hAnsi="仿宋" w:eastAsia="仿宋" w:cs="仿宋"/>
          <w:b/>
          <w:bCs/>
          <w:sz w:val="48"/>
          <w:szCs w:val="48"/>
          <w:highlight w:val="none"/>
        </w:rPr>
      </w:pPr>
    </w:p>
    <w:p>
      <w:pPr>
        <w:pStyle w:val="9"/>
        <w:rPr>
          <w:rFonts w:hint="eastAsia" w:ascii="仿宋" w:hAnsi="仿宋" w:eastAsia="仿宋" w:cs="仿宋"/>
          <w:highlight w:val="none"/>
        </w:rPr>
      </w:pPr>
    </w:p>
    <w:p>
      <w:pPr>
        <w:jc w:val="left"/>
        <w:rPr>
          <w:rFonts w:hint="eastAsia" w:ascii="仿宋" w:hAnsi="仿宋" w:eastAsia="仿宋" w:cs="仿宋"/>
          <w:b/>
          <w:bCs/>
          <w:sz w:val="48"/>
          <w:szCs w:val="48"/>
          <w:highlight w:val="none"/>
        </w:rPr>
      </w:pPr>
    </w:p>
    <w:bookmarkEnd w:id="0"/>
    <w:p>
      <w:pPr>
        <w:jc w:val="center"/>
        <w:rPr>
          <w:rFonts w:hint="eastAsia" w:ascii="仿宋" w:hAnsi="仿宋" w:eastAsia="仿宋" w:cs="仿宋"/>
          <w:b/>
          <w:bCs/>
          <w:sz w:val="72"/>
          <w:szCs w:val="72"/>
          <w:highlight w:val="none"/>
          <w:lang w:val="en-US" w:eastAsia="zh-CN"/>
        </w:rPr>
      </w:pPr>
      <w:r>
        <w:rPr>
          <w:rFonts w:hint="eastAsia" w:ascii="仿宋" w:hAnsi="仿宋" w:eastAsia="仿宋" w:cs="仿宋"/>
          <w:b/>
          <w:bCs/>
          <w:sz w:val="72"/>
          <w:szCs w:val="72"/>
          <w:highlight w:val="none"/>
          <w:lang w:val="en-US" w:eastAsia="zh-CN"/>
        </w:rPr>
        <w:t>竞争性磋商文件</w:t>
      </w:r>
    </w:p>
    <w:p>
      <w:pPr>
        <w:jc w:val="center"/>
        <w:rPr>
          <w:rFonts w:hint="eastAsia" w:ascii="仿宋" w:hAnsi="仿宋" w:eastAsia="仿宋" w:cs="仿宋"/>
          <w:sz w:val="24"/>
          <w:highlight w:val="none"/>
        </w:rPr>
      </w:pPr>
      <w:r>
        <w:rPr>
          <w:rFonts w:hint="eastAsia" w:ascii="仿宋" w:hAnsi="仿宋" w:eastAsia="仿宋" w:cs="仿宋"/>
          <w:b/>
          <w:bCs/>
          <w:sz w:val="28"/>
          <w:szCs w:val="28"/>
          <w:highlight w:val="none"/>
        </w:rPr>
        <w:t>（项目编号：</w:t>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HYPERLINK "https://pay.zcygov.cn/purchaseplan_front/" \l "/plan/list/detail?id=1000000000005797636&amp;encrypt=04236462a18eb7e535404a1bb044874c" \t "https://www.zcygov.cn/delegation-order/order/orderInfo/detail/_blank"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lang w:eastAsia="zh-CN"/>
        </w:rPr>
        <w:t>[2021]11082号-001</w:t>
      </w:r>
      <w:r>
        <w:rPr>
          <w:rFonts w:hint="eastAsia" w:ascii="仿宋" w:hAnsi="仿宋" w:eastAsia="仿宋" w:cs="仿宋"/>
          <w:b/>
          <w:bCs/>
          <w:sz w:val="28"/>
          <w:szCs w:val="28"/>
          <w:highlight w:val="none"/>
        </w:rPr>
        <w:fldChar w:fldCharType="end"/>
      </w:r>
      <w:r>
        <w:rPr>
          <w:rFonts w:hint="eastAsia" w:ascii="仿宋" w:hAnsi="仿宋" w:eastAsia="仿宋" w:cs="仿宋"/>
          <w:b/>
          <w:sz w:val="30"/>
          <w:szCs w:val="30"/>
          <w:highlight w:val="none"/>
        </w:rPr>
        <w:t>）</w: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bookmarkEnd w:id="1"/>
    <w:bookmarkEnd w:id="2"/>
    <w:p>
      <w:pPr>
        <w:spacing w:line="480" w:lineRule="auto"/>
        <w:rPr>
          <w:rFonts w:hint="eastAsia" w:ascii="仿宋" w:hAnsi="仿宋" w:eastAsia="仿宋" w:cs="仿宋"/>
          <w:b/>
          <w:sz w:val="30"/>
          <w:szCs w:val="30"/>
          <w:highlight w:val="none"/>
        </w:rPr>
      </w:pPr>
    </w:p>
    <w:p>
      <w:pPr>
        <w:pStyle w:val="18"/>
        <w:rPr>
          <w:rFonts w:hint="eastAsia" w:ascii="仿宋" w:hAnsi="仿宋" w:eastAsia="仿宋" w:cs="仿宋"/>
          <w:highlight w:val="none"/>
        </w:rPr>
      </w:pPr>
    </w:p>
    <w:p>
      <w:pPr>
        <w:spacing w:line="480" w:lineRule="auto"/>
        <w:ind w:left="1506" w:hanging="1506" w:hangingChars="500"/>
        <w:rPr>
          <w:rFonts w:hint="eastAsia" w:ascii="仿宋" w:hAnsi="仿宋" w:eastAsia="仿宋" w:cs="仿宋"/>
          <w:b/>
          <w:sz w:val="30"/>
          <w:szCs w:val="30"/>
          <w:highlight w:val="none"/>
        </w:rPr>
      </w:pPr>
      <w:r>
        <w:rPr>
          <w:rFonts w:hint="eastAsia" w:ascii="仿宋" w:hAnsi="仿宋" w:eastAsia="仿宋" w:cs="仿宋"/>
          <w:b/>
          <w:sz w:val="30"/>
          <w:szCs w:val="30"/>
          <w:highlight w:val="none"/>
        </w:rPr>
        <w:t>招标人：新疆医科大学第七附属医院</w:t>
      </w:r>
    </w:p>
    <w:p>
      <w:pPr>
        <w:spacing w:line="480" w:lineRule="auto"/>
        <w:rPr>
          <w:rFonts w:hint="eastAsia" w:ascii="仿宋" w:hAnsi="仿宋" w:eastAsia="仿宋" w:cs="仿宋"/>
          <w:color w:val="FF0000"/>
          <w:sz w:val="30"/>
          <w:szCs w:val="30"/>
          <w:highlight w:val="none"/>
        </w:rPr>
      </w:pPr>
      <w:r>
        <w:rPr>
          <w:rFonts w:hint="eastAsia" w:ascii="仿宋" w:hAnsi="仿宋" w:eastAsia="仿宋" w:cs="仿宋"/>
          <w:b/>
          <w:sz w:val="30"/>
          <w:szCs w:val="30"/>
          <w:highlight w:val="none"/>
        </w:rPr>
        <w:t>招标代理机构：新疆世纪星工程咨询有限公司</w:t>
      </w:r>
    </w:p>
    <w:p>
      <w:pPr>
        <w:spacing w:line="480" w:lineRule="auto"/>
        <w:rPr>
          <w:rFonts w:hint="eastAsia" w:ascii="仿宋" w:hAnsi="仿宋" w:eastAsia="仿宋" w:cs="仿宋"/>
          <w:b/>
          <w:sz w:val="30"/>
          <w:szCs w:val="30"/>
          <w:highlight w:val="none"/>
        </w:rPr>
      </w:pPr>
      <w:r>
        <w:rPr>
          <w:rFonts w:hint="eastAsia" w:ascii="仿宋" w:hAnsi="仿宋" w:eastAsia="仿宋" w:cs="仿宋"/>
          <w:b/>
          <w:sz w:val="30"/>
          <w:szCs w:val="30"/>
          <w:highlight w:val="none"/>
        </w:rPr>
        <w:t>联系人：訾王贝</w:t>
      </w:r>
    </w:p>
    <w:p>
      <w:pPr>
        <w:spacing w:line="480" w:lineRule="auto"/>
        <w:rPr>
          <w:rFonts w:hint="eastAsia" w:ascii="仿宋" w:hAnsi="仿宋" w:eastAsia="仿宋" w:cs="仿宋"/>
          <w:b/>
          <w:sz w:val="30"/>
          <w:szCs w:val="30"/>
          <w:highlight w:val="none"/>
        </w:rPr>
      </w:pPr>
      <w:r>
        <w:rPr>
          <w:rFonts w:hint="eastAsia" w:ascii="仿宋" w:hAnsi="仿宋" w:eastAsia="仿宋" w:cs="仿宋"/>
          <w:b/>
          <w:sz w:val="30"/>
          <w:szCs w:val="30"/>
          <w:highlight w:val="none"/>
        </w:rPr>
        <w:t xml:space="preserve">电话：0991-3678303   </w:t>
      </w:r>
    </w:p>
    <w:p>
      <w:pPr>
        <w:spacing w:line="480" w:lineRule="auto"/>
        <w:rPr>
          <w:rFonts w:hint="eastAsia" w:ascii="仿宋" w:hAnsi="仿宋" w:eastAsia="仿宋" w:cs="仿宋"/>
          <w:b/>
          <w:sz w:val="30"/>
          <w:szCs w:val="30"/>
          <w:highlight w:val="none"/>
        </w:rPr>
      </w:pPr>
      <w:r>
        <w:rPr>
          <w:rFonts w:hint="eastAsia" w:ascii="仿宋" w:hAnsi="仿宋" w:eastAsia="仿宋" w:cs="仿宋"/>
          <w:b/>
          <w:sz w:val="30"/>
          <w:szCs w:val="30"/>
          <w:highlight w:val="none"/>
        </w:rPr>
        <w:t>日期：2021年</w:t>
      </w:r>
      <w:r>
        <w:rPr>
          <w:rFonts w:hint="eastAsia" w:ascii="仿宋" w:hAnsi="仿宋" w:eastAsia="仿宋" w:cs="仿宋"/>
          <w:b/>
          <w:sz w:val="30"/>
          <w:szCs w:val="30"/>
          <w:highlight w:val="none"/>
          <w:lang w:val="en-US" w:eastAsia="zh-CN"/>
        </w:rPr>
        <w:t>10</w:t>
      </w:r>
      <w:r>
        <w:rPr>
          <w:rFonts w:hint="eastAsia" w:ascii="仿宋" w:hAnsi="仿宋" w:eastAsia="仿宋" w:cs="仿宋"/>
          <w:b/>
          <w:sz w:val="30"/>
          <w:szCs w:val="30"/>
          <w:highlight w:val="none"/>
        </w:rPr>
        <w:t>月</w:t>
      </w:r>
    </w:p>
    <w:p>
      <w:pPr>
        <w:jc w:val="center"/>
        <w:rPr>
          <w:rFonts w:hint="eastAsia" w:ascii="仿宋" w:hAnsi="仿宋" w:eastAsia="仿宋" w:cs="仿宋"/>
          <w:sz w:val="28"/>
          <w:szCs w:val="28"/>
          <w:highlight w:val="none"/>
        </w:rPr>
        <w:sectPr>
          <w:headerReference r:id="rId3" w:type="default"/>
          <w:footerReference r:id="rId4" w:type="default"/>
          <w:pgSz w:w="11906" w:h="16838"/>
          <w:pgMar w:top="1440" w:right="1474" w:bottom="1417" w:left="1701" w:header="851" w:footer="272" w:gutter="0"/>
          <w:pgNumType w:start="1"/>
          <w:cols w:space="720" w:num="1"/>
          <w:docGrid w:type="lines" w:linePitch="312" w:charSpace="0"/>
        </w:sectPr>
      </w:pPr>
    </w:p>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w:t>
      </w:r>
    </w:p>
    <w:p>
      <w:pPr>
        <w:jc w:val="center"/>
        <w:rPr>
          <w:rFonts w:hint="eastAsia" w:ascii="仿宋" w:hAnsi="仿宋" w:eastAsia="仿宋" w:cs="仿宋"/>
          <w:sz w:val="24"/>
          <w:highlight w:val="none"/>
        </w:rPr>
      </w:pPr>
    </w:p>
    <w:p>
      <w:pPr>
        <w:pStyle w:val="17"/>
        <w:tabs>
          <w:tab w:val="right" w:leader="dot" w:pos="8731"/>
        </w:tabs>
        <w:spacing w:line="360" w:lineRule="auto"/>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TOC \o "1-1" \h \u </w:instrText>
      </w:r>
      <w:r>
        <w:rPr>
          <w:rFonts w:hint="eastAsia" w:ascii="仿宋" w:hAnsi="仿宋" w:eastAsia="仿宋" w:cs="仿宋"/>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"_Toc9701" </w:instrText>
      </w:r>
      <w:r>
        <w:rPr>
          <w:rFonts w:hint="eastAsia" w:ascii="仿宋" w:hAnsi="仿宋" w:eastAsia="仿宋" w:cs="仿宋"/>
          <w:highlight w:val="none"/>
        </w:rPr>
        <w:fldChar w:fldCharType="separate"/>
      </w:r>
      <w:r>
        <w:rPr>
          <w:rFonts w:hint="eastAsia" w:ascii="仿宋" w:hAnsi="仿宋" w:eastAsia="仿宋" w:cs="仿宋"/>
          <w:sz w:val="24"/>
          <w:highlight w:val="none"/>
        </w:rPr>
        <w:t xml:space="preserve">第一章  </w:t>
      </w:r>
      <w:r>
        <w:rPr>
          <w:rFonts w:hint="eastAsia" w:ascii="仿宋" w:hAnsi="仿宋" w:eastAsia="仿宋" w:cs="仿宋"/>
          <w:sz w:val="24"/>
          <w:highlight w:val="none"/>
          <w:lang w:eastAsia="zh-CN"/>
        </w:rPr>
        <w:t>竞争性磋商公告</w:t>
      </w:r>
      <w:r>
        <w:rPr>
          <w:rFonts w:hint="eastAsia" w:ascii="仿宋" w:hAnsi="仿宋" w:eastAsia="仿宋" w:cs="仿宋"/>
          <w:sz w:val="24"/>
          <w:highlight w:val="none"/>
        </w:rPr>
        <w:tab/>
      </w:r>
      <w:r>
        <w:rPr>
          <w:rFonts w:hint="eastAsia" w:ascii="仿宋" w:hAnsi="仿宋" w:eastAsia="仿宋" w:cs="仿宋"/>
          <w:sz w:val="24"/>
          <w:highlight w:val="none"/>
        </w:rPr>
        <w:fldChar w:fldCharType="end"/>
      </w:r>
      <w:r>
        <w:rPr>
          <w:rFonts w:hint="eastAsia" w:ascii="仿宋" w:hAnsi="仿宋" w:eastAsia="仿宋" w:cs="仿宋"/>
          <w:sz w:val="24"/>
          <w:highlight w:val="none"/>
        </w:rPr>
        <w:t>1</w:t>
      </w:r>
    </w:p>
    <w:p>
      <w:pPr>
        <w:pStyle w:val="17"/>
        <w:tabs>
          <w:tab w:val="right" w:leader="dot" w:pos="8731"/>
        </w:tabs>
        <w:spacing w:line="360" w:lineRule="auto"/>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"_Toc32339" </w:instrText>
      </w:r>
      <w:r>
        <w:rPr>
          <w:rFonts w:hint="eastAsia" w:ascii="仿宋" w:hAnsi="仿宋" w:eastAsia="仿宋" w:cs="仿宋"/>
          <w:highlight w:val="none"/>
        </w:rPr>
        <w:fldChar w:fldCharType="separate"/>
      </w:r>
      <w:r>
        <w:rPr>
          <w:rFonts w:hint="eastAsia" w:ascii="仿宋" w:hAnsi="仿宋" w:eastAsia="仿宋" w:cs="仿宋"/>
          <w:sz w:val="24"/>
          <w:highlight w:val="none"/>
        </w:rPr>
        <w:t>第二章  投标人须知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_Toc32339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8731"/>
        </w:tabs>
        <w:spacing w:line="360" w:lineRule="auto"/>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"_Toc27495" </w:instrText>
      </w:r>
      <w:r>
        <w:rPr>
          <w:rFonts w:hint="eastAsia" w:ascii="仿宋" w:hAnsi="仿宋" w:eastAsia="仿宋" w:cs="仿宋"/>
          <w:highlight w:val="none"/>
        </w:rPr>
        <w:fldChar w:fldCharType="separate"/>
      </w:r>
      <w:r>
        <w:rPr>
          <w:rFonts w:hint="eastAsia" w:ascii="仿宋" w:hAnsi="仿宋" w:eastAsia="仿宋" w:cs="仿宋"/>
          <w:sz w:val="24"/>
          <w:highlight w:val="none"/>
        </w:rPr>
        <w:t>第三章  合同条件及格式（仅供参考）</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_Toc27495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8731"/>
        </w:tabs>
        <w:spacing w:line="360" w:lineRule="auto"/>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"_Toc19912" </w:instrText>
      </w:r>
      <w:r>
        <w:rPr>
          <w:rFonts w:hint="eastAsia" w:ascii="仿宋" w:hAnsi="仿宋" w:eastAsia="仿宋" w:cs="仿宋"/>
          <w:highlight w:val="none"/>
        </w:rPr>
        <w:fldChar w:fldCharType="separate"/>
      </w:r>
      <w:r>
        <w:rPr>
          <w:rFonts w:hint="eastAsia" w:ascii="仿宋" w:hAnsi="仿宋" w:eastAsia="仿宋" w:cs="仿宋"/>
          <w:sz w:val="24"/>
          <w:highlight w:val="none"/>
        </w:rPr>
        <w:t>第四章  技术标准及要求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_Toc19912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7"/>
        <w:tabs>
          <w:tab w:val="right" w:leader="dot" w:pos="8731"/>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"_Toc17338" </w:instrText>
      </w:r>
      <w:r>
        <w:rPr>
          <w:rFonts w:hint="eastAsia" w:ascii="仿宋" w:hAnsi="仿宋" w:eastAsia="仿宋" w:cs="仿宋"/>
          <w:highlight w:val="none"/>
        </w:rPr>
        <w:fldChar w:fldCharType="separate"/>
      </w:r>
      <w:r>
        <w:rPr>
          <w:rFonts w:hint="eastAsia" w:ascii="仿宋" w:hAnsi="仿宋" w:eastAsia="仿宋" w:cs="仿宋"/>
          <w:sz w:val="24"/>
          <w:highlight w:val="none"/>
        </w:rPr>
        <w:t xml:space="preserve">第五章  </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格式</w:t>
      </w:r>
      <w:r>
        <w:rPr>
          <w:rFonts w:hint="eastAsia" w:ascii="仿宋" w:hAnsi="仿宋" w:eastAsia="仿宋" w:cs="仿宋"/>
          <w:sz w:val="24"/>
          <w:highlight w:val="none"/>
        </w:rPr>
        <w:tab/>
      </w:r>
      <w:r>
        <w:rPr>
          <w:rFonts w:hint="eastAsia" w:ascii="仿宋" w:hAnsi="仿宋" w:eastAsia="仿宋" w:cs="仿宋"/>
          <w:sz w:val="24"/>
          <w:highlight w:val="none"/>
        </w:rPr>
        <w:t>2</w:t>
      </w:r>
      <w:r>
        <w:rPr>
          <w:rFonts w:hint="eastAsia" w:ascii="仿宋" w:hAnsi="仿宋" w:eastAsia="仿宋" w:cs="仿宋"/>
          <w:sz w:val="24"/>
          <w:highlight w:val="none"/>
        </w:rPr>
        <w:fldChar w:fldCharType="end"/>
      </w:r>
      <w:r>
        <w:rPr>
          <w:rFonts w:hint="eastAsia" w:ascii="仿宋" w:hAnsi="仿宋" w:eastAsia="仿宋" w:cs="仿宋"/>
          <w:sz w:val="24"/>
          <w:highlight w:val="none"/>
        </w:rPr>
        <w:t>9</w:t>
      </w:r>
    </w:p>
    <w:p>
      <w:pPr>
        <w:pStyle w:val="21"/>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fldChar w:fldCharType="end"/>
      </w:r>
    </w:p>
    <w:p>
      <w:pPr>
        <w:rPr>
          <w:rFonts w:hint="eastAsia" w:ascii="仿宋" w:hAnsi="仿宋" w:eastAsia="仿宋" w:cs="仿宋"/>
          <w:sz w:val="30"/>
          <w:szCs w:val="30"/>
          <w:highlight w:val="none"/>
        </w:rPr>
      </w:pPr>
    </w:p>
    <w:p>
      <w:pPr>
        <w:pStyle w:val="21"/>
        <w:outlineLvl w:val="9"/>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pStyle w:val="21"/>
        <w:outlineLvl w:val="9"/>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pStyle w:val="21"/>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21"/>
        <w:rPr>
          <w:rFonts w:hint="eastAsia" w:ascii="仿宋" w:hAnsi="仿宋" w:eastAsia="仿宋" w:cs="仿宋"/>
          <w:sz w:val="30"/>
          <w:szCs w:val="30"/>
          <w:highlight w:val="none"/>
        </w:rPr>
      </w:pPr>
    </w:p>
    <w:p>
      <w:pPr>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pStyle w:val="18"/>
        <w:rPr>
          <w:rFonts w:hint="eastAsia" w:ascii="仿宋" w:hAnsi="仿宋" w:eastAsia="仿宋" w:cs="仿宋"/>
          <w:sz w:val="30"/>
          <w:szCs w:val="30"/>
          <w:highlight w:val="none"/>
        </w:rPr>
      </w:pPr>
    </w:p>
    <w:p>
      <w:pPr>
        <w:spacing w:line="360" w:lineRule="auto"/>
        <w:jc w:val="center"/>
        <w:outlineLvl w:val="0"/>
        <w:rPr>
          <w:rFonts w:hint="eastAsia" w:ascii="仿宋" w:hAnsi="仿宋" w:eastAsia="仿宋" w:cs="仿宋"/>
          <w:b/>
          <w:sz w:val="30"/>
          <w:szCs w:val="30"/>
          <w:highlight w:val="none"/>
        </w:rPr>
      </w:pPr>
    </w:p>
    <w:p>
      <w:pPr>
        <w:spacing w:line="360" w:lineRule="auto"/>
        <w:jc w:val="center"/>
        <w:outlineLvl w:val="0"/>
        <w:rPr>
          <w:rFonts w:hint="eastAsia" w:ascii="仿宋" w:hAnsi="仿宋" w:eastAsia="仿宋" w:cs="仿宋"/>
          <w:b/>
          <w:sz w:val="30"/>
          <w:szCs w:val="30"/>
          <w:highlight w:val="none"/>
        </w:rPr>
        <w:sectPr>
          <w:footerReference r:id="rId5" w:type="default"/>
          <w:pgSz w:w="11906" w:h="16838"/>
          <w:pgMar w:top="1474" w:right="1418" w:bottom="1474" w:left="1701" w:header="851" w:footer="992" w:gutter="0"/>
          <w:cols w:space="425" w:num="1"/>
          <w:docGrid w:linePitch="381" w:charSpace="0"/>
        </w:sectPr>
      </w:pPr>
      <w:bookmarkStart w:id="3" w:name="_Toc9701"/>
    </w:p>
    <w:p>
      <w:pPr>
        <w:spacing w:line="360" w:lineRule="auto"/>
        <w:jc w:val="center"/>
        <w:outlineLvl w:val="0"/>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rPr>
        <w:t xml:space="preserve"> </w:t>
      </w:r>
      <w:bookmarkEnd w:id="3"/>
      <w:r>
        <w:rPr>
          <w:rFonts w:hint="eastAsia" w:ascii="仿宋" w:hAnsi="仿宋" w:eastAsia="仿宋" w:cs="仿宋"/>
          <w:b/>
          <w:sz w:val="30"/>
          <w:szCs w:val="30"/>
          <w:highlight w:val="none"/>
          <w:lang w:eastAsia="zh-CN"/>
        </w:rPr>
        <w:t>竞争性磋商公告</w:t>
      </w:r>
    </w:p>
    <w:p>
      <w:pPr>
        <w:widowControl/>
        <w:wordWrap w:val="0"/>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kern w:val="0"/>
          <w:sz w:val="24"/>
          <w:highlight w:val="none"/>
        </w:rPr>
        <w:t>根据《中华人民共和国政府采购法》及其他相关政府采购政策规定，</w:t>
      </w:r>
      <w:r>
        <w:rPr>
          <w:rFonts w:hint="eastAsia" w:ascii="仿宋" w:hAnsi="仿宋" w:eastAsia="仿宋" w:cs="仿宋"/>
          <w:color w:val="000000"/>
          <w:kern w:val="0"/>
          <w:sz w:val="24"/>
          <w:highlight w:val="none"/>
          <w:lang w:bidi="ar"/>
        </w:rPr>
        <w:t>新疆世纪星工程咨询有限公司受</w:t>
      </w:r>
      <w:r>
        <w:rPr>
          <w:rFonts w:hint="eastAsia" w:ascii="仿宋" w:hAnsi="仿宋" w:eastAsia="仿宋" w:cs="仿宋"/>
          <w:kern w:val="0"/>
          <w:sz w:val="24"/>
          <w:highlight w:val="none"/>
        </w:rPr>
        <w:t>新疆医科大学第七附属医院</w:t>
      </w:r>
      <w:r>
        <w:rPr>
          <w:rFonts w:hint="eastAsia" w:ascii="仿宋" w:hAnsi="仿宋" w:eastAsia="仿宋" w:cs="仿宋"/>
          <w:color w:val="000000"/>
          <w:kern w:val="0"/>
          <w:sz w:val="24"/>
          <w:highlight w:val="none"/>
          <w:lang w:bidi="ar"/>
        </w:rPr>
        <w:t>的委托，对</w:t>
      </w:r>
      <w:r>
        <w:rPr>
          <w:rFonts w:hint="eastAsia" w:ascii="仿宋" w:hAnsi="仿宋" w:eastAsia="仿宋" w:cs="仿宋"/>
          <w:color w:val="000000"/>
          <w:kern w:val="0"/>
          <w:sz w:val="24"/>
          <w:highlight w:val="none"/>
          <w:lang w:eastAsia="zh-CN" w:bidi="ar"/>
        </w:rPr>
        <w:t>新疆医科大学第七附属医院医教综合楼医用气体集中供应安装工程</w:t>
      </w:r>
      <w:r>
        <w:rPr>
          <w:rFonts w:hint="eastAsia" w:ascii="仿宋" w:hAnsi="仿宋" w:eastAsia="仿宋" w:cs="仿宋"/>
          <w:color w:val="000000"/>
          <w:kern w:val="0"/>
          <w:sz w:val="24"/>
          <w:highlight w:val="none"/>
          <w:lang w:bidi="ar"/>
        </w:rPr>
        <w:t>进行招标，招标方式为</w:t>
      </w:r>
      <w:r>
        <w:rPr>
          <w:rFonts w:hint="eastAsia" w:ascii="仿宋" w:hAnsi="仿宋" w:eastAsia="仿宋" w:cs="仿宋"/>
          <w:color w:val="000000"/>
          <w:kern w:val="0"/>
          <w:sz w:val="24"/>
          <w:highlight w:val="none"/>
          <w:lang w:eastAsia="zh-CN" w:bidi="ar"/>
        </w:rPr>
        <w:t>竞争性磋商</w:t>
      </w:r>
      <w:r>
        <w:rPr>
          <w:rFonts w:hint="eastAsia" w:ascii="仿宋" w:hAnsi="仿宋" w:eastAsia="仿宋" w:cs="仿宋"/>
          <w:color w:val="000000"/>
          <w:kern w:val="0"/>
          <w:sz w:val="24"/>
          <w:highlight w:val="none"/>
          <w:lang w:bidi="ar"/>
        </w:rPr>
        <w:t>，现欢迎合格投标人前往新疆世纪星工程咨询有限公司，获取</w:t>
      </w:r>
      <w:r>
        <w:rPr>
          <w:rFonts w:hint="eastAsia" w:ascii="仿宋" w:hAnsi="仿宋" w:eastAsia="仿宋" w:cs="仿宋"/>
          <w:color w:val="000000"/>
          <w:kern w:val="0"/>
          <w:sz w:val="24"/>
          <w:highlight w:val="none"/>
          <w:lang w:eastAsia="zh-CN" w:bidi="ar"/>
        </w:rPr>
        <w:t>磋商文件</w:t>
      </w:r>
      <w:r>
        <w:rPr>
          <w:rFonts w:hint="eastAsia" w:ascii="仿宋" w:hAnsi="仿宋" w:eastAsia="仿宋" w:cs="仿宋"/>
          <w:color w:val="000000"/>
          <w:kern w:val="0"/>
          <w:sz w:val="24"/>
          <w:highlight w:val="none"/>
          <w:lang w:bidi="ar"/>
        </w:rPr>
        <w:t>。</w:t>
      </w:r>
    </w:p>
    <w:p>
      <w:pPr>
        <w:widowControl/>
        <w:tabs>
          <w:tab w:val="left" w:pos="360"/>
        </w:tabs>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一、项目名称：</w:t>
      </w:r>
      <w:r>
        <w:rPr>
          <w:rFonts w:hint="eastAsia" w:ascii="仿宋" w:hAnsi="仿宋" w:eastAsia="仿宋" w:cs="仿宋"/>
          <w:color w:val="000000"/>
          <w:kern w:val="0"/>
          <w:sz w:val="24"/>
          <w:highlight w:val="none"/>
          <w:lang w:eastAsia="zh-CN" w:bidi="ar"/>
        </w:rPr>
        <w:t>新疆医科大学第七附属医院医教综合楼医用气体集中供应安装工程</w:t>
      </w:r>
    </w:p>
    <w:p>
      <w:pPr>
        <w:widowControl/>
        <w:tabs>
          <w:tab w:val="left" w:pos="360"/>
        </w:tabs>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二、项目编号：</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"https://pay.zcygov.cn/purchaseplan_front/" \l "/purchasePlans/_blank" \t "https://www.zcygov.cn/bidding-entrust/" </w:instrText>
      </w:r>
      <w:r>
        <w:rPr>
          <w:rFonts w:hint="eastAsia" w:ascii="仿宋" w:hAnsi="仿宋" w:eastAsia="仿宋" w:cs="仿宋"/>
          <w:highlight w:val="none"/>
        </w:rPr>
        <w:fldChar w:fldCharType="separate"/>
      </w:r>
      <w:r>
        <w:rPr>
          <w:rFonts w:hint="eastAsia" w:ascii="仿宋" w:hAnsi="仿宋" w:eastAsia="仿宋" w:cs="仿宋"/>
          <w:color w:val="000000"/>
          <w:kern w:val="0"/>
          <w:sz w:val="24"/>
          <w:highlight w:val="none"/>
          <w:lang w:eastAsia="zh-CN" w:bidi="ar"/>
        </w:rPr>
        <w:t>[2021]11082号-001</w:t>
      </w:r>
      <w:r>
        <w:rPr>
          <w:rFonts w:hint="eastAsia" w:ascii="仿宋" w:hAnsi="仿宋" w:eastAsia="仿宋" w:cs="仿宋"/>
          <w:color w:val="000000"/>
          <w:kern w:val="0"/>
          <w:sz w:val="24"/>
          <w:highlight w:val="none"/>
          <w:lang w:bidi="ar"/>
        </w:rPr>
        <w:fldChar w:fldCharType="end"/>
      </w:r>
    </w:p>
    <w:p>
      <w:pPr>
        <w:widowControl/>
        <w:wordWrap w:val="0"/>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三、招标内容:</w:t>
      </w:r>
      <w:r>
        <w:rPr>
          <w:rFonts w:hint="eastAsia" w:ascii="仿宋" w:hAnsi="仿宋" w:eastAsia="仿宋" w:cs="仿宋"/>
          <w:sz w:val="24"/>
          <w:highlight w:val="none"/>
        </w:rPr>
        <w:t xml:space="preserve"> </w:t>
      </w:r>
      <w:r>
        <w:rPr>
          <w:rFonts w:hint="eastAsia" w:ascii="仿宋" w:hAnsi="仿宋" w:eastAsia="仿宋" w:cs="仿宋"/>
          <w:color w:val="000000"/>
          <w:kern w:val="0"/>
          <w:sz w:val="24"/>
          <w:highlight w:val="none"/>
          <w:lang w:eastAsia="zh-CN" w:bidi="ar"/>
        </w:rPr>
        <w:t>新疆医科大学第七附属医院医教综合楼医用气体集中供应安装工程</w:t>
      </w:r>
      <w:r>
        <w:rPr>
          <w:rFonts w:hint="eastAsia" w:ascii="仿宋" w:hAnsi="仿宋" w:eastAsia="仿宋" w:cs="仿宋"/>
          <w:color w:val="000000"/>
          <w:kern w:val="0"/>
          <w:sz w:val="24"/>
          <w:highlight w:val="none"/>
          <w:lang w:bidi="ar"/>
        </w:rPr>
        <w:t>，主要包括本工程全套施工图纸及工程量清单范围内的全部工作内容</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包含招标范围内所有相关系统施工、检测、调试、验收、培训、保修及相关服务内容,详见</w:t>
      </w:r>
      <w:r>
        <w:rPr>
          <w:rFonts w:hint="eastAsia" w:ascii="仿宋" w:hAnsi="仿宋" w:eastAsia="仿宋" w:cs="仿宋"/>
          <w:color w:val="000000"/>
          <w:kern w:val="0"/>
          <w:sz w:val="24"/>
          <w:highlight w:val="none"/>
          <w:lang w:eastAsia="zh-CN" w:bidi="ar"/>
        </w:rPr>
        <w:t>磋商文件</w:t>
      </w:r>
      <w:r>
        <w:rPr>
          <w:rFonts w:hint="eastAsia" w:ascii="仿宋" w:hAnsi="仿宋" w:eastAsia="仿宋" w:cs="仿宋"/>
          <w:color w:val="000000"/>
          <w:kern w:val="0"/>
          <w:sz w:val="24"/>
          <w:highlight w:val="none"/>
          <w:lang w:bidi="ar"/>
        </w:rPr>
        <w:t>。</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2、合同履行期限：自甲方通知进场之日起90天完成</w:t>
      </w:r>
    </w:p>
    <w:p>
      <w:pPr>
        <w:widowControl/>
        <w:wordWrap w:val="0"/>
        <w:spacing w:line="360" w:lineRule="auto"/>
        <w:jc w:val="left"/>
        <w:rPr>
          <w:rFonts w:hint="eastAsia" w:ascii="仿宋" w:hAnsi="仿宋" w:eastAsia="仿宋" w:cs="仿宋"/>
          <w:kern w:val="0"/>
          <w:sz w:val="24"/>
          <w:highlight w:val="none"/>
          <w:lang w:bidi="ar"/>
        </w:rPr>
      </w:pPr>
      <w:r>
        <w:rPr>
          <w:rFonts w:hint="eastAsia" w:ascii="仿宋" w:hAnsi="仿宋" w:eastAsia="仿宋" w:cs="仿宋"/>
          <w:kern w:val="0"/>
          <w:sz w:val="24"/>
          <w:highlight w:val="none"/>
        </w:rPr>
        <w:t>四、采购预算</w:t>
      </w:r>
      <w:r>
        <w:rPr>
          <w:rFonts w:hint="eastAsia" w:ascii="仿宋" w:hAnsi="仿宋" w:eastAsia="仿宋" w:cs="仿宋"/>
          <w:kern w:val="0"/>
          <w:sz w:val="24"/>
          <w:highlight w:val="none"/>
          <w:lang w:eastAsia="zh-CN"/>
        </w:rPr>
        <w:t>：7554662.91</w:t>
      </w:r>
      <w:r>
        <w:rPr>
          <w:rFonts w:hint="eastAsia" w:ascii="仿宋" w:hAnsi="仿宋" w:eastAsia="仿宋" w:cs="仿宋"/>
          <w:kern w:val="0"/>
          <w:sz w:val="24"/>
          <w:highlight w:val="none"/>
        </w:rPr>
        <w:t>元。</w:t>
      </w:r>
    </w:p>
    <w:p>
      <w:pPr>
        <w:widowControl/>
        <w:tabs>
          <w:tab w:val="left" w:pos="360"/>
        </w:tabs>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五、投标商资格要求：</w:t>
      </w:r>
    </w:p>
    <w:p>
      <w:pPr>
        <w:widowControl/>
        <w:tabs>
          <w:tab w:val="left" w:pos="360"/>
        </w:tabs>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1、符合《中华人民共和国政府采购法》第二十二条的相关规定：</w:t>
      </w:r>
    </w:p>
    <w:p>
      <w:pPr>
        <w:pStyle w:val="34"/>
        <w:spacing w:line="360" w:lineRule="auto"/>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、具有独立承担民事责任的能力且</w:t>
      </w:r>
      <w:r>
        <w:rPr>
          <w:rFonts w:hint="eastAsia" w:ascii="仿宋" w:hAnsi="仿宋" w:eastAsia="仿宋" w:cs="仿宋"/>
          <w:color w:val="000000"/>
          <w:kern w:val="0"/>
          <w:sz w:val="24"/>
          <w:lang w:bidi="ar"/>
        </w:rPr>
        <w:t>具有有效的营业执照</w:t>
      </w:r>
      <w:r>
        <w:rPr>
          <w:rFonts w:hint="eastAsia" w:ascii="仿宋" w:hAnsi="仿宋" w:eastAsia="仿宋" w:cs="仿宋"/>
          <w:sz w:val="24"/>
        </w:rPr>
        <w:t>；</w:t>
      </w:r>
    </w:p>
    <w:p>
      <w:pPr>
        <w:pStyle w:val="34"/>
        <w:spacing w:line="360" w:lineRule="auto"/>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、具有良好的商业信誉和健全的财务会计制度（需提供2020年度财务审计报告或其基本户开户银行开具的资信证明）；</w:t>
      </w:r>
    </w:p>
    <w:p>
      <w:pPr>
        <w:pStyle w:val="34"/>
        <w:spacing w:line="360" w:lineRule="auto"/>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、具有履行合同所必需的设备和专业技术能力（需提供书面声明）；</w:t>
      </w:r>
    </w:p>
    <w:p>
      <w:pPr>
        <w:pStyle w:val="34"/>
        <w:spacing w:line="360" w:lineRule="auto"/>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、有依法缴纳税收和社会保障资金的良好记录（需提供近6个月税收缴纳证明及社保缴纳明细）；</w:t>
      </w:r>
    </w:p>
    <w:p>
      <w:pPr>
        <w:pStyle w:val="34"/>
        <w:spacing w:line="360" w:lineRule="auto"/>
        <w:ind w:firstLine="480" w:firstLineChars="200"/>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、参加本次采购活动前三年内，在经营活动中没有重大违法记录（提供书面声明，格式自拟）；</w:t>
      </w:r>
    </w:p>
    <w:p>
      <w:pPr>
        <w:pStyle w:val="34"/>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、法律、行政法规规定的其他条件；</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2、本项目特定资格要求：</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（1）.投标人</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具备建筑机电安装工程专业承包叁级及以上资质及</w:t>
      </w:r>
      <w:r>
        <w:rPr>
          <w:rFonts w:hint="eastAsia" w:ascii="仿宋" w:hAnsi="仿宋" w:eastAsia="仿宋" w:cs="仿宋"/>
          <w:sz w:val="24"/>
          <w:highlight w:val="none"/>
          <w:lang w:eastAsia="zh-CN"/>
        </w:rPr>
        <w:t>电子与智能化工程专业承包贰级</w:t>
      </w:r>
      <w:r>
        <w:rPr>
          <w:rFonts w:hint="eastAsia" w:ascii="仿宋" w:hAnsi="仿宋" w:eastAsia="仿宋" w:cs="仿宋"/>
          <w:sz w:val="24"/>
          <w:highlight w:val="none"/>
        </w:rPr>
        <w:t>及以上资质；</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（2）.投标人</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具备中华人民共和国特种设备安装改造维修许可证GC2级及以上级别；</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（3）.投标人</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具备有效期内的安全生产许可证；</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（4）.投标人须具有医疗器械生产许可证</w:t>
      </w:r>
      <w:r>
        <w:rPr>
          <w:rFonts w:hint="eastAsia" w:ascii="仿宋" w:hAnsi="仿宋" w:eastAsia="仿宋" w:cs="仿宋"/>
          <w:sz w:val="24"/>
          <w:highlight w:val="none"/>
          <w:lang w:eastAsia="zh-CN"/>
        </w:rPr>
        <w:t>或</w:t>
      </w:r>
      <w:r>
        <w:rPr>
          <w:rFonts w:hint="eastAsia" w:ascii="仿宋" w:hAnsi="仿宋" w:eastAsia="仿宋" w:cs="仿宋"/>
          <w:sz w:val="24"/>
          <w:highlight w:val="none"/>
        </w:rPr>
        <w:t>医疗器械经营许可证（或第二类医疗器械经营备案凭证）；</w:t>
      </w:r>
    </w:p>
    <w:p>
      <w:pPr>
        <w:widowControl/>
        <w:wordWrap w:val="0"/>
        <w:spacing w:line="360" w:lineRule="auto"/>
        <w:ind w:firstLine="480" w:firstLineChars="200"/>
        <w:jc w:val="left"/>
        <w:rPr>
          <w:rFonts w:hint="eastAsia" w:ascii="仿宋" w:hAnsi="仿宋" w:eastAsia="仿宋" w:cs="仿宋"/>
          <w:sz w:val="24"/>
          <w:highlight w:val="none"/>
          <w:lang w:eastAsia="zh-CN"/>
        </w:rPr>
      </w:pPr>
      <w:r>
        <w:rPr>
          <w:rFonts w:hint="eastAsia" w:ascii="仿宋" w:hAnsi="仿宋" w:eastAsia="仿宋" w:cs="仿宋"/>
          <w:sz w:val="24"/>
          <w:highlight w:val="none"/>
        </w:rPr>
        <w:t>（5）.项目负责人要求：需具备二级及以上注册建造师（相关专业），不得担任其它在施建设工程项目的项目经理，项目负责人必须是</w:t>
      </w:r>
      <w:r>
        <w:rPr>
          <w:rFonts w:hint="eastAsia" w:ascii="仿宋" w:hAnsi="仿宋" w:eastAsia="仿宋" w:cs="仿宋"/>
          <w:sz w:val="24"/>
          <w:highlight w:val="none"/>
          <w:lang w:val="en-US" w:eastAsia="zh-CN"/>
        </w:rPr>
        <w:t>本单位</w:t>
      </w:r>
      <w:r>
        <w:rPr>
          <w:rFonts w:hint="eastAsia" w:ascii="仿宋" w:hAnsi="仿宋" w:eastAsia="仿宋" w:cs="仿宋"/>
          <w:sz w:val="24"/>
          <w:highlight w:val="none"/>
        </w:rPr>
        <w:t>正式员工</w:t>
      </w:r>
      <w:r>
        <w:rPr>
          <w:rFonts w:hint="eastAsia" w:ascii="仿宋" w:hAnsi="仿宋" w:eastAsia="仿宋" w:cs="仿宋"/>
          <w:sz w:val="24"/>
          <w:highlight w:val="none"/>
          <w:lang w:eastAsia="zh-CN"/>
        </w:rPr>
        <w:t>；</w:t>
      </w:r>
    </w:p>
    <w:p>
      <w:pPr>
        <w:widowControl/>
        <w:wordWrap w:val="0"/>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投标人所投产品具有行政主管部门颁发的中华人民共和国医疗器械注册证（医用中心供氧系统）、中华人民共和国医疗器械注册证（医用中心吸引系统）、中华人民共和国医疗器械注册证（医用压缩空气系统或医用空气压缩机或医用空气集中供应系统）、中华人民共和国医疗器械注册证（医用气体汇集排或医用气体汇流排）。</w:t>
      </w:r>
    </w:p>
    <w:p>
      <w:pPr>
        <w:widowControl/>
        <w:wordWrap w:val="0"/>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（7）自治区区外投标企业应当具备：区外进疆建筑企业信息报送册并在有效期内，进疆报送册中备案资质须能满足投标企业最低资质要求，同时本工程项目负责人必须在进疆报送册中备案；</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其他要求：（1）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ascii="仿宋" w:hAnsi="仿宋" w:eastAsia="仿宋" w:cs="仿宋"/>
          <w:sz w:val="24"/>
          <w:highlight w:val="none"/>
        </w:rPr>
        <w:br w:type="textWrapping"/>
      </w:r>
      <w:r>
        <w:rPr>
          <w:rFonts w:hint="eastAsia" w:ascii="仿宋" w:hAnsi="仿宋" w:eastAsia="仿宋" w:cs="仿宋"/>
          <w:sz w:val="24"/>
          <w:highlight w:val="none"/>
        </w:rPr>
        <w:t>    （2）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w:t>
      </w:r>
    </w:p>
    <w:p>
      <w:pPr>
        <w:widowControl/>
        <w:wordWrap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4、本项目不接受联合体投标 。</w:t>
      </w:r>
    </w:p>
    <w:p>
      <w:pPr>
        <w:widowControl/>
        <w:wordWrap w:val="0"/>
        <w:spacing w:line="360" w:lineRule="auto"/>
        <w:jc w:val="left"/>
        <w:rPr>
          <w:rFonts w:hint="eastAsia" w:ascii="仿宋" w:hAnsi="仿宋" w:eastAsia="仿宋" w:cs="仿宋"/>
          <w:color w:val="000000"/>
          <w:sz w:val="24"/>
          <w:highlight w:val="none"/>
        </w:rPr>
      </w:pPr>
      <w:r>
        <w:rPr>
          <w:rFonts w:hint="eastAsia" w:ascii="仿宋" w:hAnsi="仿宋" w:eastAsia="仿宋" w:cs="仿宋"/>
          <w:sz w:val="24"/>
          <w:highlight w:val="none"/>
        </w:rPr>
        <w:t>六、文件领取时间：</w:t>
      </w:r>
      <w:r>
        <w:rPr>
          <w:rFonts w:hint="eastAsia" w:ascii="仿宋" w:hAnsi="仿宋" w:eastAsia="仿宋" w:cs="仿宋"/>
          <w:kern w:val="0"/>
          <w:sz w:val="24"/>
          <w:highlight w:val="none"/>
        </w:rPr>
        <w:t>各投标商请于</w:t>
      </w:r>
      <w:r>
        <w:rPr>
          <w:rFonts w:hint="eastAsia" w:ascii="仿宋" w:hAnsi="仿宋" w:eastAsia="仿宋" w:cs="仿宋"/>
          <w:sz w:val="24"/>
          <w:highlight w:val="none"/>
        </w:rPr>
        <w:t>各投标商请于</w:t>
      </w:r>
      <w:r>
        <w:rPr>
          <w:rFonts w:hint="eastAsia" w:ascii="仿宋" w:hAnsi="仿宋" w:eastAsia="仿宋" w:cs="仿宋"/>
          <w:sz w:val="24"/>
          <w:highlight w:val="none"/>
          <w:lang w:eastAsia="zh-CN"/>
        </w:rPr>
        <w:t>2021年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26</w:t>
      </w:r>
      <w:r>
        <w:rPr>
          <w:rFonts w:hint="eastAsia" w:ascii="仿宋" w:hAnsi="仿宋" w:eastAsia="仿宋" w:cs="仿宋"/>
          <w:sz w:val="24"/>
          <w:highlight w:val="none"/>
          <w:lang w:eastAsia="zh-CN"/>
        </w:rPr>
        <w:t>日</w:t>
      </w:r>
      <w:r>
        <w:rPr>
          <w:rFonts w:hint="eastAsia" w:ascii="仿宋" w:hAnsi="仿宋" w:eastAsia="仿宋" w:cs="仿宋"/>
          <w:sz w:val="24"/>
          <w:highlight w:val="none"/>
        </w:rPr>
        <w:t>至2021年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 xml:space="preserve"> 01</w:t>
      </w:r>
      <w:r>
        <w:rPr>
          <w:rFonts w:hint="eastAsia" w:ascii="仿宋" w:hAnsi="仿宋" w:eastAsia="仿宋" w:cs="仿宋"/>
          <w:sz w:val="24"/>
          <w:highlight w:val="none"/>
        </w:rPr>
        <w:t>日（北京时间上午10：30-13:00，下午15:30-18:00，节假日除外），携带企业法人授权委托书原件及被授权人身份证原件或法人身份证明书及身份证原件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营业执照复印件加盖公章、</w:t>
      </w:r>
      <w:r>
        <w:rPr>
          <w:rFonts w:hint="eastAsia" w:ascii="仿宋" w:hAnsi="仿宋" w:eastAsia="仿宋" w:cs="仿宋"/>
          <w:sz w:val="24"/>
        </w:rPr>
        <w:t>2020年度财务审计报告或其基本户开户银行开具的资信证明</w:t>
      </w:r>
      <w:r>
        <w:rPr>
          <w:rFonts w:hint="eastAsia" w:ascii="仿宋" w:hAnsi="仿宋" w:eastAsia="仿宋" w:cs="仿宋"/>
          <w:sz w:val="24"/>
          <w:lang w:eastAsia="zh-CN"/>
        </w:rPr>
        <w:t>、</w:t>
      </w:r>
      <w:r>
        <w:rPr>
          <w:rFonts w:hint="eastAsia" w:ascii="仿宋" w:hAnsi="仿宋" w:eastAsia="仿宋" w:cs="仿宋"/>
          <w:sz w:val="24"/>
        </w:rPr>
        <w:t>具有履行合同所必需的设备和专业技术能力（需提供书面声明）</w:t>
      </w:r>
      <w:r>
        <w:rPr>
          <w:rFonts w:hint="eastAsia" w:ascii="仿宋" w:hAnsi="仿宋" w:eastAsia="仿宋" w:cs="仿宋"/>
          <w:sz w:val="24"/>
          <w:lang w:eastAsia="zh-CN"/>
        </w:rPr>
        <w:t>、</w:t>
      </w:r>
      <w:r>
        <w:rPr>
          <w:rFonts w:hint="eastAsia" w:ascii="仿宋" w:hAnsi="仿宋" w:eastAsia="仿宋" w:cs="仿宋"/>
          <w:sz w:val="24"/>
        </w:rPr>
        <w:t>有依法缴纳税收和社会保障资金的良好记录（需提供近6个月税收缴纳证明及社保缴纳明细）</w:t>
      </w:r>
      <w:r>
        <w:rPr>
          <w:rFonts w:hint="eastAsia" w:ascii="仿宋" w:hAnsi="仿宋" w:eastAsia="仿宋" w:cs="仿宋"/>
          <w:sz w:val="24"/>
          <w:lang w:eastAsia="zh-CN"/>
        </w:rPr>
        <w:t>、</w:t>
      </w:r>
      <w:r>
        <w:rPr>
          <w:rFonts w:hint="eastAsia" w:ascii="仿宋" w:hAnsi="仿宋" w:eastAsia="仿宋" w:cs="仿宋"/>
          <w:sz w:val="24"/>
        </w:rPr>
        <w:t>参加本次采购活动前三年内，在经营活动中没有重大违法记录（提供书面声明，格式自拟）</w:t>
      </w:r>
      <w:r>
        <w:rPr>
          <w:rFonts w:hint="eastAsia" w:ascii="仿宋" w:hAnsi="仿宋" w:eastAsia="仿宋" w:cs="仿宋"/>
          <w:sz w:val="24"/>
          <w:highlight w:val="none"/>
        </w:rPr>
        <w:t>及投标商特定资格要求</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证明材料，以上资料需提供加盖公章的复印件一份，原件备查。</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七、</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lang w:val="en-US" w:eastAsia="zh-CN"/>
        </w:rPr>
        <w:t>领取</w:t>
      </w:r>
      <w:r>
        <w:rPr>
          <w:rFonts w:hint="eastAsia" w:ascii="仿宋" w:hAnsi="仿宋" w:eastAsia="仿宋" w:cs="仿宋"/>
          <w:kern w:val="0"/>
          <w:sz w:val="24"/>
          <w:highlight w:val="none"/>
        </w:rPr>
        <w:t>地点：乌鲁木齐市黄山街81号一品九点阳光七号公寓楼九楼。</w:t>
      </w:r>
    </w:p>
    <w:p>
      <w:pPr>
        <w:widowControl/>
        <w:wordWrap w:val="0"/>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售价：200元/份（</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售后不退）。</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八、采购项目需要落实的落实政策</w:t>
      </w:r>
    </w:p>
    <w:p>
      <w:pPr>
        <w:widowControl/>
        <w:wordWrap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w:t>
      </w:r>
      <w:r>
        <w:rPr>
          <w:rFonts w:hint="eastAsia" w:ascii="仿宋" w:hAnsi="仿宋" w:eastAsia="仿宋" w:cs="仿宋"/>
          <w:color w:val="000000"/>
          <w:kern w:val="0"/>
          <w:sz w:val="24"/>
          <w:highlight w:val="none"/>
        </w:rPr>
        <w:t>《政府采购促进中小企业发展管理办法》（财库〔2020〕46号）</w:t>
      </w:r>
      <w:r>
        <w:rPr>
          <w:rFonts w:hint="eastAsia" w:ascii="仿宋" w:hAnsi="仿宋" w:eastAsia="仿宋" w:cs="仿宋"/>
          <w:kern w:val="0"/>
          <w:sz w:val="24"/>
          <w:highlight w:val="none"/>
        </w:rPr>
        <w:t>；</w:t>
      </w:r>
    </w:p>
    <w:p>
      <w:pPr>
        <w:widowControl/>
        <w:wordWrap w:val="0"/>
        <w:spacing w:line="360" w:lineRule="auto"/>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2、《财政部、司法部关于政府采购支持监狱企业发展有关问题的通知》（财库〔2014〕68号）；</w:t>
      </w:r>
    </w:p>
    <w:p>
      <w:pPr>
        <w:widowControl/>
        <w:wordWrap w:val="0"/>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rPr>
        <w:t>3、《财政部 民政部 中国残疾人联合会关于促进残疾人就业政府采购政策的通知》财库〔2017〕141号等，详见</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九、</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递交截止时间及开标时间：</w:t>
      </w:r>
      <w:r>
        <w:rPr>
          <w:rFonts w:hint="eastAsia" w:ascii="仿宋" w:hAnsi="仿宋" w:eastAsia="仿宋" w:cs="仿宋"/>
          <w:kern w:val="0"/>
          <w:sz w:val="24"/>
          <w:highlight w:val="none"/>
          <w:lang w:eastAsia="zh-CN"/>
        </w:rPr>
        <w:t>2021年11月10日</w:t>
      </w:r>
      <w:r>
        <w:rPr>
          <w:rFonts w:hint="eastAsia" w:ascii="仿宋" w:hAnsi="仿宋" w:eastAsia="仿宋" w:cs="仿宋"/>
          <w:kern w:val="0"/>
          <w:sz w:val="24"/>
          <w:highlight w:val="none"/>
        </w:rPr>
        <w:t>11：00（北京时间）</w:t>
      </w:r>
    </w:p>
    <w:p>
      <w:pPr>
        <w:widowControl/>
        <w:wordWrap w:val="0"/>
        <w:spacing w:line="360" w:lineRule="auto"/>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 xml:space="preserve">十、开标地点: </w:t>
      </w:r>
      <w:r>
        <w:rPr>
          <w:rFonts w:hint="eastAsia" w:ascii="仿宋" w:hAnsi="仿宋" w:eastAsia="仿宋" w:cs="仿宋"/>
          <w:kern w:val="0"/>
          <w:sz w:val="24"/>
          <w:highlight w:val="none"/>
          <w:lang w:eastAsia="zh-CN"/>
        </w:rPr>
        <w:t>乌鲁木齐市开发区二期黄山街81号一品九点阳光七号公寓楼九楼会议室</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十一、联系方式</w:t>
      </w:r>
    </w:p>
    <w:p>
      <w:pPr>
        <w:widowControl/>
        <w:wordWrap w:val="0"/>
        <w:spacing w:line="360" w:lineRule="auto"/>
        <w:ind w:left="960" w:hanging="960" w:hangingChars="4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招标人：乌鲁木齐市新疆医科大学第七附属医院</w:t>
      </w:r>
    </w:p>
    <w:p>
      <w:pPr>
        <w:widowControl/>
        <w:wordWrap w:val="0"/>
        <w:spacing w:line="360" w:lineRule="auto"/>
        <w:jc w:val="left"/>
        <w:rPr>
          <w:rFonts w:hint="eastAsia" w:ascii="仿宋" w:hAnsi="仿宋" w:eastAsia="仿宋" w:cs="仿宋"/>
          <w:color w:val="FF0000"/>
          <w:sz w:val="24"/>
          <w:highlight w:val="none"/>
        </w:rPr>
      </w:pPr>
      <w:r>
        <w:rPr>
          <w:rFonts w:hint="eastAsia" w:ascii="仿宋" w:hAnsi="仿宋" w:eastAsia="仿宋" w:cs="仿宋"/>
          <w:sz w:val="24"/>
          <w:highlight w:val="none"/>
        </w:rPr>
        <w:t>联系人：刘老师          联系电话：</w:t>
      </w:r>
      <w:r>
        <w:rPr>
          <w:rFonts w:hint="eastAsia" w:ascii="仿宋" w:hAnsi="仿宋" w:eastAsia="仿宋" w:cs="仿宋"/>
          <w:sz w:val="24"/>
          <w:highlight w:val="none"/>
          <w:lang w:eastAsia="zh-CN"/>
        </w:rPr>
        <w:t>0991-4678349</w:t>
      </w:r>
    </w:p>
    <w:p>
      <w:pPr>
        <w:widowControl/>
        <w:wordWrap w:val="0"/>
        <w:spacing w:line="360" w:lineRule="auto"/>
        <w:jc w:val="left"/>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bidi="ar"/>
        </w:rPr>
        <w:t>地址：</w:t>
      </w:r>
      <w:r>
        <w:rPr>
          <w:rFonts w:hint="eastAsia" w:ascii="仿宋" w:hAnsi="仿宋" w:eastAsia="仿宋" w:cs="仿宋"/>
          <w:color w:val="000000"/>
          <w:kern w:val="0"/>
          <w:sz w:val="24"/>
          <w:highlight w:val="none"/>
          <w:lang w:eastAsia="zh-CN" w:bidi="ar"/>
        </w:rPr>
        <w:t>乌鲁木齐市水磨沟区</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招标代理机构：新疆世纪星工程咨询有限公司</w:t>
      </w:r>
    </w:p>
    <w:p>
      <w:pPr>
        <w:spacing w:line="360" w:lineRule="auto"/>
        <w:rPr>
          <w:rFonts w:hint="eastAsia" w:ascii="仿宋" w:hAnsi="仿宋" w:eastAsia="仿宋" w:cs="仿宋"/>
          <w:kern w:val="0"/>
          <w:sz w:val="24"/>
          <w:highlight w:val="none"/>
        </w:rPr>
      </w:pPr>
      <w:r>
        <w:rPr>
          <w:rFonts w:hint="eastAsia" w:ascii="仿宋" w:hAnsi="仿宋" w:eastAsia="仿宋" w:cs="仿宋"/>
          <w:sz w:val="24"/>
          <w:highlight w:val="none"/>
        </w:rPr>
        <w:t>联系人：訾王贝</w:t>
      </w:r>
      <w:r>
        <w:rPr>
          <w:rFonts w:hint="eastAsia" w:ascii="仿宋" w:hAnsi="仿宋" w:eastAsia="仿宋" w:cs="仿宋"/>
          <w:kern w:val="0"/>
          <w:sz w:val="24"/>
          <w:highlight w:val="none"/>
        </w:rPr>
        <w:t xml:space="preserve">             </w:t>
      </w:r>
      <w:r>
        <w:rPr>
          <w:rFonts w:hint="eastAsia" w:ascii="仿宋" w:hAnsi="仿宋" w:eastAsia="仿宋" w:cs="仿宋"/>
          <w:sz w:val="24"/>
          <w:highlight w:val="none"/>
        </w:rPr>
        <w:t>联系电话</w:t>
      </w:r>
      <w:r>
        <w:rPr>
          <w:rFonts w:hint="eastAsia" w:ascii="仿宋" w:hAnsi="仿宋" w:eastAsia="仿宋" w:cs="仿宋"/>
          <w:kern w:val="0"/>
          <w:sz w:val="24"/>
          <w:highlight w:val="none"/>
        </w:rPr>
        <w:t xml:space="preserve">：0991-3678303  </w:t>
      </w:r>
    </w:p>
    <w:p>
      <w:pPr>
        <w:widowControl/>
        <w:wordWrap w:val="0"/>
        <w:spacing w:line="360"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地址：乌鲁木齐市黄山街81号一品九点阳光七号公寓楼九楼</w:t>
      </w:r>
    </w:p>
    <w:p/>
    <w:p>
      <w:pPr>
        <w:spacing w:line="360" w:lineRule="auto"/>
        <w:jc w:val="center"/>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pPr>
        <w:rPr>
          <w:rFonts w:hint="eastAsia" w:ascii="仿宋" w:hAnsi="仿宋" w:eastAsia="仿宋" w:cs="仿宋"/>
          <w:b/>
          <w:sz w:val="30"/>
          <w:szCs w:val="30"/>
          <w:highlight w:val="none"/>
        </w:rPr>
      </w:pPr>
      <w:bookmarkStart w:id="4" w:name="_Toc32339"/>
      <w:bookmarkStart w:id="5" w:name="_Toc20681"/>
      <w:bookmarkStart w:id="6" w:name="_Toc1865"/>
      <w:bookmarkStart w:id="7" w:name="_Toc6663"/>
      <w:bookmarkStart w:id="8" w:name="_Toc19696"/>
      <w:bookmarkStart w:id="9" w:name="_Toc507418554"/>
      <w:r>
        <w:rPr>
          <w:rFonts w:hint="eastAsia" w:ascii="仿宋" w:hAnsi="仿宋" w:eastAsia="仿宋" w:cs="仿宋"/>
          <w:b/>
          <w:sz w:val="30"/>
          <w:szCs w:val="30"/>
          <w:highlight w:val="none"/>
        </w:rPr>
        <w:br w:type="page"/>
      </w:r>
    </w:p>
    <w:p>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第二章</w:t>
      </w:r>
      <w:bookmarkStart w:id="10" w:name="_Toc5624"/>
      <w:bookmarkStart w:id="11" w:name="_Toc1885"/>
      <w:r>
        <w:rPr>
          <w:rFonts w:hint="eastAsia" w:ascii="仿宋" w:hAnsi="仿宋" w:eastAsia="仿宋" w:cs="仿宋"/>
          <w:b/>
          <w:sz w:val="30"/>
          <w:szCs w:val="30"/>
          <w:highlight w:val="none"/>
        </w:rPr>
        <w:t xml:space="preserve">  投标人须知</w:t>
      </w:r>
      <w:bookmarkEnd w:id="4"/>
      <w:bookmarkEnd w:id="5"/>
      <w:bookmarkEnd w:id="10"/>
      <w:bookmarkEnd w:id="11"/>
    </w:p>
    <w:tbl>
      <w:tblPr>
        <w:tblStyle w:val="24"/>
        <w:tblW w:w="956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30"/>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项号</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类别</w:t>
            </w:r>
          </w:p>
        </w:tc>
        <w:tc>
          <w:tcPr>
            <w:tcW w:w="670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6700" w:type="dxa"/>
            <w:vAlign w:val="center"/>
          </w:tcPr>
          <w:p>
            <w:pPr>
              <w:spacing w:line="276" w:lineRule="auto"/>
              <w:jc w:val="left"/>
              <w:rPr>
                <w:rFonts w:hint="eastAsia" w:ascii="仿宋" w:hAnsi="仿宋" w:eastAsia="仿宋" w:cs="仿宋"/>
                <w:sz w:val="24"/>
                <w:highlight w:val="none"/>
                <w:lang w:eastAsia="zh-CN"/>
              </w:rPr>
            </w:pPr>
            <w:r>
              <w:rPr>
                <w:rFonts w:hint="eastAsia" w:ascii="仿宋" w:hAnsi="仿宋" w:eastAsia="仿宋" w:cs="仿宋"/>
                <w:color w:val="000000"/>
                <w:kern w:val="0"/>
                <w:sz w:val="24"/>
                <w:highlight w:val="none"/>
                <w:lang w:eastAsia="zh-CN" w:bidi="ar"/>
              </w:rPr>
              <w:t>新疆医科大学第七附属医院医教综合楼医用气体集中供应安装工程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招标人</w:t>
            </w:r>
          </w:p>
        </w:tc>
        <w:tc>
          <w:tcPr>
            <w:tcW w:w="6700" w:type="dxa"/>
            <w:vAlign w:val="center"/>
          </w:tcPr>
          <w:p>
            <w:pPr>
              <w:spacing w:line="276"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新疆医科大学第七附属医院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委托人</w:t>
            </w:r>
          </w:p>
        </w:tc>
        <w:tc>
          <w:tcPr>
            <w:tcW w:w="6700" w:type="dxa"/>
            <w:vAlign w:val="center"/>
          </w:tcPr>
          <w:p>
            <w:pPr>
              <w:spacing w:line="276"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新疆医科大学第七附属医院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招标代理机构</w:t>
            </w:r>
          </w:p>
        </w:tc>
        <w:tc>
          <w:tcPr>
            <w:tcW w:w="6700" w:type="dxa"/>
            <w:vAlign w:val="center"/>
          </w:tcPr>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新疆世纪星工程咨询有限公司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监督部门</w:t>
            </w:r>
          </w:p>
        </w:tc>
        <w:tc>
          <w:tcPr>
            <w:tcW w:w="6700" w:type="dxa"/>
            <w:vAlign w:val="center"/>
          </w:tcPr>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新疆维吾尔自治区政府采购办公室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招标方式</w:t>
            </w:r>
          </w:p>
        </w:tc>
        <w:tc>
          <w:tcPr>
            <w:tcW w:w="6700" w:type="dxa"/>
            <w:vAlign w:val="center"/>
          </w:tcPr>
          <w:p>
            <w:pPr>
              <w:spacing w:line="276" w:lineRule="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内容</w:t>
            </w:r>
          </w:p>
        </w:tc>
        <w:tc>
          <w:tcPr>
            <w:tcW w:w="6700" w:type="dxa"/>
            <w:vAlign w:val="center"/>
          </w:tcPr>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医教综合楼A</w:t>
            </w:r>
            <w:r>
              <w:rPr>
                <w:rFonts w:hint="eastAsia" w:ascii="仿宋" w:hAnsi="仿宋" w:eastAsia="仿宋" w:cs="仿宋"/>
                <w:sz w:val="24"/>
                <w:highlight w:val="none"/>
                <w:lang w:eastAsia="zh-CN"/>
              </w:rPr>
              <w:t>区</w:t>
            </w:r>
            <w:r>
              <w:rPr>
                <w:rFonts w:hint="eastAsia" w:ascii="仿宋" w:hAnsi="仿宋" w:eastAsia="仿宋" w:cs="仿宋"/>
                <w:sz w:val="24"/>
                <w:highlight w:val="none"/>
                <w:lang w:val="en-US" w:eastAsia="zh-CN"/>
              </w:rPr>
              <w:t>18层</w:t>
            </w:r>
            <w:r>
              <w:rPr>
                <w:rFonts w:hint="eastAsia" w:ascii="仿宋" w:hAnsi="仿宋" w:eastAsia="仿宋" w:cs="仿宋"/>
                <w:sz w:val="24"/>
                <w:highlight w:val="none"/>
              </w:rPr>
              <w:t>、B区</w:t>
            </w:r>
            <w:r>
              <w:rPr>
                <w:rFonts w:hint="eastAsia" w:ascii="仿宋" w:hAnsi="仿宋" w:eastAsia="仿宋" w:cs="仿宋"/>
                <w:sz w:val="24"/>
                <w:highlight w:val="none"/>
                <w:lang w:val="en-US" w:eastAsia="zh-CN"/>
              </w:rPr>
              <w:t>22</w:t>
            </w:r>
            <w:r>
              <w:rPr>
                <w:rFonts w:hint="eastAsia" w:ascii="仿宋" w:hAnsi="仿宋" w:eastAsia="仿宋" w:cs="仿宋"/>
                <w:sz w:val="24"/>
                <w:highlight w:val="none"/>
              </w:rPr>
              <w:t>层</w:t>
            </w:r>
            <w:r>
              <w:rPr>
                <w:rFonts w:hint="eastAsia" w:ascii="仿宋" w:hAnsi="仿宋" w:eastAsia="仿宋" w:cs="仿宋"/>
                <w:sz w:val="24"/>
                <w:highlight w:val="none"/>
                <w:lang w:eastAsia="zh-CN"/>
              </w:rPr>
              <w:t>（以施工图及清单数量表为准）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130" w:type="dxa"/>
            <w:vAlign w:val="center"/>
          </w:tcPr>
          <w:p>
            <w:pPr>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合同履行期限</w:t>
            </w:r>
          </w:p>
        </w:tc>
        <w:tc>
          <w:tcPr>
            <w:tcW w:w="6700" w:type="dxa"/>
            <w:vAlign w:val="center"/>
          </w:tcPr>
          <w:p>
            <w:pPr>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自甲方通知进场之日起90天完成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质量要求</w:t>
            </w:r>
          </w:p>
        </w:tc>
        <w:tc>
          <w:tcPr>
            <w:tcW w:w="6700" w:type="dxa"/>
            <w:vAlign w:val="center"/>
          </w:tcPr>
          <w:p>
            <w:pPr>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质量必须符合国家相关行业检验评定标准；以及现行的相关标准及企业相关标准，达到合格标准；质量标准按国家相关规定及合同约定进行验收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130"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质保期及售后服务要求</w:t>
            </w:r>
          </w:p>
        </w:tc>
        <w:tc>
          <w:tcPr>
            <w:tcW w:w="6700" w:type="dxa"/>
            <w:vAlign w:val="center"/>
          </w:tcPr>
          <w:p>
            <w:pPr>
              <w:rPr>
                <w:rFonts w:hint="eastAsia" w:ascii="仿宋" w:hAnsi="仿宋" w:eastAsia="仿宋" w:cs="仿宋"/>
                <w:sz w:val="24"/>
                <w:highlight w:val="none"/>
              </w:rPr>
            </w:pPr>
            <w:r>
              <w:rPr>
                <w:rFonts w:hint="eastAsia" w:ascii="仿宋" w:hAnsi="仿宋" w:eastAsia="仿宋" w:cs="仿宋"/>
                <w:sz w:val="24"/>
                <w:highlight w:val="none"/>
              </w:rPr>
              <w:t>1、质量保证期（简称“质保期”）为</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年，质保期内中标人对所供货物</w:t>
            </w:r>
            <w:r>
              <w:rPr>
                <w:rFonts w:hint="eastAsia" w:ascii="仿宋" w:hAnsi="仿宋" w:eastAsia="仿宋" w:cs="仿宋"/>
                <w:sz w:val="24"/>
                <w:highlight w:val="none"/>
                <w:lang w:eastAsia="zh-CN"/>
              </w:rPr>
              <w:t>（清单配套产品）</w:t>
            </w:r>
            <w:r>
              <w:rPr>
                <w:rFonts w:hint="eastAsia" w:ascii="仿宋" w:hAnsi="仿宋" w:eastAsia="仿宋" w:cs="仿宋"/>
                <w:sz w:val="24"/>
                <w:highlight w:val="none"/>
              </w:rPr>
              <w:t>实行包修、包维护保养</w:t>
            </w:r>
            <w:r>
              <w:rPr>
                <w:rFonts w:hint="eastAsia" w:ascii="仿宋" w:hAnsi="仿宋" w:eastAsia="仿宋" w:cs="仿宋"/>
                <w:sz w:val="24"/>
                <w:highlight w:val="none"/>
                <w:lang w:eastAsia="zh-CN"/>
              </w:rPr>
              <w:t>（机组专用润滑油除外）</w:t>
            </w:r>
            <w:r>
              <w:rPr>
                <w:rFonts w:hint="eastAsia" w:ascii="仿宋" w:hAnsi="仿宋" w:eastAsia="仿宋" w:cs="仿宋"/>
                <w:sz w:val="24"/>
                <w:highlight w:val="none"/>
              </w:rPr>
              <w:t>，期满后可同时提供终身(有偿)维修保养服务。</w:t>
            </w:r>
          </w:p>
          <w:p>
            <w:pPr>
              <w:rPr>
                <w:rFonts w:hint="eastAsia" w:ascii="仿宋" w:hAnsi="仿宋" w:eastAsia="仿宋" w:cs="仿宋"/>
                <w:sz w:val="24"/>
                <w:highlight w:val="none"/>
              </w:rPr>
            </w:pPr>
            <w:r>
              <w:rPr>
                <w:rFonts w:hint="eastAsia" w:ascii="仿宋" w:hAnsi="仿宋" w:eastAsia="仿宋" w:cs="仿宋"/>
                <w:sz w:val="24"/>
                <w:highlight w:val="none"/>
              </w:rPr>
              <w:t>2、质保期内，如设备或零部件因非人为因素出现故障而造成短期停用时，则质保期和免费维修期相应顺延。如</w:t>
            </w:r>
            <w:r>
              <w:rPr>
                <w:rFonts w:hint="eastAsia" w:ascii="仿宋" w:hAnsi="仿宋" w:eastAsia="仿宋" w:cs="仿宋"/>
                <w:sz w:val="24"/>
                <w:highlight w:val="none"/>
                <w:lang w:eastAsia="zh-CN"/>
              </w:rPr>
              <w:t>故障导致</w:t>
            </w:r>
            <w:r>
              <w:rPr>
                <w:rFonts w:hint="eastAsia" w:ascii="仿宋" w:hAnsi="仿宋" w:eastAsia="仿宋" w:cs="仿宋"/>
                <w:sz w:val="24"/>
                <w:highlight w:val="none"/>
              </w:rPr>
              <w:t>停用时间累计超过60天则质保期重新计算。</w:t>
            </w:r>
          </w:p>
          <w:p>
            <w:pPr>
              <w:rPr>
                <w:rFonts w:hint="eastAsia" w:ascii="仿宋" w:hAnsi="仿宋" w:eastAsia="仿宋" w:cs="仿宋"/>
                <w:sz w:val="24"/>
                <w:highlight w:val="none"/>
              </w:rPr>
            </w:pPr>
            <w:r>
              <w:rPr>
                <w:rFonts w:hint="eastAsia" w:ascii="仿宋" w:hAnsi="仿宋" w:eastAsia="仿宋" w:cs="仿宋"/>
                <w:sz w:val="24"/>
                <w:highlight w:val="none"/>
              </w:rPr>
              <w:t>3、对采购人的服务通知，中标人在接报后</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小时内到达现场，48小时内处理完毕。</w:t>
            </w:r>
          </w:p>
          <w:p>
            <w:pPr>
              <w:rPr>
                <w:rFonts w:hint="eastAsia" w:ascii="仿宋" w:hAnsi="仿宋" w:eastAsia="仿宋" w:cs="仿宋"/>
                <w:sz w:val="24"/>
                <w:highlight w:val="none"/>
              </w:rPr>
            </w:pPr>
            <w:r>
              <w:rPr>
                <w:rFonts w:hint="eastAsia" w:ascii="仿宋" w:hAnsi="仿宋" w:eastAsia="仿宋" w:cs="仿宋"/>
                <w:sz w:val="24"/>
                <w:highlight w:val="none"/>
              </w:rPr>
              <w:t>4、提供最近的质保服务地址、电话及工作人员名单，并说明质保服务的范围和承诺。其中包括产品服务保修年限、保修期内发生故障到达现场时间等。</w:t>
            </w:r>
          </w:p>
          <w:p>
            <w:pPr>
              <w:rPr>
                <w:rFonts w:hint="eastAsia" w:ascii="仿宋" w:hAnsi="仿宋" w:eastAsia="仿宋" w:cs="仿宋"/>
                <w:sz w:val="24"/>
                <w:highlight w:val="none"/>
              </w:rPr>
            </w:pPr>
            <w:r>
              <w:rPr>
                <w:rFonts w:hint="eastAsia" w:ascii="仿宋" w:hAnsi="仿宋" w:eastAsia="仿宋" w:cs="仿宋"/>
                <w:sz w:val="24"/>
                <w:highlight w:val="none"/>
              </w:rPr>
              <w:t>5、在工程交付使用后，投标人应对质保期内及其以后的终身服务做出承诺，并具有切实可行的措施，不能及时兑现服务承诺内容而影响招标人使用，投标人应怎样给予补偿，在投标书中均应明确说明。</w:t>
            </w:r>
          </w:p>
          <w:p>
            <w:pPr>
              <w:rPr>
                <w:rFonts w:hint="eastAsia" w:ascii="仿宋" w:hAnsi="仿宋" w:eastAsia="仿宋" w:cs="仿宋"/>
                <w:sz w:val="24"/>
                <w:highlight w:val="none"/>
              </w:rPr>
            </w:pPr>
            <w:r>
              <w:rPr>
                <w:rFonts w:hint="eastAsia" w:ascii="仿宋" w:hAnsi="仿宋" w:eastAsia="仿宋" w:cs="仿宋"/>
                <w:sz w:val="24"/>
                <w:highlight w:val="none"/>
              </w:rPr>
              <w:t>6、在质保期满以后，投标人应保证以不高于市场价格，终生提供备件和保养服务，质保期内及质保期后当发生故障时，应在2小时内到达现场服务。中标方向用户免费提供技术咨询服务。投标人在疆应有常设或指派的法定售后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130"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资金来源</w:t>
            </w:r>
          </w:p>
        </w:tc>
        <w:tc>
          <w:tcPr>
            <w:tcW w:w="6700" w:type="dxa"/>
            <w:vAlign w:val="center"/>
          </w:tcPr>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预算内资金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130"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投标人资格要求</w:t>
            </w:r>
          </w:p>
        </w:tc>
        <w:tc>
          <w:tcPr>
            <w:tcW w:w="6700" w:type="dxa"/>
            <w:vAlign w:val="center"/>
          </w:tcPr>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1、符合《中华人民共和国政府采购法》第二十二条的相关规定：</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、具有独立承担民事责任的能力且具有有效的营业执照；</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、具有良好的商业信誉和健全的财务会计制度（需提供2020年度财务审计报告或其基本户开户银行开具的资信证明）；</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、具有履行合同所必需的设备和专业技术能力（需提供书面声明）；</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rPr>
              <w:t>、有依法缴纳税收和社会保障资金的良好记录（需提供近6个月税收缴纳证明及社保缴纳明细）；</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、参加本次采购活动前三年内，在经营活动中没有重大违法记录（提供书面声明，格式自拟）；</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、法律、行政法规规定的其他条件；</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2、本项目特定资格要求：</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（1）.投标人</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具备建筑机电安装工程专业承包叁级及以上资质及</w:t>
            </w:r>
            <w:r>
              <w:rPr>
                <w:rFonts w:hint="eastAsia" w:ascii="仿宋" w:hAnsi="仿宋" w:eastAsia="仿宋" w:cs="仿宋"/>
                <w:sz w:val="24"/>
                <w:highlight w:val="none"/>
                <w:lang w:eastAsia="zh-CN"/>
              </w:rPr>
              <w:t>电子与智能化工程专业承包贰级</w:t>
            </w:r>
            <w:r>
              <w:rPr>
                <w:rFonts w:hint="eastAsia" w:ascii="仿宋" w:hAnsi="仿宋" w:eastAsia="仿宋" w:cs="仿宋"/>
                <w:sz w:val="24"/>
                <w:highlight w:val="none"/>
              </w:rPr>
              <w:t>及以上资质；</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（2）.投标人</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具备中华人民共和国特种设备安装改造维修许可证GC2级及以上级别；</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（3）.投标人</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具备有效期内的安全生产许可证；</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（4）.投标人须具有医疗器械生产许可证</w:t>
            </w:r>
            <w:r>
              <w:rPr>
                <w:rFonts w:hint="eastAsia" w:ascii="仿宋" w:hAnsi="仿宋" w:eastAsia="仿宋" w:cs="仿宋"/>
                <w:sz w:val="24"/>
                <w:highlight w:val="none"/>
                <w:lang w:eastAsia="zh-CN"/>
              </w:rPr>
              <w:t>或</w:t>
            </w:r>
            <w:r>
              <w:rPr>
                <w:rFonts w:hint="eastAsia" w:ascii="仿宋" w:hAnsi="仿宋" w:eastAsia="仿宋" w:cs="仿宋"/>
                <w:sz w:val="24"/>
                <w:highlight w:val="none"/>
              </w:rPr>
              <w:t>医疗器械经营许可证（或第二类医疗器械经营备案凭证）；</w:t>
            </w:r>
          </w:p>
          <w:p>
            <w:pPr>
              <w:widowControl/>
              <w:wordWrap w:val="0"/>
              <w:spacing w:line="276"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（5）.项目负责人要求：需具备二级及以上注册建造师（相关专业），不得担任其它在施建设工程项目的项目经理，项目负责人必须是</w:t>
            </w:r>
            <w:r>
              <w:rPr>
                <w:rFonts w:hint="eastAsia" w:ascii="仿宋" w:hAnsi="仿宋" w:eastAsia="仿宋" w:cs="仿宋"/>
                <w:sz w:val="24"/>
                <w:highlight w:val="none"/>
                <w:lang w:val="en-US" w:eastAsia="zh-CN"/>
              </w:rPr>
              <w:t>本单位</w:t>
            </w:r>
            <w:r>
              <w:rPr>
                <w:rFonts w:hint="eastAsia" w:ascii="仿宋" w:hAnsi="仿宋" w:eastAsia="仿宋" w:cs="仿宋"/>
                <w:sz w:val="24"/>
                <w:highlight w:val="none"/>
              </w:rPr>
              <w:t>正式员工</w:t>
            </w:r>
            <w:r>
              <w:rPr>
                <w:rFonts w:hint="eastAsia" w:ascii="仿宋" w:hAnsi="仿宋" w:eastAsia="仿宋" w:cs="仿宋"/>
                <w:sz w:val="24"/>
                <w:highlight w:val="none"/>
                <w:lang w:eastAsia="zh-CN"/>
              </w:rPr>
              <w:t>；</w:t>
            </w:r>
          </w:p>
          <w:p>
            <w:pPr>
              <w:widowControl/>
              <w:wordWrap w:val="0"/>
              <w:spacing w:line="276"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投标人所投产品具有行政主管部门颁发的中华人民共和国医疗器械注册证（医用中心供氧系统）、中华人民共和国医疗器械注册证（医用中心吸引系统）、中华人民共和国医疗器械注册证（医用压缩空气系统或医用空气压缩机或医用空气集中供应系统）、中华人民共和国医疗器械注册证（医用气体汇集排或医用气体汇流排）。</w:t>
            </w:r>
          </w:p>
          <w:p>
            <w:pPr>
              <w:widowControl/>
              <w:wordWrap w:val="0"/>
              <w:spacing w:line="276"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（7）自治区区外投标企业应当具备：区外进疆建筑企业信息报送册并在有效期内，进疆报送册中备案资质须能满足投标企业最低资质要求，同时本工程项目负责人必须在进疆报送册中备案；</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3、其他要求：（1）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ascii="仿宋" w:hAnsi="仿宋" w:eastAsia="仿宋" w:cs="仿宋"/>
                <w:sz w:val="24"/>
                <w:highlight w:val="none"/>
              </w:rPr>
              <w:br w:type="textWrapping"/>
            </w:r>
            <w:r>
              <w:rPr>
                <w:rFonts w:hint="eastAsia" w:ascii="仿宋" w:hAnsi="仿宋" w:eastAsia="仿宋" w:cs="仿宋"/>
                <w:sz w:val="24"/>
                <w:highlight w:val="none"/>
              </w:rPr>
              <w:t>    （2）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w:t>
            </w:r>
          </w:p>
          <w:p>
            <w:pPr>
              <w:widowControl/>
              <w:wordWrap w:val="0"/>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4、本项目不接受联合体投标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130" w:type="dxa"/>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投标限价</w:t>
            </w:r>
          </w:p>
        </w:tc>
        <w:tc>
          <w:tcPr>
            <w:tcW w:w="6700" w:type="dxa"/>
            <w:vAlign w:val="center"/>
          </w:tcPr>
          <w:p>
            <w:pPr>
              <w:widowControl/>
              <w:wordWrap w:val="0"/>
              <w:spacing w:line="276" w:lineRule="auto"/>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最高限价：</w:t>
            </w:r>
            <w:r>
              <w:rPr>
                <w:rFonts w:hint="eastAsia" w:ascii="仿宋" w:hAnsi="仿宋" w:eastAsia="仿宋" w:cs="仿宋"/>
                <w:kern w:val="0"/>
                <w:sz w:val="24"/>
                <w:highlight w:val="none"/>
                <w:lang w:eastAsia="zh-CN"/>
              </w:rPr>
              <w:t>7554662.91</w:t>
            </w:r>
            <w:r>
              <w:rPr>
                <w:rFonts w:hint="eastAsia" w:ascii="仿宋" w:hAnsi="仿宋" w:eastAsia="仿宋" w:cs="仿宋"/>
                <w:kern w:val="0"/>
                <w:sz w:val="24"/>
                <w:highlight w:val="none"/>
              </w:rPr>
              <w:t>元。</w:t>
            </w:r>
          </w:p>
          <w:p>
            <w:pPr>
              <w:widowControl/>
              <w:wordWrap w:val="0"/>
              <w:spacing w:line="276" w:lineRule="auto"/>
              <w:jc w:val="left"/>
              <w:rPr>
                <w:rFonts w:hint="eastAsia" w:ascii="仿宋" w:hAnsi="仿宋" w:eastAsia="仿宋" w:cs="仿宋"/>
                <w:kern w:val="0"/>
                <w:sz w:val="24"/>
                <w:highlight w:val="none"/>
              </w:rPr>
            </w:pPr>
            <w:r>
              <w:rPr>
                <w:rFonts w:hint="eastAsia" w:ascii="仿宋" w:hAnsi="仿宋" w:eastAsia="仿宋" w:cs="仿宋"/>
                <w:b/>
                <w:kern w:val="0"/>
                <w:sz w:val="24"/>
                <w:highlight w:val="none"/>
              </w:rPr>
              <w:t>注：投标人的投标报价不能高于招标控制价，否则视为废标。</w:t>
            </w:r>
            <w:r>
              <w:rPr>
                <w:rFonts w:hint="eastAsia" w:ascii="仿宋" w:hAnsi="仿宋" w:eastAsia="仿宋" w:cs="仿宋"/>
                <w:b/>
                <w:kern w:val="0"/>
                <w:sz w:val="24"/>
                <w:highlight w:val="none"/>
                <w:lang w:eastAsia="zh-CN"/>
              </w:rPr>
              <w:t>（</w:t>
            </w:r>
            <w:r>
              <w:rPr>
                <w:rFonts w:hint="eastAsia" w:ascii="仿宋" w:hAnsi="仿宋" w:eastAsia="仿宋" w:cs="仿宋"/>
                <w:b/>
                <w:kern w:val="0"/>
                <w:sz w:val="24"/>
                <w:highlight w:val="none"/>
                <w:lang w:val="en-US" w:eastAsia="zh-CN"/>
              </w:rPr>
              <w:t>本项目采用竞争性磋商采购方式，现场需进行二次报价，二次报价形式为下浮率报价，即在一次报价基础上进行下浮，再根据下浮后的金额进行计算经济得分。</w:t>
            </w:r>
            <w:r>
              <w:rPr>
                <w:rFonts w:hint="eastAsia" w:ascii="仿宋" w:hAnsi="仿宋" w:eastAsia="仿宋" w:cs="仿宋"/>
                <w:b/>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6700" w:type="dxa"/>
            <w:vAlign w:val="center"/>
          </w:tcPr>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6700" w:type="dxa"/>
            <w:vAlign w:val="center"/>
          </w:tcPr>
          <w:p>
            <w:pPr>
              <w:rPr>
                <w:rFonts w:hint="eastAsia" w:ascii="仿宋" w:hAnsi="仿宋" w:eastAsia="仿宋" w:cs="仿宋"/>
                <w:szCs w:val="21"/>
                <w:highlight w:val="none"/>
              </w:rPr>
            </w:pPr>
            <w:r>
              <w:rPr>
                <w:rFonts w:hint="eastAsia" w:ascii="仿宋" w:hAnsi="仿宋" w:eastAsia="仿宋" w:cs="仿宋"/>
                <w:szCs w:val="21"/>
                <w:highlight w:val="none"/>
              </w:rPr>
              <w:t>投标保证金：须在投标截止时间之前缴纳。</w:t>
            </w:r>
          </w:p>
          <w:p>
            <w:pPr>
              <w:spacing w:line="360" w:lineRule="exac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投标保证金：小写：</w:t>
            </w:r>
            <w:r>
              <w:rPr>
                <w:rFonts w:hint="eastAsia" w:ascii="仿宋" w:hAnsi="仿宋" w:eastAsia="仿宋" w:cs="仿宋"/>
                <w:b/>
                <w:szCs w:val="21"/>
                <w:highlight w:val="none"/>
                <w:u w:val="single"/>
                <w:lang w:val="en-US" w:eastAsia="zh-CN"/>
              </w:rPr>
              <w:t>1</w:t>
            </w:r>
            <w:r>
              <w:rPr>
                <w:rFonts w:hint="eastAsia" w:ascii="仿宋" w:hAnsi="仿宋" w:eastAsia="仿宋" w:cs="仿宋"/>
                <w:b/>
                <w:szCs w:val="21"/>
                <w:highlight w:val="none"/>
                <w:u w:val="single"/>
              </w:rPr>
              <w:t>500</w:t>
            </w:r>
            <w:r>
              <w:rPr>
                <w:rFonts w:hint="eastAsia" w:ascii="仿宋" w:hAnsi="仿宋" w:eastAsia="仿宋" w:cs="仿宋"/>
                <w:b/>
                <w:szCs w:val="21"/>
                <w:highlight w:val="none"/>
                <w:u w:val="single"/>
                <w:lang w:val="en-US" w:eastAsia="zh-CN"/>
              </w:rPr>
              <w:t>0</w:t>
            </w:r>
            <w:r>
              <w:rPr>
                <w:rFonts w:hint="eastAsia" w:ascii="仿宋" w:hAnsi="仿宋" w:eastAsia="仿宋" w:cs="仿宋"/>
                <w:b/>
                <w:szCs w:val="21"/>
                <w:highlight w:val="none"/>
                <w:u w:val="single"/>
              </w:rPr>
              <w:t>0元；大写：</w:t>
            </w:r>
            <w:r>
              <w:rPr>
                <w:rFonts w:hint="eastAsia" w:ascii="仿宋" w:hAnsi="仿宋" w:eastAsia="仿宋" w:cs="仿宋"/>
                <w:b/>
                <w:szCs w:val="21"/>
                <w:highlight w:val="none"/>
                <w:u w:val="single"/>
                <w:lang w:val="en-US" w:eastAsia="zh-CN"/>
              </w:rPr>
              <w:t>壹拾伍万</w:t>
            </w:r>
            <w:r>
              <w:rPr>
                <w:rFonts w:hint="eastAsia" w:ascii="仿宋" w:hAnsi="仿宋" w:eastAsia="仿宋" w:cs="仿宋"/>
                <w:b/>
                <w:szCs w:val="21"/>
                <w:highlight w:val="none"/>
                <w:u w:val="single"/>
              </w:rPr>
              <w:t>元整</w:t>
            </w:r>
          </w:p>
          <w:p>
            <w:pPr>
              <w:spacing w:line="360" w:lineRule="exac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由投标人转入新疆世纪星工程咨询有限公司：</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收款单位全称：新疆世纪星工程咨询有限公司</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银行账号：512090100100073085</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开户行：兴业银行乌鲁木齐分行营业部</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银行行号：309881002010</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递交方式：（电汇投标保证金必须从投标人的基本账户支出）若投标人未按照上述规定缴纳投标保证金,</w:t>
            </w:r>
            <w:r>
              <w:rPr>
                <w:rFonts w:hint="eastAsia" w:ascii="仿宋" w:hAnsi="仿宋" w:eastAsia="仿宋" w:cs="仿宋"/>
                <w:b/>
                <w:szCs w:val="21"/>
                <w:highlight w:val="none"/>
                <w:u w:val="single"/>
                <w:lang w:eastAsia="zh-CN"/>
              </w:rPr>
              <w:t>响应文件</w:t>
            </w:r>
            <w:r>
              <w:rPr>
                <w:rFonts w:hint="eastAsia" w:ascii="仿宋" w:hAnsi="仿宋" w:eastAsia="仿宋" w:cs="仿宋"/>
                <w:b/>
                <w:szCs w:val="21"/>
                <w:highlight w:val="none"/>
                <w:u w:val="single"/>
              </w:rPr>
              <w:t>将被拒绝评审。</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投标保证金有效期：投标截止时间后60天。</w:t>
            </w:r>
          </w:p>
          <w:p>
            <w:pPr>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rPr>
              <w:t>打款时需备注项目名称。</w:t>
            </w:r>
          </w:p>
          <w:p>
            <w:pPr>
              <w:spacing w:line="276" w:lineRule="auto"/>
              <w:rPr>
                <w:rFonts w:hint="eastAsia" w:ascii="仿宋" w:hAnsi="仿宋" w:eastAsia="仿宋" w:cs="仿宋"/>
                <w:kern w:val="0"/>
                <w:sz w:val="24"/>
                <w:highlight w:val="none"/>
              </w:rPr>
            </w:pPr>
            <w:r>
              <w:rPr>
                <w:rFonts w:hint="eastAsia" w:ascii="仿宋" w:hAnsi="仿宋" w:eastAsia="仿宋" w:cs="仿宋"/>
                <w:b/>
                <w:szCs w:val="21"/>
                <w:highlight w:val="none"/>
                <w:u w:val="single"/>
              </w:rPr>
              <w:t>注：投标人无需来我单位开收据，投标书中提供保证金电汇凭证即可</w:t>
            </w:r>
            <w:r>
              <w:rPr>
                <w:rFonts w:hint="eastAsia" w:ascii="仿宋" w:hAnsi="仿宋" w:eastAsia="仿宋" w:cs="仿宋"/>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16</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份数</w:t>
            </w:r>
          </w:p>
        </w:tc>
        <w:tc>
          <w:tcPr>
            <w:tcW w:w="6700" w:type="dxa"/>
            <w:vAlign w:val="center"/>
          </w:tcPr>
          <w:p>
            <w:pPr>
              <w:spacing w:line="276" w:lineRule="auto"/>
              <w:rPr>
                <w:rFonts w:hint="eastAsia" w:ascii="仿宋" w:hAnsi="仿宋" w:eastAsia="仿宋" w:cs="仿宋"/>
                <w:b/>
                <w:sz w:val="24"/>
                <w:highlight w:val="none"/>
              </w:rPr>
            </w:pPr>
            <w:r>
              <w:rPr>
                <w:rFonts w:hint="eastAsia" w:ascii="仿宋" w:hAnsi="仿宋" w:eastAsia="仿宋" w:cs="仿宋"/>
                <w:b/>
                <w:sz w:val="24"/>
                <w:highlight w:val="none"/>
              </w:rPr>
              <w:t>正本一份，副本四份，投标报价表一份（单独密封）、原件资料（单独密封）、加盖公章的PDF扫描版一份（单独密封，U盘或者光盘均可）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17</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递交地点及投标截止日期</w:t>
            </w:r>
          </w:p>
        </w:tc>
        <w:tc>
          <w:tcPr>
            <w:tcW w:w="6700" w:type="dxa"/>
            <w:vAlign w:val="center"/>
          </w:tcPr>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地点：</w:t>
            </w:r>
            <w:r>
              <w:rPr>
                <w:rFonts w:hint="eastAsia" w:ascii="仿宋" w:hAnsi="仿宋" w:eastAsia="仿宋" w:cs="仿宋"/>
                <w:sz w:val="24"/>
                <w:highlight w:val="none"/>
                <w:lang w:eastAsia="zh-CN"/>
              </w:rPr>
              <w:t>乌鲁木齐市开发区二期黄山街81号一品九点阳光七号公寓楼九楼会议室</w:t>
            </w:r>
            <w:r>
              <w:rPr>
                <w:rFonts w:hint="eastAsia" w:ascii="仿宋" w:hAnsi="仿宋" w:eastAsia="仿宋" w:cs="仿宋"/>
                <w:sz w:val="24"/>
                <w:highlight w:val="none"/>
              </w:rPr>
              <w:t xml:space="preserve">                     </w:t>
            </w:r>
          </w:p>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lang w:eastAsia="zh-CN"/>
              </w:rPr>
              <w:t>2021年11月10日</w:t>
            </w:r>
            <w:r>
              <w:rPr>
                <w:rFonts w:hint="eastAsia" w:ascii="仿宋" w:hAnsi="仿宋" w:eastAsia="仿宋" w:cs="仿宋"/>
                <w:sz w:val="24"/>
                <w:highlight w:val="none"/>
              </w:rPr>
              <w:t>11时00分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18</w:t>
            </w:r>
          </w:p>
        </w:tc>
        <w:tc>
          <w:tcPr>
            <w:tcW w:w="2130"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开标地点、时间</w:t>
            </w:r>
          </w:p>
        </w:tc>
        <w:tc>
          <w:tcPr>
            <w:tcW w:w="6700" w:type="dxa"/>
            <w:vAlign w:val="center"/>
          </w:tcPr>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地点：</w:t>
            </w:r>
            <w:r>
              <w:rPr>
                <w:rFonts w:hint="eastAsia" w:ascii="仿宋" w:hAnsi="仿宋" w:eastAsia="仿宋" w:cs="仿宋"/>
                <w:sz w:val="24"/>
                <w:highlight w:val="none"/>
                <w:lang w:eastAsia="zh-CN"/>
              </w:rPr>
              <w:t>乌鲁木齐市开发区二期黄山街81号一品九点阳光七号公寓楼九楼会议室</w:t>
            </w:r>
            <w:r>
              <w:rPr>
                <w:rFonts w:hint="eastAsia" w:ascii="仿宋" w:hAnsi="仿宋" w:eastAsia="仿宋" w:cs="仿宋"/>
                <w:sz w:val="24"/>
                <w:highlight w:val="none"/>
              </w:rPr>
              <w:t xml:space="preserve">                     </w:t>
            </w:r>
          </w:p>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sz w:val="24"/>
                <w:highlight w:val="none"/>
                <w:lang w:eastAsia="zh-CN"/>
              </w:rPr>
              <w:t>2021年11月10日</w:t>
            </w:r>
            <w:r>
              <w:rPr>
                <w:rFonts w:hint="eastAsia" w:ascii="仿宋" w:hAnsi="仿宋" w:eastAsia="仿宋" w:cs="仿宋"/>
                <w:sz w:val="24"/>
                <w:highlight w:val="none"/>
              </w:rPr>
              <w:t>11时00分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19</w:t>
            </w:r>
          </w:p>
        </w:tc>
        <w:tc>
          <w:tcPr>
            <w:tcW w:w="2130" w:type="dxa"/>
            <w:vAlign w:val="center"/>
          </w:tcPr>
          <w:p>
            <w:pPr>
              <w:spacing w:line="400" w:lineRule="exact"/>
              <w:jc w:val="center"/>
              <w:rPr>
                <w:rFonts w:hint="eastAsia" w:ascii="仿宋" w:hAnsi="仿宋" w:eastAsia="仿宋" w:cs="仿宋"/>
                <w:sz w:val="24"/>
                <w:highlight w:val="none"/>
              </w:rPr>
            </w:pPr>
            <w:r>
              <w:rPr>
                <w:rFonts w:hint="eastAsia" w:ascii="仿宋" w:hAnsi="仿宋" w:eastAsia="仿宋" w:cs="仿宋"/>
                <w:sz w:val="24"/>
                <w:highlight w:val="none"/>
              </w:rPr>
              <w:t>付款方式</w:t>
            </w:r>
          </w:p>
        </w:tc>
        <w:tc>
          <w:tcPr>
            <w:tcW w:w="6700" w:type="dxa"/>
            <w:vAlign w:val="center"/>
          </w:tcPr>
          <w:p>
            <w:pPr>
              <w:spacing w:line="40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合同签订后支付合同价款的20%预付款，后期施工按照进度85%支付。全部竣工验收支付至合同总价的 85% ，审计后付结算价的 97%，余款 3% 作为质量保证金，等质保期满后 15 天内一次性付清（无息）。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9" w:type="dxa"/>
            <w:vMerge w:val="restart"/>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20</w:t>
            </w:r>
          </w:p>
        </w:tc>
        <w:tc>
          <w:tcPr>
            <w:tcW w:w="2130" w:type="dxa"/>
            <w:vAlign w:val="center"/>
          </w:tcPr>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支持中小企业发展</w:t>
            </w:r>
          </w:p>
        </w:tc>
        <w:tc>
          <w:tcPr>
            <w:tcW w:w="6700" w:type="dxa"/>
            <w:vAlign w:val="center"/>
          </w:tcPr>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采购项目需要落实的政府采购政策</w:t>
            </w:r>
          </w:p>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color w:val="000000"/>
                <w:kern w:val="0"/>
                <w:sz w:val="24"/>
                <w:highlight w:val="none"/>
              </w:rPr>
              <w:t>《政府采购促进中小企业发展管理办法》（财库〔2020〕46号）</w:t>
            </w:r>
            <w:r>
              <w:rPr>
                <w:rFonts w:hint="eastAsia" w:ascii="仿宋" w:hAnsi="仿宋" w:eastAsia="仿宋" w:cs="仿宋"/>
                <w:sz w:val="24"/>
                <w:highlight w:val="none"/>
              </w:rPr>
              <w:t>；</w:t>
            </w:r>
          </w:p>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（2）《财政部、司法部关于政府采购支持监狱企业发展有关问题的通知》（财库〔2014〕68号）；</w:t>
            </w:r>
          </w:p>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（3）《财政部民政部中国残疾人联合会关于促进残疾人就业政府采购政策的通知》财库〔2017〕141号。本项目为非专门面向中小企业（含中型、小型、微型企业）采购项目，评标时将给予此类企业进行价格扣除</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%的优惠，用扣除后的价格参与评审。监狱企业视同为小微企业。本项目具体扣除比例为</w:t>
            </w:r>
            <w:r>
              <w:rPr>
                <w:rFonts w:hint="eastAsia" w:ascii="仿宋" w:hAnsi="仿宋" w:eastAsia="仿宋" w:cs="仿宋"/>
                <w:sz w:val="24"/>
                <w:highlight w:val="none"/>
                <w:lang w:eastAsia="zh-CN"/>
              </w:rPr>
              <w:t>3%</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Merge w:val="continue"/>
            <w:vAlign w:val="center"/>
          </w:tcPr>
          <w:p>
            <w:pPr>
              <w:spacing w:line="276" w:lineRule="auto"/>
              <w:jc w:val="center"/>
              <w:rPr>
                <w:rFonts w:hint="eastAsia" w:ascii="仿宋" w:hAnsi="仿宋" w:eastAsia="仿宋" w:cs="仿宋"/>
                <w:sz w:val="24"/>
                <w:highlight w:val="none"/>
              </w:rPr>
            </w:pPr>
          </w:p>
        </w:tc>
        <w:tc>
          <w:tcPr>
            <w:tcW w:w="2130" w:type="dxa"/>
            <w:vAlign w:val="center"/>
          </w:tcPr>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政府采购支持中小企业融资</w:t>
            </w:r>
          </w:p>
        </w:tc>
        <w:tc>
          <w:tcPr>
            <w:tcW w:w="6700" w:type="dxa"/>
            <w:vMerge w:val="restart"/>
            <w:vAlign w:val="center"/>
          </w:tcPr>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Merge w:val="continue"/>
            <w:vAlign w:val="center"/>
          </w:tcPr>
          <w:p>
            <w:pPr>
              <w:spacing w:line="276" w:lineRule="auto"/>
              <w:jc w:val="center"/>
              <w:rPr>
                <w:rFonts w:hint="eastAsia" w:ascii="仿宋" w:hAnsi="仿宋" w:eastAsia="仿宋" w:cs="仿宋"/>
                <w:sz w:val="24"/>
                <w:highlight w:val="none"/>
              </w:rPr>
            </w:pPr>
          </w:p>
        </w:tc>
        <w:tc>
          <w:tcPr>
            <w:tcW w:w="2130" w:type="dxa"/>
            <w:vAlign w:val="center"/>
          </w:tcPr>
          <w:p>
            <w:pPr>
              <w:spacing w:line="400" w:lineRule="exact"/>
              <w:rPr>
                <w:rFonts w:hint="eastAsia" w:ascii="仿宋" w:hAnsi="仿宋" w:eastAsia="仿宋" w:cs="仿宋"/>
                <w:sz w:val="24"/>
                <w:highlight w:val="none"/>
              </w:rPr>
            </w:pPr>
            <w:r>
              <w:rPr>
                <w:rFonts w:hint="eastAsia" w:ascii="仿宋" w:hAnsi="仿宋" w:eastAsia="仿宋" w:cs="仿宋"/>
                <w:sz w:val="24"/>
                <w:highlight w:val="none"/>
              </w:rPr>
              <w:t>政府采购信用担保</w:t>
            </w:r>
          </w:p>
        </w:tc>
        <w:tc>
          <w:tcPr>
            <w:tcW w:w="6700" w:type="dxa"/>
            <w:vMerge w:val="continue"/>
            <w:vAlign w:val="center"/>
          </w:tcPr>
          <w:p>
            <w:pPr>
              <w:spacing w:line="276" w:lineRule="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9" w:type="dxa"/>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2130" w:type="dxa"/>
            <w:vAlign w:val="center"/>
          </w:tcPr>
          <w:p>
            <w:pPr>
              <w:overflowPunct w:val="0"/>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的签署规定</w:t>
            </w:r>
          </w:p>
        </w:tc>
        <w:tc>
          <w:tcPr>
            <w:tcW w:w="6700" w:type="dxa"/>
            <w:vAlign w:val="center"/>
          </w:tcPr>
          <w:p>
            <w:pPr>
              <w:widowControl/>
              <w:spacing w:line="460" w:lineRule="atLeast"/>
              <w:jc w:val="left"/>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的页面必须用印刷体打印。</w:t>
            </w:r>
          </w:p>
          <w:p>
            <w:pPr>
              <w:widowControl/>
              <w:spacing w:line="460" w:lineRule="atLeast"/>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应清楚工整，一般不准修改。个别非实质性修改之处必须由投标人的法定代表人（负责人）或经其正式授权的代表在修改的每一页上签字或盖投标单位公章后才有效。</w:t>
            </w:r>
          </w:p>
          <w:p>
            <w:pPr>
              <w:widowControl/>
              <w:spacing w:line="460" w:lineRule="atLeast"/>
              <w:jc w:val="left"/>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应由法定代表人或法人授权代表在规定的签章处逐一签署或加盖单位公章，</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方为有效。</w:t>
            </w:r>
          </w:p>
          <w:p>
            <w:pPr>
              <w:widowControl/>
              <w:spacing w:line="460" w:lineRule="atLeast"/>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的正本与副本应当完全一致。当正本和副本之间出现差异时，以正本为准。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869" w:type="dxa"/>
            <w:gridSpan w:val="2"/>
            <w:vAlign w:val="center"/>
          </w:tcPr>
          <w:p>
            <w:pPr>
              <w:spacing w:line="276"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c>
          <w:tcPr>
            <w:tcW w:w="6700" w:type="dxa"/>
            <w:vAlign w:val="center"/>
          </w:tcPr>
          <w:p>
            <w:pPr>
              <w:spacing w:line="276" w:lineRule="auto"/>
              <w:rPr>
                <w:rFonts w:hint="eastAsia" w:ascii="仿宋" w:hAnsi="仿宋" w:eastAsia="仿宋" w:cs="仿宋"/>
                <w:b/>
                <w:sz w:val="24"/>
                <w:highlight w:val="none"/>
              </w:rPr>
            </w:pPr>
            <w:r>
              <w:rPr>
                <w:rFonts w:hint="eastAsia" w:ascii="仿宋" w:hAnsi="仿宋" w:eastAsia="仿宋" w:cs="仿宋"/>
                <w:b/>
                <w:sz w:val="24"/>
                <w:highlight w:val="none"/>
              </w:rPr>
              <w:t>供应商应认真阅读</w:t>
            </w:r>
            <w:r>
              <w:rPr>
                <w:rFonts w:hint="eastAsia" w:ascii="仿宋" w:hAnsi="仿宋" w:eastAsia="仿宋" w:cs="仿宋"/>
                <w:b/>
                <w:sz w:val="24"/>
                <w:highlight w:val="none"/>
                <w:lang w:eastAsia="zh-CN"/>
              </w:rPr>
              <w:t>磋商文件</w:t>
            </w:r>
            <w:r>
              <w:rPr>
                <w:rFonts w:hint="eastAsia" w:ascii="仿宋" w:hAnsi="仿宋" w:eastAsia="仿宋" w:cs="仿宋"/>
                <w:b/>
                <w:sz w:val="24"/>
                <w:highlight w:val="none"/>
              </w:rPr>
              <w:t>中的每一个条款及要求，因误读</w:t>
            </w:r>
            <w:r>
              <w:rPr>
                <w:rFonts w:hint="eastAsia" w:ascii="仿宋" w:hAnsi="仿宋" w:eastAsia="仿宋" w:cs="仿宋"/>
                <w:b/>
                <w:sz w:val="24"/>
                <w:highlight w:val="none"/>
                <w:lang w:eastAsia="zh-CN"/>
              </w:rPr>
              <w:t>磋商文件</w:t>
            </w:r>
            <w:r>
              <w:rPr>
                <w:rFonts w:hint="eastAsia" w:ascii="仿宋" w:hAnsi="仿宋" w:eastAsia="仿宋" w:cs="仿宋"/>
                <w:b/>
                <w:sz w:val="24"/>
                <w:highlight w:val="none"/>
              </w:rPr>
              <w:t>而造成的后果，招标人概不负责。</w:t>
            </w:r>
          </w:p>
        </w:tc>
      </w:tr>
    </w:tbl>
    <w:p>
      <w:pPr>
        <w:rPr>
          <w:rFonts w:hint="eastAsia" w:ascii="仿宋" w:hAnsi="仿宋" w:eastAsia="仿宋" w:cs="仿宋"/>
          <w:b/>
          <w:sz w:val="28"/>
          <w:szCs w:val="28"/>
          <w:highlight w:val="none"/>
        </w:rPr>
      </w:pPr>
      <w:bookmarkStart w:id="12" w:name="_Toc19404"/>
      <w:bookmarkStart w:id="13" w:name="_Toc13006"/>
    </w:p>
    <w:p>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一、总则</w:t>
      </w:r>
    </w:p>
    <w:p>
      <w:pPr>
        <w:spacing w:line="360" w:lineRule="auto"/>
        <w:ind w:left="479" w:leftChars="228" w:firstLine="65" w:firstLineChars="27"/>
        <w:rPr>
          <w:rFonts w:hint="eastAsia" w:ascii="仿宋" w:hAnsi="仿宋" w:eastAsia="仿宋" w:cs="仿宋"/>
          <w:b/>
          <w:kern w:val="0"/>
          <w:sz w:val="24"/>
          <w:highlight w:val="none"/>
        </w:rPr>
      </w:pPr>
      <w:r>
        <w:rPr>
          <w:rFonts w:hint="eastAsia" w:ascii="仿宋" w:hAnsi="仿宋" w:eastAsia="仿宋" w:cs="仿宋"/>
          <w:b/>
          <w:kern w:val="0"/>
          <w:sz w:val="24"/>
          <w:highlight w:val="none"/>
        </w:rPr>
        <w:t>1、招标方式</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本次招标采取</w:t>
      </w:r>
      <w:r>
        <w:rPr>
          <w:rFonts w:hint="eastAsia" w:ascii="仿宋" w:hAnsi="仿宋" w:eastAsia="仿宋" w:cs="仿宋"/>
          <w:kern w:val="0"/>
          <w:sz w:val="24"/>
          <w:highlight w:val="none"/>
          <w:lang w:eastAsia="zh-CN"/>
        </w:rPr>
        <w:t>竞争性磋商</w:t>
      </w:r>
      <w:r>
        <w:rPr>
          <w:rFonts w:hint="eastAsia" w:ascii="仿宋" w:hAnsi="仿宋" w:eastAsia="仿宋" w:cs="仿宋"/>
          <w:kern w:val="0"/>
          <w:sz w:val="24"/>
          <w:highlight w:val="none"/>
        </w:rPr>
        <w:t>方式。</w:t>
      </w:r>
    </w:p>
    <w:p>
      <w:pPr>
        <w:spacing w:line="360" w:lineRule="auto"/>
        <w:ind w:left="479" w:leftChars="228" w:firstLine="65" w:firstLineChars="27"/>
        <w:rPr>
          <w:rFonts w:hint="eastAsia" w:ascii="仿宋" w:hAnsi="仿宋" w:eastAsia="仿宋" w:cs="仿宋"/>
          <w:b/>
          <w:kern w:val="0"/>
          <w:sz w:val="24"/>
          <w:highlight w:val="none"/>
        </w:rPr>
      </w:pPr>
      <w:r>
        <w:rPr>
          <w:rFonts w:hint="eastAsia" w:ascii="仿宋" w:hAnsi="仿宋" w:eastAsia="仿宋" w:cs="仿宋"/>
          <w:b/>
          <w:kern w:val="0"/>
          <w:sz w:val="24"/>
          <w:highlight w:val="none"/>
        </w:rPr>
        <w:t>2、合格的投标人</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（1）合格的投标人必须是有能力按照本</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规定的要求提供产品和相关服务，且具有独立承担民事等法律责任的法人或其它经济组织，本次招标不接受联合体投标。</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（2）合格的投标人必须符合</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第二章《投标人须知前附表》第12条规定，且具备独立完成本项目的能力，中标后不允许分包、转包。</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（3）合格的投标人应遵守中华人民共和国《政府采购法》、《政府采购法实施条例》、《民法典》和《反不正当竞争法》等有关法律、法规。</w:t>
      </w:r>
    </w:p>
    <w:p>
      <w:pPr>
        <w:spacing w:line="360" w:lineRule="auto"/>
        <w:ind w:left="479" w:leftChars="228" w:firstLine="65" w:firstLineChars="27"/>
        <w:rPr>
          <w:rFonts w:hint="eastAsia" w:ascii="仿宋" w:hAnsi="仿宋" w:eastAsia="仿宋" w:cs="仿宋"/>
          <w:b/>
          <w:kern w:val="0"/>
          <w:sz w:val="24"/>
          <w:highlight w:val="none"/>
        </w:rPr>
      </w:pPr>
      <w:r>
        <w:rPr>
          <w:rFonts w:hint="eastAsia" w:ascii="仿宋" w:hAnsi="仿宋" w:eastAsia="仿宋" w:cs="仿宋"/>
          <w:b/>
          <w:kern w:val="0"/>
          <w:sz w:val="24"/>
          <w:highlight w:val="none"/>
        </w:rPr>
        <w:t>3、适用法律</w:t>
      </w:r>
    </w:p>
    <w:p>
      <w:pPr>
        <w:spacing w:line="36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本次招标及由本次招标产生的合同受中华人民共和国的相关法律、法规制约和保护。</w:t>
      </w:r>
    </w:p>
    <w:p>
      <w:pPr>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4、</w:t>
      </w:r>
      <w:r>
        <w:rPr>
          <w:rFonts w:hint="eastAsia" w:ascii="仿宋" w:hAnsi="仿宋" w:eastAsia="仿宋" w:cs="仿宋"/>
          <w:b/>
          <w:kern w:val="0"/>
          <w:sz w:val="24"/>
          <w:highlight w:val="none"/>
          <w:lang w:eastAsia="zh-CN"/>
        </w:rPr>
        <w:t>响应文件</w:t>
      </w:r>
      <w:r>
        <w:rPr>
          <w:rFonts w:hint="eastAsia" w:ascii="仿宋" w:hAnsi="仿宋" w:eastAsia="仿宋" w:cs="仿宋"/>
          <w:b/>
          <w:kern w:val="0"/>
          <w:sz w:val="24"/>
          <w:highlight w:val="none"/>
        </w:rPr>
        <w:t>的约束力</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投标人一旦获取</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参加本项目投标，即被认为接受了本</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的所有条件和规定。</w:t>
      </w:r>
    </w:p>
    <w:p>
      <w:pPr>
        <w:spacing w:line="360" w:lineRule="auto"/>
        <w:ind w:firstLine="482" w:firstLineChars="200"/>
        <w:rPr>
          <w:rFonts w:hint="eastAsia" w:ascii="仿宋" w:hAnsi="仿宋" w:eastAsia="仿宋" w:cs="仿宋"/>
          <w:kern w:val="0"/>
          <w:sz w:val="24"/>
          <w:highlight w:val="none"/>
        </w:rPr>
      </w:pPr>
      <w:r>
        <w:rPr>
          <w:rFonts w:hint="eastAsia" w:ascii="仿宋" w:hAnsi="仿宋" w:eastAsia="仿宋" w:cs="仿宋"/>
          <w:b/>
          <w:kern w:val="0"/>
          <w:sz w:val="24"/>
          <w:highlight w:val="none"/>
        </w:rPr>
        <w:t>5、招标内容</w:t>
      </w:r>
    </w:p>
    <w:p>
      <w:pPr>
        <w:widowControl/>
        <w:wordWrap w:val="0"/>
        <w:spacing w:line="360" w:lineRule="auto"/>
        <w:ind w:firstLine="480" w:firstLineChars="200"/>
        <w:jc w:val="left"/>
        <w:rPr>
          <w:rFonts w:hint="eastAsia" w:ascii="仿宋" w:hAnsi="仿宋" w:eastAsia="仿宋" w:cs="仿宋"/>
          <w:b w:val="0"/>
          <w:bCs/>
          <w:kern w:val="0"/>
          <w:sz w:val="24"/>
          <w:highlight w:val="none"/>
        </w:rPr>
      </w:pPr>
      <w:r>
        <w:rPr>
          <w:rFonts w:hint="eastAsia" w:ascii="仿宋" w:hAnsi="仿宋" w:eastAsia="仿宋" w:cs="仿宋"/>
          <w:b w:val="0"/>
          <w:bCs/>
          <w:kern w:val="0"/>
          <w:sz w:val="24"/>
          <w:highlight w:val="none"/>
        </w:rPr>
        <w:t>医教综合楼A</w:t>
      </w:r>
      <w:r>
        <w:rPr>
          <w:rFonts w:hint="eastAsia" w:ascii="仿宋" w:hAnsi="仿宋" w:eastAsia="仿宋" w:cs="仿宋"/>
          <w:b w:val="0"/>
          <w:bCs/>
          <w:kern w:val="0"/>
          <w:sz w:val="24"/>
          <w:highlight w:val="none"/>
          <w:lang w:eastAsia="zh-CN"/>
        </w:rPr>
        <w:t>区</w:t>
      </w:r>
      <w:r>
        <w:rPr>
          <w:rFonts w:hint="eastAsia" w:ascii="仿宋" w:hAnsi="仿宋" w:eastAsia="仿宋" w:cs="仿宋"/>
          <w:b w:val="0"/>
          <w:bCs/>
          <w:kern w:val="0"/>
          <w:sz w:val="24"/>
          <w:highlight w:val="none"/>
          <w:lang w:val="en-US" w:eastAsia="zh-CN"/>
        </w:rPr>
        <w:t>18层</w:t>
      </w:r>
      <w:r>
        <w:rPr>
          <w:rFonts w:hint="eastAsia" w:ascii="仿宋" w:hAnsi="仿宋" w:eastAsia="仿宋" w:cs="仿宋"/>
          <w:b w:val="0"/>
          <w:bCs/>
          <w:kern w:val="0"/>
          <w:sz w:val="24"/>
          <w:highlight w:val="none"/>
        </w:rPr>
        <w:t>、B区</w:t>
      </w:r>
      <w:r>
        <w:rPr>
          <w:rFonts w:hint="eastAsia" w:ascii="仿宋" w:hAnsi="仿宋" w:eastAsia="仿宋" w:cs="仿宋"/>
          <w:b w:val="0"/>
          <w:bCs/>
          <w:kern w:val="0"/>
          <w:sz w:val="24"/>
          <w:highlight w:val="none"/>
          <w:lang w:val="en-US" w:eastAsia="zh-CN"/>
        </w:rPr>
        <w:t>22</w:t>
      </w:r>
      <w:r>
        <w:rPr>
          <w:rFonts w:hint="eastAsia" w:ascii="仿宋" w:hAnsi="仿宋" w:eastAsia="仿宋" w:cs="仿宋"/>
          <w:b w:val="0"/>
          <w:bCs/>
          <w:kern w:val="0"/>
          <w:sz w:val="24"/>
          <w:highlight w:val="none"/>
        </w:rPr>
        <w:t>层</w:t>
      </w:r>
      <w:r>
        <w:rPr>
          <w:rFonts w:hint="eastAsia" w:ascii="仿宋" w:hAnsi="仿宋" w:eastAsia="仿宋" w:cs="仿宋"/>
          <w:b w:val="0"/>
          <w:bCs/>
          <w:kern w:val="0"/>
          <w:sz w:val="24"/>
          <w:highlight w:val="none"/>
          <w:lang w:eastAsia="zh-CN"/>
        </w:rPr>
        <w:t>（以施工图及清单数量表为准）</w:t>
      </w:r>
      <w:r>
        <w:rPr>
          <w:rFonts w:hint="eastAsia" w:ascii="仿宋" w:hAnsi="仿宋" w:eastAsia="仿宋" w:cs="仿宋"/>
          <w:b w:val="0"/>
          <w:bCs/>
          <w:kern w:val="0"/>
          <w:sz w:val="24"/>
          <w:highlight w:val="none"/>
        </w:rPr>
        <w:t>。</w:t>
      </w:r>
    </w:p>
    <w:p>
      <w:pPr>
        <w:widowControl/>
        <w:wordWrap w:val="0"/>
        <w:spacing w:line="360" w:lineRule="auto"/>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6、定义</w:t>
      </w:r>
    </w:p>
    <w:p>
      <w:pPr>
        <w:widowControl/>
        <w:wordWrap w:val="0"/>
        <w:spacing w:line="360" w:lineRule="auto"/>
        <w:ind w:left="2159" w:leftChars="228" w:hanging="1680" w:hangingChars="7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6.1“招标人”指新疆医科大学第七附属医院</w:t>
      </w:r>
    </w:p>
    <w:p>
      <w:pPr>
        <w:widowControl/>
        <w:wordWrap w:val="0"/>
        <w:spacing w:line="360" w:lineRule="auto"/>
        <w:ind w:left="2159" w:leftChars="228" w:hanging="1680" w:hangingChars="7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6.2“委托方”指新疆医科大学第七附属医院</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6.3“招标方”指招标人和招标代理机构。</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6.4“投标人”指向招标人提交</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的单位。</w:t>
      </w:r>
    </w:p>
    <w:p>
      <w:pPr>
        <w:spacing w:line="360" w:lineRule="auto"/>
        <w:ind w:firstLine="480"/>
        <w:rPr>
          <w:rFonts w:hint="eastAsia" w:ascii="仿宋" w:hAnsi="仿宋" w:eastAsia="仿宋" w:cs="仿宋"/>
          <w:b/>
          <w:kern w:val="0"/>
          <w:sz w:val="24"/>
          <w:highlight w:val="none"/>
        </w:rPr>
      </w:pPr>
      <w:r>
        <w:rPr>
          <w:rFonts w:hint="eastAsia" w:ascii="仿宋" w:hAnsi="仿宋" w:eastAsia="仿宋" w:cs="仿宋"/>
          <w:b/>
          <w:kern w:val="0"/>
          <w:sz w:val="24"/>
          <w:highlight w:val="none"/>
        </w:rPr>
        <w:t>7、投标人资格要求</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7.1投标人资格要求见投标人须知前附表所述。</w:t>
      </w:r>
    </w:p>
    <w:p>
      <w:pPr>
        <w:spacing w:line="360" w:lineRule="auto"/>
        <w:ind w:firstLine="480"/>
        <w:rPr>
          <w:rFonts w:hint="eastAsia" w:ascii="仿宋" w:hAnsi="仿宋" w:eastAsia="仿宋" w:cs="仿宋"/>
          <w:b/>
          <w:kern w:val="0"/>
          <w:sz w:val="24"/>
          <w:highlight w:val="none"/>
        </w:rPr>
      </w:pPr>
      <w:r>
        <w:rPr>
          <w:rFonts w:hint="eastAsia" w:ascii="仿宋" w:hAnsi="仿宋" w:eastAsia="仿宋" w:cs="仿宋"/>
          <w:b/>
          <w:kern w:val="0"/>
          <w:sz w:val="24"/>
          <w:highlight w:val="none"/>
        </w:rPr>
        <w:t>8、招标代理服务费</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本次招标代理服务费由中标人承担。中标人必须在确定中标之日起三日内向代理机构支付服务费。招标代理</w:t>
      </w:r>
      <w:r>
        <w:rPr>
          <w:rFonts w:hint="eastAsia" w:ascii="仿宋" w:hAnsi="仿宋" w:eastAsia="仿宋" w:cs="仿宋"/>
          <w:sz w:val="24"/>
          <w:highlight w:val="none"/>
        </w:rPr>
        <w:t>服务费收费标准依据国家发展计划委员会文件（计价格[2002]1980号文）和（发改办价格[2003]857号文件）执行</w:t>
      </w:r>
    </w:p>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招标代理收费标准</w:t>
      </w:r>
    </w:p>
    <w:tbl>
      <w:tblPr>
        <w:tblStyle w:val="24"/>
        <w:tblW w:w="102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12"/>
        <w:gridCol w:w="2319"/>
        <w:gridCol w:w="2217"/>
        <w:gridCol w:w="22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3412" w:type="dxa"/>
            <w:tcBorders>
              <w:tl2br w:val="single" w:color="auto" w:sz="4" w:space="0"/>
            </w:tcBorders>
          </w:tcPr>
          <w:p>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             招标类别</w:t>
            </w:r>
          </w:p>
          <w:p>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成交价（万）</w:t>
            </w:r>
          </w:p>
        </w:tc>
        <w:tc>
          <w:tcPr>
            <w:tcW w:w="2319" w:type="dxa"/>
            <w:vAlign w:val="center"/>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货物招标取费标准</w:t>
            </w:r>
          </w:p>
        </w:tc>
        <w:tc>
          <w:tcPr>
            <w:tcW w:w="2217" w:type="dxa"/>
            <w:vAlign w:val="center"/>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服务招标取费标准</w:t>
            </w:r>
          </w:p>
        </w:tc>
        <w:tc>
          <w:tcPr>
            <w:tcW w:w="2268" w:type="dxa"/>
            <w:vAlign w:val="center"/>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100以下</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1.5%</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1.5%</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100-500</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1.1%</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0.8%</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500-1000</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0.8%</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0.45%</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1000-5000</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0.5%</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0.25%</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5000-10000</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0.25%</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0.1%</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10000-100000</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0.05%</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0.05%</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3412"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100000以上</w:t>
            </w:r>
          </w:p>
        </w:tc>
        <w:tc>
          <w:tcPr>
            <w:tcW w:w="2319"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0.01%</w:t>
            </w:r>
          </w:p>
        </w:tc>
        <w:tc>
          <w:tcPr>
            <w:tcW w:w="2217"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0.01%</w:t>
            </w:r>
          </w:p>
        </w:tc>
        <w:tc>
          <w:tcPr>
            <w:tcW w:w="2268" w:type="dxa"/>
          </w:tcPr>
          <w:p>
            <w:pPr>
              <w:spacing w:line="360" w:lineRule="auto"/>
              <w:jc w:val="center"/>
              <w:rPr>
                <w:rFonts w:hint="eastAsia" w:ascii="仿宋" w:hAnsi="仿宋" w:eastAsia="仿宋" w:cs="仿宋"/>
                <w:bCs/>
                <w:sz w:val="24"/>
                <w:highlight w:val="none"/>
              </w:rPr>
            </w:pPr>
            <w:r>
              <w:rPr>
                <w:rFonts w:hint="eastAsia" w:ascii="仿宋" w:hAnsi="仿宋" w:eastAsia="仿宋" w:cs="仿宋"/>
                <w:bCs/>
                <w:sz w:val="24"/>
                <w:highlight w:val="none"/>
              </w:rPr>
              <w:t>0.01%</w:t>
            </w:r>
          </w:p>
        </w:tc>
      </w:tr>
    </w:tbl>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招标代理服务收费按差额定率累进法计算。例如：某货物项目招标代理业务中标金额为200万元，计算招标代理服务收费额如下：</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100×1.5％=1.5万元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（200-100）万元×1.1％=1.1万元</w:t>
      </w:r>
    </w:p>
    <w:p>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合计收费=1.5+1.1=2.6万元。</w:t>
      </w:r>
    </w:p>
    <w:p>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9、</w:t>
      </w:r>
      <w:r>
        <w:rPr>
          <w:rFonts w:hint="eastAsia" w:ascii="仿宋" w:hAnsi="仿宋" w:eastAsia="仿宋" w:cs="仿宋"/>
          <w:b/>
          <w:kern w:val="0"/>
          <w:sz w:val="24"/>
          <w:highlight w:val="none"/>
        </w:rPr>
        <w:t>投标费用</w:t>
      </w:r>
    </w:p>
    <w:p>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9.1</w:t>
      </w:r>
      <w:r>
        <w:rPr>
          <w:rFonts w:hint="eastAsia" w:ascii="仿宋" w:hAnsi="仿宋" w:eastAsia="仿宋" w:cs="仿宋"/>
          <w:b/>
          <w:sz w:val="24"/>
          <w:highlight w:val="none"/>
          <w:u w:val="single"/>
        </w:rPr>
        <w:t>投标人应承担其编制</w:t>
      </w:r>
      <w:r>
        <w:rPr>
          <w:rFonts w:hint="eastAsia" w:ascii="仿宋" w:hAnsi="仿宋" w:eastAsia="仿宋" w:cs="仿宋"/>
          <w:b/>
          <w:sz w:val="24"/>
          <w:highlight w:val="none"/>
          <w:u w:val="single"/>
          <w:lang w:eastAsia="zh-CN"/>
        </w:rPr>
        <w:t>响应文件</w:t>
      </w:r>
      <w:r>
        <w:rPr>
          <w:rFonts w:hint="eastAsia" w:ascii="仿宋" w:hAnsi="仿宋" w:eastAsia="仿宋" w:cs="仿宋"/>
          <w:b/>
          <w:sz w:val="24"/>
          <w:highlight w:val="none"/>
          <w:u w:val="single"/>
        </w:rPr>
        <w:t>与递交</w:t>
      </w:r>
      <w:r>
        <w:rPr>
          <w:rFonts w:hint="eastAsia" w:ascii="仿宋" w:hAnsi="仿宋" w:eastAsia="仿宋" w:cs="仿宋"/>
          <w:b/>
          <w:sz w:val="24"/>
          <w:highlight w:val="none"/>
          <w:u w:val="single"/>
          <w:lang w:eastAsia="zh-CN"/>
        </w:rPr>
        <w:t>响应文件</w:t>
      </w:r>
      <w:r>
        <w:rPr>
          <w:rFonts w:hint="eastAsia" w:ascii="仿宋" w:hAnsi="仿宋" w:eastAsia="仿宋" w:cs="仿宋"/>
          <w:b/>
          <w:sz w:val="24"/>
          <w:highlight w:val="none"/>
          <w:u w:val="single"/>
        </w:rPr>
        <w:t>所涉及的一切费用，不论投标结果如何，招标人和招标代理机构在任何情况下无义务和责任承担这些费用</w:t>
      </w:r>
      <w:r>
        <w:rPr>
          <w:rFonts w:hint="eastAsia" w:ascii="仿宋" w:hAnsi="仿宋" w:eastAsia="仿宋" w:cs="仿宋"/>
          <w:b/>
          <w:sz w:val="24"/>
          <w:highlight w:val="none"/>
        </w:rPr>
        <w:t>。</w:t>
      </w:r>
    </w:p>
    <w:p>
      <w:pPr>
        <w:spacing w:line="360" w:lineRule="auto"/>
        <w:ind w:firstLine="482" w:firstLineChars="200"/>
        <w:rPr>
          <w:rFonts w:hint="eastAsia" w:ascii="仿宋" w:hAnsi="仿宋" w:eastAsia="仿宋" w:cs="仿宋"/>
          <w:kern w:val="0"/>
          <w:sz w:val="24"/>
          <w:highlight w:val="none"/>
        </w:rPr>
      </w:pPr>
      <w:r>
        <w:rPr>
          <w:rFonts w:hint="eastAsia" w:ascii="仿宋" w:hAnsi="仿宋" w:eastAsia="仿宋" w:cs="仿宋"/>
          <w:b/>
          <w:kern w:val="0"/>
          <w:sz w:val="24"/>
          <w:highlight w:val="none"/>
        </w:rPr>
        <w:t>10、保密</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10.1参与招标投标活动的各方应对</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和</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xml:space="preserve">中的商业和技术等秘密保密，违者应对由此造成的后果承担法律责任。 </w:t>
      </w:r>
    </w:p>
    <w:p>
      <w:pPr>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t xml:space="preserve">    11、语言文字</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11.1除专用术语外，与招标投标有关的语言均使用简体中文。必要时专用术语应附有简体中文注释。</w:t>
      </w:r>
    </w:p>
    <w:p>
      <w:pPr>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t xml:space="preserve">    12、计量单位</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12.1所有计量均采用中华人民共和国法定计量单位。</w:t>
      </w:r>
    </w:p>
    <w:p>
      <w:pPr>
        <w:spacing w:line="360" w:lineRule="auto"/>
        <w:ind w:firstLine="472" w:firstLineChars="196"/>
        <w:rPr>
          <w:rFonts w:hint="eastAsia" w:ascii="仿宋" w:hAnsi="仿宋" w:eastAsia="仿宋" w:cs="仿宋"/>
          <w:b/>
          <w:kern w:val="0"/>
          <w:sz w:val="24"/>
          <w:highlight w:val="none"/>
        </w:rPr>
      </w:pPr>
      <w:r>
        <w:rPr>
          <w:rFonts w:hint="eastAsia" w:ascii="仿宋" w:hAnsi="仿宋" w:eastAsia="仿宋" w:cs="仿宋"/>
          <w:b/>
          <w:kern w:val="0"/>
          <w:sz w:val="24"/>
          <w:highlight w:val="none"/>
        </w:rPr>
        <w:t>13、勘察现场</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13.1招标人不组织现场勘察，投标人可自行对项目现场及周围环境进行勘察，以便投标人获取需自己负责的有关编制</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和签署合同所需的所有资料，勘察现场所发生的费用由投标人自己承担。</w:t>
      </w:r>
    </w:p>
    <w:p>
      <w:pPr>
        <w:spacing w:line="360" w:lineRule="auto"/>
        <w:ind w:firstLine="480"/>
        <w:rPr>
          <w:rFonts w:hint="eastAsia" w:ascii="仿宋" w:hAnsi="仿宋" w:eastAsia="仿宋" w:cs="仿宋"/>
          <w:b/>
          <w:sz w:val="24"/>
          <w:highlight w:val="none"/>
        </w:rPr>
      </w:pPr>
      <w:r>
        <w:rPr>
          <w:rFonts w:hint="eastAsia" w:ascii="仿宋" w:hAnsi="仿宋" w:eastAsia="仿宋" w:cs="仿宋"/>
          <w:kern w:val="0"/>
          <w:sz w:val="24"/>
          <w:highlight w:val="none"/>
        </w:rPr>
        <w:t>13.2招标人向投标人提供的有关现场的资料和数据仅是招标人现有的能使投标人利用的资料。招标人对投标人由此而做出的推断、理解和结论概不负责。</w:t>
      </w:r>
    </w:p>
    <w:p>
      <w:pPr>
        <w:spacing w:line="360" w:lineRule="auto"/>
        <w:jc w:val="center"/>
        <w:rPr>
          <w:rFonts w:hint="eastAsia" w:ascii="仿宋" w:hAnsi="仿宋" w:eastAsia="仿宋" w:cs="仿宋"/>
          <w:b/>
          <w:sz w:val="24"/>
          <w:highlight w:val="none"/>
          <w:lang w:eastAsia="zh-CN"/>
        </w:rPr>
      </w:pPr>
      <w:r>
        <w:rPr>
          <w:rFonts w:hint="eastAsia" w:ascii="仿宋" w:hAnsi="仿宋" w:eastAsia="仿宋" w:cs="仿宋"/>
          <w:b/>
          <w:sz w:val="24"/>
          <w:highlight w:val="none"/>
        </w:rPr>
        <w:t>二、</w:t>
      </w:r>
      <w:r>
        <w:rPr>
          <w:rFonts w:hint="eastAsia" w:ascii="仿宋" w:hAnsi="仿宋" w:eastAsia="仿宋" w:cs="仿宋"/>
          <w:b/>
          <w:sz w:val="24"/>
          <w:highlight w:val="none"/>
          <w:lang w:eastAsia="zh-CN"/>
        </w:rPr>
        <w:t>磋商文件</w:t>
      </w:r>
    </w:p>
    <w:p>
      <w:pPr>
        <w:spacing w:line="360" w:lineRule="auto"/>
        <w:ind w:firstLine="482"/>
        <w:rPr>
          <w:rFonts w:hint="eastAsia" w:ascii="仿宋" w:hAnsi="仿宋" w:eastAsia="仿宋" w:cs="仿宋"/>
          <w:b/>
          <w:kern w:val="0"/>
          <w:sz w:val="24"/>
          <w:highlight w:val="none"/>
        </w:rPr>
      </w:pPr>
      <w:r>
        <w:rPr>
          <w:rFonts w:hint="eastAsia" w:ascii="仿宋" w:hAnsi="仿宋" w:eastAsia="仿宋" w:cs="仿宋"/>
          <w:b/>
          <w:kern w:val="0"/>
          <w:sz w:val="24"/>
          <w:highlight w:val="none"/>
        </w:rPr>
        <w:t>14、</w:t>
      </w:r>
      <w:r>
        <w:rPr>
          <w:rFonts w:hint="eastAsia" w:ascii="仿宋" w:hAnsi="仿宋" w:eastAsia="仿宋" w:cs="仿宋"/>
          <w:b/>
          <w:kern w:val="0"/>
          <w:sz w:val="24"/>
          <w:highlight w:val="none"/>
          <w:lang w:eastAsia="zh-CN"/>
        </w:rPr>
        <w:t>磋商文件</w:t>
      </w:r>
      <w:r>
        <w:rPr>
          <w:rFonts w:hint="eastAsia" w:ascii="仿宋" w:hAnsi="仿宋" w:eastAsia="仿宋" w:cs="仿宋"/>
          <w:b/>
          <w:kern w:val="0"/>
          <w:sz w:val="24"/>
          <w:highlight w:val="none"/>
        </w:rPr>
        <w:t>的组成</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14.1</w:t>
      </w:r>
      <w:r>
        <w:rPr>
          <w:rFonts w:hint="eastAsia" w:ascii="仿宋" w:hAnsi="仿宋" w:eastAsia="仿宋" w:cs="仿宋"/>
          <w:kern w:val="0"/>
          <w:sz w:val="24"/>
          <w:highlight w:val="none"/>
          <w:lang w:eastAsia="zh-CN"/>
        </w:rPr>
        <w:t>竞争性磋商公告</w:t>
      </w:r>
      <w:r>
        <w:rPr>
          <w:rFonts w:hint="eastAsia" w:ascii="仿宋" w:hAnsi="仿宋" w:eastAsia="仿宋" w:cs="仿宋"/>
          <w:kern w:val="0"/>
          <w:sz w:val="24"/>
          <w:highlight w:val="none"/>
        </w:rPr>
        <w:t>；</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14.2投标人须知；</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14.3合同条件及格式；</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14.4技术标准及要求；</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14.5</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格式。</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14.6招标人在招标期间发出的问题答复、补遗和其他正式函件，均作为</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的组成部分，投标人应一并阅读。</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14.7 投标人应认真审阅</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中所有的事项、格式、条款和规范要求等，若投标人的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没有按</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要求提交全部资料，或</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没有对</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做出实质性响应，其风险由投标人自行承担，并根据有关条款规定，该投标有可能被拒绝。</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b/>
          <w:kern w:val="0"/>
          <w:sz w:val="24"/>
          <w:highlight w:val="none"/>
        </w:rPr>
        <w:t>15、</w:t>
      </w:r>
      <w:r>
        <w:rPr>
          <w:rFonts w:hint="eastAsia" w:ascii="仿宋" w:hAnsi="仿宋" w:eastAsia="仿宋" w:cs="仿宋"/>
          <w:b/>
          <w:kern w:val="0"/>
          <w:sz w:val="24"/>
          <w:highlight w:val="none"/>
          <w:lang w:eastAsia="zh-CN"/>
        </w:rPr>
        <w:t>磋商文件</w:t>
      </w:r>
      <w:r>
        <w:rPr>
          <w:rFonts w:hint="eastAsia" w:ascii="仿宋" w:hAnsi="仿宋" w:eastAsia="仿宋" w:cs="仿宋"/>
          <w:b/>
          <w:kern w:val="0"/>
          <w:sz w:val="24"/>
          <w:highlight w:val="none"/>
        </w:rPr>
        <w:t>的答疑、澄清与修改</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15.1投标人应仔细阅读和检查</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的全部内容。如发现缺页或附件不全，应及时向招标人提出，以便补齐。如有疑问，投标人应在投标截止时间</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日前以书面形式（加盖鲜章），要求招标人对</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予以澄清。</w:t>
      </w:r>
    </w:p>
    <w:p>
      <w:pPr>
        <w:spacing w:line="360" w:lineRule="auto"/>
        <w:ind w:firstLine="480"/>
        <w:rPr>
          <w:rFonts w:hint="eastAsia" w:ascii="仿宋" w:hAnsi="仿宋" w:eastAsia="仿宋" w:cs="仿宋"/>
          <w:b/>
          <w:sz w:val="24"/>
          <w:highlight w:val="none"/>
        </w:rPr>
      </w:pPr>
      <w:r>
        <w:rPr>
          <w:rFonts w:hint="eastAsia" w:ascii="仿宋" w:hAnsi="仿宋" w:eastAsia="仿宋" w:cs="仿宋"/>
          <w:kern w:val="0"/>
          <w:sz w:val="24"/>
          <w:highlight w:val="none"/>
        </w:rPr>
        <w:t>15.2招标人对已发出的</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进行必要的答疑、澄清或者修改，答疑、澄清或者修改的内容可能影响</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编制的，招标人应当在收到答疑问题、需要进行澄清或者修改内容后24小时内以书面形式（包括信函、电报、传真等可以有形地表现所载内容的形式）回复，且不指明答疑、澄清或者修改问题的来源。如果答疑、澄清或者修改文件发出的时间距投标人须知前附表规定的投标截止时间不足的，并且答疑、澄清或者修改内容影响</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xml:space="preserve">编制的，将相应延长投标截止时间。 </w:t>
      </w:r>
    </w:p>
    <w:p>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三、</w:t>
      </w:r>
      <w:r>
        <w:rPr>
          <w:rFonts w:hint="eastAsia" w:ascii="仿宋" w:hAnsi="仿宋" w:eastAsia="仿宋" w:cs="仿宋"/>
          <w:b/>
          <w:sz w:val="24"/>
          <w:highlight w:val="none"/>
          <w:lang w:eastAsia="zh-CN"/>
        </w:rPr>
        <w:t>响应文件</w:t>
      </w:r>
      <w:r>
        <w:rPr>
          <w:rFonts w:hint="eastAsia" w:ascii="仿宋" w:hAnsi="仿宋" w:eastAsia="仿宋" w:cs="仿宋"/>
          <w:b/>
          <w:sz w:val="24"/>
          <w:highlight w:val="none"/>
        </w:rPr>
        <w:t>的编制</w:t>
      </w:r>
    </w:p>
    <w:p>
      <w:pPr>
        <w:spacing w:line="360" w:lineRule="auto"/>
        <w:rPr>
          <w:rFonts w:hint="eastAsia" w:ascii="仿宋" w:hAnsi="仿宋" w:eastAsia="仿宋" w:cs="仿宋"/>
          <w:b/>
          <w:kern w:val="0"/>
          <w:sz w:val="24"/>
          <w:highlight w:val="none"/>
        </w:rPr>
      </w:pPr>
      <w:r>
        <w:rPr>
          <w:rFonts w:hint="eastAsia" w:ascii="仿宋" w:hAnsi="仿宋" w:eastAsia="仿宋" w:cs="仿宋"/>
          <w:b/>
          <w:kern w:val="0"/>
          <w:sz w:val="24"/>
          <w:highlight w:val="none"/>
        </w:rPr>
        <w:t xml:space="preserve">    16、</w:t>
      </w:r>
      <w:r>
        <w:rPr>
          <w:rFonts w:hint="eastAsia" w:ascii="仿宋" w:hAnsi="仿宋" w:eastAsia="仿宋" w:cs="仿宋"/>
          <w:b/>
          <w:kern w:val="0"/>
          <w:sz w:val="24"/>
          <w:highlight w:val="none"/>
          <w:lang w:eastAsia="zh-CN"/>
        </w:rPr>
        <w:t>响应文件</w:t>
      </w:r>
      <w:r>
        <w:rPr>
          <w:rFonts w:hint="eastAsia" w:ascii="仿宋" w:hAnsi="仿宋" w:eastAsia="仿宋" w:cs="仿宋"/>
          <w:b/>
          <w:kern w:val="0"/>
          <w:sz w:val="24"/>
          <w:highlight w:val="none"/>
        </w:rPr>
        <w:t>的语言</w:t>
      </w:r>
    </w:p>
    <w:p>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16.1投标人应认真检查</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是否齐全，同时应阅读</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所有的内容，按照</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的要求编制</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应当对</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提出的要求和条件做出实质性响应。</w:t>
      </w:r>
    </w:p>
    <w:p>
      <w:pPr>
        <w:spacing w:line="360" w:lineRule="auto"/>
        <w:ind w:firstLine="480"/>
        <w:rPr>
          <w:rFonts w:hint="eastAsia" w:ascii="仿宋" w:hAnsi="仿宋" w:eastAsia="仿宋" w:cs="仿宋"/>
          <w:b/>
          <w:kern w:val="0"/>
          <w:sz w:val="24"/>
          <w:highlight w:val="none"/>
        </w:rPr>
      </w:pPr>
      <w:r>
        <w:rPr>
          <w:rFonts w:hint="eastAsia" w:ascii="仿宋" w:hAnsi="仿宋" w:eastAsia="仿宋" w:cs="仿宋"/>
          <w:b/>
          <w:kern w:val="0"/>
          <w:sz w:val="24"/>
          <w:highlight w:val="none"/>
        </w:rPr>
        <w:t>17、</w:t>
      </w:r>
      <w:r>
        <w:rPr>
          <w:rFonts w:hint="eastAsia" w:ascii="仿宋" w:hAnsi="仿宋" w:eastAsia="仿宋" w:cs="仿宋"/>
          <w:b/>
          <w:kern w:val="0"/>
          <w:sz w:val="24"/>
          <w:highlight w:val="none"/>
          <w:lang w:eastAsia="zh-CN"/>
        </w:rPr>
        <w:t>响应文件</w:t>
      </w:r>
      <w:r>
        <w:rPr>
          <w:rFonts w:hint="eastAsia" w:ascii="仿宋" w:hAnsi="仿宋" w:eastAsia="仿宋" w:cs="仿宋"/>
          <w:b/>
          <w:kern w:val="0"/>
          <w:sz w:val="24"/>
          <w:highlight w:val="none"/>
        </w:rPr>
        <w:t>的组成（应包含但不限于以下内容）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（1）投标承诺书；</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（2）投标报价一览表；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经济标</w:t>
      </w:r>
      <w:r>
        <w:rPr>
          <w:rFonts w:hint="eastAsia" w:ascii="仿宋" w:hAnsi="仿宋" w:eastAsia="仿宋" w:cs="仿宋"/>
          <w:sz w:val="24"/>
          <w:highlight w:val="none"/>
        </w:rPr>
        <w:t>；</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（4）法定代表人身份证明书；</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（5）法定代表人授权委托书；</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（6）供应商自述；</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（7）</w:t>
      </w:r>
      <w:r>
        <w:rPr>
          <w:rFonts w:hint="eastAsia" w:ascii="仿宋" w:hAnsi="仿宋" w:eastAsia="仿宋" w:cs="仿宋"/>
          <w:sz w:val="24"/>
          <w:highlight w:val="none"/>
        </w:rPr>
        <w:t>备品备件、易损件及专用工具供应清单；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（8）售后服务承诺；</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（9）技术方案；</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w:t>
      </w:r>
      <w:r>
        <w:rPr>
          <w:rFonts w:hint="eastAsia" w:ascii="仿宋" w:hAnsi="仿宋" w:eastAsia="仿宋" w:cs="仿宋"/>
          <w:sz w:val="24"/>
          <w:highlight w:val="none"/>
        </w:rPr>
        <w:t>2018年至今业绩一览表；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（11）商务条款、技术规格偏离表；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（12）《反商业贿赂承诺书》；</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（13）中小企业声明函；</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（14）无重大违法记录声明书；</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（15）其他附表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（16）投标人认为有必要提供的其他内容。</w:t>
      </w:r>
    </w:p>
    <w:p>
      <w:pPr>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bCs/>
          <w:kern w:val="0"/>
          <w:sz w:val="24"/>
          <w:highlight w:val="none"/>
        </w:rPr>
        <w:t>18、投标报价</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18.1</w:t>
      </w:r>
      <w:r>
        <w:rPr>
          <w:rFonts w:hint="eastAsia" w:ascii="仿宋" w:hAnsi="仿宋" w:eastAsia="仿宋" w:cs="仿宋"/>
          <w:sz w:val="24"/>
          <w:highlight w:val="none"/>
        </w:rPr>
        <w:t>投标报价应为送达至业主指定地点的全部费用价格。投标报价应包括：货物费、备品备件费、包装费、运杂费、保险费、装卸费、材料费、保管费及项目所涉及其他费用等，即货物到达交货地点落地所发生的直至验收合格交付使用的一切费用及质保期内售后服务的费用，报价价格不因出厂价、税率、铁路、公路、水路的运输价格的调整而发生变化。</w:t>
      </w:r>
    </w:p>
    <w:p>
      <w:pPr>
        <w:pStyle w:val="35"/>
        <w:snapToGrid w:val="0"/>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投标人的报价明细表与投标报价单不一致时以报价明细表中合价累计为准，并对投标总报价进行修正；若文字和数字表示的金额之间有差异，则以文字表示的金额为准，并对数字表示的金额做相应的修正。若投标人拒不接受前述修正，将有可能导致其</w:t>
      </w:r>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被否决。</w:t>
      </w:r>
    </w:p>
    <w:p>
      <w:pPr>
        <w:pStyle w:val="35"/>
        <w:snapToGrid w:val="0"/>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18.3投标报价须按规定及要求使用的表格及格式填写（详见已给定的工程量清单），任何有选择的报价将不予接受，对每种货物只允许有一个报价。投标报价应使用人民币进行报价。</w:t>
      </w:r>
    </w:p>
    <w:p>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sz w:val="24"/>
          <w:highlight w:val="none"/>
        </w:rPr>
        <w:t>18.4</w:t>
      </w:r>
      <w:r>
        <w:rPr>
          <w:rFonts w:hint="eastAsia" w:ascii="仿宋" w:hAnsi="仿宋" w:eastAsia="仿宋" w:cs="仿宋"/>
          <w:b/>
          <w:bCs/>
          <w:kern w:val="0"/>
          <w:sz w:val="24"/>
          <w:highlight w:val="none"/>
        </w:rPr>
        <w:t>招标人设定本项目最高限价为</w:t>
      </w:r>
      <w:r>
        <w:rPr>
          <w:rFonts w:hint="eastAsia" w:ascii="仿宋" w:hAnsi="仿宋" w:eastAsia="仿宋" w:cs="仿宋"/>
          <w:kern w:val="0"/>
          <w:sz w:val="24"/>
          <w:highlight w:val="none"/>
          <w:lang w:eastAsia="zh-CN"/>
        </w:rPr>
        <w:t>7554662.91</w:t>
      </w:r>
      <w:r>
        <w:rPr>
          <w:rFonts w:hint="eastAsia" w:ascii="仿宋" w:hAnsi="仿宋" w:eastAsia="仿宋" w:cs="仿宋"/>
          <w:b/>
          <w:bCs/>
          <w:kern w:val="0"/>
          <w:sz w:val="24"/>
          <w:highlight w:val="none"/>
        </w:rPr>
        <w:t>元，各供应商的投标所报总价不得超过上述投标限价,所有高于限价的将被视为无效投标报价，不参与评标。</w:t>
      </w:r>
      <w:r>
        <w:rPr>
          <w:rFonts w:hint="eastAsia" w:ascii="仿宋" w:hAnsi="仿宋" w:eastAsia="仿宋" w:cs="仿宋"/>
          <w:b/>
          <w:bCs/>
          <w:kern w:val="0"/>
          <w:sz w:val="24"/>
          <w:highlight w:val="none"/>
          <w:lang w:eastAsia="zh-CN"/>
        </w:rPr>
        <w:t>磋商小组</w:t>
      </w:r>
      <w:r>
        <w:rPr>
          <w:rFonts w:hint="eastAsia" w:ascii="仿宋" w:hAnsi="仿宋" w:eastAsia="仿宋" w:cs="仿宋"/>
          <w:b/>
          <w:bCs/>
          <w:kern w:val="0"/>
          <w:sz w:val="24"/>
          <w:highlight w:val="none"/>
        </w:rPr>
        <w:t>发现投标人的报价明显低于其他投标报价，或者在设有标底时明显低于标底，使得其投标报价可能低于其个别成本的，应当要求该投标人做出书面说明并提供相应的证明材料。</w:t>
      </w:r>
    </w:p>
    <w:p>
      <w:pPr>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19、投标有效期</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19.1本项目的投标有效期为</w:t>
      </w:r>
      <w:r>
        <w:rPr>
          <w:rFonts w:hint="eastAsia" w:ascii="仿宋" w:hAnsi="仿宋" w:eastAsia="仿宋" w:cs="仿宋"/>
          <w:bCs w:val="0"/>
          <w:highlight w:val="none"/>
        </w:rPr>
        <w:t>60</w:t>
      </w:r>
      <w:r>
        <w:rPr>
          <w:rFonts w:hint="eastAsia" w:ascii="仿宋" w:hAnsi="仿宋" w:eastAsia="仿宋" w:cs="仿宋"/>
          <w:b w:val="0"/>
          <w:bCs w:val="0"/>
          <w:highlight w:val="none"/>
        </w:rPr>
        <w:t>日历天（从投标截止之日起），投标人不得要求撤销或修改其</w:t>
      </w:r>
      <w:r>
        <w:rPr>
          <w:rFonts w:hint="eastAsia" w:ascii="仿宋" w:hAnsi="仿宋" w:eastAsia="仿宋" w:cs="仿宋"/>
          <w:b w:val="0"/>
          <w:bCs w:val="0"/>
          <w:highlight w:val="none"/>
          <w:lang w:eastAsia="zh-CN"/>
        </w:rPr>
        <w:t>响应文件</w:t>
      </w:r>
      <w:r>
        <w:rPr>
          <w:rFonts w:hint="eastAsia" w:ascii="仿宋" w:hAnsi="仿宋" w:eastAsia="仿宋" w:cs="仿宋"/>
          <w:b w:val="0"/>
          <w:bCs w:val="0"/>
          <w:highlight w:val="none"/>
        </w:rPr>
        <w:t>；</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19.2出现特殊情况需要延长投标有效期的，招标人以书面形式通知所有投标人延长投标有效期。投标人同意延长的，应相应延长其投标保证金的有效期，但不得要求或被允许修改或撤销其</w:t>
      </w:r>
      <w:r>
        <w:rPr>
          <w:rFonts w:hint="eastAsia" w:ascii="仿宋" w:hAnsi="仿宋" w:eastAsia="仿宋" w:cs="仿宋"/>
          <w:b w:val="0"/>
          <w:bCs w:val="0"/>
          <w:highlight w:val="none"/>
          <w:lang w:eastAsia="zh-CN"/>
        </w:rPr>
        <w:t>响应文件</w:t>
      </w:r>
      <w:r>
        <w:rPr>
          <w:rFonts w:hint="eastAsia" w:ascii="仿宋" w:hAnsi="仿宋" w:eastAsia="仿宋" w:cs="仿宋"/>
          <w:b w:val="0"/>
          <w:bCs w:val="0"/>
          <w:highlight w:val="none"/>
        </w:rPr>
        <w:t>；投标人拒绝延长的，其投标失效，但投标人有权收回其投标保证金。</w:t>
      </w:r>
    </w:p>
    <w:p>
      <w:pPr>
        <w:pStyle w:val="5"/>
        <w:spacing w:line="360" w:lineRule="auto"/>
        <w:ind w:left="0" w:firstLine="482" w:firstLineChars="200"/>
        <w:rPr>
          <w:rFonts w:hint="eastAsia" w:ascii="仿宋" w:hAnsi="仿宋" w:eastAsia="仿宋" w:cs="仿宋"/>
          <w:bCs w:val="0"/>
          <w:highlight w:val="none"/>
        </w:rPr>
      </w:pPr>
      <w:r>
        <w:rPr>
          <w:rFonts w:hint="eastAsia" w:ascii="仿宋" w:hAnsi="仿宋" w:eastAsia="仿宋" w:cs="仿宋"/>
          <w:bCs w:val="0"/>
          <w:highlight w:val="none"/>
        </w:rPr>
        <w:t>20、投标保证金</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20.1投标人须知前附表规定递交投标保证金的，投标人在递交</w:t>
      </w:r>
      <w:r>
        <w:rPr>
          <w:rFonts w:hint="eastAsia" w:ascii="仿宋" w:hAnsi="仿宋" w:eastAsia="仿宋" w:cs="仿宋"/>
          <w:b w:val="0"/>
          <w:bCs w:val="0"/>
          <w:highlight w:val="none"/>
          <w:lang w:eastAsia="zh-CN"/>
        </w:rPr>
        <w:t>响应文件</w:t>
      </w:r>
      <w:r>
        <w:rPr>
          <w:rFonts w:hint="eastAsia" w:ascii="仿宋" w:hAnsi="仿宋" w:eastAsia="仿宋" w:cs="仿宋"/>
          <w:b w:val="0"/>
          <w:bCs w:val="0"/>
          <w:highlight w:val="none"/>
        </w:rPr>
        <w:t>的同时，应按投标人须知前附表规定的金额、缴纳方式及时间缴纳投标保证金，并作为其</w:t>
      </w:r>
      <w:r>
        <w:rPr>
          <w:rFonts w:hint="eastAsia" w:ascii="仿宋" w:hAnsi="仿宋" w:eastAsia="仿宋" w:cs="仿宋"/>
          <w:b w:val="0"/>
          <w:bCs w:val="0"/>
          <w:highlight w:val="none"/>
          <w:lang w:eastAsia="zh-CN"/>
        </w:rPr>
        <w:t>响应文件</w:t>
      </w:r>
      <w:r>
        <w:rPr>
          <w:rFonts w:hint="eastAsia" w:ascii="仿宋" w:hAnsi="仿宋" w:eastAsia="仿宋" w:cs="仿宋"/>
          <w:b w:val="0"/>
          <w:bCs w:val="0"/>
          <w:highlight w:val="none"/>
        </w:rPr>
        <w:t>的组成部分；</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20.2投标人不按要求提交投标保证金的，</w:t>
      </w:r>
      <w:r>
        <w:rPr>
          <w:rFonts w:hint="eastAsia" w:ascii="仿宋" w:hAnsi="仿宋" w:eastAsia="仿宋" w:cs="仿宋"/>
          <w:b w:val="0"/>
          <w:bCs w:val="0"/>
          <w:highlight w:val="none"/>
          <w:lang w:eastAsia="zh-CN"/>
        </w:rPr>
        <w:t>磋商小组</w:t>
      </w:r>
      <w:r>
        <w:rPr>
          <w:rFonts w:hint="eastAsia" w:ascii="仿宋" w:hAnsi="仿宋" w:eastAsia="仿宋" w:cs="仿宋"/>
          <w:b w:val="0"/>
          <w:bCs w:val="0"/>
          <w:highlight w:val="none"/>
        </w:rPr>
        <w:t>将否决其投标；</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20.3投标保证金由招标代理机构自中标通知书发出之日起5个工作日内退还未中标投标单位的投标保证金，自政府采购合同签订之日起5个工作日内退还中标单位的投标保证金。（所有保证金均退返原账户）。</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20.4有下列情形之一的，投标保证金将不予退还：</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（1）投标有效期内，投标人撤回</w:t>
      </w:r>
      <w:r>
        <w:rPr>
          <w:rFonts w:hint="eastAsia" w:ascii="仿宋" w:hAnsi="仿宋" w:eastAsia="仿宋" w:cs="仿宋"/>
          <w:b w:val="0"/>
          <w:bCs w:val="0"/>
          <w:highlight w:val="none"/>
          <w:lang w:eastAsia="zh-CN"/>
        </w:rPr>
        <w:t>响应文件</w:t>
      </w:r>
      <w:r>
        <w:rPr>
          <w:rFonts w:hint="eastAsia" w:ascii="仿宋" w:hAnsi="仿宋" w:eastAsia="仿宋" w:cs="仿宋"/>
          <w:b w:val="0"/>
          <w:bCs w:val="0"/>
          <w:highlight w:val="none"/>
        </w:rPr>
        <w:t>；</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（2）中标通知书发出后，除不可抗力外，放弃中标的；</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（3）拒不按照</w:t>
      </w:r>
      <w:r>
        <w:rPr>
          <w:rFonts w:hint="eastAsia" w:ascii="仿宋" w:hAnsi="仿宋" w:eastAsia="仿宋" w:cs="仿宋"/>
          <w:b w:val="0"/>
          <w:bCs w:val="0"/>
          <w:highlight w:val="none"/>
          <w:lang w:eastAsia="zh-CN"/>
        </w:rPr>
        <w:t>磋商文件</w:t>
      </w:r>
      <w:r>
        <w:rPr>
          <w:rFonts w:hint="eastAsia" w:ascii="仿宋" w:hAnsi="仿宋" w:eastAsia="仿宋" w:cs="仿宋"/>
          <w:b w:val="0"/>
          <w:bCs w:val="0"/>
          <w:highlight w:val="none"/>
        </w:rPr>
        <w:t>的要求提交履约保证金的；</w:t>
      </w:r>
    </w:p>
    <w:p>
      <w:pPr>
        <w:pStyle w:val="5"/>
        <w:spacing w:line="360" w:lineRule="auto"/>
        <w:ind w:left="0" w:firstLine="480" w:firstLineChars="200"/>
        <w:rPr>
          <w:rFonts w:hint="eastAsia" w:ascii="仿宋" w:hAnsi="仿宋" w:eastAsia="仿宋" w:cs="仿宋"/>
          <w:b w:val="0"/>
          <w:bCs w:val="0"/>
          <w:highlight w:val="none"/>
        </w:rPr>
      </w:pPr>
      <w:r>
        <w:rPr>
          <w:rFonts w:hint="eastAsia" w:ascii="仿宋" w:hAnsi="仿宋" w:eastAsia="仿宋" w:cs="仿宋"/>
          <w:b w:val="0"/>
          <w:bCs w:val="0"/>
          <w:highlight w:val="none"/>
        </w:rPr>
        <w:t>（4）不与招标人签订合同的，或者在签订合同时向招标人提出附加条件或者更改合同实质性内容要求的。</w:t>
      </w:r>
    </w:p>
    <w:p>
      <w:pPr>
        <w:pStyle w:val="5"/>
        <w:spacing w:line="360" w:lineRule="auto"/>
        <w:ind w:left="0" w:firstLine="482" w:firstLineChars="200"/>
        <w:rPr>
          <w:rFonts w:hint="eastAsia" w:ascii="仿宋" w:hAnsi="仿宋" w:eastAsia="仿宋" w:cs="仿宋"/>
          <w:b w:val="0"/>
          <w:bCs w:val="0"/>
          <w:highlight w:val="none"/>
        </w:rPr>
      </w:pPr>
      <w:r>
        <w:rPr>
          <w:rFonts w:hint="eastAsia" w:ascii="仿宋" w:hAnsi="仿宋" w:eastAsia="仿宋" w:cs="仿宋"/>
          <w:highlight w:val="none"/>
        </w:rPr>
        <w:t>21、</w:t>
      </w:r>
      <w:r>
        <w:rPr>
          <w:rFonts w:hint="eastAsia" w:ascii="仿宋" w:hAnsi="仿宋" w:eastAsia="仿宋" w:cs="仿宋"/>
          <w:highlight w:val="none"/>
          <w:lang w:eastAsia="zh-CN"/>
        </w:rPr>
        <w:t>响应文件</w:t>
      </w:r>
      <w:r>
        <w:rPr>
          <w:rFonts w:hint="eastAsia" w:ascii="仿宋" w:hAnsi="仿宋" w:eastAsia="仿宋" w:cs="仿宋"/>
          <w:highlight w:val="none"/>
        </w:rPr>
        <w:t>的编制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应按第五章“</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格式”进行编写，如有必要，可以增加附页，作为</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的组成部分；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应当对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有关供货期、投标有效期、质量要求、产品规格和要求、招标范围等实质性内容做出响应；</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字迹应清晰易于辨认，建议采用A4规格纸张打印并胶装以便于保存，并由投标人的法定代表人或其委托代理人签字并盖单位章。委托代理人签字的，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应附法定代表人签署的授权委托书。签字或盖章的具体要求见投标人须知前附表。</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不允许涂改、行间插字或删除。</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正本一份, 副本四份，投标报价表一份。正本和副本的封面上应清楚地标记“正本”或“副本”的字样。当副本和正本不一致时，以正本为准；</w:t>
      </w:r>
    </w:p>
    <w:p>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21.5</w:t>
      </w:r>
      <w:r>
        <w:rPr>
          <w:rFonts w:hint="eastAsia" w:ascii="仿宋" w:hAnsi="仿宋" w:eastAsia="仿宋" w:cs="仿宋"/>
          <w:b/>
          <w:sz w:val="24"/>
          <w:highlight w:val="none"/>
          <w:u w:val="single"/>
          <w:lang w:eastAsia="zh-CN"/>
        </w:rPr>
        <w:t>响应文件</w:t>
      </w:r>
      <w:r>
        <w:rPr>
          <w:rFonts w:hint="eastAsia" w:ascii="仿宋" w:hAnsi="仿宋" w:eastAsia="仿宋" w:cs="仿宋"/>
          <w:b/>
          <w:sz w:val="24"/>
          <w:highlight w:val="none"/>
          <w:u w:val="single"/>
        </w:rPr>
        <w:t>的正本与副本应分别装订成册，</w:t>
      </w:r>
      <w:r>
        <w:rPr>
          <w:rFonts w:hint="eastAsia" w:ascii="仿宋" w:hAnsi="仿宋" w:eastAsia="仿宋" w:cs="仿宋"/>
          <w:b/>
          <w:sz w:val="24"/>
          <w:highlight w:val="none"/>
          <w:u w:val="single"/>
          <w:lang w:eastAsia="zh-CN"/>
        </w:rPr>
        <w:t>响应文件</w:t>
      </w:r>
      <w:r>
        <w:rPr>
          <w:rFonts w:hint="eastAsia" w:ascii="仿宋" w:hAnsi="仿宋" w:eastAsia="仿宋" w:cs="仿宋"/>
          <w:b/>
          <w:sz w:val="24"/>
          <w:highlight w:val="none"/>
          <w:u w:val="single"/>
        </w:rPr>
        <w:t>应编制目录并建议采用死页胶装方式装订，装订应牢固、不易拆散和换页。”</w:t>
      </w:r>
    </w:p>
    <w:p>
      <w:pPr>
        <w:spacing w:line="520" w:lineRule="exact"/>
        <w:jc w:val="center"/>
        <w:rPr>
          <w:rFonts w:hint="eastAsia" w:ascii="仿宋" w:hAnsi="仿宋" w:eastAsia="仿宋" w:cs="仿宋"/>
          <w:b/>
          <w:sz w:val="24"/>
          <w:highlight w:val="none"/>
        </w:rPr>
      </w:pPr>
      <w:r>
        <w:rPr>
          <w:rFonts w:hint="eastAsia" w:ascii="仿宋" w:hAnsi="仿宋" w:eastAsia="仿宋" w:cs="仿宋"/>
          <w:b/>
          <w:sz w:val="24"/>
          <w:highlight w:val="none"/>
        </w:rPr>
        <w:t>四、</w:t>
      </w:r>
      <w:r>
        <w:rPr>
          <w:rFonts w:hint="eastAsia" w:ascii="仿宋" w:hAnsi="仿宋" w:eastAsia="仿宋" w:cs="仿宋"/>
          <w:b/>
          <w:sz w:val="24"/>
          <w:highlight w:val="none"/>
          <w:lang w:eastAsia="zh-CN"/>
        </w:rPr>
        <w:t>响应文件</w:t>
      </w:r>
      <w:r>
        <w:rPr>
          <w:rFonts w:hint="eastAsia" w:ascii="仿宋" w:hAnsi="仿宋" w:eastAsia="仿宋" w:cs="仿宋"/>
          <w:b/>
          <w:sz w:val="24"/>
          <w:highlight w:val="none"/>
        </w:rPr>
        <w:t>的密封和递交</w:t>
      </w:r>
    </w:p>
    <w:p>
      <w:pPr>
        <w:spacing w:line="52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22、</w:t>
      </w:r>
      <w:r>
        <w:rPr>
          <w:rFonts w:hint="eastAsia" w:ascii="仿宋" w:hAnsi="仿宋" w:eastAsia="仿宋" w:cs="仿宋"/>
          <w:b/>
          <w:bCs/>
          <w:sz w:val="24"/>
          <w:highlight w:val="none"/>
          <w:lang w:eastAsia="zh-CN"/>
        </w:rPr>
        <w:t>响应文件</w:t>
      </w:r>
      <w:r>
        <w:rPr>
          <w:rFonts w:hint="eastAsia" w:ascii="仿宋" w:hAnsi="仿宋" w:eastAsia="仿宋" w:cs="仿宋"/>
          <w:b/>
          <w:bCs/>
          <w:sz w:val="24"/>
          <w:highlight w:val="none"/>
        </w:rPr>
        <w:t>的密封与标志，要求密封完整，标志清晰：</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要求“</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”、“投标报价表”分别成册，且在</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的封面上应清楚地标明“</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”、在投标报价表的封面上应清楚的写明“投标报价表”字样。</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”、“投标报价表”、“原件资料”、“电子版”分别单独密封，外包封套上应写明项目编号、项目名称、投标人名称和有“在（</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中规定的投标截止日期和时间）之前不得启封”的字样，并加盖投标人公章和法定代表人（或其委托代理人）的印章。</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23、提交</w:t>
      </w:r>
      <w:r>
        <w:rPr>
          <w:rFonts w:hint="eastAsia" w:ascii="仿宋" w:hAnsi="仿宋" w:eastAsia="仿宋" w:cs="仿宋"/>
          <w:b/>
          <w:bCs/>
          <w:sz w:val="24"/>
          <w:highlight w:val="none"/>
          <w:lang w:eastAsia="zh-CN"/>
        </w:rPr>
        <w:t>响应文件</w:t>
      </w:r>
      <w:r>
        <w:rPr>
          <w:rFonts w:hint="eastAsia" w:ascii="仿宋" w:hAnsi="仿宋" w:eastAsia="仿宋" w:cs="仿宋"/>
          <w:b/>
          <w:bCs/>
          <w:sz w:val="24"/>
          <w:highlight w:val="none"/>
        </w:rPr>
        <w:t>截止时间</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23.1投标人须在前附表中规定的提交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截止时间（开标时间）前将</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送达规定的地点。在本</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规定的提交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截止时间后送达的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，招标人不予受理。</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24、</w:t>
      </w:r>
      <w:r>
        <w:rPr>
          <w:rFonts w:hint="eastAsia" w:ascii="仿宋" w:hAnsi="仿宋" w:eastAsia="仿宋" w:cs="仿宋"/>
          <w:b/>
          <w:bCs/>
          <w:sz w:val="24"/>
          <w:highlight w:val="none"/>
          <w:lang w:eastAsia="zh-CN"/>
        </w:rPr>
        <w:t>响应文件</w:t>
      </w:r>
      <w:r>
        <w:rPr>
          <w:rFonts w:hint="eastAsia" w:ascii="仿宋" w:hAnsi="仿宋" w:eastAsia="仿宋" w:cs="仿宋"/>
          <w:b/>
          <w:bCs/>
          <w:sz w:val="24"/>
          <w:highlight w:val="none"/>
        </w:rPr>
        <w:t>的修改与撤回</w:t>
      </w:r>
    </w:p>
    <w:p>
      <w:pPr>
        <w:spacing w:line="360" w:lineRule="auto"/>
        <w:rPr>
          <w:rFonts w:hint="eastAsia" w:ascii="仿宋" w:hAnsi="仿宋" w:eastAsia="仿宋" w:cs="仿宋"/>
          <w:b/>
          <w:sz w:val="24"/>
          <w:highlight w:val="none"/>
        </w:rPr>
      </w:pPr>
      <w:r>
        <w:rPr>
          <w:rFonts w:hint="eastAsia" w:ascii="仿宋" w:hAnsi="仿宋" w:eastAsia="仿宋" w:cs="仿宋"/>
          <w:sz w:val="24"/>
          <w:highlight w:val="none"/>
        </w:rPr>
        <w:t xml:space="preserve">    24.1在投标须知中规定的提交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截止时间前，投标人可以补充、修改或者撤回已提交的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。补充、修改的内容作为</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的组成部分，应当按本</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的规定进行编制、密封、标志（在包封上标明“修改”或“撤回”字样，并注明修改或撤回的时间）和送达、签收、保管。</w:t>
      </w:r>
    </w:p>
    <w:p>
      <w:pPr>
        <w:spacing w:line="52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五、无效标、废标条款</w:t>
      </w:r>
    </w:p>
    <w:p>
      <w:pPr>
        <w:spacing w:line="52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25、无效投标条款</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25.1投标人不符合</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规定资格要求的或未按规定提交资质证件的；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25.2投标人未按</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要求提交投标保证金的；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密封、签署、盖章不符合</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要求的；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25.4</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出现重大偏差，未对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进行实质性响应的；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25.5其它</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认为有必要取消的投标的；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25.6法律、法规规定的其它情况。</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26、废标条款</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26.1符合专业条件的供应商或者对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作实质响应的供应商不足三家的；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26.2出现影响采购公正的违法、违规行为的；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26.3投标人的报价均超过了采购预算；</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26.4因重大变故，采购任务取消的。</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27、供应商不足三家情形处理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27.1如出现投标截止时间结束后参加投标的供应商不足三家的，除采购任务取消情形外，采购单位应当报告财政部门，按照以下原则处理：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没有不合理条款、</w:t>
      </w:r>
      <w:r>
        <w:rPr>
          <w:rFonts w:hint="eastAsia" w:ascii="仿宋" w:hAnsi="仿宋" w:eastAsia="仿宋" w:cs="仿宋"/>
          <w:sz w:val="24"/>
          <w:highlight w:val="none"/>
          <w:lang w:eastAsia="zh-CN"/>
        </w:rPr>
        <w:t>竞争性磋商公告</w:t>
      </w:r>
      <w:r>
        <w:rPr>
          <w:rFonts w:hint="eastAsia" w:ascii="仿宋" w:hAnsi="仿宋" w:eastAsia="仿宋" w:cs="仿宋"/>
          <w:sz w:val="24"/>
          <w:highlight w:val="none"/>
        </w:rPr>
        <w:t>时间及程序符合规定的，由采购人填写《政府采购重大事项审批表》，申请采取竞争性谈判、竞争性磋商等其他招标方式采购；</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存在不合理条款的，</w:t>
      </w:r>
      <w:r>
        <w:rPr>
          <w:rFonts w:hint="eastAsia" w:ascii="仿宋" w:hAnsi="仿宋" w:eastAsia="仿宋" w:cs="仿宋"/>
          <w:sz w:val="24"/>
          <w:highlight w:val="none"/>
          <w:lang w:eastAsia="zh-CN"/>
        </w:rPr>
        <w:t>竞争性磋商公告</w:t>
      </w:r>
      <w:r>
        <w:rPr>
          <w:rFonts w:hint="eastAsia" w:ascii="仿宋" w:hAnsi="仿宋" w:eastAsia="仿宋" w:cs="仿宋"/>
          <w:sz w:val="24"/>
          <w:highlight w:val="none"/>
        </w:rPr>
        <w:t>时间及程序不符合规定的，应予以废标。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27.3在评标期间，出现符合条件的供应商或者对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做出实质响应的供应商不足三家情形的，参照执行。</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28、取消中标候选人资格条款</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28.1提供虚假材料谋取中标的；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28.2采取不正当手段诋毁、排挤其他投标人的；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28.3与采购人、其他投标人或者采购代理机构恶意串通的；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28.4向采购人、采购代理机构行贿或者提供其他不正当利益的；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28.5未在规定时间内与采购人签订采购合同的；</w:t>
      </w:r>
    </w:p>
    <w:p>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28.6法律、法规规定的其它情况。</w:t>
      </w:r>
    </w:p>
    <w:p>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六、开标、评审</w:t>
      </w:r>
    </w:p>
    <w:p>
      <w:pPr>
        <w:spacing w:line="360" w:lineRule="auto"/>
        <w:ind w:firstLine="482" w:firstLineChars="200"/>
        <w:rPr>
          <w:rFonts w:hint="eastAsia" w:ascii="仿宋" w:hAnsi="仿宋" w:eastAsia="仿宋" w:cs="仿宋"/>
          <w:b/>
          <w:bCs/>
          <w:sz w:val="24"/>
          <w:highlight w:val="none"/>
        </w:rPr>
      </w:pPr>
      <w:bookmarkStart w:id="14" w:name="OLE_LINK12"/>
      <w:bookmarkStart w:id="15" w:name="OLE_LINK16"/>
      <w:r>
        <w:rPr>
          <w:rFonts w:hint="eastAsia" w:ascii="仿宋" w:hAnsi="仿宋" w:eastAsia="仿宋" w:cs="仿宋"/>
          <w:b/>
          <w:bCs/>
          <w:sz w:val="24"/>
          <w:highlight w:val="none"/>
        </w:rPr>
        <w:t>29、开标</w:t>
      </w:r>
    </w:p>
    <w:p>
      <w:pPr>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29.1 本次招标将按</w:t>
      </w:r>
      <w:r>
        <w:rPr>
          <w:rFonts w:hint="eastAsia" w:ascii="仿宋" w:hAnsi="仿宋" w:eastAsia="仿宋" w:cs="仿宋"/>
          <w:sz w:val="24"/>
          <w:highlight w:val="none"/>
          <w:lang w:eastAsia="zh-CN"/>
        </w:rPr>
        <w:t>竞争性磋商公告</w:t>
      </w:r>
      <w:r>
        <w:rPr>
          <w:rFonts w:hint="eastAsia" w:ascii="仿宋" w:hAnsi="仿宋" w:eastAsia="仿宋" w:cs="仿宋"/>
          <w:sz w:val="24"/>
          <w:highlight w:val="none"/>
        </w:rPr>
        <w:t>中规定的时间地点进行公开开标，将邀请所有投标人的法定代表人或其授权代理人参加开标会。</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29.2 开标前，监督人员将查验投标人以下证件的原件：</w:t>
      </w:r>
    </w:p>
    <w:bookmarkEnd w:id="14"/>
    <w:bookmarkEnd w:id="15"/>
    <w:p>
      <w:pPr>
        <w:spacing w:line="360" w:lineRule="auto"/>
        <w:ind w:firstLine="482" w:firstLineChars="200"/>
        <w:rPr>
          <w:rFonts w:hint="eastAsia" w:ascii="仿宋" w:hAnsi="仿宋" w:eastAsia="仿宋" w:cs="仿宋"/>
          <w:kern w:val="0"/>
          <w:sz w:val="24"/>
          <w:highlight w:val="none"/>
        </w:rPr>
      </w:pPr>
      <w:r>
        <w:rPr>
          <w:rFonts w:hint="eastAsia" w:ascii="仿宋" w:hAnsi="仿宋" w:eastAsia="仿宋" w:cs="仿宋"/>
          <w:b/>
          <w:bCs/>
          <w:sz w:val="24"/>
          <w:highlight w:val="none"/>
        </w:rPr>
        <w:t>法定代表人授权委托书原件、被授权人身份证原件、加盖公章的被授权人身份证复印件（法定代表人到场参与投标的，须提供法定代表人身份证明书、法定代表人身份证原件、加盖公章的法定代表人身份证复印件）、营业执照复印件加盖公章。</w:t>
      </w:r>
    </w:p>
    <w:p>
      <w:pPr>
        <w:spacing w:line="360" w:lineRule="auto"/>
        <w:ind w:firstLine="480"/>
        <w:rPr>
          <w:rFonts w:hint="eastAsia" w:ascii="仿宋" w:hAnsi="仿宋" w:eastAsia="仿宋" w:cs="仿宋"/>
          <w:kern w:val="0"/>
          <w:sz w:val="24"/>
          <w:highlight w:val="none"/>
        </w:rPr>
      </w:pPr>
      <w:r>
        <w:rPr>
          <w:rFonts w:hint="eastAsia" w:ascii="仿宋" w:hAnsi="仿宋" w:eastAsia="仿宋" w:cs="仿宋"/>
          <w:kern w:val="0"/>
          <w:sz w:val="24"/>
          <w:highlight w:val="none"/>
        </w:rPr>
        <w:t>主持人按下列程序进行开标：</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（1）宣布开标纪律；</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（2）公布在投标截止时间前递交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的投标人名称，并点名确认；</w:t>
      </w:r>
    </w:p>
    <w:p>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（3）按照投标人须知前附表规定检查</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的密封情况；</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（4）按照递交</w:t>
      </w:r>
      <w:r>
        <w:rPr>
          <w:rFonts w:hint="eastAsia" w:ascii="仿宋" w:hAnsi="仿宋" w:eastAsia="仿宋" w:cs="仿宋"/>
          <w:highlight w:val="none"/>
          <w:lang w:eastAsia="zh-CN"/>
        </w:rPr>
        <w:t>响应文件</w:t>
      </w:r>
      <w:r>
        <w:rPr>
          <w:rFonts w:hint="eastAsia" w:ascii="仿宋" w:hAnsi="仿宋" w:eastAsia="仿宋" w:cs="仿宋"/>
          <w:highlight w:val="none"/>
        </w:rPr>
        <w:t>的逆顺序当众宣布投标人名称、投标报价及其他内容，由记录人记录；</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（5）投标人代表、监督人、记录人等有关人员在开标记录上签字确认；</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（6）开标结束。</w:t>
      </w:r>
    </w:p>
    <w:p>
      <w:pPr>
        <w:pStyle w:val="36"/>
        <w:spacing w:before="0" w:after="0" w:line="360" w:lineRule="auto"/>
        <w:ind w:firstLine="472" w:firstLineChars="196"/>
        <w:rPr>
          <w:rFonts w:hint="eastAsia" w:ascii="仿宋" w:hAnsi="仿宋" w:eastAsia="仿宋" w:cs="仿宋"/>
          <w:b/>
          <w:highlight w:val="none"/>
        </w:rPr>
      </w:pPr>
      <w:r>
        <w:rPr>
          <w:rFonts w:hint="eastAsia" w:ascii="仿宋" w:hAnsi="仿宋" w:eastAsia="仿宋" w:cs="仿宋"/>
          <w:b/>
          <w:highlight w:val="none"/>
        </w:rPr>
        <w:t>30、评标原则</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30.1评标定标依据《中华人民共和国招投标法》、《中华人民共和国政府采购法》及自治区财政厅等相关规定，遵循公开、公平、公正、竞争的原则。</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30.2严格执行《中华人民共和国招投标法》、《中华人民共和国政府采购法》及自治区有关法规、政策、维护招标人、投标人的合法权益，选择对招标人最为有利的投标人或候选投标人。</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30.3</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在评标过程中，如需要投标人对</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相关内容进行陈述或澄清的，投标人应当场对</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作出陈述或澄清。不应谈及与投标人所提供的服务质量、技术、价格等无关的话题。</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30.4在评标过程中，</w:t>
      </w:r>
      <w:r>
        <w:rPr>
          <w:rFonts w:hint="eastAsia" w:ascii="仿宋" w:hAnsi="仿宋" w:eastAsia="仿宋" w:cs="仿宋"/>
          <w:highlight w:val="none"/>
          <w:lang w:eastAsia="zh-CN"/>
        </w:rPr>
        <w:t>磋商小组</w:t>
      </w:r>
      <w:r>
        <w:rPr>
          <w:rFonts w:hint="eastAsia" w:ascii="仿宋" w:hAnsi="仿宋" w:eastAsia="仿宋" w:cs="仿宋"/>
          <w:highlight w:val="none"/>
        </w:rPr>
        <w:t>可以根据</w:t>
      </w:r>
      <w:r>
        <w:rPr>
          <w:rFonts w:hint="eastAsia" w:ascii="仿宋" w:hAnsi="仿宋" w:eastAsia="仿宋" w:cs="仿宋"/>
          <w:highlight w:val="none"/>
          <w:lang w:eastAsia="zh-CN"/>
        </w:rPr>
        <w:t>磋商文件</w:t>
      </w:r>
      <w:r>
        <w:rPr>
          <w:rFonts w:hint="eastAsia" w:ascii="仿宋" w:hAnsi="仿宋" w:eastAsia="仿宋" w:cs="仿宋"/>
          <w:highlight w:val="none"/>
        </w:rPr>
        <w:t>和评标情况，实质性变动招标需求中的技术、服务要求以及合同草案条款，但不得变动</w:t>
      </w:r>
      <w:r>
        <w:rPr>
          <w:rFonts w:hint="eastAsia" w:ascii="仿宋" w:hAnsi="仿宋" w:eastAsia="仿宋" w:cs="仿宋"/>
          <w:highlight w:val="none"/>
          <w:lang w:eastAsia="zh-CN"/>
        </w:rPr>
        <w:t>磋商文件</w:t>
      </w:r>
      <w:r>
        <w:rPr>
          <w:rFonts w:hint="eastAsia" w:ascii="仿宋" w:hAnsi="仿宋" w:eastAsia="仿宋" w:cs="仿宋"/>
          <w:highlight w:val="none"/>
        </w:rPr>
        <w:t>中的其他内容。实质性变动的内容，须经招标人代表确认。对</w:t>
      </w:r>
      <w:r>
        <w:rPr>
          <w:rFonts w:hint="eastAsia" w:ascii="仿宋" w:hAnsi="仿宋" w:eastAsia="仿宋" w:cs="仿宋"/>
          <w:highlight w:val="none"/>
          <w:lang w:eastAsia="zh-CN"/>
        </w:rPr>
        <w:t>磋商文件</w:t>
      </w:r>
      <w:r>
        <w:rPr>
          <w:rFonts w:hint="eastAsia" w:ascii="仿宋" w:hAnsi="仿宋" w:eastAsia="仿宋" w:cs="仿宋"/>
          <w:highlight w:val="none"/>
        </w:rPr>
        <w:t>做出的实质性变动是</w:t>
      </w:r>
      <w:r>
        <w:rPr>
          <w:rFonts w:hint="eastAsia" w:ascii="仿宋" w:hAnsi="仿宋" w:eastAsia="仿宋" w:cs="仿宋"/>
          <w:highlight w:val="none"/>
          <w:lang w:eastAsia="zh-CN"/>
        </w:rPr>
        <w:t>磋商文件</w:t>
      </w:r>
      <w:r>
        <w:rPr>
          <w:rFonts w:hint="eastAsia" w:ascii="仿宋" w:hAnsi="仿宋" w:eastAsia="仿宋" w:cs="仿宋"/>
          <w:highlight w:val="none"/>
        </w:rPr>
        <w:t>的有效组成部分，</w:t>
      </w:r>
      <w:r>
        <w:rPr>
          <w:rFonts w:hint="eastAsia" w:ascii="仿宋" w:hAnsi="仿宋" w:eastAsia="仿宋" w:cs="仿宋"/>
          <w:highlight w:val="none"/>
          <w:lang w:eastAsia="zh-CN"/>
        </w:rPr>
        <w:t>磋商小组</w:t>
      </w:r>
      <w:r>
        <w:rPr>
          <w:rFonts w:hint="eastAsia" w:ascii="仿宋" w:hAnsi="仿宋" w:eastAsia="仿宋" w:cs="仿宋"/>
          <w:highlight w:val="none"/>
        </w:rPr>
        <w:t>应当及时以书面形式同时通知所有参加评标的投标人。并得到投标人现场承诺及确认。</w:t>
      </w:r>
    </w:p>
    <w:p>
      <w:pPr>
        <w:pStyle w:val="36"/>
        <w:spacing w:before="0" w:after="0" w:line="360" w:lineRule="auto"/>
        <w:ind w:firstLine="482" w:firstLineChars="200"/>
        <w:rPr>
          <w:rFonts w:hint="eastAsia" w:ascii="仿宋" w:hAnsi="仿宋" w:eastAsia="仿宋" w:cs="仿宋"/>
          <w:b/>
          <w:highlight w:val="none"/>
        </w:rPr>
      </w:pPr>
      <w:r>
        <w:rPr>
          <w:rFonts w:hint="eastAsia" w:ascii="仿宋" w:hAnsi="仿宋" w:eastAsia="仿宋" w:cs="仿宋"/>
          <w:b/>
          <w:highlight w:val="none"/>
        </w:rPr>
        <w:t>31、评标依据</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评标的依据为</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（包括采购方的</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和供应商的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的因素主要包括下列内容：</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31.1对供应商的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的审查和响应性的确定；</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31.2对供应商服务机构设置和能力的确定；</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31.3对服务质量的评估确定；</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31.4对供应商投标报价的确定；</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31.5对供应商</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技术规格偏差的确定；</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31.6对供应商</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商务偏差的调整确定；</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31.7对供应商的技术、商务澄清内容答复的确定；</w:t>
      </w:r>
    </w:p>
    <w:p>
      <w:pPr>
        <w:spacing w:line="360" w:lineRule="auto"/>
        <w:ind w:firstLine="472" w:firstLineChars="196"/>
        <w:rPr>
          <w:rFonts w:hint="eastAsia" w:ascii="仿宋" w:hAnsi="仿宋" w:eastAsia="仿宋" w:cs="仿宋"/>
          <w:sz w:val="24"/>
          <w:highlight w:val="none"/>
        </w:rPr>
      </w:pPr>
      <w:r>
        <w:rPr>
          <w:rFonts w:hint="eastAsia" w:ascii="仿宋" w:hAnsi="仿宋" w:eastAsia="仿宋" w:cs="仿宋"/>
          <w:b/>
          <w:kern w:val="0"/>
          <w:sz w:val="24"/>
          <w:highlight w:val="none"/>
        </w:rPr>
        <w:t>32、评审</w:t>
      </w:r>
    </w:p>
    <w:p>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32.1</w:t>
      </w:r>
      <w:r>
        <w:rPr>
          <w:rFonts w:hint="eastAsia" w:ascii="仿宋" w:hAnsi="仿宋" w:eastAsia="仿宋" w:cs="仿宋"/>
          <w:sz w:val="24"/>
          <w:highlight w:val="none"/>
          <w:lang w:eastAsia="zh-CN"/>
        </w:rPr>
        <w:t>磋商小组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（1）会议将根据《中华人民共和国招投标法》和《中华人民共和国政府采购法》及相关法律的规定，依法组建本次招标的</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，负责本次评标的评标活动。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人选评标前确定。</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成员名单在成交结果确定前保密。</w:t>
      </w:r>
      <w:r>
        <w:rPr>
          <w:rFonts w:hint="eastAsia" w:ascii="仿宋" w:hAnsi="仿宋" w:eastAsia="仿宋" w:cs="仿宋"/>
          <w:kern w:val="0"/>
          <w:sz w:val="24"/>
          <w:highlight w:val="none"/>
        </w:rPr>
        <w:t>评标工作由评标专家或评标专家及招标人代表共同组建的</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承担。评审专家占</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总数的三分之二以上，</w:t>
      </w:r>
      <w:r>
        <w:rPr>
          <w:rFonts w:hint="eastAsia" w:ascii="仿宋" w:hAnsi="仿宋" w:eastAsia="仿宋" w:cs="仿宋"/>
          <w:sz w:val="24"/>
          <w:highlight w:val="none"/>
        </w:rPr>
        <w:t>招标人应从新疆政府采购网评审专家库中随机抽取组建</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在监督部门的监督下独立完成评标工作，负责对</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进行审查、质询、评标、推选中标候选人。</w:t>
      </w:r>
    </w:p>
    <w:p>
      <w:pPr>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33、评标标准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33.1评标的准备与初步评标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（1）评委成员认真研究评标文件，至少应了解和熟悉以下内容：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（2）招标目的；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（3）项目的范围和性质；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中规定的主要技术要求、标准和商务条款；</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规定的评标标准、评标方法和在评标过程中考虑的相关因素。</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3）招标人或者其委托的代理机构应当向评委提供评标所需的重要信息和数据。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4）评委应当根据</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规定的评标标准和方法，对</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进行系统地评标和比较。</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5）评标文件中没有规定的标准和方法不得作为评审的依据。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6）评审专家可以书面方式要求投标人对</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中含义不明确、对同类问题表述不一致或者有明显文字和计算错误的内容作必要的澄清、说明或者补正。澄清、说明或者补正应以书面方式进行并不得超出</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的范围或者改变</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 xml:space="preserve">的实质性内容。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7）在评审过程中，</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发现投标人以他人的名义投标、串通投标、以行贿手段谋取成交或者以其他弄虚作假方式投标的，该投标人的投标应作废标处理。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8）在评审过程中，</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发现投标人的报价明显低于其他评标报价或者在设有标底时明显低于标底，使得其评标报价可能低于其个别成本，由</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认定该投标人以低于成本报价竞标的，其投标应作废标处理。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9）投标人资格条件不符合国家有关规定和评标文件要求的，或者拒不按照要求对</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进行澄清、说明或者补正的，</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可以否决其投标。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应当审查每一</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是否对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提出的所有实质性要求和条件做出响应。未能在实质上响应的投标，应作废标处理。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11）投标人不得误导、干扰招标方的评标活动，否则将废除其投标。</w:t>
      </w:r>
    </w:p>
    <w:p>
      <w:pPr>
        <w:spacing w:line="360" w:lineRule="auto"/>
        <w:ind w:firstLine="472" w:firstLineChars="196"/>
        <w:rPr>
          <w:rFonts w:hint="eastAsia" w:ascii="仿宋" w:hAnsi="仿宋" w:eastAsia="仿宋" w:cs="仿宋"/>
          <w:b/>
          <w:bCs/>
          <w:sz w:val="24"/>
          <w:highlight w:val="none"/>
        </w:rPr>
      </w:pPr>
      <w:r>
        <w:rPr>
          <w:rFonts w:hint="eastAsia" w:ascii="仿宋" w:hAnsi="仿宋" w:eastAsia="仿宋" w:cs="仿宋"/>
          <w:b/>
          <w:bCs/>
          <w:sz w:val="24"/>
          <w:highlight w:val="none"/>
        </w:rPr>
        <w:t>33.2初步评审</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（1）发生下列情况之一的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被视为无效：</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1）是否符合本次招标资格要求；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是否有单位盖章、是否有法定代表人或法定代表人授权的代理人签字或盖章；</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是否按规定的格式填写；</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是否有内容不全或关键字迹模糊、无法辨认的；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主要条款和承诺存在重大出入或保留；</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6）未按规定及要求使用的表格及格式填写报价（工程量清单）的；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7）投标人违反招标投标纪律的将做废标处理。</w:t>
      </w:r>
    </w:p>
    <w:p>
      <w:pPr>
        <w:spacing w:line="360" w:lineRule="auto"/>
        <w:ind w:firstLine="400" w:firstLineChars="167"/>
        <w:rPr>
          <w:rFonts w:hint="eastAsia" w:ascii="仿宋" w:hAnsi="仿宋" w:eastAsia="仿宋" w:cs="仿宋"/>
          <w:sz w:val="24"/>
          <w:highlight w:val="none"/>
        </w:rPr>
      </w:pPr>
      <w:r>
        <w:rPr>
          <w:rFonts w:hint="eastAsia" w:ascii="仿宋" w:hAnsi="仿宋" w:eastAsia="仿宋" w:cs="仿宋"/>
          <w:sz w:val="24"/>
          <w:highlight w:val="none"/>
        </w:rPr>
        <w:t>（2）有一项重大偏差的，下列情况属于重大偏差：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载明的招标项目供货期超过</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规定的期限；</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2）明显不符合货物规格、质量标准的要求；</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附有招标人不能接受的条件；</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4）供应商在同一份</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中，对同一投标货物报有两个或多个报价的。</w:t>
      </w:r>
    </w:p>
    <w:p>
      <w:pPr>
        <w:spacing w:line="360" w:lineRule="auto"/>
        <w:ind w:firstLine="400" w:firstLineChars="167"/>
        <w:rPr>
          <w:rFonts w:hint="eastAsia" w:ascii="仿宋" w:hAnsi="仿宋" w:eastAsia="仿宋" w:cs="仿宋"/>
          <w:sz w:val="24"/>
          <w:highlight w:val="none"/>
        </w:rPr>
      </w:pPr>
      <w:r>
        <w:rPr>
          <w:rFonts w:hint="eastAsia" w:ascii="仿宋" w:hAnsi="仿宋" w:eastAsia="仿宋" w:cs="仿宋"/>
          <w:sz w:val="24"/>
          <w:highlight w:val="none"/>
        </w:rPr>
        <w:t>（3）投标人违反招标投标纪律的将做废标处理。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1）投标人采取相互串标，排挤其他投标人的不公平竞争，损害招标人或其他投标人的合法权益的。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2）投标人以行贿手段谋取成交或者以其他弄虚作假方式投标，违反招标纪律的。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3）扰乱会场秩序经劝阻无效的。</w:t>
      </w:r>
    </w:p>
    <w:p>
      <w:pPr>
        <w:spacing w:line="360" w:lineRule="auto"/>
        <w:ind w:firstLine="482" w:firstLineChars="200"/>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lang w:eastAsia="zh-CN"/>
        </w:rPr>
        <w:t>）磋商小组</w:t>
      </w:r>
      <w:r>
        <w:rPr>
          <w:rFonts w:hint="eastAsia" w:ascii="仿宋" w:hAnsi="仿宋" w:eastAsia="仿宋" w:cs="仿宋"/>
          <w:b/>
          <w:bCs/>
          <w:sz w:val="24"/>
          <w:highlight w:val="none"/>
        </w:rPr>
        <w:t>只对通过上述评审的经济标按照《经济标完备性及符合性审查标准》进行初步评审</w:t>
      </w:r>
      <w:r>
        <w:rPr>
          <w:rFonts w:hint="eastAsia" w:ascii="仿宋" w:hAnsi="仿宋" w:eastAsia="仿宋" w:cs="仿宋"/>
          <w:b/>
          <w:bCs/>
          <w:sz w:val="24"/>
          <w:highlight w:val="none"/>
          <w:lang w:eastAsia="zh-CN"/>
        </w:rPr>
        <w:t>。</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经济标完备性及符合性审查标准</w:t>
      </w:r>
    </w:p>
    <w:tbl>
      <w:tblPr>
        <w:tblStyle w:val="24"/>
        <w:tblW w:w="9058" w:type="dxa"/>
        <w:jc w:val="center"/>
        <w:tblLayout w:type="fixed"/>
        <w:tblCellMar>
          <w:top w:w="0" w:type="dxa"/>
          <w:left w:w="10" w:type="dxa"/>
          <w:bottom w:w="0" w:type="dxa"/>
          <w:right w:w="10" w:type="dxa"/>
        </w:tblCellMar>
      </w:tblPr>
      <w:tblGrid>
        <w:gridCol w:w="804"/>
        <w:gridCol w:w="8254"/>
      </w:tblGrid>
      <w:tr>
        <w:tblPrEx>
          <w:tblCellMar>
            <w:top w:w="0" w:type="dxa"/>
            <w:left w:w="10" w:type="dxa"/>
            <w:bottom w:w="0" w:type="dxa"/>
            <w:right w:w="10" w:type="dxa"/>
          </w:tblCellMar>
        </w:tblPrEx>
        <w:trPr>
          <w:trHeight w:val="421" w:hRule="atLeast"/>
          <w:jc w:val="center"/>
        </w:trPr>
        <w:tc>
          <w:tcPr>
            <w:tcW w:w="80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82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标  准</w:t>
            </w:r>
          </w:p>
        </w:tc>
      </w:tr>
      <w:tr>
        <w:tblPrEx>
          <w:tblCellMar>
            <w:top w:w="0" w:type="dxa"/>
            <w:left w:w="10" w:type="dxa"/>
            <w:bottom w:w="0" w:type="dxa"/>
            <w:right w:w="10" w:type="dxa"/>
          </w:tblCellMar>
        </w:tblPrEx>
        <w:trPr>
          <w:trHeight w:val="421" w:hRule="atLeast"/>
          <w:jc w:val="center"/>
        </w:trPr>
        <w:tc>
          <w:tcPr>
            <w:tcW w:w="80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82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每一项目只允许有一个报价，任何有选择的报价将不予接受。</w:t>
            </w:r>
          </w:p>
        </w:tc>
      </w:tr>
      <w:tr>
        <w:tblPrEx>
          <w:tblCellMar>
            <w:top w:w="0" w:type="dxa"/>
            <w:left w:w="10" w:type="dxa"/>
            <w:bottom w:w="0" w:type="dxa"/>
            <w:right w:w="10" w:type="dxa"/>
          </w:tblCellMar>
        </w:tblPrEx>
        <w:trPr>
          <w:trHeight w:val="827" w:hRule="atLeast"/>
          <w:jc w:val="center"/>
        </w:trPr>
        <w:tc>
          <w:tcPr>
            <w:tcW w:w="80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82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投标总价必须按</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规定格式完整提供，并要盖投标人章，法定代表人或授权代理人签字或盖章，编制人要求造价人员签字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盖专用章。</w:t>
            </w:r>
          </w:p>
        </w:tc>
      </w:tr>
      <w:tr>
        <w:tblPrEx>
          <w:tblCellMar>
            <w:top w:w="0" w:type="dxa"/>
            <w:left w:w="10" w:type="dxa"/>
            <w:bottom w:w="0" w:type="dxa"/>
            <w:right w:w="10" w:type="dxa"/>
          </w:tblCellMar>
        </w:tblPrEx>
        <w:trPr>
          <w:trHeight w:val="421" w:hRule="atLeast"/>
          <w:jc w:val="center"/>
        </w:trPr>
        <w:tc>
          <w:tcPr>
            <w:tcW w:w="80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82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投标人应按招标人提供的工程量清单填报价格。填写的项目编码、项目名称、项目特征、计量单位、工程量必须与招标人提供的一致。</w:t>
            </w:r>
          </w:p>
        </w:tc>
      </w:tr>
      <w:tr>
        <w:tblPrEx>
          <w:tblCellMar>
            <w:top w:w="0" w:type="dxa"/>
            <w:left w:w="10" w:type="dxa"/>
            <w:bottom w:w="0" w:type="dxa"/>
            <w:right w:w="10" w:type="dxa"/>
          </w:tblCellMar>
        </w:tblPrEx>
        <w:trPr>
          <w:trHeight w:val="827" w:hRule="atLeast"/>
          <w:jc w:val="center"/>
        </w:trPr>
        <w:tc>
          <w:tcPr>
            <w:tcW w:w="804"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825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投标人的投标报价不能高于招标控制价。</w:t>
            </w:r>
          </w:p>
        </w:tc>
      </w:tr>
      <w:tr>
        <w:tblPrEx>
          <w:tblCellMar>
            <w:top w:w="0" w:type="dxa"/>
            <w:left w:w="10" w:type="dxa"/>
            <w:bottom w:w="0" w:type="dxa"/>
            <w:right w:w="10" w:type="dxa"/>
          </w:tblCellMar>
        </w:tblPrEx>
        <w:trPr>
          <w:trHeight w:val="827" w:hRule="atLeast"/>
          <w:jc w:val="center"/>
        </w:trPr>
        <w:tc>
          <w:tcPr>
            <w:tcW w:w="905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备注：如果经济标中有一项未通过上述审查标准，</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将认定整个</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不响应</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而予以否决，并且不允许投标人通过修改或撤销其不符合要求的差异或保留，使之成为具有响应性的投标。</w:t>
            </w:r>
          </w:p>
        </w:tc>
      </w:tr>
      <w:tr>
        <w:tblPrEx>
          <w:tblCellMar>
            <w:top w:w="0" w:type="dxa"/>
            <w:left w:w="10" w:type="dxa"/>
            <w:bottom w:w="0" w:type="dxa"/>
            <w:right w:w="10" w:type="dxa"/>
          </w:tblCellMar>
        </w:tblPrEx>
        <w:trPr>
          <w:trHeight w:val="436" w:hRule="atLeast"/>
          <w:jc w:val="center"/>
        </w:trPr>
        <w:tc>
          <w:tcPr>
            <w:tcW w:w="9058"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专家签字：</w:t>
            </w:r>
          </w:p>
        </w:tc>
      </w:tr>
    </w:tbl>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）合格的投标人不足三家时，不得评标。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w:t>
      </w:r>
      <w:r>
        <w:rPr>
          <w:rFonts w:hint="eastAsia" w:ascii="仿宋" w:hAnsi="仿宋" w:eastAsia="仿宋" w:cs="仿宋"/>
          <w:kern w:val="0"/>
          <w:sz w:val="24"/>
          <w:highlight w:val="none"/>
        </w:rPr>
        <w:t>评标会议由代理机构主持。开标时，由监督人员对投标人的资格条件、投标保证金提交等内容进行审查，在监督人员的监督下由投标人检查</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的密封。对检查未通过的，招标人将拒绝并原封退回其</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）招标方将拒绝被确定为非实质性响应的投标人，投标人不能通过修正或撤消不符合之处而使其投标成为实质性响应的投标。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的澄清</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1）为有助于</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的审查和评比，招标方有权向投标人质疑，要求投标人澄清其投标内容。投标人有责任按</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规定的开标时间、地点指派专人进行答疑和澄清。</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2）所有的澄清答复必须是书面形式。</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3）投标人的澄清不得对投标内容进行实质性修改。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33.3详细评审</w:t>
      </w:r>
      <w:r>
        <w:rPr>
          <w:rFonts w:hint="eastAsia" w:ascii="仿宋" w:hAnsi="仿宋" w:eastAsia="仿宋" w:cs="仿宋"/>
          <w:kern w:val="0"/>
          <w:sz w:val="24"/>
          <w:highlight w:val="none"/>
        </w:rPr>
        <w:t>(如</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对评审内容有异议，以少数服从多数为原则)评标会议由</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组长主持。</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首先对各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进行初步审查，初步审查包括资格性审查和符合性审查，未通过审查的为无效投标。</w:t>
      </w:r>
    </w:p>
    <w:p>
      <w:pPr>
        <w:spacing w:line="44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判断“</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”的响应性，仅基于“</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”本身而不靠外部证据。对非实质性响应的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，投标人不能通过修正或撤销不符之处，而使其成为实质性响应。</w:t>
      </w:r>
    </w:p>
    <w:p>
      <w:pPr>
        <w:spacing w:line="44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（2）</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根据</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要求，讨论、通过评标工作流程和评标要点。</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33.4有下列情形之一的，视为投标人串通投标，其投标无效：</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（1）</w:t>
      </w:r>
      <w:r>
        <w:rPr>
          <w:rFonts w:hint="eastAsia" w:ascii="仿宋" w:hAnsi="仿宋" w:eastAsia="仿宋" w:cs="仿宋"/>
          <w:kern w:val="0"/>
          <w:sz w:val="24"/>
          <w:highlight w:val="none"/>
        </w:rPr>
        <w:t>不同投标人的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xml:space="preserve">由同一单位或者个人编制； </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（2）不同投标人委托同一单位或者个人办理投标事宜； </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（3）不同投标人的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xml:space="preserve">载明的项目管理成员或者联系人员为同一人； </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（4）不同投标人的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xml:space="preserve">异常一致或者投标报价呈规律性差异； </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（5）不同投标人的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 xml:space="preserve">相互混装； </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（6）不同投标人的投标保证金从同一单位或者个人的账户转出。</w:t>
      </w:r>
    </w:p>
    <w:p>
      <w:pPr>
        <w:spacing w:line="360" w:lineRule="auto"/>
        <w:ind w:firstLine="542" w:firstLineChars="225"/>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34、评标程序</w:t>
      </w:r>
    </w:p>
    <w:p>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34.1招标代理机构按</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规定的时间、地点组织开标、评标。参加的人员为招标单位代表，评标专家及有关工作人员。</w:t>
      </w:r>
    </w:p>
    <w:p>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34.2评标会议由招标代理机构主持。评标时，由监督人员对投标人的资格条件、投标保证金提交等内容进行审查，在监督人员的监督下由投标人代表检查</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的密封。对检查未通过的，招标人将拒绝并原封退回其</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w:t>
      </w:r>
    </w:p>
    <w:p>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34.3</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根据</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要求，讨论并通过评标工作流程和评标要点。</w:t>
      </w:r>
    </w:p>
    <w:p>
      <w:pPr>
        <w:spacing w:line="360" w:lineRule="auto"/>
        <w:ind w:firstLine="540" w:firstLineChars="225"/>
        <w:rPr>
          <w:rFonts w:hint="eastAsia" w:ascii="仿宋" w:hAnsi="仿宋" w:eastAsia="仿宋" w:cs="仿宋"/>
          <w:kern w:val="0"/>
          <w:sz w:val="24"/>
          <w:highlight w:val="none"/>
        </w:rPr>
      </w:pPr>
      <w:r>
        <w:rPr>
          <w:rFonts w:hint="eastAsia" w:ascii="仿宋" w:hAnsi="仿宋" w:eastAsia="仿宋" w:cs="仿宋"/>
          <w:kern w:val="0"/>
          <w:sz w:val="24"/>
          <w:highlight w:val="none"/>
        </w:rPr>
        <w:t>34.4</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有较大变动的，</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将以书面形式通知所有参加评标的投标人。</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w:t>
      </w:r>
      <w:r>
        <w:rPr>
          <w:rFonts w:hint="eastAsia" w:ascii="仿宋" w:hAnsi="仿宋" w:eastAsia="仿宋" w:cs="仿宋"/>
          <w:sz w:val="24"/>
          <w:highlight w:val="none"/>
        </w:rPr>
        <w:t>.5根据</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的规定，对初步评审合格的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，进行详细评审，从而进一步确定实质响应性和投标人的履约能力。</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34.6</w:t>
      </w:r>
      <w:r>
        <w:rPr>
          <w:rFonts w:hint="eastAsia" w:ascii="仿宋" w:hAnsi="仿宋" w:eastAsia="仿宋" w:cs="仿宋"/>
          <w:sz w:val="24"/>
          <w:highlight w:val="none"/>
        </w:rPr>
        <w:t>对投标报价的审查：</w:t>
      </w:r>
      <w:r>
        <w:rPr>
          <w:rFonts w:hint="eastAsia" w:ascii="仿宋" w:hAnsi="仿宋" w:eastAsia="仿宋" w:cs="仿宋"/>
          <w:sz w:val="24"/>
          <w:highlight w:val="none"/>
          <w:lang w:eastAsia="zh-CN"/>
        </w:rPr>
        <w:t>磋商小组</w:t>
      </w:r>
      <w:r>
        <w:rPr>
          <w:rFonts w:hint="eastAsia" w:ascii="仿宋" w:hAnsi="仿宋" w:eastAsia="仿宋" w:cs="仿宋"/>
          <w:sz w:val="24"/>
          <w:highlight w:val="none"/>
        </w:rPr>
        <w:t>将对确定为实质上响应</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要求的</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价格进行审核。</w:t>
      </w:r>
    </w:p>
    <w:p>
      <w:pPr>
        <w:spacing w:line="360" w:lineRule="auto"/>
        <w:ind w:firstLine="480" w:firstLineChars="200"/>
        <w:rPr>
          <w:rFonts w:hint="eastAsia" w:ascii="仿宋" w:hAnsi="仿宋" w:eastAsia="仿宋" w:cs="仿宋"/>
          <w:b/>
          <w:bCs/>
          <w:sz w:val="24"/>
          <w:highlight w:val="none"/>
        </w:rPr>
      </w:pPr>
      <w:r>
        <w:rPr>
          <w:rFonts w:hint="eastAsia" w:ascii="仿宋" w:hAnsi="仿宋" w:eastAsia="仿宋" w:cs="仿宋"/>
          <w:kern w:val="0"/>
          <w:sz w:val="24"/>
          <w:highlight w:val="none"/>
        </w:rPr>
        <w:t>34</w:t>
      </w:r>
      <w:r>
        <w:rPr>
          <w:rFonts w:hint="eastAsia" w:ascii="仿宋" w:hAnsi="仿宋" w:eastAsia="仿宋" w:cs="仿宋"/>
          <w:sz w:val="24"/>
          <w:highlight w:val="none"/>
        </w:rPr>
        <w:t>.7</w:t>
      </w:r>
      <w:r>
        <w:rPr>
          <w:rFonts w:hint="eastAsia" w:ascii="仿宋" w:hAnsi="仿宋" w:eastAsia="仿宋" w:cs="仿宋"/>
          <w:kern w:val="0"/>
          <w:sz w:val="24"/>
          <w:highlight w:val="none"/>
        </w:rPr>
        <w:t>经</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确定最终通过资格性审查、符合性审查及投标报价的投标人后，由</w:t>
      </w:r>
      <w:r>
        <w:rPr>
          <w:rFonts w:hint="eastAsia" w:ascii="仿宋" w:hAnsi="仿宋" w:eastAsia="仿宋" w:cs="仿宋"/>
          <w:kern w:val="0"/>
          <w:sz w:val="24"/>
          <w:highlight w:val="none"/>
          <w:lang w:eastAsia="zh-CN"/>
        </w:rPr>
        <w:t>磋商小组</w:t>
      </w:r>
      <w:r>
        <w:rPr>
          <w:rFonts w:hint="eastAsia" w:ascii="仿宋" w:hAnsi="仿宋" w:eastAsia="仿宋" w:cs="仿宋"/>
          <w:kern w:val="0"/>
          <w:sz w:val="24"/>
          <w:highlight w:val="none"/>
        </w:rPr>
        <w:t>采用</w:t>
      </w:r>
      <w:r>
        <w:rPr>
          <w:rFonts w:hint="eastAsia" w:ascii="仿宋" w:hAnsi="仿宋" w:eastAsia="仿宋" w:cs="仿宋"/>
          <w:b/>
          <w:kern w:val="0"/>
          <w:sz w:val="24"/>
          <w:highlight w:val="none"/>
        </w:rPr>
        <w:t>综合评分法</w:t>
      </w:r>
      <w:r>
        <w:rPr>
          <w:rFonts w:hint="eastAsia" w:ascii="仿宋" w:hAnsi="仿宋" w:eastAsia="仿宋" w:cs="仿宋"/>
          <w:kern w:val="0"/>
          <w:sz w:val="24"/>
          <w:highlight w:val="none"/>
        </w:rPr>
        <w:t>对投标人的</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和投标报价进行综合评分。</w:t>
      </w:r>
    </w:p>
    <w:p>
      <w:pPr>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35、招标过程及保密原则</w:t>
      </w:r>
    </w:p>
    <w:p>
      <w:pPr>
        <w:pStyle w:val="36"/>
        <w:spacing w:before="0" w:after="0"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35.1对通过资格性审查、符合性审查及投标报价的</w:t>
      </w:r>
      <w:r>
        <w:rPr>
          <w:rFonts w:hint="eastAsia" w:ascii="仿宋" w:hAnsi="仿宋" w:eastAsia="仿宋" w:cs="仿宋"/>
          <w:highlight w:val="none"/>
          <w:lang w:eastAsia="zh-CN"/>
        </w:rPr>
        <w:t>响应文件</w:t>
      </w:r>
      <w:r>
        <w:rPr>
          <w:rFonts w:hint="eastAsia" w:ascii="仿宋" w:hAnsi="仿宋" w:eastAsia="仿宋" w:cs="仿宋"/>
          <w:highlight w:val="none"/>
        </w:rPr>
        <w:t>，采用百分制综合评分法进行评价。</w:t>
      </w:r>
    </w:p>
    <w:p>
      <w:pPr>
        <w:pStyle w:val="36"/>
        <w:spacing w:before="0" w:after="0" w:line="360" w:lineRule="auto"/>
        <w:ind w:firstLine="470" w:firstLineChars="196"/>
        <w:rPr>
          <w:rFonts w:hint="eastAsia" w:ascii="仿宋" w:hAnsi="仿宋" w:eastAsia="仿宋" w:cs="仿宋"/>
          <w:highlight w:val="none"/>
        </w:rPr>
      </w:pPr>
      <w:r>
        <w:rPr>
          <w:rFonts w:hint="eastAsia" w:ascii="仿宋" w:hAnsi="仿宋" w:eastAsia="仿宋" w:cs="仿宋"/>
          <w:highlight w:val="none"/>
        </w:rPr>
        <w:t>35.2本次评审内容分为商务标、技术标和经济标三部分</w:t>
      </w:r>
      <w:r>
        <w:rPr>
          <w:rFonts w:hint="eastAsia" w:ascii="仿宋" w:hAnsi="仿宋" w:eastAsia="仿宋" w:cs="仿宋"/>
          <w:highlight w:val="none"/>
          <w:lang w:val="en-US" w:eastAsia="zh-CN"/>
        </w:rPr>
        <w:t>详见附件要求</w:t>
      </w:r>
      <w:r>
        <w:rPr>
          <w:rFonts w:hint="eastAsia" w:ascii="仿宋" w:hAnsi="仿宋" w:eastAsia="仿宋" w:cs="仿宋"/>
          <w:highlight w:val="none"/>
        </w:rPr>
        <w:t>，各部分依据如下原则评定：</w:t>
      </w:r>
      <w:bookmarkEnd w:id="12"/>
      <w:bookmarkEnd w:id="13"/>
      <w:bookmarkStart w:id="16" w:name="_Toc19110"/>
      <w:bookmarkStart w:id="17" w:name="_Toc26741"/>
    </w:p>
    <w:p>
      <w:pPr>
        <w:pStyle w:val="36"/>
        <w:spacing w:before="0" w:after="0" w:line="360" w:lineRule="auto"/>
        <w:ind w:firstLine="470" w:firstLineChars="196"/>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rPr>
        <w:br w:type="page"/>
      </w:r>
    </w:p>
    <w:tbl>
      <w:tblPr>
        <w:tblStyle w:val="24"/>
        <w:tblW w:w="10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918"/>
        <w:gridCol w:w="1140"/>
        <w:gridCol w:w="1882"/>
        <w:gridCol w:w="5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079"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评分项</w:t>
            </w:r>
          </w:p>
        </w:tc>
        <w:tc>
          <w:tcPr>
            <w:tcW w:w="918"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权重值</w:t>
            </w:r>
          </w:p>
        </w:tc>
        <w:tc>
          <w:tcPr>
            <w:tcW w:w="1140"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评分主要因素</w:t>
            </w:r>
          </w:p>
        </w:tc>
        <w:tc>
          <w:tcPr>
            <w:tcW w:w="1882"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评分具体因素</w:t>
            </w:r>
          </w:p>
        </w:tc>
        <w:tc>
          <w:tcPr>
            <w:tcW w:w="5375"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评分细则（分值）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exact"/>
          <w:jc w:val="center"/>
        </w:trPr>
        <w:tc>
          <w:tcPr>
            <w:tcW w:w="1079" w:type="dxa"/>
            <w:vMerge w:val="restart"/>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p>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p>
        </w:tc>
        <w:tc>
          <w:tcPr>
            <w:tcW w:w="918" w:type="dxa"/>
            <w:vMerge w:val="restart"/>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w:t>
            </w:r>
          </w:p>
        </w:tc>
        <w:tc>
          <w:tcPr>
            <w:tcW w:w="1140"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产品技术性能</w:t>
            </w:r>
          </w:p>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7257" w:type="dxa"/>
            <w:gridSpan w:val="2"/>
            <w:noWrap w:val="0"/>
            <w:vAlign w:val="center"/>
          </w:tcPr>
          <w:p>
            <w:pPr>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综合考虑货物/系统的质量性能、技术指标、提供的证明材料完整性等情况，产品技术指标和性能高于基本招标要求得</w:t>
            </w:r>
            <w:r>
              <w:rPr>
                <w:rFonts w:hint="eastAsia" w:ascii="仿宋" w:hAnsi="仿宋" w:eastAsia="仿宋" w:cs="仿宋"/>
                <w:color w:val="auto"/>
                <w:sz w:val="24"/>
                <w:szCs w:val="24"/>
                <w:highlight w:val="none"/>
                <w:lang w:val="en-US" w:eastAsia="zh-CN"/>
              </w:rPr>
              <w:t>10-20</w:t>
            </w:r>
            <w:r>
              <w:rPr>
                <w:rFonts w:hint="eastAsia" w:ascii="仿宋" w:hAnsi="仿宋" w:eastAsia="仿宋" w:cs="仿宋"/>
                <w:color w:val="auto"/>
                <w:sz w:val="24"/>
                <w:szCs w:val="24"/>
                <w:highlight w:val="none"/>
              </w:rPr>
              <w:t>分；</w:t>
            </w:r>
          </w:p>
          <w:p>
            <w:pPr>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货物/系统的质量性能、提供的投标产品应是功能、质量、产品配置、性能优良，且是完全满足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技术参数和技术规格要求的产品，没有实质性负偏离，提供的证明材料符合招标要求得</w:t>
            </w:r>
            <w:r>
              <w:rPr>
                <w:rFonts w:hint="eastAsia" w:ascii="仿宋" w:hAnsi="仿宋" w:eastAsia="仿宋" w:cs="仿宋"/>
                <w:color w:val="auto"/>
                <w:sz w:val="24"/>
                <w:szCs w:val="24"/>
                <w:highlight w:val="none"/>
                <w:lang w:val="en-US" w:eastAsia="zh-CN"/>
              </w:rPr>
              <w:t>1-10</w:t>
            </w:r>
            <w:r>
              <w:rPr>
                <w:rFonts w:hint="eastAsia" w:ascii="仿宋" w:hAnsi="仿宋" w:eastAsia="仿宋" w:cs="仿宋"/>
                <w:color w:val="auto"/>
                <w:sz w:val="24"/>
                <w:szCs w:val="24"/>
                <w:highlight w:val="none"/>
              </w:rPr>
              <w:t>分；</w:t>
            </w:r>
          </w:p>
          <w:p>
            <w:pPr>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货物/系统的质量性能、技术指标差，</w:t>
            </w:r>
            <w:r>
              <w:rPr>
                <w:rFonts w:hint="eastAsia" w:ascii="仿宋" w:hAnsi="仿宋" w:eastAsia="仿宋" w:cs="仿宋"/>
                <w:color w:val="auto"/>
                <w:sz w:val="24"/>
                <w:szCs w:val="24"/>
                <w:highlight w:val="none"/>
                <w:lang w:eastAsia="zh-CN"/>
              </w:rPr>
              <w:t>不能</w:t>
            </w:r>
            <w:r>
              <w:rPr>
                <w:rFonts w:hint="eastAsia" w:ascii="仿宋" w:hAnsi="仿宋" w:eastAsia="仿宋" w:cs="仿宋"/>
                <w:color w:val="auto"/>
                <w:sz w:val="24"/>
                <w:szCs w:val="24"/>
                <w:highlight w:val="none"/>
              </w:rPr>
              <w:t>满足用户对产品功能、质量、使用、操作等方面的需求，提供的证明材料不符合招标要求得0分；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项目供货及实施方案</w:t>
            </w:r>
          </w:p>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257" w:type="dxa"/>
            <w:gridSpan w:val="2"/>
            <w:noWrap w:val="0"/>
            <w:vAlign w:val="center"/>
          </w:tcPr>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整体供货方案科学合理可行，施工实施方案内容全面、明确重点，安装、调试、验收方案合理、针对性强、贴近项目需求，为该项目提出合理化建议，得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供货方案可行，施工实施方案</w:t>
            </w:r>
            <w:r>
              <w:rPr>
                <w:rFonts w:hint="eastAsia" w:ascii="仿宋" w:hAnsi="仿宋" w:eastAsia="仿宋" w:cs="仿宋"/>
                <w:color w:val="auto"/>
                <w:sz w:val="24"/>
                <w:szCs w:val="24"/>
                <w:highlight w:val="none"/>
                <w:lang w:val="en-US" w:eastAsia="zh-CN"/>
              </w:rPr>
              <w:t>较</w:t>
            </w:r>
            <w:r>
              <w:rPr>
                <w:rFonts w:hint="eastAsia" w:ascii="仿宋" w:hAnsi="仿宋" w:eastAsia="仿宋" w:cs="仿宋"/>
                <w:color w:val="auto"/>
                <w:sz w:val="24"/>
                <w:szCs w:val="24"/>
                <w:highlight w:val="none"/>
              </w:rPr>
              <w:t>内容充实，针对性</w:t>
            </w:r>
            <w:r>
              <w:rPr>
                <w:rFonts w:hint="eastAsia" w:ascii="仿宋" w:hAnsi="仿宋" w:eastAsia="仿宋" w:cs="仿宋"/>
                <w:color w:val="auto"/>
                <w:sz w:val="24"/>
                <w:szCs w:val="24"/>
                <w:highlight w:val="none"/>
                <w:lang w:val="en-US" w:eastAsia="zh-CN"/>
              </w:rPr>
              <w:t>比较好</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供货方案可行，施工实施方案内容充实，针对性一般，得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供货方案不合理性、施工实施方案内容叙述简单、针对性差，得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未提供供货方案的及实施方案，得0分。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top"/>
          </w:tcPr>
          <w:p>
            <w:pPr>
              <w:spacing w:line="2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维保方案（</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257" w:type="dxa"/>
            <w:gridSpan w:val="2"/>
            <w:noWrap w:val="0"/>
            <w:vAlign w:val="top"/>
          </w:tcPr>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根据本项目特点，可以提供定期维保，乌鲁木齐本地有应急维修人员，2小时内能到现场做预处理，方案完善合理可行，优得5分，良得3分，</w:t>
            </w:r>
            <w:r>
              <w:rPr>
                <w:rFonts w:hint="eastAsia" w:ascii="仿宋" w:hAnsi="仿宋" w:eastAsia="仿宋" w:cs="仿宋"/>
                <w:sz w:val="24"/>
                <w:szCs w:val="24"/>
                <w:highlight w:val="none"/>
                <w:lang w:val="en-US" w:eastAsia="zh-CN"/>
              </w:rPr>
              <w:t>一般得1分，</w:t>
            </w:r>
            <w:r>
              <w:rPr>
                <w:rFonts w:hint="eastAsia" w:ascii="仿宋" w:hAnsi="仿宋" w:eastAsia="仿宋" w:cs="仿宋"/>
                <w:sz w:val="24"/>
                <w:szCs w:val="24"/>
                <w:highlight w:val="none"/>
              </w:rPr>
              <w:t>差</w:t>
            </w:r>
            <w:r>
              <w:rPr>
                <w:rFonts w:hint="eastAsia" w:ascii="仿宋" w:hAnsi="仿宋" w:eastAsia="仿宋" w:cs="仿宋"/>
                <w:sz w:val="24"/>
                <w:szCs w:val="24"/>
                <w:highlight w:val="none"/>
                <w:lang w:val="en-US" w:eastAsia="zh-CN"/>
              </w:rPr>
              <w:t>或未提供</w:t>
            </w:r>
            <w:r>
              <w:rPr>
                <w:rFonts w:hint="eastAsia" w:ascii="仿宋" w:hAnsi="仿宋" w:eastAsia="仿宋" w:cs="仿宋"/>
                <w:sz w:val="24"/>
                <w:szCs w:val="24"/>
                <w:highlight w:val="none"/>
              </w:rPr>
              <w:t>得0分；此项共计5分。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top"/>
          </w:tcPr>
          <w:p>
            <w:pPr>
              <w:spacing w:line="2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257" w:type="dxa"/>
            <w:gridSpan w:val="2"/>
            <w:noWrap w:val="0"/>
            <w:vAlign w:val="top"/>
          </w:tcPr>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针对本项目提供完整质保方案；质保方案合理可行，优得5分，</w:t>
            </w:r>
            <w:r>
              <w:rPr>
                <w:rFonts w:hint="eastAsia" w:ascii="仿宋" w:hAnsi="仿宋" w:eastAsia="仿宋" w:cs="仿宋"/>
                <w:sz w:val="24"/>
                <w:szCs w:val="24"/>
                <w:highlight w:val="none"/>
              </w:rPr>
              <w:t>良得3分，</w:t>
            </w:r>
            <w:r>
              <w:rPr>
                <w:rFonts w:hint="eastAsia" w:ascii="仿宋" w:hAnsi="仿宋" w:eastAsia="仿宋" w:cs="仿宋"/>
                <w:sz w:val="24"/>
                <w:szCs w:val="24"/>
                <w:highlight w:val="none"/>
                <w:lang w:val="en-US" w:eastAsia="zh-CN"/>
              </w:rPr>
              <w:t>一般得1分，</w:t>
            </w:r>
            <w:r>
              <w:rPr>
                <w:rFonts w:hint="eastAsia" w:ascii="仿宋" w:hAnsi="仿宋" w:eastAsia="仿宋" w:cs="仿宋"/>
                <w:sz w:val="24"/>
                <w:szCs w:val="24"/>
                <w:highlight w:val="none"/>
              </w:rPr>
              <w:t>差</w:t>
            </w:r>
            <w:r>
              <w:rPr>
                <w:rFonts w:hint="eastAsia" w:ascii="仿宋" w:hAnsi="仿宋" w:eastAsia="仿宋" w:cs="仿宋"/>
                <w:sz w:val="24"/>
                <w:szCs w:val="24"/>
                <w:highlight w:val="none"/>
                <w:lang w:val="en-US" w:eastAsia="zh-CN"/>
              </w:rPr>
              <w:t>或未提供</w:t>
            </w:r>
            <w:r>
              <w:rPr>
                <w:rFonts w:hint="eastAsia" w:ascii="仿宋" w:hAnsi="仿宋" w:eastAsia="仿宋" w:cs="仿宋"/>
                <w:sz w:val="24"/>
                <w:szCs w:val="24"/>
                <w:highlight w:val="none"/>
              </w:rPr>
              <w:t>得0分；此项共计5分。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技术人员配备</w:t>
            </w:r>
          </w:p>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257" w:type="dxa"/>
            <w:gridSpan w:val="2"/>
            <w:noWrap w:val="0"/>
            <w:vAlign w:val="center"/>
          </w:tcPr>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需提供专业人员技术支持，技术服务需满足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要求。对技术人员</w:t>
            </w:r>
            <w:r>
              <w:rPr>
                <w:rFonts w:hint="eastAsia" w:ascii="仿宋" w:hAnsi="仿宋" w:eastAsia="仿宋" w:cs="仿宋"/>
                <w:color w:val="auto"/>
                <w:sz w:val="24"/>
                <w:szCs w:val="24"/>
                <w:highlight w:val="none"/>
                <w:lang w:eastAsia="zh-CN"/>
              </w:rPr>
              <w:t>包括</w:t>
            </w:r>
            <w:r>
              <w:rPr>
                <w:rFonts w:hint="eastAsia" w:ascii="仿宋" w:hAnsi="仿宋" w:eastAsia="仿宋" w:cs="仿宋"/>
                <w:sz w:val="24"/>
                <w:szCs w:val="24"/>
                <w:highlight w:val="none"/>
              </w:rPr>
              <w:t>项目负责人、技术负责人、安全员、质检员、施工员、资料员等人员配备齐全</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rPr>
              <w:t>配备情况及任职资格、资质证书、人员驻场时间等做评审。</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w:t>
            </w:r>
            <w:r>
              <w:rPr>
                <w:rFonts w:hint="eastAsia" w:ascii="仿宋" w:hAnsi="仿宋" w:eastAsia="仿宋" w:cs="仿宋"/>
                <w:color w:val="auto"/>
                <w:sz w:val="24"/>
                <w:szCs w:val="24"/>
                <w:highlight w:val="none"/>
                <w:lang w:eastAsia="zh-CN"/>
              </w:rPr>
              <w:t>、项目负责人</w:t>
            </w:r>
            <w:r>
              <w:rPr>
                <w:rFonts w:hint="eastAsia" w:ascii="仿宋" w:hAnsi="仿宋" w:eastAsia="仿宋" w:cs="仿宋"/>
                <w:color w:val="auto"/>
                <w:sz w:val="24"/>
                <w:szCs w:val="24"/>
                <w:highlight w:val="none"/>
              </w:rPr>
              <w:t>配备齐全、专业、经验丰富、人员驻场时间满足或优于</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要求，得1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w:t>
            </w:r>
            <w:r>
              <w:rPr>
                <w:rFonts w:hint="eastAsia" w:ascii="仿宋" w:hAnsi="仿宋" w:eastAsia="仿宋" w:cs="仿宋"/>
                <w:color w:val="auto"/>
                <w:sz w:val="24"/>
                <w:szCs w:val="24"/>
                <w:highlight w:val="none"/>
                <w:lang w:eastAsia="zh-CN"/>
              </w:rPr>
              <w:t>、项目负责人</w:t>
            </w:r>
            <w:r>
              <w:rPr>
                <w:rFonts w:hint="eastAsia" w:ascii="仿宋" w:hAnsi="仿宋" w:eastAsia="仿宋" w:cs="仿宋"/>
                <w:color w:val="auto"/>
                <w:sz w:val="24"/>
                <w:szCs w:val="24"/>
                <w:highlight w:val="none"/>
              </w:rPr>
              <w:t>配备齐全、专业度较好、经验较丰富、人员驻场时间满足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w:t>
            </w:r>
            <w:r>
              <w:rPr>
                <w:rFonts w:hint="eastAsia" w:ascii="仿宋" w:hAnsi="仿宋" w:eastAsia="仿宋" w:cs="仿宋"/>
                <w:color w:val="auto"/>
                <w:sz w:val="24"/>
                <w:szCs w:val="24"/>
                <w:highlight w:val="none"/>
                <w:lang w:eastAsia="zh-CN"/>
              </w:rPr>
              <w:t>、项目负责人</w:t>
            </w:r>
            <w:r>
              <w:rPr>
                <w:rFonts w:hint="eastAsia" w:ascii="仿宋" w:hAnsi="仿宋" w:eastAsia="仿宋" w:cs="仿宋"/>
                <w:color w:val="auto"/>
                <w:sz w:val="24"/>
                <w:szCs w:val="24"/>
                <w:highlight w:val="none"/>
              </w:rPr>
              <w:t>配备齐全、专业度</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、经验</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、人员驻场时间满足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spacing w:line="2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技术人员</w:t>
            </w:r>
            <w:r>
              <w:rPr>
                <w:rFonts w:hint="eastAsia" w:ascii="仿宋" w:hAnsi="仿宋" w:eastAsia="仿宋" w:cs="仿宋"/>
                <w:color w:val="auto"/>
                <w:sz w:val="24"/>
                <w:szCs w:val="24"/>
                <w:highlight w:val="none"/>
                <w:lang w:eastAsia="zh-CN"/>
              </w:rPr>
              <w:t>、项目负责人</w:t>
            </w:r>
            <w:r>
              <w:rPr>
                <w:rFonts w:hint="eastAsia" w:ascii="仿宋" w:hAnsi="仿宋" w:eastAsia="仿宋" w:cs="仿宋"/>
                <w:color w:val="auto"/>
                <w:sz w:val="24"/>
                <w:szCs w:val="24"/>
                <w:highlight w:val="none"/>
              </w:rPr>
              <w:t>配备不齐全、专业度和经验较差、人员驻场时间不满足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jc w:val="center"/>
        </w:trPr>
        <w:tc>
          <w:tcPr>
            <w:tcW w:w="1079" w:type="dxa"/>
            <w:vMerge w:val="restart"/>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p>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部分</w:t>
            </w:r>
          </w:p>
        </w:tc>
        <w:tc>
          <w:tcPr>
            <w:tcW w:w="918" w:type="dxa"/>
            <w:vMerge w:val="restart"/>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p>
        </w:tc>
        <w:tc>
          <w:tcPr>
            <w:tcW w:w="1140" w:type="dxa"/>
            <w:noWrap w:val="0"/>
            <w:vAlign w:val="center"/>
          </w:tcPr>
          <w:p>
            <w:pPr>
              <w:spacing w:line="2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履约能力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257" w:type="dxa"/>
            <w:gridSpan w:val="2"/>
            <w:noWrap w:val="0"/>
            <w:vAlign w:val="center"/>
          </w:tcPr>
          <w:p>
            <w:pPr>
              <w:widowControl/>
              <w:snapToGrid w:val="0"/>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投标人提供近三年（2018年01月01日-至今）</w:t>
            </w:r>
            <w:r>
              <w:rPr>
                <w:rFonts w:hint="eastAsia" w:ascii="仿宋" w:hAnsi="仿宋" w:eastAsia="仿宋" w:cs="仿宋"/>
                <w:color w:val="auto"/>
                <w:sz w:val="24"/>
                <w:szCs w:val="24"/>
                <w:highlight w:val="none"/>
                <w:lang w:eastAsia="zh-CN"/>
              </w:rPr>
              <w:t>类似项目</w:t>
            </w:r>
            <w:r>
              <w:rPr>
                <w:rFonts w:hint="eastAsia" w:ascii="仿宋" w:hAnsi="仿宋" w:eastAsia="仿宋" w:cs="仿宋"/>
                <w:color w:val="auto"/>
                <w:sz w:val="24"/>
                <w:szCs w:val="24"/>
                <w:highlight w:val="none"/>
              </w:rPr>
              <w:t>业绩 （须提供中标通知书、施工合同及竣工验收表扫描件加盖公章，以施工合同签订时间为准。）注：业绩证明材料需提供原件密封随投标响应文件一起递交每提供一个有效业绩得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 ，最高得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snapToGrid w:val="0"/>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不提供原件或原件与扫描件内容不符，不得分。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center"/>
          </w:tcPr>
          <w:p>
            <w:pPr>
              <w:widowControl/>
              <w:snapToGrid w:val="0"/>
              <w:spacing w:line="24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售后服务（</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分）</w:t>
            </w:r>
          </w:p>
        </w:tc>
        <w:tc>
          <w:tcPr>
            <w:tcW w:w="7257" w:type="dxa"/>
            <w:gridSpan w:val="2"/>
            <w:noWrap w:val="0"/>
            <w:vAlign w:val="center"/>
          </w:tcPr>
          <w:p>
            <w:pPr>
              <w:spacing w:line="260" w:lineRule="exact"/>
              <w:jc w:val="left"/>
              <w:rPr>
                <w:rFonts w:hint="eastAsia" w:ascii="仿宋" w:hAnsi="仿宋" w:eastAsia="仿宋" w:cs="仿宋"/>
                <w:sz w:val="24"/>
                <w:szCs w:val="24"/>
                <w:highlight w:val="none"/>
              </w:rPr>
            </w:pPr>
          </w:p>
          <w:p>
            <w:pPr>
              <w:spacing w:line="26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提供完善合理的售后服务方案，根据本项目特点，综合考虑针对性、响应时间、质保期等因素。</w:t>
            </w:r>
          </w:p>
          <w:p>
            <w:pPr>
              <w:spacing w:line="2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质保期内免费维修，</w:t>
            </w:r>
            <w:r>
              <w:rPr>
                <w:rFonts w:hint="eastAsia" w:ascii="仿宋" w:hAnsi="仿宋" w:eastAsia="仿宋" w:cs="仿宋"/>
                <w:sz w:val="24"/>
                <w:szCs w:val="24"/>
                <w:highlight w:val="none"/>
                <w:lang w:val="en-US" w:eastAsia="zh-CN"/>
              </w:rPr>
              <w:t>质保方案合理优化，售后服务人员配备齐全，售后服务人员同时具有特种设备安全管理证（代号A）和压力容器操作证（代号R1）上述人员不能为同一人且应为投标企业人员，提供政府社保部门出具的投标单位为该人员缴纳的社保证明。社保证明需提供过去6个月内不少于连续缴费3个月的社保证明材料，须细化到人名，否则视为无效人员。配备方案优良得4-5分；售后服务人员配备一般得2-3分，售后服务人员配备较差得0分。</w:t>
            </w:r>
          </w:p>
          <w:p>
            <w:pPr>
              <w:spacing w:line="260" w:lineRule="exact"/>
              <w:jc w:val="left"/>
              <w:rPr>
                <w:rFonts w:hint="eastAsia" w:ascii="仿宋" w:hAnsi="仿宋" w:eastAsia="仿宋" w:cs="仿宋"/>
                <w:sz w:val="24"/>
                <w:szCs w:val="24"/>
                <w:highlight w:val="none"/>
                <w:lang w:val="en-US" w:eastAsia="zh-CN"/>
              </w:rPr>
            </w:pPr>
          </w:p>
          <w:p>
            <w:pPr>
              <w:spacing w:line="260" w:lineRule="exact"/>
              <w:jc w:val="left"/>
              <w:rPr>
                <w:rFonts w:hint="eastAsia" w:ascii="仿宋" w:hAnsi="仿宋" w:eastAsia="仿宋" w:cs="仿宋"/>
                <w:sz w:val="24"/>
                <w:szCs w:val="24"/>
                <w:highlight w:val="none"/>
                <w:lang w:val="en-US" w:eastAsia="zh-CN"/>
              </w:rPr>
            </w:pPr>
          </w:p>
          <w:p>
            <w:pPr>
              <w:spacing w:line="260" w:lineRule="exact"/>
              <w:jc w:val="left"/>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center"/>
          </w:tcPr>
          <w:p>
            <w:pPr>
              <w:spacing w:line="2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培训方案（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7257" w:type="dxa"/>
            <w:gridSpan w:val="2"/>
            <w:noWrap w:val="0"/>
            <w:vAlign w:val="center"/>
          </w:tcPr>
          <w:p>
            <w:pPr>
              <w:spacing w:line="2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设备安装调试过程中，对院方相关人员进行免费技术培训，确保能够进行日常操作及维护保养。培训方案合理、有效、针对性强，得3分；方案和针对性一般得2分；方案和针对性差的得0分。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079"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918" w:type="dxa"/>
            <w:vMerge w:val="continue"/>
            <w:noWrap w:val="0"/>
            <w:vAlign w:val="center"/>
          </w:tcPr>
          <w:p>
            <w:pPr>
              <w:spacing w:line="260" w:lineRule="exact"/>
              <w:jc w:val="center"/>
              <w:rPr>
                <w:rFonts w:hint="eastAsia" w:ascii="仿宋" w:hAnsi="仿宋" w:eastAsia="仿宋" w:cs="仿宋"/>
                <w:color w:val="auto"/>
                <w:sz w:val="24"/>
                <w:szCs w:val="24"/>
                <w:highlight w:val="none"/>
              </w:rPr>
            </w:pPr>
          </w:p>
        </w:tc>
        <w:tc>
          <w:tcPr>
            <w:tcW w:w="1140" w:type="dxa"/>
            <w:noWrap w:val="0"/>
            <w:vAlign w:val="center"/>
          </w:tcPr>
          <w:p>
            <w:pPr>
              <w:spacing w:line="2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标函质量（</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7257" w:type="dxa"/>
            <w:gridSpan w:val="2"/>
            <w:noWrap w:val="0"/>
            <w:vAlign w:val="center"/>
          </w:tcPr>
          <w:p>
            <w:pPr>
              <w:spacing w:line="26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文件应装订牢固、目录清楚、文件资料印刷清晰、页码准确，完全响磋商文件要求提供相关资料、表格等，得2分，每有一项不符合扣0.5分，扣完为止。</w:t>
            </w:r>
          </w:p>
        </w:tc>
      </w:tr>
    </w:tbl>
    <w:p>
      <w:pPr>
        <w:spacing w:line="360" w:lineRule="auto"/>
        <w:rPr>
          <w:rFonts w:hint="eastAsia" w:ascii="仿宋" w:hAnsi="仿宋" w:eastAsia="仿宋" w:cs="仿宋"/>
          <w:b/>
          <w:sz w:val="24"/>
          <w:highlight w:val="none"/>
        </w:rPr>
      </w:pP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01"/>
        <w:gridCol w:w="8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1" w:hRule="exact"/>
          <w:jc w:val="center"/>
        </w:trPr>
        <w:tc>
          <w:tcPr>
            <w:tcW w:w="1241" w:type="dxa"/>
            <w:vAlign w:val="center"/>
          </w:tcPr>
          <w:p>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投标报价</w:t>
            </w:r>
          </w:p>
        </w:tc>
        <w:tc>
          <w:tcPr>
            <w:tcW w:w="901" w:type="dxa"/>
            <w:vAlign w:val="center"/>
          </w:tcPr>
          <w:p>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pacing w:val="-6"/>
                <w:sz w:val="24"/>
                <w:highlight w:val="none"/>
                <w:lang w:val="en-US" w:eastAsia="zh-CN"/>
              </w:rPr>
              <w:t>3</w:t>
            </w:r>
            <w:r>
              <w:rPr>
                <w:rFonts w:hint="eastAsia" w:ascii="仿宋" w:hAnsi="仿宋" w:eastAsia="仿宋" w:cs="仿宋"/>
                <w:b/>
                <w:color w:val="000000"/>
                <w:spacing w:val="-6"/>
                <w:sz w:val="24"/>
                <w:highlight w:val="none"/>
              </w:rPr>
              <w:t>0%</w:t>
            </w:r>
          </w:p>
        </w:tc>
        <w:tc>
          <w:tcPr>
            <w:tcW w:w="8453" w:type="dxa"/>
            <w:vAlign w:val="center"/>
          </w:tcPr>
          <w:p>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评标基准价的确定：1、当有效投标报价个数N≥6家时, 评标基准价等于所有有效投标报价中去掉一个最高报价和一个最低报价后的算术平均值，（注：上述情况中去掉的投标报价仍是有效报价，只是不计入评标基准价的计算）；</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2、当有效投标报价个数N＜6时，评标基准价等于所有有效投标报价的算术平均值。</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偏差率=（投标人投标报价-评标基准价）/评标基准价*100%</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投标报价得分计算方法</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有效投标报价＞评标基准价，报价得分＝100-︱偏差率︱×100×1.0；</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有效投标报价≤评标基准价，报价得分＝100-︱偏差率︱×100×0.5。</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eastAsia="zh-CN"/>
              </w:rPr>
              <w:t>有效报价得分=报价得分*</w:t>
            </w:r>
            <w:r>
              <w:rPr>
                <w:rFonts w:hint="eastAsia" w:ascii="仿宋" w:hAnsi="仿宋" w:eastAsia="仿宋" w:cs="仿宋"/>
                <w:sz w:val="24"/>
                <w:lang w:val="en-US" w:eastAsia="zh-CN"/>
              </w:rPr>
              <w:t>3</w:t>
            </w:r>
            <w:r>
              <w:rPr>
                <w:rFonts w:hint="eastAsia" w:ascii="仿宋" w:hAnsi="仿宋" w:eastAsia="仿宋" w:cs="仿宋"/>
                <w:sz w:val="24"/>
                <w:lang w:eastAsia="zh-CN"/>
              </w:rPr>
              <w:t>0%</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lang w:eastAsia="zh-CN"/>
              </w:rPr>
              <w:t>评分分值计算保留小数点后两位，小数点后三位“四舍五入”</w:t>
            </w:r>
          </w:p>
        </w:tc>
      </w:tr>
    </w:tbl>
    <w:p>
      <w:pPr>
        <w:spacing w:line="360" w:lineRule="auto"/>
        <w:rPr>
          <w:rFonts w:hint="eastAsia" w:ascii="仿宋" w:hAnsi="仿宋" w:eastAsia="仿宋" w:cs="仿宋"/>
          <w:sz w:val="24"/>
          <w:highlight w:val="none"/>
        </w:rPr>
      </w:pPr>
      <w:r>
        <w:rPr>
          <w:rFonts w:hint="eastAsia" w:ascii="仿宋" w:hAnsi="仿宋" w:eastAsia="仿宋" w:cs="仿宋"/>
          <w:b/>
          <w:sz w:val="24"/>
          <w:highlight w:val="none"/>
        </w:rPr>
        <w:t>属于中小企业评审优惠内容及价格扣除幅度</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根据中华人民共和国财政部、中华人民共和国工业和信息化部</w:t>
      </w:r>
      <w:r>
        <w:rPr>
          <w:rFonts w:hint="eastAsia" w:ascii="仿宋" w:hAnsi="仿宋" w:eastAsia="仿宋" w:cs="仿宋"/>
          <w:color w:val="000000"/>
          <w:kern w:val="0"/>
          <w:sz w:val="24"/>
          <w:highlight w:val="none"/>
        </w:rPr>
        <w:t>《政府采购促进中小企业发展管理办法》（财库〔2020〕46号）</w:t>
      </w:r>
      <w:r>
        <w:rPr>
          <w:rFonts w:hint="eastAsia" w:ascii="仿宋" w:hAnsi="仿宋" w:eastAsia="仿宋" w:cs="仿宋"/>
          <w:sz w:val="24"/>
          <w:highlight w:val="none"/>
        </w:rPr>
        <w:t>文件的规定，属于中小企业评审优惠内容及幅度如下：</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（一）中小企业（含中型、小型、微型企业）应当同时符合以下条件：</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①符合中小企业划分标准（按《关于印发中小企业划型标准规定的通知》（工信部联企业〔2011〕300号）执行）；</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②提供本企业制造的货物、承担的项目或者服务，或者提供其他中小企业制造的货物。本项所称货物不包括使用大型企业注册商标的货物；</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③小型、微型企业提供中型企业制造的货物的，视同为中型企业。</w:t>
      </w:r>
    </w:p>
    <w:p>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监狱企业视同为小微企业。</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（二）价格扣除办法：</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1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①</w:t>
      </w:r>
      <w:r>
        <w:rPr>
          <w:rFonts w:hint="eastAsia" w:ascii="仿宋" w:hAnsi="仿宋" w:eastAsia="仿宋" w:cs="仿宋"/>
          <w:sz w:val="24"/>
          <w:highlight w:val="none"/>
        </w:rPr>
        <w:fldChar w:fldCharType="end"/>
      </w:r>
      <w:r>
        <w:rPr>
          <w:rFonts w:hint="eastAsia" w:ascii="仿宋" w:hAnsi="仿宋" w:eastAsia="仿宋" w:cs="仿宋"/>
          <w:sz w:val="24"/>
          <w:highlight w:val="none"/>
        </w:rPr>
        <w:t>对于非专门面向中小企业的项目，对小型和微型企业（或联合体各方均为小型、微型企业的）产品的价格给予</w:t>
      </w:r>
      <w:r>
        <w:rPr>
          <w:rFonts w:hint="eastAsia" w:ascii="仿宋" w:hAnsi="仿宋" w:eastAsia="仿宋" w:cs="仿宋"/>
          <w:sz w:val="24"/>
          <w:highlight w:val="none"/>
          <w:lang w:eastAsia="zh-CN"/>
        </w:rPr>
        <w:t>3%</w:t>
      </w:r>
      <w:r>
        <w:rPr>
          <w:rFonts w:hint="eastAsia" w:ascii="仿宋" w:hAnsi="仿宋" w:eastAsia="仿宋" w:cs="仿宋"/>
          <w:sz w:val="24"/>
          <w:highlight w:val="none"/>
        </w:rPr>
        <w:t>的扣除，用扣除后的价格参与价格分的评审。</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（三）小型和微型企业适用价格扣除办法时应提供的相关资料：</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 1 \* GB3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①</w:t>
      </w:r>
      <w:r>
        <w:rPr>
          <w:rFonts w:hint="eastAsia" w:ascii="仿宋" w:hAnsi="仿宋" w:eastAsia="仿宋" w:cs="仿宋"/>
          <w:sz w:val="24"/>
          <w:highlight w:val="none"/>
        </w:rPr>
        <w:fldChar w:fldCharType="end"/>
      </w:r>
      <w:r>
        <w:rPr>
          <w:rFonts w:hint="eastAsia" w:ascii="仿宋" w:hAnsi="仿宋" w:eastAsia="仿宋" w:cs="仿宋"/>
          <w:sz w:val="24"/>
          <w:highlight w:val="none"/>
        </w:rPr>
        <w:t>、《中小企业声明函》；</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中须同时提供以上材料，否则将不给予价格扣除。若所供应产品为进口产品的，不适用</w:t>
      </w:r>
      <w:r>
        <w:rPr>
          <w:rFonts w:hint="eastAsia" w:ascii="仿宋" w:hAnsi="仿宋" w:eastAsia="仿宋" w:cs="仿宋"/>
          <w:color w:val="000000"/>
          <w:kern w:val="0"/>
          <w:sz w:val="24"/>
          <w:highlight w:val="none"/>
        </w:rPr>
        <w:t>《政府采购促进中小企业发展管理办法》</w:t>
      </w:r>
      <w:r>
        <w:rPr>
          <w:rFonts w:hint="eastAsia" w:ascii="仿宋" w:hAnsi="仿宋" w:eastAsia="仿宋" w:cs="仿宋"/>
          <w:sz w:val="24"/>
          <w:highlight w:val="none"/>
        </w:rPr>
        <w:t xml:space="preserve">。 </w:t>
      </w:r>
    </w:p>
    <w:p>
      <w:pPr>
        <w:spacing w:line="360" w:lineRule="auto"/>
        <w:ind w:firstLine="241" w:firstLineChars="100"/>
        <w:rPr>
          <w:rFonts w:hint="eastAsia" w:ascii="仿宋" w:hAnsi="仿宋" w:eastAsia="仿宋" w:cs="仿宋"/>
          <w:b/>
          <w:sz w:val="24"/>
          <w:highlight w:val="none"/>
        </w:rPr>
      </w:pPr>
      <w:r>
        <w:rPr>
          <w:rFonts w:hint="eastAsia" w:ascii="仿宋" w:hAnsi="仿宋" w:eastAsia="仿宋" w:cs="仿宋"/>
          <w:b/>
          <w:sz w:val="24"/>
          <w:highlight w:val="none"/>
        </w:rPr>
        <w:t xml:space="preserve">    招标方将以下述规则纠正</w:t>
      </w:r>
      <w:r>
        <w:rPr>
          <w:rFonts w:hint="eastAsia" w:ascii="仿宋" w:hAnsi="仿宋" w:eastAsia="仿宋" w:cs="仿宋"/>
          <w:b/>
          <w:sz w:val="24"/>
          <w:highlight w:val="none"/>
          <w:lang w:eastAsia="zh-CN"/>
        </w:rPr>
        <w:t>响应文件</w:t>
      </w:r>
      <w:r>
        <w:rPr>
          <w:rFonts w:hint="eastAsia" w:ascii="仿宋" w:hAnsi="仿宋" w:eastAsia="仿宋" w:cs="仿宋"/>
          <w:b/>
          <w:sz w:val="24"/>
          <w:highlight w:val="none"/>
        </w:rPr>
        <w:t>中的算术错误：</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（1）大写金额和小写金额不一致的，以大写金额为准；单价金额小数点或者百分比有明显错位的，总价为准，并修改单价；总价金额与按单价汇总金额不一致的，以单价金额计算结果为准。</w:t>
      </w:r>
    </w:p>
    <w:p>
      <w:pPr>
        <w:spacing w:line="360" w:lineRule="auto"/>
        <w:ind w:left="239" w:leftChars="114" w:firstLine="360" w:firstLineChars="150"/>
        <w:rPr>
          <w:rFonts w:hint="eastAsia" w:ascii="仿宋" w:hAnsi="仿宋" w:eastAsia="仿宋" w:cs="仿宋"/>
          <w:sz w:val="24"/>
          <w:highlight w:val="none"/>
        </w:rPr>
      </w:pPr>
      <w:r>
        <w:rPr>
          <w:rFonts w:hint="eastAsia" w:ascii="仿宋" w:hAnsi="仿宋" w:eastAsia="仿宋" w:cs="仿宋"/>
          <w:sz w:val="24"/>
          <w:highlight w:val="none"/>
        </w:rPr>
        <w:t>（2）当在文字和数字之间出现不一致时，以文字所表述的数字量为准。如果投标人不接受上述修正规则</w:t>
      </w:r>
      <w:bookmarkStart w:id="245" w:name="_GoBack"/>
      <w:bookmarkEnd w:id="245"/>
      <w:r>
        <w:rPr>
          <w:rFonts w:hint="eastAsia" w:ascii="仿宋" w:hAnsi="仿宋" w:eastAsia="仿宋" w:cs="仿宋"/>
          <w:sz w:val="24"/>
          <w:highlight w:val="none"/>
        </w:rPr>
        <w:t>，其投标书将被拒绝。</w:t>
      </w:r>
    </w:p>
    <w:bookmarkEnd w:id="16"/>
    <w:bookmarkEnd w:id="17"/>
    <w:p>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36、澄清</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为有助于</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的审查和评比，招标方可要求投标单位对</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的商务、报价和技术等方面的任何不明确的内容做进一步澄清或对存在的细微偏差予以补正。但不得寻求、提出或接受对投标报价及实质性内容进行更改。在澄清过程中不得向投标人提出不符合</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的要求。</w:t>
      </w:r>
    </w:p>
    <w:p>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37、评审结果的汇总</w:t>
      </w:r>
    </w:p>
    <w:p>
      <w:pPr>
        <w:spacing w:line="360" w:lineRule="auto"/>
        <w:ind w:firstLine="482" w:firstLineChars="200"/>
        <w:rPr>
          <w:rFonts w:hint="eastAsia" w:ascii="仿宋" w:hAnsi="仿宋" w:eastAsia="仿宋" w:cs="仿宋"/>
          <w:sz w:val="28"/>
          <w:szCs w:val="28"/>
          <w:highlight w:val="none"/>
        </w:rPr>
      </w:pPr>
      <w:r>
        <w:rPr>
          <w:rFonts w:hint="eastAsia" w:ascii="仿宋" w:hAnsi="仿宋" w:eastAsia="仿宋" w:cs="仿宋"/>
          <w:b/>
          <w:sz w:val="24"/>
          <w:highlight w:val="none"/>
        </w:rPr>
        <w:t>将每位评委的评分进行统计汇总，计分保留小数点后两位，第三位四舍五入</w:t>
      </w:r>
      <w:r>
        <w:rPr>
          <w:rFonts w:hint="eastAsia" w:ascii="仿宋" w:hAnsi="仿宋" w:eastAsia="仿宋" w:cs="仿宋"/>
          <w:sz w:val="24"/>
          <w:highlight w:val="none"/>
        </w:rPr>
        <w:t>。每位评委的技术部分汇总评分后的算术平均值，确定为该投标单位的技术部分得分，最终得分为投标报价及技术部分的总和。在确定中标候选人顺序时，若有相同的得</w:t>
      </w:r>
      <w:bookmarkEnd w:id="6"/>
      <w:bookmarkEnd w:id="7"/>
      <w:bookmarkStart w:id="18" w:name="_Toc21112"/>
      <w:bookmarkStart w:id="19" w:name="_Toc27495"/>
      <w:r>
        <w:rPr>
          <w:rFonts w:hint="eastAsia" w:ascii="仿宋" w:hAnsi="仿宋" w:eastAsia="仿宋" w:cs="仿宋"/>
          <w:b/>
          <w:sz w:val="30"/>
          <w:szCs w:val="30"/>
          <w:highlight w:val="none"/>
        </w:rPr>
        <w:br w:type="page"/>
      </w:r>
    </w:p>
    <w:p>
      <w:pPr>
        <w:spacing w:line="360" w:lineRule="auto"/>
        <w:jc w:val="center"/>
        <w:outlineLvl w:val="0"/>
        <w:rPr>
          <w:rFonts w:hint="eastAsia" w:ascii="仿宋" w:hAnsi="仿宋" w:eastAsia="仿宋" w:cs="仿宋"/>
          <w:b/>
          <w:sz w:val="30"/>
          <w:szCs w:val="30"/>
          <w:highlight w:val="none"/>
        </w:rPr>
      </w:pPr>
      <w:r>
        <w:rPr>
          <w:rFonts w:hint="eastAsia" w:ascii="仿宋" w:hAnsi="仿宋" w:eastAsia="仿宋" w:cs="仿宋"/>
          <w:b/>
          <w:sz w:val="30"/>
          <w:szCs w:val="30"/>
          <w:highlight w:val="none"/>
        </w:rPr>
        <w:t>第三章  合同条件及格式（仅供参考）</w:t>
      </w:r>
      <w:bookmarkEnd w:id="18"/>
      <w:bookmarkEnd w:id="19"/>
    </w:p>
    <w:bookmarkEnd w:id="8"/>
    <w:bookmarkEnd w:id="9"/>
    <w:p>
      <w:pPr>
        <w:pStyle w:val="28"/>
        <w:numPr>
          <w:ilvl w:val="0"/>
          <w:numId w:val="0"/>
        </w:numPr>
        <w:rPr>
          <w:rFonts w:hint="eastAsia" w:ascii="仿宋" w:hAnsi="仿宋" w:eastAsia="仿宋" w:cs="仿宋"/>
          <w:color w:val="auto"/>
          <w:sz w:val="28"/>
          <w:szCs w:val="28"/>
          <w:highlight w:val="none"/>
          <w:lang w:val="zh-CN"/>
        </w:rPr>
      </w:pPr>
      <w:bookmarkStart w:id="20" w:name="_Toc19912"/>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GF-2017-0201</w:t>
      </w:r>
      <w:r>
        <w:rPr>
          <w:rFonts w:hint="eastAsia" w:ascii="仿宋" w:hAnsi="仿宋" w:eastAsia="仿宋" w:cs="仿宋"/>
          <w:color w:val="auto"/>
          <w:sz w:val="28"/>
          <w:szCs w:val="28"/>
          <w:highlight w:val="none"/>
          <w:lang w:val="zh-CN"/>
        </w:rPr>
        <w:t>）</w:t>
      </w:r>
    </w:p>
    <w:p>
      <w:pPr>
        <w:rPr>
          <w:rFonts w:hint="eastAsia" w:ascii="仿宋" w:hAnsi="仿宋" w:eastAsia="仿宋" w:cs="仿宋"/>
          <w:b/>
          <w:color w:val="auto"/>
          <w:sz w:val="28"/>
          <w:szCs w:val="28"/>
          <w:highlight w:val="none"/>
          <w:lang w:val="zh-CN"/>
        </w:rPr>
      </w:pPr>
    </w:p>
    <w:p>
      <w:pPr>
        <w:pStyle w:val="28"/>
        <w:numPr>
          <w:ilvl w:val="0"/>
          <w:numId w:val="0"/>
        </w:numPr>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lang w:val="zh-CN"/>
        </w:rPr>
      </w:pPr>
    </w:p>
    <w:p>
      <w:pPr>
        <w:pStyle w:val="28"/>
        <w:numPr>
          <w:ilvl w:val="0"/>
          <w:numId w:val="0"/>
        </w:numPr>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lang w:val="zh-CN"/>
        </w:rPr>
      </w:pPr>
    </w:p>
    <w:p>
      <w:pPr>
        <w:pStyle w:val="28"/>
        <w:numPr>
          <w:ilvl w:val="0"/>
          <w:numId w:val="0"/>
        </w:numPr>
        <w:rPr>
          <w:rFonts w:hint="eastAsia" w:ascii="仿宋" w:hAnsi="仿宋" w:eastAsia="仿宋" w:cs="仿宋"/>
          <w:color w:val="auto"/>
          <w:highlight w:val="none"/>
        </w:rPr>
      </w:pPr>
    </w:p>
    <w:p>
      <w:pPr>
        <w:pStyle w:val="49"/>
        <w:rPr>
          <w:rFonts w:hint="eastAsia" w:ascii="仿宋" w:hAnsi="仿宋" w:eastAsia="仿宋" w:cs="仿宋"/>
          <w:b w:val="0"/>
          <w:bCs/>
          <w:color w:val="auto"/>
          <w:sz w:val="72"/>
          <w:szCs w:val="72"/>
          <w:highlight w:val="none"/>
        </w:rPr>
      </w:pPr>
      <w:r>
        <w:rPr>
          <w:rFonts w:hint="eastAsia" w:ascii="仿宋" w:hAnsi="仿宋" w:eastAsia="仿宋" w:cs="仿宋"/>
          <w:b w:val="0"/>
          <w:bCs/>
          <w:color w:val="auto"/>
          <w:sz w:val="72"/>
          <w:szCs w:val="72"/>
          <w:highlight w:val="none"/>
        </w:rPr>
        <w:t>建设工程施工合同</w:t>
      </w:r>
    </w:p>
    <w:p>
      <w:pPr>
        <w:jc w:val="center"/>
        <w:rPr>
          <w:rFonts w:hint="eastAsia"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rPr>
        <w:t>项目名称：</w:t>
      </w:r>
      <w:r>
        <w:rPr>
          <w:rFonts w:hint="eastAsia" w:ascii="仿宋" w:hAnsi="仿宋" w:eastAsia="仿宋" w:cs="仿宋"/>
          <w:bCs/>
          <w:color w:val="auto"/>
          <w:sz w:val="36"/>
          <w:szCs w:val="36"/>
          <w:highlight w:val="none"/>
          <w:lang w:eastAsia="zh-CN"/>
        </w:rPr>
        <w:t>新疆医科大学第七附属医院医教综合楼医用气体集中供应安装工程</w:t>
      </w:r>
    </w:p>
    <w:p>
      <w:pPr>
        <w:pStyle w:val="49"/>
        <w:rPr>
          <w:rFonts w:hint="eastAsia" w:ascii="仿宋" w:hAnsi="仿宋" w:eastAsia="仿宋" w:cs="仿宋"/>
          <w:color w:val="auto"/>
          <w:sz w:val="40"/>
          <w:szCs w:val="40"/>
          <w:highlight w:val="none"/>
        </w:rPr>
      </w:pPr>
    </w:p>
    <w:p>
      <w:pPr>
        <w:pStyle w:val="49"/>
        <w:rPr>
          <w:rFonts w:hint="eastAsia" w:ascii="仿宋" w:hAnsi="仿宋" w:eastAsia="仿宋" w:cs="仿宋"/>
          <w:color w:val="auto"/>
          <w:sz w:val="40"/>
          <w:szCs w:val="40"/>
          <w:highlight w:val="none"/>
        </w:rPr>
      </w:pPr>
    </w:p>
    <w:p>
      <w:pPr>
        <w:rPr>
          <w:rFonts w:hint="eastAsia" w:ascii="仿宋" w:hAnsi="仿宋" w:eastAsia="仿宋" w:cs="仿宋"/>
          <w:color w:val="auto"/>
          <w:highlight w:val="none"/>
        </w:rPr>
      </w:pPr>
    </w:p>
    <w:p>
      <w:pPr>
        <w:pStyle w:val="49"/>
        <w:rPr>
          <w:rFonts w:hint="eastAsia" w:ascii="仿宋" w:hAnsi="仿宋" w:eastAsia="仿宋" w:cs="仿宋"/>
          <w:color w:val="auto"/>
          <w:sz w:val="40"/>
          <w:szCs w:val="40"/>
          <w:highlight w:val="none"/>
        </w:rPr>
      </w:pPr>
    </w:p>
    <w:p>
      <w:pPr>
        <w:rPr>
          <w:rFonts w:hint="eastAsia" w:ascii="仿宋" w:hAnsi="仿宋" w:eastAsia="仿宋" w:cs="仿宋"/>
          <w:color w:val="auto"/>
          <w:highlight w:val="none"/>
        </w:rPr>
      </w:pPr>
    </w:p>
    <w:p>
      <w:pPr>
        <w:pStyle w:val="49"/>
        <w:rPr>
          <w:rFonts w:hint="eastAsia" w:ascii="仿宋" w:hAnsi="仿宋" w:eastAsia="仿宋" w:cs="仿宋"/>
          <w:color w:val="auto"/>
          <w:sz w:val="32"/>
          <w:szCs w:val="32"/>
          <w:highlight w:val="none"/>
        </w:rPr>
      </w:pPr>
    </w:p>
    <w:p>
      <w:pPr>
        <w:rPr>
          <w:rFonts w:hint="eastAsia" w:ascii="仿宋" w:hAnsi="仿宋" w:eastAsia="仿宋" w:cs="仿宋"/>
          <w:color w:val="auto"/>
          <w:highlight w:val="none"/>
        </w:rPr>
      </w:pPr>
    </w:p>
    <w:p>
      <w:pPr>
        <w:ind w:right="2182" w:rightChars="1039"/>
        <w:jc w:val="distribute"/>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 xml:space="preserve">    </w:t>
      </w:r>
    </w:p>
    <w:p>
      <w:pPr>
        <w:ind w:right="2182" w:rightChars="1039"/>
        <w:jc w:val="distribute"/>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28"/>
          <w:highlight w:val="none"/>
        </w:rPr>
        <w:br w:type="page"/>
      </w:r>
    </w:p>
    <w:p>
      <w:pPr>
        <w:pStyle w:val="3"/>
        <w:numPr>
          <w:ilvl w:val="0"/>
          <w:numId w:val="0"/>
        </w:numPr>
        <w:snapToGrid/>
        <w:spacing w:line="320" w:lineRule="exact"/>
        <w:jc w:val="center"/>
        <w:rPr>
          <w:rFonts w:hint="eastAsia" w:ascii="仿宋" w:hAnsi="仿宋" w:eastAsia="仿宋" w:cs="仿宋"/>
          <w:color w:val="auto"/>
          <w:sz w:val="24"/>
          <w:szCs w:val="24"/>
          <w:highlight w:val="none"/>
        </w:rPr>
      </w:pPr>
      <w:bookmarkStart w:id="21" w:name="_Toc27957"/>
      <w:r>
        <w:rPr>
          <w:rFonts w:hint="eastAsia" w:ascii="仿宋" w:hAnsi="仿宋" w:eastAsia="仿宋" w:cs="仿宋"/>
          <w:bCs/>
          <w:color w:val="auto"/>
          <w:kern w:val="2"/>
          <w:sz w:val="28"/>
          <w:szCs w:val="28"/>
          <w:highlight w:val="none"/>
          <w:lang w:val="zh-CN"/>
        </w:rPr>
        <w:t>第一部分 合同协议书</w:t>
      </w:r>
      <w:bookmarkEnd w:id="21"/>
    </w:p>
    <w:p>
      <w:pPr>
        <w:spacing w:line="320" w:lineRule="exact"/>
        <w:rPr>
          <w:rFonts w:hint="eastAsia" w:ascii="仿宋" w:hAnsi="仿宋" w:eastAsia="仿宋" w:cs="仿宋"/>
          <w:b/>
          <w:color w:val="auto"/>
          <w:kern w:val="1"/>
          <w:sz w:val="24"/>
          <w:szCs w:val="24"/>
          <w:highlight w:val="none"/>
          <w:u w:val="single"/>
        </w:rPr>
      </w:pPr>
      <w:r>
        <w:rPr>
          <w:rFonts w:hint="eastAsia" w:ascii="仿宋" w:hAnsi="仿宋" w:eastAsia="仿宋" w:cs="仿宋"/>
          <w:b/>
          <w:color w:val="auto"/>
          <w:kern w:val="1"/>
          <w:sz w:val="24"/>
          <w:szCs w:val="24"/>
          <w:highlight w:val="none"/>
        </w:rPr>
        <w:t>发包人（全称）：</w:t>
      </w:r>
      <w:r>
        <w:rPr>
          <w:rFonts w:hint="eastAsia" w:ascii="仿宋" w:hAnsi="仿宋" w:eastAsia="仿宋" w:cs="仿宋"/>
          <w:b w:val="0"/>
          <w:bCs/>
          <w:color w:val="auto"/>
          <w:kern w:val="1"/>
          <w:sz w:val="24"/>
          <w:szCs w:val="24"/>
          <w:highlight w:val="none"/>
          <w:u w:val="single"/>
          <w:lang w:eastAsia="zh-CN"/>
        </w:rPr>
        <w:t>新疆医科大学第七附属医院</w:t>
      </w:r>
      <w:r>
        <w:rPr>
          <w:rFonts w:hint="eastAsia" w:ascii="仿宋" w:hAnsi="仿宋" w:eastAsia="仿宋" w:cs="仿宋"/>
          <w:b w:val="0"/>
          <w:bCs/>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b/>
          <w:color w:val="auto"/>
          <w:kern w:val="1"/>
          <w:sz w:val="24"/>
          <w:szCs w:val="24"/>
          <w:highlight w:val="none"/>
          <w:u w:val="single"/>
        </w:rPr>
        <w:t xml:space="preserve">   </w:t>
      </w:r>
    </w:p>
    <w:p>
      <w:pPr>
        <w:spacing w:line="320" w:lineRule="exact"/>
        <w:rPr>
          <w:rFonts w:hint="eastAsia" w:ascii="仿宋" w:hAnsi="仿宋" w:eastAsia="仿宋" w:cs="仿宋"/>
          <w:b/>
          <w:color w:val="auto"/>
          <w:kern w:val="1"/>
          <w:sz w:val="24"/>
          <w:szCs w:val="24"/>
          <w:highlight w:val="none"/>
          <w:u w:val="single"/>
        </w:rPr>
      </w:pPr>
      <w:r>
        <w:rPr>
          <w:rFonts w:hint="eastAsia" w:ascii="仿宋" w:hAnsi="仿宋" w:eastAsia="仿宋" w:cs="仿宋"/>
          <w:b/>
          <w:color w:val="auto"/>
          <w:kern w:val="1"/>
          <w:sz w:val="24"/>
          <w:szCs w:val="24"/>
          <w:highlight w:val="none"/>
        </w:rPr>
        <w:t>承包人（全称）：</w:t>
      </w:r>
      <w:r>
        <w:rPr>
          <w:rFonts w:hint="eastAsia" w:ascii="仿宋" w:hAnsi="仿宋" w:eastAsia="仿宋" w:cs="仿宋"/>
          <w:b/>
          <w:color w:val="auto"/>
          <w:kern w:val="1"/>
          <w:sz w:val="24"/>
          <w:szCs w:val="24"/>
          <w:highlight w:val="none"/>
          <w:u w:val="single"/>
        </w:rPr>
        <w:t xml:space="preserve">                      </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根据《</w:t>
      </w:r>
      <w:r>
        <w:rPr>
          <w:rFonts w:hint="eastAsia" w:ascii="仿宋" w:hAnsi="仿宋" w:eastAsia="仿宋" w:cs="仿宋"/>
          <w:color w:val="auto"/>
          <w:kern w:val="1"/>
          <w:sz w:val="24"/>
          <w:szCs w:val="24"/>
          <w:highlight w:val="none"/>
          <w:lang w:eastAsia="zh-CN"/>
        </w:rPr>
        <w:t>中华人民共和国民法典</w:t>
      </w:r>
      <w:r>
        <w:rPr>
          <w:rFonts w:hint="eastAsia" w:ascii="仿宋" w:hAnsi="仿宋" w:eastAsia="仿宋" w:cs="仿宋"/>
          <w:color w:val="auto"/>
          <w:kern w:val="1"/>
          <w:sz w:val="24"/>
          <w:szCs w:val="24"/>
          <w:highlight w:val="none"/>
        </w:rPr>
        <w:t>》、《中华人民共和国建筑法》及有关法律规定，遵循平等、自愿、公平和诚实信用的原则，双方就</w:t>
      </w:r>
      <w:r>
        <w:rPr>
          <w:rFonts w:hint="eastAsia" w:ascii="仿宋" w:hAnsi="仿宋" w:eastAsia="仿宋" w:cs="仿宋"/>
          <w:color w:val="auto"/>
          <w:kern w:val="1"/>
          <w:sz w:val="24"/>
          <w:szCs w:val="24"/>
          <w:highlight w:val="none"/>
          <w:u w:val="single"/>
          <w:lang w:eastAsia="zh-CN"/>
        </w:rPr>
        <w:t>新疆医科大学第七附属医院医教综合楼医用气体集中供应安装工程</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施工及有关事项协商一致，共同达成如下协议：</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22" w:name="_Toc351203481"/>
      <w:bookmarkEnd w:id="22"/>
      <w:r>
        <w:rPr>
          <w:rFonts w:hint="eastAsia" w:ascii="仿宋" w:hAnsi="仿宋" w:eastAsia="仿宋" w:cs="仿宋"/>
          <w:b w:val="0"/>
          <w:color w:val="auto"/>
          <w:sz w:val="24"/>
          <w:szCs w:val="24"/>
          <w:highlight w:val="none"/>
        </w:rPr>
        <w:t>一、工程概况</w:t>
      </w:r>
    </w:p>
    <w:p>
      <w:pPr>
        <w:spacing w:line="320" w:lineRule="exact"/>
        <w:ind w:firstLine="411"/>
        <w:rPr>
          <w:rFonts w:hint="eastAsia" w:ascii="仿宋" w:hAnsi="仿宋" w:eastAsia="仿宋" w:cs="仿宋"/>
          <w:color w:val="auto"/>
          <w:kern w:val="1"/>
          <w:sz w:val="24"/>
          <w:szCs w:val="24"/>
          <w:highlight w:val="none"/>
          <w:u w:val="single"/>
        </w:rPr>
      </w:pPr>
      <w:r>
        <w:rPr>
          <w:rFonts w:hint="eastAsia" w:ascii="仿宋" w:hAnsi="仿宋" w:eastAsia="仿宋" w:cs="仿宋"/>
          <w:bCs/>
          <w:color w:val="auto"/>
          <w:kern w:val="1"/>
          <w:sz w:val="24"/>
          <w:szCs w:val="24"/>
          <w:highlight w:val="none"/>
        </w:rPr>
        <w:t>1.工程名称</w:t>
      </w:r>
      <w:r>
        <w:rPr>
          <w:rFonts w:hint="eastAsia"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u w:val="single"/>
          <w:lang w:eastAsia="zh-CN"/>
        </w:rPr>
        <w:t>新疆医科大学第七附属医院医教综合楼医用气体集中供应安装工程</w:t>
      </w:r>
      <w:r>
        <w:rPr>
          <w:rFonts w:hint="eastAsia" w:ascii="仿宋" w:hAnsi="仿宋" w:eastAsia="仿宋" w:cs="仿宋"/>
          <w:color w:val="auto"/>
          <w:kern w:val="1"/>
          <w:sz w:val="24"/>
          <w:szCs w:val="24"/>
          <w:highlight w:val="none"/>
        </w:rPr>
        <w:t>。</w:t>
      </w:r>
    </w:p>
    <w:p>
      <w:pPr>
        <w:spacing w:line="320" w:lineRule="exact"/>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2.工程地点：</w:t>
      </w:r>
      <w:r>
        <w:rPr>
          <w:rFonts w:hint="eastAsia" w:ascii="仿宋" w:hAnsi="仿宋" w:eastAsia="仿宋" w:cs="仿宋"/>
          <w:color w:val="auto"/>
          <w:kern w:val="1"/>
          <w:sz w:val="24"/>
          <w:szCs w:val="24"/>
          <w:highlight w:val="none"/>
          <w:u w:val="single"/>
          <w:lang w:eastAsia="zh-CN"/>
        </w:rPr>
        <w:t>新疆医科大学第七附属医院</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w:t>
      </w:r>
    </w:p>
    <w:p>
      <w:pPr>
        <w:spacing w:line="320" w:lineRule="exact"/>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3.工程立项批准文号：</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pPr>
        <w:spacing w:line="320" w:lineRule="exact"/>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4.资金来源：</w:t>
      </w:r>
      <w:r>
        <w:rPr>
          <w:rFonts w:hint="eastAsia" w:ascii="仿宋" w:hAnsi="仿宋" w:eastAsia="仿宋" w:cs="仿宋"/>
          <w:color w:val="auto"/>
          <w:kern w:val="1"/>
          <w:sz w:val="24"/>
          <w:szCs w:val="24"/>
          <w:highlight w:val="none"/>
          <w:u w:val="single"/>
        </w:rPr>
        <w:t xml:space="preserve">预算内资金     </w:t>
      </w:r>
      <w:r>
        <w:rPr>
          <w:rFonts w:hint="eastAsia" w:ascii="仿宋" w:hAnsi="仿宋" w:eastAsia="仿宋" w:cs="仿宋"/>
          <w:color w:val="auto"/>
          <w:kern w:val="1"/>
          <w:sz w:val="24"/>
          <w:szCs w:val="24"/>
          <w:highlight w:val="none"/>
        </w:rPr>
        <w:t>。</w:t>
      </w:r>
    </w:p>
    <w:p>
      <w:pPr>
        <w:spacing w:line="320" w:lineRule="exact"/>
        <w:ind w:firstLine="411"/>
        <w:rPr>
          <w:rFonts w:hint="eastAsia" w:ascii="仿宋" w:hAnsi="仿宋" w:eastAsia="仿宋" w:cs="仿宋"/>
          <w:color w:val="auto"/>
          <w:kern w:val="1"/>
          <w:sz w:val="24"/>
          <w:szCs w:val="24"/>
          <w:highlight w:val="none"/>
          <w:u w:val="single"/>
        </w:rPr>
      </w:pPr>
      <w:r>
        <w:rPr>
          <w:rFonts w:hint="eastAsia" w:ascii="仿宋" w:hAnsi="仿宋" w:eastAsia="仿宋" w:cs="仿宋"/>
          <w:bCs/>
          <w:color w:val="auto"/>
          <w:kern w:val="1"/>
          <w:sz w:val="24"/>
          <w:szCs w:val="24"/>
          <w:highlight w:val="none"/>
        </w:rPr>
        <w:t>5.工程内容：</w:t>
      </w:r>
      <w:r>
        <w:rPr>
          <w:rFonts w:hint="eastAsia" w:ascii="仿宋" w:hAnsi="仿宋" w:eastAsia="仿宋" w:cs="仿宋"/>
          <w:bCs/>
          <w:color w:val="auto"/>
          <w:kern w:val="1"/>
          <w:sz w:val="24"/>
          <w:szCs w:val="24"/>
          <w:highlight w:val="none"/>
          <w:u w:val="single"/>
          <w:lang w:val="en-US" w:eastAsia="zh-CN"/>
        </w:rPr>
        <w:t>全套施工图纸及工程量清单范围内所有工作内容（包括磋商文件、答疑补充文件、工程量清单）</w:t>
      </w:r>
      <w:r>
        <w:rPr>
          <w:rFonts w:hint="eastAsia" w:ascii="仿宋" w:hAnsi="仿宋" w:eastAsia="仿宋" w:cs="仿宋"/>
          <w:color w:val="auto"/>
          <w:kern w:val="1"/>
          <w:sz w:val="24"/>
          <w:szCs w:val="24"/>
          <w:highlight w:val="none"/>
          <w:u w:val="single"/>
        </w:rPr>
        <w:t>,详见</w:t>
      </w:r>
      <w:r>
        <w:rPr>
          <w:rFonts w:hint="eastAsia" w:ascii="仿宋" w:hAnsi="仿宋" w:eastAsia="仿宋" w:cs="仿宋"/>
          <w:color w:val="auto"/>
          <w:kern w:val="1"/>
          <w:sz w:val="24"/>
          <w:szCs w:val="24"/>
          <w:highlight w:val="none"/>
          <w:u w:val="single"/>
          <w:lang w:eastAsia="zh-CN"/>
        </w:rPr>
        <w:t>磋商文件</w:t>
      </w:r>
      <w:r>
        <w:rPr>
          <w:rFonts w:hint="eastAsia" w:ascii="仿宋" w:hAnsi="仿宋" w:eastAsia="仿宋" w:cs="仿宋"/>
          <w:color w:val="auto"/>
          <w:kern w:val="1"/>
          <w:sz w:val="24"/>
          <w:szCs w:val="24"/>
          <w:highlight w:val="none"/>
          <w:u w:val="single"/>
        </w:rPr>
        <w:t>。</w:t>
      </w:r>
    </w:p>
    <w:p>
      <w:pPr>
        <w:spacing w:line="320" w:lineRule="exact"/>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群体工程应附《承包人承揽工程项目一览表》（附件1）。</w:t>
      </w:r>
    </w:p>
    <w:p>
      <w:pPr>
        <w:spacing w:line="320" w:lineRule="exact"/>
        <w:ind w:firstLine="411"/>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6.工程承包范围：</w:t>
      </w:r>
    </w:p>
    <w:p>
      <w:pPr>
        <w:spacing w:line="440" w:lineRule="exact"/>
        <w:ind w:firstLine="41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lang w:eastAsia="zh-CN"/>
        </w:rPr>
        <w:t>新疆医科大学第七附属医院医教综合楼医用气体集中供应安装工程</w:t>
      </w:r>
      <w:r>
        <w:rPr>
          <w:rFonts w:hint="eastAsia" w:ascii="仿宋" w:hAnsi="仿宋" w:eastAsia="仿宋" w:cs="仿宋"/>
          <w:color w:val="auto"/>
          <w:sz w:val="24"/>
          <w:szCs w:val="24"/>
          <w:highlight w:val="none"/>
          <w:u w:val="single"/>
        </w:rPr>
        <w:t>的</w:t>
      </w:r>
      <w:r>
        <w:rPr>
          <w:rFonts w:hint="eastAsia" w:ascii="仿宋" w:hAnsi="仿宋" w:eastAsia="仿宋" w:cs="仿宋"/>
          <w:color w:val="auto"/>
          <w:sz w:val="24"/>
          <w:szCs w:val="24"/>
          <w:highlight w:val="none"/>
          <w:u w:val="single"/>
          <w:lang w:eastAsia="zh-CN"/>
        </w:rPr>
        <w:t>磋商文件</w:t>
      </w:r>
      <w:r>
        <w:rPr>
          <w:rFonts w:hint="eastAsia" w:ascii="仿宋" w:hAnsi="仿宋" w:eastAsia="仿宋" w:cs="仿宋"/>
          <w:color w:val="auto"/>
          <w:sz w:val="24"/>
          <w:szCs w:val="24"/>
          <w:highlight w:val="none"/>
          <w:u w:val="single"/>
        </w:rPr>
        <w:t xml:space="preserve">、工程量清单、答疑文件及图纸中所要求的全部工作内容  </w:t>
      </w:r>
    </w:p>
    <w:p>
      <w:pPr>
        <w:pStyle w:val="6"/>
        <w:numPr>
          <w:ilvl w:val="0"/>
          <w:numId w:val="0"/>
        </w:numPr>
        <w:spacing w:before="120" w:after="120" w:line="320" w:lineRule="exact"/>
        <w:rPr>
          <w:rFonts w:hint="eastAsia" w:ascii="仿宋" w:hAnsi="仿宋" w:eastAsia="仿宋" w:cs="仿宋"/>
          <w:b w:val="0"/>
          <w:color w:val="auto"/>
          <w:sz w:val="24"/>
          <w:szCs w:val="24"/>
          <w:highlight w:val="none"/>
        </w:rPr>
      </w:pPr>
      <w:bookmarkStart w:id="23" w:name="_Toc351203482"/>
      <w:bookmarkEnd w:id="23"/>
      <w:r>
        <w:rPr>
          <w:rFonts w:hint="eastAsia" w:ascii="仿宋" w:hAnsi="仿宋" w:eastAsia="仿宋" w:cs="仿宋"/>
          <w:b w:val="0"/>
          <w:color w:val="auto"/>
          <w:sz w:val="24"/>
          <w:szCs w:val="24"/>
          <w:highlight w:val="none"/>
        </w:rPr>
        <w:t>二、合同工期</w:t>
      </w:r>
    </w:p>
    <w:p>
      <w:pPr>
        <w:spacing w:line="320" w:lineRule="exact"/>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计划开工日期：</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年</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月</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日。</w:t>
      </w:r>
    </w:p>
    <w:p>
      <w:pPr>
        <w:spacing w:line="320" w:lineRule="exact"/>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计划竣工日期：</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年</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月</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日。</w:t>
      </w:r>
    </w:p>
    <w:p>
      <w:pPr>
        <w:spacing w:line="320" w:lineRule="exact"/>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工期总日历天数：</w:t>
      </w:r>
      <w:r>
        <w:rPr>
          <w:rFonts w:hint="eastAsia" w:ascii="仿宋" w:hAnsi="仿宋" w:eastAsia="仿宋" w:cs="仿宋"/>
          <w:color w:val="auto"/>
          <w:kern w:val="1"/>
          <w:sz w:val="24"/>
          <w:szCs w:val="24"/>
          <w:highlight w:val="none"/>
          <w:u w:val="single"/>
        </w:rPr>
        <w:t> </w:t>
      </w:r>
      <w:r>
        <w:rPr>
          <w:rFonts w:hint="eastAsia" w:ascii="仿宋" w:hAnsi="仿宋" w:eastAsia="仿宋" w:cs="仿宋"/>
          <w:color w:val="auto"/>
          <w:kern w:val="1"/>
          <w:sz w:val="24"/>
          <w:szCs w:val="24"/>
          <w:highlight w:val="none"/>
        </w:rPr>
        <w:t>天。工期总日历天数与根据前述计划开竣工日期计算的工期天数不一致的，以工期总日历天数为准。</w:t>
      </w:r>
    </w:p>
    <w:p>
      <w:pPr>
        <w:pStyle w:val="6"/>
        <w:numPr>
          <w:ilvl w:val="0"/>
          <w:numId w:val="0"/>
        </w:numPr>
        <w:spacing w:before="120" w:after="120" w:line="320" w:lineRule="exact"/>
        <w:rPr>
          <w:rFonts w:hint="eastAsia" w:ascii="仿宋" w:hAnsi="仿宋" w:eastAsia="仿宋" w:cs="仿宋"/>
          <w:color w:val="auto"/>
          <w:sz w:val="24"/>
          <w:szCs w:val="24"/>
          <w:highlight w:val="none"/>
          <w:lang w:eastAsia="zh-CN"/>
        </w:rPr>
      </w:pPr>
      <w:bookmarkStart w:id="24" w:name="_Toc351203483"/>
      <w:bookmarkEnd w:id="24"/>
      <w:r>
        <w:rPr>
          <w:rFonts w:hint="eastAsia" w:ascii="仿宋" w:hAnsi="仿宋" w:eastAsia="仿宋" w:cs="仿宋"/>
          <w:b w:val="0"/>
          <w:color w:val="auto"/>
          <w:sz w:val="24"/>
          <w:szCs w:val="24"/>
          <w:highlight w:val="none"/>
        </w:rPr>
        <w:t>三、质量标准</w:t>
      </w:r>
      <w:r>
        <w:rPr>
          <w:rFonts w:hint="eastAsia" w:ascii="仿宋" w:hAnsi="仿宋" w:eastAsia="仿宋" w:cs="仿宋"/>
          <w:b w:val="0"/>
          <w:color w:val="auto"/>
          <w:sz w:val="24"/>
          <w:szCs w:val="24"/>
          <w:highlight w:val="none"/>
          <w:lang w:eastAsia="zh-CN"/>
        </w:rPr>
        <w:t>及质保期限</w:t>
      </w:r>
    </w:p>
    <w:p>
      <w:pPr>
        <w:spacing w:line="320" w:lineRule="exact"/>
        <w:ind w:firstLine="45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工程质量：</w:t>
      </w:r>
      <w:r>
        <w:rPr>
          <w:rFonts w:hint="eastAsia" w:ascii="仿宋" w:hAnsi="仿宋" w:eastAsia="仿宋" w:cs="仿宋"/>
          <w:color w:val="auto"/>
          <w:kern w:val="1"/>
          <w:sz w:val="24"/>
          <w:szCs w:val="24"/>
          <w:highlight w:val="none"/>
          <w:u w:val="single"/>
        </w:rPr>
        <w:t>合格，并符合现行国家有关工程施工质量验收规范和标准</w:t>
      </w:r>
      <w:r>
        <w:rPr>
          <w:rFonts w:hint="eastAsia" w:ascii="仿宋" w:hAnsi="仿宋" w:eastAsia="仿宋" w:cs="仿宋"/>
          <w:color w:val="auto"/>
          <w:kern w:val="1"/>
          <w:sz w:val="24"/>
          <w:szCs w:val="24"/>
          <w:highlight w:val="none"/>
        </w:rPr>
        <w:t>，质保期</w:t>
      </w:r>
      <w:r>
        <w:rPr>
          <w:rFonts w:hint="eastAsia" w:ascii="仿宋" w:hAnsi="仿宋" w:eastAsia="仿宋" w:cs="仿宋"/>
          <w:color w:val="auto"/>
          <w:kern w:val="1"/>
          <w:sz w:val="24"/>
          <w:szCs w:val="24"/>
          <w:highlight w:val="none"/>
          <w:u w:val="single"/>
        </w:rPr>
        <w:t>二</w:t>
      </w:r>
      <w:r>
        <w:rPr>
          <w:rFonts w:hint="eastAsia" w:ascii="仿宋" w:hAnsi="仿宋" w:eastAsia="仿宋" w:cs="仿宋"/>
          <w:color w:val="auto"/>
          <w:kern w:val="1"/>
          <w:sz w:val="24"/>
          <w:szCs w:val="24"/>
          <w:highlight w:val="none"/>
        </w:rPr>
        <w:t>年。</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25" w:name="_Toc351203484"/>
      <w:bookmarkEnd w:id="25"/>
      <w:r>
        <w:rPr>
          <w:rFonts w:hint="eastAsia" w:ascii="仿宋" w:hAnsi="仿宋" w:eastAsia="仿宋" w:cs="仿宋"/>
          <w:b w:val="0"/>
          <w:color w:val="auto"/>
          <w:sz w:val="24"/>
          <w:szCs w:val="24"/>
          <w:highlight w:val="none"/>
        </w:rPr>
        <w:t>四、签约合同价与合同价格形式</w:t>
      </w:r>
      <w:r>
        <w:rPr>
          <w:rFonts w:hint="eastAsia" w:ascii="仿宋" w:hAnsi="仿宋" w:eastAsia="仿宋" w:cs="仿宋"/>
          <w:b w:val="0"/>
          <w:color w:val="auto"/>
          <w:sz w:val="24"/>
          <w:szCs w:val="24"/>
          <w:highlight w:val="none"/>
        </w:rPr>
        <w:tab/>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1.签约合同价为：</w:t>
      </w:r>
    </w:p>
    <w:p>
      <w:pPr>
        <w:spacing w:line="320" w:lineRule="exact"/>
        <w:ind w:firstLine="52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其中：</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（1）安全文明施工费：</w:t>
      </w:r>
    </w:p>
    <w:p>
      <w:pPr>
        <w:spacing w:line="320" w:lineRule="exact"/>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（2）材料和工程设备暂估价金额：</w:t>
      </w:r>
    </w:p>
    <w:p>
      <w:pPr>
        <w:spacing w:line="320" w:lineRule="exact"/>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（3）专业工程暂估价金额：</w:t>
      </w:r>
    </w:p>
    <w:p>
      <w:pPr>
        <w:spacing w:line="320" w:lineRule="exact"/>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（4）暂列金额：</w:t>
      </w:r>
    </w:p>
    <w:p>
      <w:pPr>
        <w:spacing w:line="320" w:lineRule="exact"/>
        <w:ind w:firstLine="945"/>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人民币（大写）</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元)。</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2.合同价格形式：</w:t>
      </w:r>
      <w:r>
        <w:rPr>
          <w:rFonts w:hint="eastAsia" w:ascii="仿宋" w:hAnsi="仿宋" w:eastAsia="仿宋" w:cs="仿宋"/>
          <w:color w:val="auto"/>
          <w:kern w:val="1"/>
          <w:sz w:val="24"/>
          <w:szCs w:val="24"/>
          <w:highlight w:val="none"/>
          <w:u w:val="single"/>
        </w:rPr>
        <w:t>固定单价合同，本工程单价、费率一次性包定，工程量按实调整。承包人明确，除该固定单价外，承包人不得以任何理由向发包人主张其他任何费用或款项</w:t>
      </w:r>
      <w:r>
        <w:rPr>
          <w:rFonts w:hint="eastAsia" w:ascii="仿宋" w:hAnsi="仿宋" w:eastAsia="仿宋" w:cs="仿宋"/>
          <w:color w:val="auto"/>
          <w:kern w:val="1"/>
          <w:sz w:val="24"/>
          <w:szCs w:val="24"/>
          <w:highlight w:val="none"/>
        </w:rPr>
        <w:t>。</w:t>
      </w:r>
    </w:p>
    <w:p>
      <w:pPr>
        <w:pStyle w:val="6"/>
        <w:numPr>
          <w:ilvl w:val="0"/>
          <w:numId w:val="0"/>
        </w:numPr>
        <w:spacing w:before="120" w:after="120" w:line="320" w:lineRule="exact"/>
        <w:rPr>
          <w:rFonts w:hint="eastAsia" w:ascii="仿宋" w:hAnsi="仿宋" w:eastAsia="仿宋" w:cs="仿宋"/>
          <w:b w:val="0"/>
          <w:color w:val="auto"/>
          <w:sz w:val="24"/>
          <w:szCs w:val="24"/>
          <w:highlight w:val="none"/>
        </w:rPr>
      </w:pPr>
      <w:bookmarkStart w:id="26" w:name="_Toc351203485"/>
      <w:bookmarkEnd w:id="26"/>
      <w:r>
        <w:rPr>
          <w:rFonts w:hint="eastAsia" w:ascii="仿宋" w:hAnsi="仿宋" w:eastAsia="仿宋" w:cs="仿宋"/>
          <w:b w:val="0"/>
          <w:color w:val="auto"/>
          <w:sz w:val="24"/>
          <w:szCs w:val="24"/>
          <w:highlight w:val="none"/>
        </w:rPr>
        <w:t>五、项目经理</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承包人项目经理：</w:t>
      </w:r>
      <w:r>
        <w:rPr>
          <w:rFonts w:hint="eastAsia" w:ascii="仿宋" w:hAnsi="仿宋" w:eastAsia="仿宋" w:cs="仿宋"/>
          <w:color w:val="auto"/>
          <w:kern w:val="1"/>
          <w:sz w:val="24"/>
          <w:szCs w:val="24"/>
          <w:highlight w:val="none"/>
          <w:u w:val="single"/>
        </w:rPr>
        <w:t>                     </w:t>
      </w:r>
      <w:r>
        <w:rPr>
          <w:rFonts w:hint="eastAsia" w:ascii="仿宋" w:hAnsi="仿宋" w:eastAsia="仿宋" w:cs="仿宋"/>
          <w:color w:val="auto"/>
          <w:kern w:val="1"/>
          <w:sz w:val="24"/>
          <w:szCs w:val="24"/>
          <w:highlight w:val="none"/>
        </w:rPr>
        <w:t>。</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27" w:name="_Toc351203486"/>
      <w:bookmarkEnd w:id="27"/>
      <w:r>
        <w:rPr>
          <w:rFonts w:hint="eastAsia" w:ascii="仿宋" w:hAnsi="仿宋" w:eastAsia="仿宋" w:cs="仿宋"/>
          <w:b w:val="0"/>
          <w:color w:val="auto"/>
          <w:sz w:val="24"/>
          <w:szCs w:val="24"/>
          <w:highlight w:val="none"/>
        </w:rPr>
        <w:t>六、合同文件构成</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本协议书与下列文件一起构成合同文件：</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eastAsia="zh-CN"/>
        </w:rPr>
        <w:t>磋商文件</w:t>
      </w:r>
      <w:r>
        <w:rPr>
          <w:rFonts w:hint="eastAsia" w:ascii="仿宋" w:hAnsi="仿宋" w:eastAsia="仿宋" w:cs="仿宋"/>
          <w:color w:val="auto"/>
          <w:kern w:val="1"/>
          <w:sz w:val="24"/>
          <w:szCs w:val="24"/>
          <w:highlight w:val="none"/>
        </w:rPr>
        <w:t>及答疑附件</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（2）中标通知书；</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（3）投标函及其附录； </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（4）专用合同条款及其附件；</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（5）通用合同条款；</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（6）技术标准和要求；</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（7）图纸；</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（8）已标价工程量清单或预算书；</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（9）其他合同文件。</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在合同订立及履行过程中形成的与合同有关的文件均构成合同文件组成部分。</w:t>
      </w:r>
    </w:p>
    <w:p>
      <w:pPr>
        <w:spacing w:line="320" w:lineRule="exact"/>
        <w:ind w:firstLine="420"/>
        <w:jc w:val="lef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widowControl w:val="0"/>
        <w:numPr>
          <w:ilvl w:val="0"/>
          <w:numId w:val="0"/>
        </w:numPr>
        <w:spacing w:before="120" w:after="120" w:line="320" w:lineRule="exact"/>
        <w:rPr>
          <w:rFonts w:hint="eastAsia" w:ascii="仿宋" w:hAnsi="仿宋" w:eastAsia="仿宋" w:cs="仿宋"/>
          <w:b w:val="0"/>
          <w:color w:val="auto"/>
          <w:sz w:val="24"/>
          <w:szCs w:val="24"/>
          <w:highlight w:val="none"/>
        </w:rPr>
      </w:pPr>
      <w:bookmarkStart w:id="28" w:name="_Toc351203487"/>
      <w:bookmarkEnd w:id="28"/>
      <w:r>
        <w:rPr>
          <w:rFonts w:hint="eastAsia" w:ascii="仿宋" w:hAnsi="仿宋" w:eastAsia="仿宋" w:cs="仿宋"/>
          <w:b w:val="0"/>
          <w:color w:val="auto"/>
          <w:sz w:val="24"/>
          <w:szCs w:val="24"/>
          <w:highlight w:val="none"/>
        </w:rPr>
        <w:t>七、承诺</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1.发包人承诺按照法律规定履行项目审批手续、筹集工程建设资金并按照合同约定的期限和方式支付合同价款。</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3.发包人和承包人通过招投标形式签订合同的，双方理解并承诺不再就同一工程另行签订与合同实质性内容相背离的协议。</w:t>
      </w:r>
    </w:p>
    <w:p>
      <w:pPr>
        <w:spacing w:line="320" w:lineRule="exact"/>
        <w:outlineLvl w:val="3"/>
        <w:rPr>
          <w:rFonts w:hint="eastAsia" w:ascii="仿宋" w:hAnsi="仿宋" w:eastAsia="仿宋" w:cs="仿宋"/>
          <w:color w:val="auto"/>
          <w:kern w:val="1"/>
          <w:sz w:val="24"/>
          <w:szCs w:val="24"/>
          <w:highlight w:val="none"/>
        </w:rPr>
      </w:pPr>
      <w:bookmarkStart w:id="29" w:name="_Toc351203488"/>
      <w:bookmarkEnd w:id="29"/>
      <w:r>
        <w:rPr>
          <w:rFonts w:hint="eastAsia" w:ascii="仿宋" w:hAnsi="仿宋" w:eastAsia="仿宋" w:cs="仿宋"/>
          <w:b/>
          <w:color w:val="auto"/>
          <w:kern w:val="1"/>
          <w:sz w:val="24"/>
          <w:szCs w:val="24"/>
          <w:highlight w:val="none"/>
        </w:rPr>
        <w:t>八、词语含义</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本协议书中词语含义与第二部分通用合同条款中赋予的含义相同。</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30" w:name="_Toc351203489"/>
      <w:bookmarkEnd w:id="30"/>
      <w:r>
        <w:rPr>
          <w:rFonts w:hint="eastAsia" w:ascii="仿宋" w:hAnsi="仿宋" w:eastAsia="仿宋" w:cs="仿宋"/>
          <w:b w:val="0"/>
          <w:color w:val="auto"/>
          <w:sz w:val="24"/>
          <w:szCs w:val="24"/>
          <w:highlight w:val="none"/>
        </w:rPr>
        <w:t>九、签订时间</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本合同于</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年</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月</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日签订。</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31" w:name="_Toc351203490"/>
      <w:bookmarkEnd w:id="31"/>
      <w:r>
        <w:rPr>
          <w:rFonts w:hint="eastAsia" w:ascii="仿宋" w:hAnsi="仿宋" w:eastAsia="仿宋" w:cs="仿宋"/>
          <w:b w:val="0"/>
          <w:color w:val="auto"/>
          <w:sz w:val="24"/>
          <w:szCs w:val="24"/>
          <w:highlight w:val="none"/>
        </w:rPr>
        <w:t>十、签订地点</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本合同在</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签订。</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32" w:name="_Toc351203491"/>
      <w:bookmarkEnd w:id="32"/>
      <w:r>
        <w:rPr>
          <w:rFonts w:hint="eastAsia" w:ascii="仿宋" w:hAnsi="仿宋" w:eastAsia="仿宋" w:cs="仿宋"/>
          <w:b w:val="0"/>
          <w:color w:val="auto"/>
          <w:sz w:val="24"/>
          <w:szCs w:val="24"/>
          <w:highlight w:val="none"/>
        </w:rPr>
        <w:t>十一、补充协议</w:t>
      </w:r>
    </w:p>
    <w:p>
      <w:pPr>
        <w:spacing w:line="320" w:lineRule="exact"/>
        <w:ind w:firstLine="420"/>
        <w:rPr>
          <w:rFonts w:hint="eastAsia" w:ascii="仿宋" w:hAnsi="仿宋" w:eastAsia="仿宋" w:cs="仿宋"/>
          <w:b/>
          <w:color w:val="auto"/>
          <w:kern w:val="1"/>
          <w:sz w:val="24"/>
          <w:szCs w:val="24"/>
          <w:highlight w:val="none"/>
        </w:rPr>
      </w:pPr>
      <w:r>
        <w:rPr>
          <w:rFonts w:hint="eastAsia" w:ascii="仿宋" w:hAnsi="仿宋" w:eastAsia="仿宋" w:cs="仿宋"/>
          <w:color w:val="auto"/>
          <w:kern w:val="1"/>
          <w:sz w:val="24"/>
          <w:szCs w:val="24"/>
          <w:highlight w:val="none"/>
        </w:rPr>
        <w:t>合同未尽事宜，合同当事人另行签订补充协议，补充协议是合同的组成部分。</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33" w:name="_Toc351203492"/>
      <w:bookmarkEnd w:id="33"/>
      <w:r>
        <w:rPr>
          <w:rFonts w:hint="eastAsia" w:ascii="仿宋" w:hAnsi="仿宋" w:eastAsia="仿宋" w:cs="仿宋"/>
          <w:b w:val="0"/>
          <w:color w:val="auto"/>
          <w:sz w:val="24"/>
          <w:szCs w:val="24"/>
          <w:highlight w:val="none"/>
        </w:rPr>
        <w:t>十二、合同生效</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本合同自</w:t>
      </w:r>
      <w:r>
        <w:rPr>
          <w:rFonts w:hint="eastAsia" w:ascii="仿宋" w:hAnsi="仿宋" w:eastAsia="仿宋" w:cs="仿宋"/>
          <w:color w:val="auto"/>
          <w:kern w:val="1"/>
          <w:sz w:val="24"/>
          <w:szCs w:val="24"/>
          <w:highlight w:val="none"/>
          <w:u w:val="single"/>
        </w:rPr>
        <w:t xml:space="preserve"> 自双方签字盖章后  </w:t>
      </w:r>
      <w:r>
        <w:rPr>
          <w:rFonts w:hint="eastAsia" w:ascii="仿宋" w:hAnsi="仿宋" w:eastAsia="仿宋" w:cs="仿宋"/>
          <w:color w:val="auto"/>
          <w:kern w:val="1"/>
          <w:sz w:val="24"/>
          <w:szCs w:val="24"/>
          <w:highlight w:val="none"/>
        </w:rPr>
        <w:t>生效。</w:t>
      </w:r>
    </w:p>
    <w:p>
      <w:pPr>
        <w:pStyle w:val="6"/>
        <w:numPr>
          <w:ilvl w:val="0"/>
          <w:numId w:val="0"/>
        </w:numPr>
        <w:spacing w:before="120" w:after="120" w:line="320" w:lineRule="exact"/>
        <w:rPr>
          <w:rFonts w:hint="eastAsia" w:ascii="仿宋" w:hAnsi="仿宋" w:eastAsia="仿宋" w:cs="仿宋"/>
          <w:color w:val="auto"/>
          <w:sz w:val="24"/>
          <w:szCs w:val="24"/>
          <w:highlight w:val="none"/>
        </w:rPr>
      </w:pPr>
      <w:bookmarkStart w:id="34" w:name="_Toc351203493"/>
      <w:bookmarkEnd w:id="34"/>
      <w:r>
        <w:rPr>
          <w:rFonts w:hint="eastAsia" w:ascii="仿宋" w:hAnsi="仿宋" w:eastAsia="仿宋" w:cs="仿宋"/>
          <w:b w:val="0"/>
          <w:color w:val="auto"/>
          <w:sz w:val="24"/>
          <w:szCs w:val="24"/>
          <w:highlight w:val="none"/>
        </w:rPr>
        <w:t>十三、合同份数</w:t>
      </w:r>
    </w:p>
    <w:p>
      <w:pPr>
        <w:spacing w:line="320" w:lineRule="exact"/>
        <w:ind w:firstLine="42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本合同一式</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份，均具有同等法律效力，发包人执</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份，承包人执</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份。</w:t>
      </w:r>
    </w:p>
    <w:p>
      <w:pPr>
        <w:spacing w:line="320" w:lineRule="exact"/>
        <w:rPr>
          <w:rFonts w:hint="eastAsia" w:ascii="仿宋" w:hAnsi="仿宋" w:eastAsia="仿宋" w:cs="仿宋"/>
          <w:color w:val="auto"/>
          <w:kern w:val="1"/>
          <w:sz w:val="24"/>
          <w:szCs w:val="24"/>
          <w:highlight w:val="none"/>
        </w:rPr>
      </w:pPr>
    </w:p>
    <w:p>
      <w:pPr>
        <w:spacing w:line="320" w:lineRule="exact"/>
        <w:rPr>
          <w:rFonts w:hint="eastAsia" w:ascii="仿宋" w:hAnsi="仿宋" w:eastAsia="仿宋" w:cs="仿宋"/>
          <w:color w:val="auto"/>
          <w:kern w:val="1"/>
          <w:sz w:val="24"/>
          <w:szCs w:val="24"/>
          <w:highlight w:val="none"/>
        </w:rPr>
      </w:pPr>
    </w:p>
    <w:p>
      <w:pPr>
        <w:spacing w:line="320" w:lineRule="exact"/>
        <w:rPr>
          <w:rFonts w:hint="eastAsia" w:ascii="仿宋" w:hAnsi="仿宋" w:eastAsia="仿宋" w:cs="仿宋"/>
          <w:color w:val="auto"/>
          <w:kern w:val="1"/>
          <w:sz w:val="24"/>
          <w:szCs w:val="24"/>
          <w:highlight w:val="none"/>
        </w:rPr>
      </w:pPr>
    </w:p>
    <w:p>
      <w:pPr>
        <w:spacing w:line="320" w:lineRule="exact"/>
        <w:rPr>
          <w:rFonts w:hint="eastAsia" w:ascii="仿宋" w:hAnsi="仿宋" w:eastAsia="仿宋" w:cs="仿宋"/>
          <w:color w:val="auto"/>
          <w:kern w:val="1"/>
          <w:sz w:val="24"/>
          <w:szCs w:val="24"/>
          <w:highlight w:val="none"/>
        </w:rPr>
      </w:pP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发包人：  (公章)                         承包人：  (公章)</w:t>
      </w:r>
    </w:p>
    <w:p>
      <w:pPr>
        <w:spacing w:line="320" w:lineRule="exac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 xml:space="preserve">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法定代表人或其委托代理人：              法定代表人或其委托代理人：</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（签字）                                   （签字）</w:t>
      </w:r>
    </w:p>
    <w:p>
      <w:pPr>
        <w:spacing w:line="320" w:lineRule="exact"/>
        <w:rPr>
          <w:rFonts w:hint="eastAsia" w:ascii="仿宋" w:hAnsi="仿宋" w:eastAsia="仿宋" w:cs="仿宋"/>
          <w:color w:val="auto"/>
          <w:kern w:val="1"/>
          <w:sz w:val="24"/>
          <w:szCs w:val="24"/>
          <w:highlight w:val="none"/>
          <w:u w:val="single"/>
        </w:rPr>
      </w:pPr>
    </w:p>
    <w:p>
      <w:pPr>
        <w:tabs>
          <w:tab w:val="left" w:pos="4410"/>
        </w:tabs>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组织机构代码：</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组织机构代码：</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地  址：</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地  址：</w:t>
      </w:r>
      <w:r>
        <w:rPr>
          <w:rFonts w:hint="eastAsia" w:ascii="仿宋" w:hAnsi="仿宋" w:eastAsia="仿宋" w:cs="仿宋"/>
          <w:color w:val="auto"/>
          <w:kern w:val="1"/>
          <w:sz w:val="24"/>
          <w:szCs w:val="24"/>
          <w:highlight w:val="none"/>
          <w:u w:val="single"/>
        </w:rPr>
        <w:t xml:space="preserve">  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邮政编码：</w:t>
      </w:r>
      <w:r>
        <w:rPr>
          <w:rFonts w:hint="eastAsia" w:ascii="仿宋" w:hAnsi="仿宋" w:eastAsia="仿宋" w:cs="仿宋"/>
          <w:color w:val="auto"/>
          <w:kern w:val="1"/>
          <w:sz w:val="24"/>
          <w:szCs w:val="24"/>
          <w:highlight w:val="none"/>
          <w:u w:val="single"/>
        </w:rPr>
        <w:t xml:space="preserve">      </w:t>
      </w:r>
      <w:r>
        <w:rPr>
          <w:rFonts w:hint="eastAsia" w:ascii="仿宋" w:hAnsi="仿宋" w:eastAsia="仿宋" w:cs="仿宋"/>
          <w:color w:val="auto"/>
          <w:kern w:val="1"/>
          <w:sz w:val="24"/>
          <w:szCs w:val="24"/>
          <w:highlight w:val="none"/>
        </w:rPr>
        <w:t xml:space="preserve">            邮政编码：</w:t>
      </w:r>
      <w:r>
        <w:rPr>
          <w:rFonts w:hint="eastAsia" w:ascii="仿宋" w:hAnsi="仿宋" w:eastAsia="仿宋" w:cs="仿宋"/>
          <w:color w:val="auto"/>
          <w:kern w:val="1"/>
          <w:sz w:val="24"/>
          <w:szCs w:val="24"/>
          <w:highlight w:val="none"/>
          <w:u w:val="single"/>
        </w:rPr>
        <w:t>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法定代表人：</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法定代表人：</w:t>
      </w:r>
      <w:r>
        <w:rPr>
          <w:rFonts w:hint="eastAsia" w:ascii="仿宋" w:hAnsi="仿宋" w:eastAsia="仿宋" w:cs="仿宋"/>
          <w:color w:val="auto"/>
          <w:kern w:val="1"/>
          <w:sz w:val="24"/>
          <w:szCs w:val="24"/>
          <w:highlight w:val="none"/>
          <w:u w:val="single"/>
        </w:rPr>
        <w:t xml:space="preserve">       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委托代理人：</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委托代理人：</w:t>
      </w:r>
      <w:r>
        <w:rPr>
          <w:rFonts w:hint="eastAsia" w:ascii="仿宋" w:hAnsi="仿宋" w:eastAsia="仿宋" w:cs="仿宋"/>
          <w:color w:val="auto"/>
          <w:kern w:val="1"/>
          <w:sz w:val="24"/>
          <w:szCs w:val="24"/>
          <w:highlight w:val="none"/>
          <w:u w:val="single"/>
        </w:rPr>
        <w:t xml:space="preserve">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  话：</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电  话：</w:t>
      </w:r>
      <w:r>
        <w:rPr>
          <w:rFonts w:hint="eastAsia" w:ascii="仿宋" w:hAnsi="仿宋" w:eastAsia="仿宋" w:cs="仿宋"/>
          <w:color w:val="auto"/>
          <w:kern w:val="1"/>
          <w:sz w:val="24"/>
          <w:szCs w:val="24"/>
          <w:highlight w:val="none"/>
          <w:u w:val="single"/>
        </w:rPr>
        <w:t xml:space="preserve">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传  真：</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传  真：</w:t>
      </w:r>
      <w:r>
        <w:rPr>
          <w:rFonts w:hint="eastAsia" w:ascii="仿宋" w:hAnsi="仿宋" w:eastAsia="仿宋" w:cs="仿宋"/>
          <w:color w:val="auto"/>
          <w:kern w:val="1"/>
          <w:sz w:val="24"/>
          <w:szCs w:val="24"/>
          <w:highlight w:val="none"/>
          <w:u w:val="single"/>
        </w:rPr>
        <w:t xml:space="preserve">        </w:t>
      </w:r>
    </w:p>
    <w:p>
      <w:pPr>
        <w:spacing w:line="320" w:lineRule="exact"/>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电子信箱：</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电子信箱：</w:t>
      </w:r>
      <w:r>
        <w:rPr>
          <w:rFonts w:hint="eastAsia" w:ascii="仿宋" w:hAnsi="仿宋" w:eastAsia="仿宋" w:cs="仿宋"/>
          <w:color w:val="auto"/>
          <w:kern w:val="1"/>
          <w:sz w:val="24"/>
          <w:szCs w:val="24"/>
          <w:highlight w:val="none"/>
          <w:u w:val="single"/>
        </w:rPr>
        <w:t xml:space="preserve">        </w:t>
      </w:r>
    </w:p>
    <w:p>
      <w:pPr>
        <w:spacing w:line="320" w:lineRule="exact"/>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开户银行：</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 xml:space="preserve">             开户银行：</w:t>
      </w:r>
      <w:r>
        <w:rPr>
          <w:rFonts w:hint="eastAsia" w:ascii="仿宋" w:hAnsi="仿宋" w:eastAsia="仿宋" w:cs="仿宋"/>
          <w:color w:val="auto"/>
          <w:kern w:val="1"/>
          <w:sz w:val="24"/>
          <w:szCs w:val="24"/>
          <w:highlight w:val="none"/>
          <w:u w:val="single"/>
        </w:rPr>
        <w:t xml:space="preserve">        </w:t>
      </w:r>
    </w:p>
    <w:p>
      <w:pPr>
        <w:adjustRightInd w:val="0"/>
        <w:snapToGrid w:val="0"/>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1"/>
          <w:sz w:val="24"/>
          <w:szCs w:val="24"/>
          <w:highlight w:val="none"/>
        </w:rPr>
        <w:t>账  号：</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t xml:space="preserve">             账  号：</w:t>
      </w:r>
      <w:r>
        <w:rPr>
          <w:rFonts w:hint="eastAsia" w:ascii="仿宋" w:hAnsi="仿宋" w:eastAsia="仿宋" w:cs="仿宋"/>
          <w:color w:val="auto"/>
          <w:kern w:val="1"/>
          <w:sz w:val="24"/>
          <w:szCs w:val="24"/>
          <w:highlight w:val="none"/>
          <w:u w:val="single"/>
        </w:rPr>
        <w:t xml:space="preserve">        </w:t>
      </w:r>
      <w:r>
        <w:rPr>
          <w:rFonts w:hint="eastAsia" w:ascii="仿宋" w:hAnsi="仿宋" w:eastAsia="仿宋" w:cs="仿宋"/>
          <w:color w:val="auto"/>
          <w:kern w:val="1"/>
          <w:sz w:val="24"/>
          <w:szCs w:val="24"/>
          <w:highlight w:val="none"/>
        </w:rPr>
        <w:br w:type="page"/>
      </w:r>
      <w:bookmarkStart w:id="35" w:name="_Toc351203494"/>
      <w:bookmarkEnd w:id="35"/>
    </w:p>
    <w:p>
      <w:pPr>
        <w:adjustRightInd w:val="0"/>
        <w:snapToGrid w:val="0"/>
        <w:spacing w:line="360" w:lineRule="auto"/>
        <w:ind w:firstLine="562" w:firstLineChars="200"/>
        <w:jc w:val="center"/>
        <w:rPr>
          <w:rFonts w:hint="eastAsia" w:ascii="仿宋" w:hAnsi="仿宋" w:eastAsia="仿宋" w:cs="仿宋"/>
          <w:b/>
          <w:bCs/>
          <w:color w:val="auto"/>
          <w:kern w:val="0"/>
          <w:sz w:val="28"/>
          <w:szCs w:val="28"/>
          <w:highlight w:val="none"/>
          <w:lang w:val="zh-CN"/>
        </w:rPr>
      </w:pPr>
      <w:bookmarkStart w:id="36" w:name="_Toc23556"/>
      <w:r>
        <w:rPr>
          <w:rFonts w:hint="eastAsia" w:ascii="仿宋" w:hAnsi="仿宋" w:eastAsia="仿宋" w:cs="仿宋"/>
          <w:b/>
          <w:bCs/>
          <w:color w:val="auto"/>
          <w:kern w:val="0"/>
          <w:sz w:val="28"/>
          <w:szCs w:val="28"/>
          <w:highlight w:val="none"/>
          <w:lang w:val="zh-CN"/>
        </w:rPr>
        <w:t>第二部分   通用合同条款</w:t>
      </w:r>
      <w:bookmarkEnd w:id="3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37" w:name="_Toc5206"/>
      <w:r>
        <w:rPr>
          <w:rFonts w:hint="eastAsia" w:ascii="仿宋" w:hAnsi="仿宋" w:eastAsia="仿宋" w:cs="仿宋"/>
          <w:color w:val="auto"/>
          <w:kern w:val="0"/>
          <w:szCs w:val="21"/>
          <w:highlight w:val="none"/>
          <w:lang w:val="zh-CN"/>
        </w:rPr>
        <w:t>1. 一般约定</w:t>
      </w:r>
      <w:bookmarkEnd w:id="3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38" w:name="_Toc14093"/>
      <w:r>
        <w:rPr>
          <w:rFonts w:hint="eastAsia" w:ascii="仿宋" w:hAnsi="仿宋" w:eastAsia="仿宋" w:cs="仿宋"/>
          <w:color w:val="auto"/>
          <w:kern w:val="0"/>
          <w:szCs w:val="21"/>
          <w:highlight w:val="none"/>
          <w:lang w:val="zh-CN"/>
        </w:rPr>
        <w:t>1.1词语定义与解释</w:t>
      </w:r>
      <w:bookmarkEnd w:id="3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合同协议书、通用合同条款、专用合同条款中的下列词语具有本款所赋予的含义：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 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1.1.1.2 合同协议书：是指构成合同的由发包人和承包人共同签署的称为“合同协议书”的书面文件。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1.1.1.3 中标通知书：是指构成合同的由发包人通知承包人中标的书面文件。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1.1.1.4 投标函：是指构成合同的由承包人填写并签署的用于投标的称为“投标函”的文件。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1.1.1.5 投标函附录：是指构成合同的附在投标函后的称为“投标函附录”的文件。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1.1.1.6 技术标准和要求：是指构成合同的施工应当遵守的或指导施工的国家、行业或地方的技术标准和要求，以及合同约定的技术标准和要求。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1.1.1.7 图纸：是指构成合同的图纸，包括由发包人按照合同约定提供或经发包人批准的设计文件、施工图、鸟瞰图及模型等，以及在合同履行过程中形成的图纸文件。图纸应当按照法律规定审查合格。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1.1.1.8 已标价工程量清单：是指构成合同的由承包人按照规定的格式和要求填写并标明价格的工程量清单，包括说明和表格。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1.1.1.9 预算书：是指构成合同的由承包人按照发包人规定的格式和要求编制的工程预算文件。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1.1.1.10 其他合同文件：其他合同文件包括：(1)合同协议书；(2)中标通知书；(3)合同专用条款（含数据表和磋商文件补充答疑书中与此有关的部分）；(4)合同通用条款；(5)本工程施工磋商文件（含磋商文件附件、磋商文件补充）；(6)投标书及其附件（含承包人在评标期间递交和确认并经业主同意的对有关问题的补充资料和澄清文件等）；(7)标准、规范及有关技术文件（含磋商文件补充答疑书中与此有关的部分）；(8)图纸（含磋商文件补充答疑书中与此有关的部分）；(9)工程量清单；(10)工程报价书。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若合同协议书中约定采用单价合同形式的，已标价工程量清单中的各项工程量对合同双方不具合同约束力。</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 合同当事人及其他相关方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1.1.2.1 合同当事人：是指发包人和（或）承包人。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1.1.2.2 发包人：是指与承包人签订合同协议书的当事人及取得该当事人资格的合法继承人。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1.1.2.3 承包人：是指与发包人签订合同协议书的，具有相应工程施工承包资质的当事人及取得该当事人资格的合法继承人。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1.1.2.4 监理人：是指在专用合同条款中指明的，受发包人委托按照法律规定进行工程监督管理的法人或其他组织。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1.1.2.5 设计人：是指在专用合同条款中指明的，受发包人委托负责工程设计并具备相应工程设计资质的法人或其他组织。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1.1.2.6 分包人：是指按照法律规定和合同约定，分包部分工程或工作，并与承包人签订分包合同的具有相应资质的法人。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1.1.2.7 发包人代表：是指由发包人任命并派驻施工现场在发包人授权范围内行使发包人权利的人。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1.1.2.8 项目经理：是指由承包人任命并派驻施工现场，在承包人授权范围内负责合同履行，且按照法律规定具有相应资格的项目经理。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1.1.2.9 总监理工程师：是指由监理人任命并派驻施工现场进行工程监理的总负责人。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 工程和设备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1.1.3.1 工程：是指与合同协议书中工程承包范围对应的永久工程和（或）临时工程。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1.1.3.2 永久工程：是指按合同约定建造并移交给发包人的工程，包括工程设备。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1.1.3.3 临时工程：是指为完成合同约定的永久工程所修建的各类临时性工程，不包括施工设备。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1.1.3.4 单位工程：是指在合同协议书中指明的，具备独立施工条件并能形成独立使用功能的永久工程。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1.1.3.5 工程设备：是指构成永久工程的机电设备、金属结构设备、仪器及其他类似的设备和装置。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1.1.3.6 施工设备：是指为完成合同约定的各项工作所需的设备、器具和其他物品，但不包括工程设备、临时工程和材料。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1.1.3.7 施工现场：是指用于工程施工的场所，以及在专用合同条款中指明作为施工场所组成部分的其他场所，包括永久占地和临时占地。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1.1.3.8临时设施：是指为完成合同约定的各项工作所服务的临时性生产和生活设施。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1.1.3.9 永久占地：是指专用合同条款中指明为实施工程需永久占用的土地。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1.1.3.10 临时占地：是指专用合同条款中指明为实施工程需要临时占用的土地。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 日期和期限</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1.1.4.2 竣工日期：包括计划竣工日期和实际竣工日期。计划竣工日期是指合同协议书约定的竣工日期；实际竣工日期按照第13.2.3项〔竣工日期〕的约定确定。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1.1.4.3 工期：是指在合同协议书约定的承包人完成工程所需的期限，包括按照合同约定所作的期限变更。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1.1.4.4 缺陷责任期：是指承包人按照合同约定承担缺陷修复义务，且发包人预留质量保证金（已缴纳履约保证金的除外）的期限，自工程实际竣工日期起计算。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1.1.4.5 保修期：是指承包人按照合同约定对工程承担保修责任的期限，从工程竣工验收合格之日起计算。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1.1.4.6 基准日期：招标发包的工程以投标截止日前28天的日期为基准日期，直接发包的工程以合同签订日前28天的日期为基准日期。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1.1.4.7 天：除特别指明外，均指日历天。合同中按天计算时间的，开始当天不计入，从次日开始计算，期限最后一天的截止时间为当天24:00时。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 合同价格和费用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1.1.5.1 签约合同价：是指发包人和承包人在合同协议书中确定的总金额，包括安全文明施工费、暂估价及暂列金额等。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1.1.5.2 合同价格：是指发包人用于支付承包人按照合同约定完成承包范围内全部工作的金额，包括合同履行过程中按合同约定发生的价格变化。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1.1.5.3 费用：是指为履行合同所发生的或将要发生的所有必需的开支，包括管理费和应分摊的其他费用，但不包括利润。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1.1.5.4 暂估价：是指发包人在工程量清单或预算书中提供的用于支付必然发生但暂时不能确定价格的材料、工程设备的单价、专业工程以及服务工作的金额。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1.1.5.6 计日工：是指合同履行过程中，承包人完成发包人提出的零星工作或需要采用计日工计价的变更工作时，按合同中约定的单价计价的一种方式。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1.1.5.7 质量保证金：是指按照第15.3款〔质量保证金〕约定承包人用于保证其在缺陷责任期内履行缺陷修补义务的担保。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1.1.5.8 总价项目：是指在现行国家、行业以及地方的计量规则中无工程量计算规则，在已标价工程量清单或预算书中以总价或以费率形式计算的项目。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1.1.6 其他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1.1.6.1 书面形式：是指合同文件、信函、电报、传真等可以有形地表现所载内容的形式。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39" w:name="_Toc23889"/>
      <w:r>
        <w:rPr>
          <w:rFonts w:hint="eastAsia" w:ascii="仿宋" w:hAnsi="仿宋" w:eastAsia="仿宋" w:cs="仿宋"/>
          <w:color w:val="auto"/>
          <w:kern w:val="0"/>
          <w:szCs w:val="21"/>
          <w:highlight w:val="none"/>
          <w:lang w:val="zh-CN"/>
        </w:rPr>
        <w:t>1.2语言文字</w:t>
      </w:r>
      <w:bookmarkEnd w:id="3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合同以中国的汉语简体文字编写、解释和说明。合同当事人在专用合同条款中约定使用两种以上语言时，汉语为优先解释和说明合同的语言。</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0" w:name="_Toc11006"/>
      <w:r>
        <w:rPr>
          <w:rFonts w:hint="eastAsia" w:ascii="仿宋" w:hAnsi="仿宋" w:eastAsia="仿宋" w:cs="仿宋"/>
          <w:color w:val="auto"/>
          <w:kern w:val="0"/>
          <w:szCs w:val="21"/>
          <w:highlight w:val="none"/>
          <w:lang w:val="zh-CN"/>
        </w:rPr>
        <w:t>1.3法律</w:t>
      </w:r>
      <w:bookmarkEnd w:id="4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合同所称法律是指中华人民共和国法律、行政法规、部门规章，以及工程所在地的地方性法规、自治条例、单行条例和地方政府规章等。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合同当事人可以在专用合同条款中约定合同适用的其他规范性文件。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1" w:name="_Toc32120"/>
      <w:r>
        <w:rPr>
          <w:rFonts w:hint="eastAsia" w:ascii="仿宋" w:hAnsi="仿宋" w:eastAsia="仿宋" w:cs="仿宋"/>
          <w:color w:val="auto"/>
          <w:kern w:val="0"/>
          <w:szCs w:val="21"/>
          <w:highlight w:val="none"/>
          <w:lang w:val="zh-CN"/>
        </w:rPr>
        <w:t>1.4 标准和规范</w:t>
      </w:r>
      <w:bookmarkEnd w:id="4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1.4.1 适用于工程的国家标准、行业标准、工程所在地的地方性标准，以及相应的规范、规程等，合同当事人有特别要求的，应在专用合同条款中约定。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1.4.2 发包人要求使用国外标准、规范的，发包人负责提供原文版本和中文译本，并在专用合同条款中约定提供标准规范的名称、份数和时间。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2" w:name="_Toc7353"/>
      <w:r>
        <w:rPr>
          <w:rFonts w:hint="eastAsia" w:ascii="仿宋" w:hAnsi="仿宋" w:eastAsia="仿宋" w:cs="仿宋"/>
          <w:color w:val="auto"/>
          <w:kern w:val="0"/>
          <w:szCs w:val="21"/>
          <w:highlight w:val="none"/>
          <w:lang w:val="zh-CN"/>
        </w:rPr>
        <w:t>1.5 合同文件的优先顺序</w:t>
      </w:r>
      <w:bookmarkEnd w:id="4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组成合同的各项文件应互相解释，互为说明。除专用合同条款另有约定外，解释合同文件的优先顺序如下：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（1）合同协议书；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（2）中标通知书（如果有）；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（3）投标函及其附录（如果有）；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（4）专用合同条款及其附件；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（5）通用合同条款；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（6）技术标准和要求；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（7）图纸；</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（8）已标价工程量清单或预算书；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（9）其他合同文件。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上述各项合同文件包括合同当事人就该项合同文件所作出的补充和修改，属于同一类内容的文件，应以最新签署的为准。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在合同订立及履行过程中形成的与合同有关的文件均构成合同文件组成部分，并根据其性质确定优先解释顺序。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3" w:name="_Toc24411"/>
      <w:r>
        <w:rPr>
          <w:rFonts w:hint="eastAsia" w:ascii="仿宋" w:hAnsi="仿宋" w:eastAsia="仿宋" w:cs="仿宋"/>
          <w:color w:val="auto"/>
          <w:kern w:val="0"/>
          <w:szCs w:val="21"/>
          <w:highlight w:val="none"/>
          <w:lang w:val="zh-CN"/>
        </w:rPr>
        <w:t>1.6图纸和承包人文件</w:t>
      </w:r>
      <w:bookmarkEnd w:id="4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1.6.1 图纸的提供和交底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因发包人未按合同约定提供图纸导致承包人费用增加和（或）工期延误的，按照第7.5.1项〔因发包人原因导致工期延误〕约定办理。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1.6.2 图纸的错误</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1.6.3 图纸的修改和补充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图纸需要修改和补充的，应经图纸原设计人及审批部门同意，并由监理人在工程或工程相应部位施工前将修改后的图纸或补充图纸提交给承包人，承包人应按修改或补充后的图纸施工。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1.6.4 承包人文件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承包人应按照专用合同条款的约定提供应当由其编制的与工程施工有关的文件，并按照专用合同条款约定的期限、数量和形式提交监理人，并由监理人报送发包人。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1.6.5 图纸和承包人文件的保管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除专用合同条款另有约定外，承包人应在施工现场另外保存一套完整的图纸和承包人文件，供发包人、监理人及有关人员进行工程检查时使用。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4" w:name="_Toc18679"/>
      <w:r>
        <w:rPr>
          <w:rFonts w:hint="eastAsia" w:ascii="仿宋" w:hAnsi="仿宋" w:eastAsia="仿宋" w:cs="仿宋"/>
          <w:color w:val="auto"/>
          <w:kern w:val="0"/>
          <w:szCs w:val="21"/>
          <w:highlight w:val="none"/>
          <w:lang w:val="zh-CN"/>
        </w:rPr>
        <w:t>1.7联络</w:t>
      </w:r>
      <w:bookmarkEnd w:id="4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1.7.1 与合同有关的通知、批准、证明、证书、指示、指令、要求、请求、同意、意见、确定和决定等，均应采用书面形式，并应在合同约定的期限内送达接收人和送达地点。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1.7.2 发包人和承包人应在专用合同条款中约定各自的送达接收人和送达地点。任何一方合同当事人指定的接收人或送达地点发生变动的，应提前3天以书面形式通知对方。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1.7.3 发包人和承包人应当及时签收另一方送达至送达地点和指定接收人的来往信函。拒不签收的，由此增加的费用和（或）延误的工期由拒绝接收一方承担。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5" w:name="_Toc32654"/>
      <w:r>
        <w:rPr>
          <w:rFonts w:hint="eastAsia" w:ascii="仿宋" w:hAnsi="仿宋" w:eastAsia="仿宋" w:cs="仿宋"/>
          <w:color w:val="auto"/>
          <w:kern w:val="0"/>
          <w:szCs w:val="21"/>
          <w:highlight w:val="none"/>
          <w:lang w:val="zh-CN"/>
        </w:rPr>
        <w:t>1.8严禁贿赂</w:t>
      </w:r>
      <w:bookmarkEnd w:id="4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合同当事人不得以贿赂或变相贿赂的方式，谋取非法利益或损害对方权益。因一方合同当事人的贿赂造成对方损失的，应赔偿损失，并承担相应的法律责任。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承包人不得与监理人或发包人聘请的第三方串通损害发包人利益。未经发包人书面同意，承包人不得为监理人提供合同约定以外的通讯设备、交通工具及其他任何形式的利益，不得向监理人支付报酬。</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6" w:name="_Toc10676"/>
      <w:r>
        <w:rPr>
          <w:rFonts w:hint="eastAsia" w:ascii="仿宋" w:hAnsi="仿宋" w:eastAsia="仿宋" w:cs="仿宋"/>
          <w:color w:val="auto"/>
          <w:kern w:val="0"/>
          <w:szCs w:val="21"/>
          <w:highlight w:val="none"/>
          <w:lang w:val="zh-CN"/>
        </w:rPr>
        <w:t>1.9化石、文物</w:t>
      </w:r>
      <w:bookmarkEnd w:id="4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发包人、监理人和承包人应按有关政府行政管理部门要求采取妥善的保护措施，由此增加的费用和（或）延误的工期由发包人承担。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承包人发现文物后不及时报告或隐瞒不报，致使文物丢失或损坏的，应赔偿损失，并承担相应的法律责任。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7" w:name="_Toc2288"/>
      <w:r>
        <w:rPr>
          <w:rFonts w:hint="eastAsia" w:ascii="仿宋" w:hAnsi="仿宋" w:eastAsia="仿宋" w:cs="仿宋"/>
          <w:color w:val="auto"/>
          <w:kern w:val="0"/>
          <w:szCs w:val="21"/>
          <w:highlight w:val="none"/>
          <w:lang w:val="zh-CN"/>
        </w:rPr>
        <w:t>1.10交通运输</w:t>
      </w:r>
      <w:bookmarkEnd w:id="4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1.10.1 出入现场的权利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承包人应在订立合同前查勘施工现场，并根据工程规模及技术参数合理预见工程施工所需的进出施工现场的方式、手段、路径等。因承包人未合理预见所增加的费用和（或）延误的工期由承包人承担。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1.10.2 场外交通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1.10.3场内交通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场外交通和场内交通的边界由合同当事人在专用合同条款中约定。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1.10.4 超大件和超重件的运输</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1.10.5 道路和桥梁的损坏责任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因承包人运输造成施工场地内外公共道路和桥梁损坏的，由承包人承担修复损坏的全部费用和可能引起的赔偿。</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1.10.6 水路和航空运输</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本款前述各项的内容适用于水路运输和航空运输，其中“道路”一词的涵义包括河道、航线、船闸、机场、码头、堤防以及水路或航空运输中其他相似结构物；“车辆”一词的涵义包括船舶和飞机等。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8" w:name="_Toc15329"/>
      <w:r>
        <w:rPr>
          <w:rFonts w:hint="eastAsia" w:ascii="仿宋" w:hAnsi="仿宋" w:eastAsia="仿宋" w:cs="仿宋"/>
          <w:color w:val="auto"/>
          <w:kern w:val="0"/>
          <w:szCs w:val="21"/>
          <w:highlight w:val="none"/>
          <w:lang w:val="zh-CN"/>
        </w:rPr>
        <w:t>1.11知识产权</w:t>
      </w:r>
      <w:bookmarkEnd w:id="4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1.11.4 除专用合同条款另有约定外，承包人在合同签订前和签订时已确定采用的专利、专有技术、技术秘密的使用费已包含在签约合同价中。</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49" w:name="_Toc13329"/>
      <w:r>
        <w:rPr>
          <w:rFonts w:hint="eastAsia" w:ascii="仿宋" w:hAnsi="仿宋" w:eastAsia="仿宋" w:cs="仿宋"/>
          <w:color w:val="auto"/>
          <w:kern w:val="0"/>
          <w:szCs w:val="21"/>
          <w:highlight w:val="none"/>
          <w:lang w:val="zh-CN"/>
        </w:rPr>
        <w:t>1.12保密</w:t>
      </w:r>
      <w:bookmarkEnd w:id="4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除法律规定或合同另有约定外，未经发包人同意，承包人不得将发包人提供的图纸、文件以及声明需要保密的资料信息等商业秘密泄露给第三方。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除法律规定或合同另有约定外，未经承包人同意，发包人不得将承包人提供的技术秘密及声明需要保密的资料信息等商业秘密泄露给第三方。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0" w:name="_Toc20390"/>
      <w:r>
        <w:rPr>
          <w:rFonts w:hint="eastAsia" w:ascii="仿宋" w:hAnsi="仿宋" w:eastAsia="仿宋" w:cs="仿宋"/>
          <w:color w:val="auto"/>
          <w:kern w:val="0"/>
          <w:szCs w:val="21"/>
          <w:highlight w:val="none"/>
          <w:lang w:val="zh-CN"/>
        </w:rPr>
        <w:t>1.13工程量清单错误的修正</w:t>
      </w:r>
      <w:bookmarkEnd w:id="5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除专用合同条款另有约定外，发包人提供的工程量清单，应被认为是准确的和完整的。出现下列情形之一时，发包人应予以修正，并相应调整合同价格：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（1）工程量清单存在缺项、漏项的；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（2）工程量清单偏差超出专用合同条款约定的工程量偏差范围的；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（3）未按照国家现行计量规范强制性规定计量的。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1" w:name="_Toc2795"/>
      <w:r>
        <w:rPr>
          <w:rFonts w:hint="eastAsia" w:ascii="仿宋" w:hAnsi="仿宋" w:eastAsia="仿宋" w:cs="仿宋"/>
          <w:color w:val="auto"/>
          <w:kern w:val="0"/>
          <w:szCs w:val="21"/>
          <w:highlight w:val="none"/>
          <w:lang w:val="zh-CN"/>
        </w:rPr>
        <w:t>2. 发包人</w:t>
      </w:r>
      <w:bookmarkEnd w:id="5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2" w:name="_Toc8126"/>
      <w:r>
        <w:rPr>
          <w:rFonts w:hint="eastAsia" w:ascii="仿宋" w:hAnsi="仿宋" w:eastAsia="仿宋" w:cs="仿宋"/>
          <w:color w:val="auto"/>
          <w:kern w:val="0"/>
          <w:szCs w:val="21"/>
          <w:highlight w:val="none"/>
          <w:lang w:val="zh-CN"/>
        </w:rPr>
        <w:t>2.1 许可或批准</w:t>
      </w:r>
      <w:bookmarkEnd w:id="5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因发包人原因未能及时办理完毕前述许可、批准或备案，由发包人承担由此增加的费用和（或）延误的工期，并支付承包人合理的利润。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3" w:name="_Toc31566"/>
      <w:r>
        <w:rPr>
          <w:rFonts w:hint="eastAsia" w:ascii="仿宋" w:hAnsi="仿宋" w:eastAsia="仿宋" w:cs="仿宋"/>
          <w:color w:val="auto"/>
          <w:kern w:val="0"/>
          <w:szCs w:val="21"/>
          <w:highlight w:val="none"/>
          <w:lang w:val="zh-CN"/>
        </w:rPr>
        <w:t>2.2 发包人代表</w:t>
      </w:r>
      <w:bookmarkEnd w:id="5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发包人代表不能按照合同约定履行其职责及义务，并导致合同无法继续正常履行的，承包人可以要求发包人撤换发包人代表。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不属于法定必须监理的工程，监理人的职权可以由发包人代表或发包人指定的其他人员行使。</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4" w:name="_Toc4277"/>
      <w:r>
        <w:rPr>
          <w:rFonts w:hint="eastAsia" w:ascii="仿宋" w:hAnsi="仿宋" w:eastAsia="仿宋" w:cs="仿宋"/>
          <w:color w:val="auto"/>
          <w:kern w:val="0"/>
          <w:szCs w:val="21"/>
          <w:highlight w:val="none"/>
          <w:lang w:val="zh-CN"/>
        </w:rPr>
        <w:t>2.3 发包人人员</w:t>
      </w:r>
      <w:bookmarkEnd w:id="5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发包人应要求在施工现场的发包人人员遵守法律及有关安全、质量、环境保护、文明施工等规定，并保障承包人免于承受因发包人人员未遵守上述要求给承包人造成的损失和责任。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发包人人员包括发包人代表及其他由发包人派驻施工现场的人员。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5" w:name="_Toc13735"/>
      <w:r>
        <w:rPr>
          <w:rFonts w:hint="eastAsia" w:ascii="仿宋" w:hAnsi="仿宋" w:eastAsia="仿宋" w:cs="仿宋"/>
          <w:color w:val="auto"/>
          <w:kern w:val="0"/>
          <w:szCs w:val="21"/>
          <w:highlight w:val="none"/>
          <w:lang w:val="zh-CN"/>
        </w:rPr>
        <w:t>2.4 施工现场、施工条件和基础资料的提供</w:t>
      </w:r>
      <w:bookmarkEnd w:id="55"/>
      <w:r>
        <w:rPr>
          <w:rFonts w:hint="eastAsia" w:ascii="仿宋" w:hAnsi="仿宋" w:eastAsia="仿宋" w:cs="仿宋"/>
          <w:color w:val="auto"/>
          <w:kern w:val="0"/>
          <w:szCs w:val="21"/>
          <w:highlight w:val="none"/>
          <w:lang w:val="zh-CN"/>
        </w:rPr>
        <w:t xml:space="preserve"> </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2.4.1 提供施工现场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除专用合同条款另有约定外，发包人应最迟于开工日期7天前向承包人移交施工现场。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2.4.2 提供施工条件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除专用合同条款另有约定外，发包人应负责提供施工所需要的条件，包括：</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（1）将施工用水、电力、通讯线路等施工所必需的条件接至施工现场内；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（2）保证向承包人提供正常施工所需要的进入施工现场的交通条件；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（3）协调处理施工现场周围地下管线和邻近建筑物、构筑物、古树名木的保护工作，并承担相关费用；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（4）按照专用合同条款约定应提供的其他设施和条件。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2.4.3 提供基础资料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按照法律规定确需在开工后方能提供的基础资料，发包人应尽其努力及时地在相应工程施工前的合理期限内提供，合理期限应以不影响承包人的正常施工为限。</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2.4.4 逾期提供的责任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因发包人原因未能按合同约定及时向承包人提供施工现场、施工条件、基础资料的，由发包人承担由此增加的费用和（或）延误的工期。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6" w:name="_Toc16144"/>
      <w:r>
        <w:rPr>
          <w:rFonts w:hint="eastAsia" w:ascii="仿宋" w:hAnsi="仿宋" w:eastAsia="仿宋" w:cs="仿宋"/>
          <w:color w:val="auto"/>
          <w:kern w:val="0"/>
          <w:szCs w:val="21"/>
          <w:highlight w:val="none"/>
          <w:lang w:val="zh-CN"/>
        </w:rPr>
        <w:t>2.5 资金来源证明及支付担保</w:t>
      </w:r>
      <w:bookmarkEnd w:id="5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除专用合同条款另有约定外，发包人应在收到承包人要求提供资金来源证明的书面通知后28天内，向承包人提供能够按照合同约定支付合同价款的相应资金来源证明。</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除专用合同条款另有约定外，发包人要求承包人提供履约担保的，发包人应当向承包人提供支付担保。支付担保可以采用银行保函或担保公司担保等形式，具体由合同当事人在专用合同条款中约定。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7" w:name="_Toc781"/>
      <w:r>
        <w:rPr>
          <w:rFonts w:hint="eastAsia" w:ascii="仿宋" w:hAnsi="仿宋" w:eastAsia="仿宋" w:cs="仿宋"/>
          <w:color w:val="auto"/>
          <w:kern w:val="0"/>
          <w:szCs w:val="21"/>
          <w:highlight w:val="none"/>
          <w:lang w:val="zh-CN"/>
        </w:rPr>
        <w:t>2.6 支付合同价款</w:t>
      </w:r>
      <w:bookmarkEnd w:id="5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发包人应按合同约定向承包人及时支付合同价款。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8" w:name="_Toc31646"/>
      <w:r>
        <w:rPr>
          <w:rFonts w:hint="eastAsia" w:ascii="仿宋" w:hAnsi="仿宋" w:eastAsia="仿宋" w:cs="仿宋"/>
          <w:color w:val="auto"/>
          <w:kern w:val="0"/>
          <w:szCs w:val="21"/>
          <w:highlight w:val="none"/>
          <w:lang w:val="zh-CN"/>
        </w:rPr>
        <w:t>2.7 组织竣工验收</w:t>
      </w:r>
      <w:bookmarkEnd w:id="5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发包人应按合同约定及时组织竣工验收。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59" w:name="_Toc21695"/>
      <w:r>
        <w:rPr>
          <w:rFonts w:hint="eastAsia" w:ascii="仿宋" w:hAnsi="仿宋" w:eastAsia="仿宋" w:cs="仿宋"/>
          <w:color w:val="auto"/>
          <w:kern w:val="0"/>
          <w:szCs w:val="21"/>
          <w:highlight w:val="none"/>
          <w:lang w:val="zh-CN"/>
        </w:rPr>
        <w:t>2.8 现场统一管理协议</w:t>
      </w:r>
      <w:bookmarkEnd w:id="5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发包人应与承包人、由发包人直接发包的专业工程的承包人签订施工现场统一管理协议，明确各方的权利义务。施工现场统一管理协议作为专用合同条款的附件。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0" w:name="_Toc3984"/>
      <w:r>
        <w:rPr>
          <w:rFonts w:hint="eastAsia" w:ascii="仿宋" w:hAnsi="仿宋" w:eastAsia="仿宋" w:cs="仿宋"/>
          <w:color w:val="auto"/>
          <w:kern w:val="0"/>
          <w:szCs w:val="21"/>
          <w:highlight w:val="none"/>
          <w:lang w:val="zh-CN"/>
        </w:rPr>
        <w:t>3. 承包人</w:t>
      </w:r>
      <w:bookmarkEnd w:id="6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1" w:name="_Toc8305"/>
      <w:r>
        <w:rPr>
          <w:rFonts w:hint="eastAsia" w:ascii="仿宋" w:hAnsi="仿宋" w:eastAsia="仿宋" w:cs="仿宋"/>
          <w:color w:val="auto"/>
          <w:kern w:val="0"/>
          <w:szCs w:val="21"/>
          <w:highlight w:val="none"/>
          <w:lang w:val="zh-CN"/>
        </w:rPr>
        <w:t>3.1 承包人的一般义务</w:t>
      </w:r>
      <w:bookmarkEnd w:id="6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承包人在履行合同过程中应遵守法律和工程建设标准规范，并履行以下义务：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（1）办理法律规定应由承包人办理的许可和批准，并将办理结果书面报送发包人留存；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（2）按法律规定和合同约定完成工程，并在保修期内承担保修义务；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（3）按法律规定和合同约定采取施工安全和环境保护措施，办理工伤保险，确保工程及人员、材料、设备和设施的安全；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（4）按合同约定的工作内容和施工进度要求，编制施工组织设计和施工措施计划，并对所有施工作业和施工方法的完备性和安全可靠性负责；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（6）按照第6.3款〔环境保护〕约定负责施工场地及其周边环境与生态的保护工作；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（7）按第6.1款〔安全文明施工〕约定采取施工安全措施，确保工程及其人员、材料、设备和设施的安全，防止因工程施工造成的人身伤害和财产损失；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（8）将发包人按合同约定支付的各项价款专用于合同工程，且应及时支付其雇用人员工资，并及时向分包人支付合同价款；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（9）按照法律规定和合同约定编制竣工资料，完成竣工资料立卷及归档，并按专用合同条款约定的竣工资料的套数、内容、时间等要求移交发包人；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（10）应履行的其他义务。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2" w:name="_Toc11780"/>
      <w:r>
        <w:rPr>
          <w:rFonts w:hint="eastAsia" w:ascii="仿宋" w:hAnsi="仿宋" w:eastAsia="仿宋" w:cs="仿宋"/>
          <w:color w:val="auto"/>
          <w:kern w:val="0"/>
          <w:szCs w:val="21"/>
          <w:highlight w:val="none"/>
          <w:lang w:val="zh-CN"/>
        </w:rPr>
        <w:t>3.2 项目经理</w:t>
      </w:r>
      <w:bookmarkEnd w:id="6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承包人违反上述约定的，应按照专用合同条款的约定，承担违约责任。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3.2.5 项目经理因特殊情况授权其下属人员履行其某项工作职责的，该下属人员应具备履行相应职责的能力，并应提前7天将上述人员的姓名和授权范围书面通知监理人，并征得发包人书面同意。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3" w:name="_Toc30744"/>
      <w:r>
        <w:rPr>
          <w:rFonts w:hint="eastAsia" w:ascii="仿宋" w:hAnsi="仿宋" w:eastAsia="仿宋" w:cs="仿宋"/>
          <w:color w:val="auto"/>
          <w:kern w:val="0"/>
          <w:szCs w:val="21"/>
          <w:highlight w:val="none"/>
          <w:lang w:val="zh-CN"/>
        </w:rPr>
        <w:t>3.3 承包人人员</w:t>
      </w:r>
      <w:bookmarkEnd w:id="6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特殊工种作业人员均应持有相应的资格证明，监理人可以随时检查。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3.3.5 承包人擅自更换主要施工管理人员，或前述人员未经监理人或发包人同意擅自离开施工现场的，应按照专用合同条款约定承担违约责任。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4" w:name="_Toc26402"/>
      <w:r>
        <w:rPr>
          <w:rFonts w:hint="eastAsia" w:ascii="仿宋" w:hAnsi="仿宋" w:eastAsia="仿宋" w:cs="仿宋"/>
          <w:color w:val="auto"/>
          <w:kern w:val="0"/>
          <w:szCs w:val="21"/>
          <w:highlight w:val="none"/>
          <w:lang w:val="zh-CN"/>
        </w:rPr>
        <w:t>3.4 承包人现场查勘</w:t>
      </w:r>
      <w:bookmarkEnd w:id="6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承包人应对基于发包人按照第2.4.3项〔提供基础资料〕提交的基础资料所做出的解释和推断负责，但因基础资料存在错误、遗漏导致承包人解释或推断失实的，由发包人承担责任。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5" w:name="_Toc287"/>
      <w:r>
        <w:rPr>
          <w:rFonts w:hint="eastAsia" w:ascii="仿宋" w:hAnsi="仿宋" w:eastAsia="仿宋" w:cs="仿宋"/>
          <w:color w:val="auto"/>
          <w:kern w:val="0"/>
          <w:szCs w:val="21"/>
          <w:highlight w:val="none"/>
          <w:lang w:val="zh-CN"/>
        </w:rPr>
        <w:t>3.5 分包</w:t>
      </w:r>
      <w:bookmarkEnd w:id="6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3.5.1 分包的一般约定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承包人不得以劳务分包的名义转包或违法分包工程。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3.5.2 分包的确定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3.5.3 分包管理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承包人应向监理人提交分包人的主要施工管理人员表，并对分包人的施工人员进行实名制管理，包括但不限于进出场管理、登记造册以及各种证照的办理。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3.5.4 分包合同价款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（1）除本项第（2）目约定的情况或专用合同条款另有约定外，分包合同价款由承包人与分包人结算，未经承包人同意，发包人不得向分包人支付分包工程价款；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（2）生效法律文书要求发包人向分包人支付分包合同价款的，发包人有权从应付承包人工程款中扣除该部分款项。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3.5.5 分包合同权益的转让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6" w:name="_Toc20744"/>
      <w:r>
        <w:rPr>
          <w:rFonts w:hint="eastAsia" w:ascii="仿宋" w:hAnsi="仿宋" w:eastAsia="仿宋" w:cs="仿宋"/>
          <w:color w:val="auto"/>
          <w:kern w:val="0"/>
          <w:szCs w:val="21"/>
          <w:highlight w:val="none"/>
          <w:lang w:val="zh-CN"/>
        </w:rPr>
        <w:t>3.6 工程照管与成品、半成品保护</w:t>
      </w:r>
      <w:bookmarkEnd w:id="6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（1）除专用合同条款另有约定外，自发包人向承包人移交施工现场之日起，承包人应负责照管工程及工程相关的材料、工程设备，直到颁发工程接收证书之日止。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（2）在承包人负责照管期间，因承包人原因造成工程、材料、工程设备损坏的，由承包人负责修复或更换，并承担由此增加的费用和（或）延误的工期。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（3）对合同内分期完成的成品和半成品，在工程接收证书颁发前，由承包人承担保护责任。因承包人原因造成成品或半成品损坏的，由承包人负责修复或更换，并承担由此增加的费用和（或）延误的工期。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7" w:name="_Toc20002"/>
      <w:r>
        <w:rPr>
          <w:rFonts w:hint="eastAsia" w:ascii="仿宋" w:hAnsi="仿宋" w:eastAsia="仿宋" w:cs="仿宋"/>
          <w:color w:val="auto"/>
          <w:kern w:val="0"/>
          <w:szCs w:val="21"/>
          <w:highlight w:val="none"/>
          <w:lang w:val="zh-CN"/>
        </w:rPr>
        <w:t>3.7 履约担保</w:t>
      </w:r>
      <w:bookmarkEnd w:id="6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因承包人原因导致工期延长的，继续提供履约担保所增加的费用由承包人承担；非因承包人原因导致工期延长的，继续提供履约担保所增加的费用由发包人承担。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8" w:name="_Toc32009"/>
      <w:r>
        <w:rPr>
          <w:rFonts w:hint="eastAsia" w:ascii="仿宋" w:hAnsi="仿宋" w:eastAsia="仿宋" w:cs="仿宋"/>
          <w:color w:val="auto"/>
          <w:kern w:val="0"/>
          <w:szCs w:val="21"/>
          <w:highlight w:val="none"/>
          <w:lang w:val="zh-CN"/>
        </w:rPr>
        <w:t>3.8 联合体</w:t>
      </w:r>
      <w:bookmarkEnd w:id="6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3.8.1 联合体各方应共同与发包人签订合同协议书。联合体各方应为履行合同向发包人承担连带责任。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3.8.2 联合体协议经发包人确认后作为合同附件。在履行合同过程中，未经发包人同意，不得修改联合体协议。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3.8.3 联合体牵头人负责与发包人和监理人联系，并接受指示，负责组织联合体各成员全面履行合同。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69" w:name="_Toc30626"/>
      <w:r>
        <w:rPr>
          <w:rFonts w:hint="eastAsia" w:ascii="仿宋" w:hAnsi="仿宋" w:eastAsia="仿宋" w:cs="仿宋"/>
          <w:color w:val="auto"/>
          <w:kern w:val="0"/>
          <w:szCs w:val="21"/>
          <w:highlight w:val="none"/>
          <w:lang w:val="zh-CN"/>
        </w:rPr>
        <w:t>4. 监理人</w:t>
      </w:r>
      <w:bookmarkEnd w:id="6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0" w:name="_Toc17433"/>
      <w:r>
        <w:rPr>
          <w:rFonts w:hint="eastAsia" w:ascii="仿宋" w:hAnsi="仿宋" w:eastAsia="仿宋" w:cs="仿宋"/>
          <w:color w:val="auto"/>
          <w:kern w:val="0"/>
          <w:szCs w:val="21"/>
          <w:highlight w:val="none"/>
          <w:lang w:val="zh-CN"/>
        </w:rPr>
        <w:t>4.1监理人的一般规定</w:t>
      </w:r>
      <w:bookmarkEnd w:id="7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除专用合同条款另有约定外，监理人在施工现场的办公场所、生活场所由承包人提供，所发生的费用由发包人承担。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1" w:name="_Toc29530"/>
      <w:r>
        <w:rPr>
          <w:rFonts w:hint="eastAsia" w:ascii="仿宋" w:hAnsi="仿宋" w:eastAsia="仿宋" w:cs="仿宋"/>
          <w:color w:val="auto"/>
          <w:kern w:val="0"/>
          <w:szCs w:val="21"/>
          <w:highlight w:val="none"/>
          <w:lang w:val="zh-CN"/>
        </w:rPr>
        <w:t>4.2监理人员</w:t>
      </w:r>
      <w:bookmarkEnd w:id="7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2" w:name="_Toc2903"/>
      <w:r>
        <w:rPr>
          <w:rFonts w:hint="eastAsia" w:ascii="仿宋" w:hAnsi="仿宋" w:eastAsia="仿宋" w:cs="仿宋"/>
          <w:color w:val="auto"/>
          <w:kern w:val="0"/>
          <w:szCs w:val="21"/>
          <w:highlight w:val="none"/>
          <w:lang w:val="zh-CN"/>
        </w:rPr>
        <w:t>4.3监理人的指示</w:t>
      </w:r>
      <w:bookmarkEnd w:id="7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承包人对监理人发出的指示有疑问的，应向监理人提出书面异议，监理人应在48小时内对该指示予以确认、更改或撤销，监理人逾期未回复的，承包人有权拒绝执行上述指示。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监理人对承包人的任何工作、工程或其采用的材料和工程设备未在约定的或合理期限内提出意见的，视为批准，但不免除或减轻承包人对该工作、工程、材料、工程设备等应承担的责任和义务。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3" w:name="_Toc26383"/>
      <w:r>
        <w:rPr>
          <w:rFonts w:hint="eastAsia" w:ascii="仿宋" w:hAnsi="仿宋" w:eastAsia="仿宋" w:cs="仿宋"/>
          <w:color w:val="auto"/>
          <w:kern w:val="0"/>
          <w:szCs w:val="21"/>
          <w:highlight w:val="none"/>
          <w:lang w:val="zh-CN"/>
        </w:rPr>
        <w:t>4.4 商定或确定</w:t>
      </w:r>
      <w:bookmarkEnd w:id="7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合同当事人进行商定或确定时，总监理工程师应当会同合同当事人尽量通过协商达成一致，不能达成一致的，由总监理工程师按照合同约定审慎做出公正的确定。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4" w:name="_Toc27149"/>
      <w:r>
        <w:rPr>
          <w:rFonts w:hint="eastAsia" w:ascii="仿宋" w:hAnsi="仿宋" w:eastAsia="仿宋" w:cs="仿宋"/>
          <w:color w:val="auto"/>
          <w:kern w:val="0"/>
          <w:szCs w:val="21"/>
          <w:highlight w:val="none"/>
          <w:lang w:val="zh-CN"/>
        </w:rPr>
        <w:t>5. 工程质量</w:t>
      </w:r>
      <w:bookmarkEnd w:id="7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5" w:name="_Toc23316"/>
      <w:r>
        <w:rPr>
          <w:rFonts w:hint="eastAsia" w:ascii="仿宋" w:hAnsi="仿宋" w:eastAsia="仿宋" w:cs="仿宋"/>
          <w:color w:val="auto"/>
          <w:kern w:val="0"/>
          <w:szCs w:val="21"/>
          <w:highlight w:val="none"/>
          <w:lang w:val="zh-CN"/>
        </w:rPr>
        <w:t>5.1质量要求</w:t>
      </w:r>
      <w:bookmarkEnd w:id="7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5.1.1 工程质量标准必须符合现行国家有关工程施工质量验收规范和标准的要求。有关工程质量的特殊标准或要求由合同当事人在专用合同条款中约定。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5.1.2 因发包人原因造成工程质量未达到合同约定标准的，由发包人承担由此增加的费用和（或）延误的工期，并支付承包人合理的利润。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5.1.3 因承包人原因造成工程质量未达到合同约定标准的，发包人有权要求承包人返工直至工程质量达到合同约定的标准为止，并由承包人承担由此增加的费用和（或）延误的工期。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6" w:name="_Toc9384"/>
      <w:r>
        <w:rPr>
          <w:rFonts w:hint="eastAsia" w:ascii="仿宋" w:hAnsi="仿宋" w:eastAsia="仿宋" w:cs="仿宋"/>
          <w:color w:val="auto"/>
          <w:kern w:val="0"/>
          <w:szCs w:val="21"/>
          <w:highlight w:val="none"/>
          <w:lang w:val="zh-CN"/>
        </w:rPr>
        <w:t>5.2质量保证措施</w:t>
      </w:r>
      <w:bookmarkEnd w:id="7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5.2.1 发包人的质量管理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发包人应按照法律规定及合同约定完成与工程质量有关的各项工作。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5.2.2 承包人的质量管理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承包人应对施工人员进行质量教育和技术培训，定期考核施工人员的劳动技能，严格执行施工规范和操作规程。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5.2.3 监理人的质量检查和检验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7" w:name="_Toc4580"/>
      <w:r>
        <w:rPr>
          <w:rFonts w:hint="eastAsia" w:ascii="仿宋" w:hAnsi="仿宋" w:eastAsia="仿宋" w:cs="仿宋"/>
          <w:color w:val="auto"/>
          <w:kern w:val="0"/>
          <w:szCs w:val="21"/>
          <w:highlight w:val="none"/>
          <w:lang w:val="zh-CN"/>
        </w:rPr>
        <w:t>5.3 隐蔽工程检查</w:t>
      </w:r>
      <w:bookmarkEnd w:id="7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5.3.1承包人自检</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承包人应当对工程隐蔽部位进行自检，并经自检确认是否具备覆盖条件。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5.3.2检查程序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5.3.3 重新检查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5.3.4 承包人私自覆盖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承包人未通知监理人到场检查，私自将工程隐蔽部位覆盖的，监理人有权指示承包人钻孔探测或揭开检查，无论工程隐蔽部位质量是否合格，由此增加的费用和（或）延误的工期均由承包人承担。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8" w:name="_Toc19569"/>
      <w:r>
        <w:rPr>
          <w:rFonts w:hint="eastAsia" w:ascii="仿宋" w:hAnsi="仿宋" w:eastAsia="仿宋" w:cs="仿宋"/>
          <w:color w:val="auto"/>
          <w:kern w:val="0"/>
          <w:szCs w:val="21"/>
          <w:highlight w:val="none"/>
          <w:lang w:val="zh-CN"/>
        </w:rPr>
        <w:t>5.4不合格工程的处理</w:t>
      </w:r>
      <w:bookmarkEnd w:id="7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5.4.2 因发包人原因造成工程不合格的，由此增加的费用和（或）延误的工期由发包人承担，并支付承包人合理的利润。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79" w:name="_Toc13687"/>
      <w:r>
        <w:rPr>
          <w:rFonts w:hint="eastAsia" w:ascii="仿宋" w:hAnsi="仿宋" w:eastAsia="仿宋" w:cs="仿宋"/>
          <w:color w:val="auto"/>
          <w:kern w:val="0"/>
          <w:szCs w:val="21"/>
          <w:highlight w:val="none"/>
          <w:lang w:val="zh-CN"/>
        </w:rPr>
        <w:t>5.5 质量争议检测</w:t>
      </w:r>
      <w:bookmarkEnd w:id="7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合同当事人对工程质量有争议的，由双方协商确定的工程质量检测机构鉴定，由此产生的费用及因此造成的损失，由责任方承担。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合同当事人均有责任的，由双方根据其责任分别承担。合同当事人无法达成一致的，按照第4.4款〔商定或确定〕执行。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0" w:name="_Toc4624"/>
      <w:r>
        <w:rPr>
          <w:rFonts w:hint="eastAsia" w:ascii="仿宋" w:hAnsi="仿宋" w:eastAsia="仿宋" w:cs="仿宋"/>
          <w:color w:val="auto"/>
          <w:kern w:val="0"/>
          <w:szCs w:val="21"/>
          <w:highlight w:val="none"/>
          <w:lang w:val="zh-CN"/>
        </w:rPr>
        <w:t>6. 安全文明施工与环境保护</w:t>
      </w:r>
      <w:bookmarkEnd w:id="8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1" w:name="_Toc20534"/>
      <w:r>
        <w:rPr>
          <w:rFonts w:hint="eastAsia" w:ascii="仿宋" w:hAnsi="仿宋" w:eastAsia="仿宋" w:cs="仿宋"/>
          <w:color w:val="auto"/>
          <w:kern w:val="0"/>
          <w:szCs w:val="21"/>
          <w:highlight w:val="none"/>
          <w:lang w:val="zh-CN"/>
        </w:rPr>
        <w:t>6.1安全文明施工</w:t>
      </w:r>
      <w:bookmarkEnd w:id="8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6.1.1安全生产要求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因安全生产需要暂停施工的，按照第7.8款〔暂停施工〕的约定执行。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6.1.2 安全生产保证措施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6.1.3特别安全生产事项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承包人在动力设备、输电线路、地下管道、密封防震车间、易燃易爆地段以及临街交通要道附近施工时，施工开始前应向发包人和监理人提出安全防护措施，经发包人认可后实施。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需单独编制危险性较大分部分项专项工程施工方案的，及要求进行专家论证的超过一定规模的危险性较大的分部分项工程，承包人应及时编制和组织论证。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6.1.4 治安保卫</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除专用合同条款另有约定外，发包人应与当地公安部门协商，在现场建立治安管理机构或联防组织，统一管理施工场地的治安保卫事项，履行合同工程的治安保卫职责。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发包人和承包人除应协助现场治安管理机构或联防组织维护施工场地的社会治安外，还应做好包括生活区在内的各自管辖区的治安保卫工作。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6.1.5 文明施工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6.1.6 安全文明施工费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安全文明施工费由发包人承担，发包人不得以任何形式扣减该部分费用。因基准日期后合同所适用的法律或政府有关规定发生变化，增加的安全文明施工费由发包人承担。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6.1.7 紧急情况处理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6.1.8 事故处理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6.1.9 安全生产责任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6.1.9.1 发包人的安全责任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发包人应负责赔偿以下各种情况造成的损失：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（1）工程或工程的任何部分对土地的占用所造成的第三者财产损失；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（2）由于发包人原因在施工场地及其毗邻地带造成的第三者人身伤亡和财产损失；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（3）由于发包人原因对承包人、监理人造成的人员人身伤亡和财产损失；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（4）由于发包人原因造成的发包人自身人员的人身伤害以及财产损失。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6.1.9.2 承包人的安全责任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由于承包人原因在施工场地内及其毗邻地带造成的发包人、监理人以及第三者人员伤亡和财产损失，由承包人负责赔偿。</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2" w:name="_Toc2334"/>
      <w:r>
        <w:rPr>
          <w:rFonts w:hint="eastAsia" w:ascii="仿宋" w:hAnsi="仿宋" w:eastAsia="仿宋" w:cs="仿宋"/>
          <w:color w:val="auto"/>
          <w:kern w:val="0"/>
          <w:szCs w:val="21"/>
          <w:highlight w:val="none"/>
          <w:lang w:val="zh-CN"/>
        </w:rPr>
        <w:t>6.2 职业健康</w:t>
      </w:r>
      <w:bookmarkEnd w:id="8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6.2.1 劳动保护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承包人应按法律规定安排工作时间，保证其雇佣人员享有休息和休假的权利。因工程施工的特殊需要占用休假日或延长工作时间的，应不超过法律规定的限度，并按法律规定给予补休或付酬。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6.2.2 生活条件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3" w:name="_Toc30409"/>
      <w:r>
        <w:rPr>
          <w:rFonts w:hint="eastAsia" w:ascii="仿宋" w:hAnsi="仿宋" w:eastAsia="仿宋" w:cs="仿宋"/>
          <w:color w:val="auto"/>
          <w:kern w:val="0"/>
          <w:szCs w:val="21"/>
          <w:highlight w:val="none"/>
          <w:lang w:val="zh-CN"/>
        </w:rPr>
        <w:t>6.3 环境保护</w:t>
      </w:r>
      <w:bookmarkEnd w:id="8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承包人应当承担因其原因引起的环境污染侵权损害赔偿责任，因上述环境污染引起纠纷而导致暂停施工的，由此增加的费用和（或）延误的工期由承包人承担。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4" w:name="_Toc19794"/>
      <w:r>
        <w:rPr>
          <w:rFonts w:hint="eastAsia" w:ascii="仿宋" w:hAnsi="仿宋" w:eastAsia="仿宋" w:cs="仿宋"/>
          <w:color w:val="auto"/>
          <w:kern w:val="0"/>
          <w:szCs w:val="21"/>
          <w:highlight w:val="none"/>
          <w:lang w:val="zh-CN"/>
        </w:rPr>
        <w:t>7. 工期和进度</w:t>
      </w:r>
      <w:bookmarkEnd w:id="8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5" w:name="_Toc28940"/>
      <w:r>
        <w:rPr>
          <w:rFonts w:hint="eastAsia" w:ascii="仿宋" w:hAnsi="仿宋" w:eastAsia="仿宋" w:cs="仿宋"/>
          <w:color w:val="auto"/>
          <w:kern w:val="0"/>
          <w:szCs w:val="21"/>
          <w:highlight w:val="none"/>
          <w:lang w:val="zh-CN"/>
        </w:rPr>
        <w:t>7.1施工组织设计</w:t>
      </w:r>
      <w:bookmarkEnd w:id="8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7.1.1施工组织设计的内容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施工组织设计应包含以下内容：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（1）施工方案；</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（2）施工现场平面布置图；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（3）施工进度计划和保证措施；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（4）劳动力及材料供应计划；</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（5）施工机械设备的选用；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（6）质量保证体系及措施；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（7）安全生产、文明施工措施；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（8）环境保护、成本控制措施；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（9）合同当事人约定的其他内容。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7.1.2施工组织设计的提交和修改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施工进度计划的编制和修改按照第7.2款〔施工进度计划〕执行。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6" w:name="_Toc15885"/>
      <w:r>
        <w:rPr>
          <w:rFonts w:hint="eastAsia" w:ascii="仿宋" w:hAnsi="仿宋" w:eastAsia="仿宋" w:cs="仿宋"/>
          <w:color w:val="auto"/>
          <w:kern w:val="0"/>
          <w:szCs w:val="21"/>
          <w:highlight w:val="none"/>
          <w:lang w:val="zh-CN"/>
        </w:rPr>
        <w:t>7.2 施工进度计划</w:t>
      </w:r>
      <w:bookmarkEnd w:id="8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7.2.1 施工进度计划的编制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7.2.2 施工进度计划的修订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7" w:name="_Toc25581"/>
      <w:r>
        <w:rPr>
          <w:rFonts w:hint="eastAsia" w:ascii="仿宋" w:hAnsi="仿宋" w:eastAsia="仿宋" w:cs="仿宋"/>
          <w:color w:val="auto"/>
          <w:kern w:val="0"/>
          <w:szCs w:val="21"/>
          <w:highlight w:val="none"/>
          <w:lang w:val="zh-CN"/>
        </w:rPr>
        <w:t>7.3 开工</w:t>
      </w:r>
      <w:bookmarkEnd w:id="8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7.3.1 开工准备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除专用合同条款另有约定外，合同当事人应按约定完成开工准备工作。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7.3.2 开工通知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8" w:name="_Toc27475"/>
      <w:r>
        <w:rPr>
          <w:rFonts w:hint="eastAsia" w:ascii="仿宋" w:hAnsi="仿宋" w:eastAsia="仿宋" w:cs="仿宋"/>
          <w:color w:val="auto"/>
          <w:kern w:val="0"/>
          <w:szCs w:val="21"/>
          <w:highlight w:val="none"/>
          <w:lang w:val="zh-CN"/>
        </w:rPr>
        <w:t>7.4测量放线</w:t>
      </w:r>
      <w:bookmarkEnd w:id="8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施工过程中对施工现场内水准点等测量标志物的保护工作由承包人负责。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89" w:name="_Toc19206"/>
      <w:r>
        <w:rPr>
          <w:rFonts w:hint="eastAsia" w:ascii="仿宋" w:hAnsi="仿宋" w:eastAsia="仿宋" w:cs="仿宋"/>
          <w:color w:val="auto"/>
          <w:kern w:val="0"/>
          <w:szCs w:val="21"/>
          <w:highlight w:val="none"/>
          <w:lang w:val="zh-CN"/>
        </w:rPr>
        <w:t>7.5 工期延误</w:t>
      </w:r>
      <w:bookmarkEnd w:id="8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7.5.1 因发包人原因导致工期延误</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在合同履行过程中，因下列情况导致工期延误和（或）费用增加的，由发包人承担由此延误的工期和（或）增加的费用，且发包人应支付承包人合理的利润：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（1）发包人未能按合同约定提供图纸或所提供图纸不符合合同约定的；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（2）发包人未能按合同约定提供施工现场、施工条件、基础资料、许可、批准等开工条件的；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（3）发包人提供的测量基准点、基准线和水准点及其书面资料存在错误或疏漏的；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（4）发包人未能在计划开工日期之日起7天内同意下达开工通知的；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（5）发包人未能按合同约定日期支付工程预付款、进度款或竣工结算款的；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（6）监理人未按合同约定发出指示、批准等文件的；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（7）专用合同条款中约定的其他情形。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7.5.2 因承包人原因导致工期延误</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因承包人原因造成工期延误的，可以在专用合同条款中约定逾期竣工违约金的计算方法和逾期竣工违约金的上限。承包人支付逾期竣工违约金后，不免除承包人继续完成工程及修补缺陷的义务。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0" w:name="_Toc26477"/>
      <w:r>
        <w:rPr>
          <w:rFonts w:hint="eastAsia" w:ascii="仿宋" w:hAnsi="仿宋" w:eastAsia="仿宋" w:cs="仿宋"/>
          <w:color w:val="auto"/>
          <w:kern w:val="0"/>
          <w:szCs w:val="21"/>
          <w:highlight w:val="none"/>
          <w:lang w:val="zh-CN"/>
        </w:rPr>
        <w:t>7.6 不利物质条件</w:t>
      </w:r>
      <w:bookmarkEnd w:id="9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1" w:name="_Toc18473"/>
      <w:r>
        <w:rPr>
          <w:rFonts w:hint="eastAsia" w:ascii="仿宋" w:hAnsi="仿宋" w:eastAsia="仿宋" w:cs="仿宋"/>
          <w:color w:val="auto"/>
          <w:kern w:val="0"/>
          <w:szCs w:val="21"/>
          <w:highlight w:val="none"/>
          <w:lang w:val="zh-CN"/>
        </w:rPr>
        <w:t>7.7 异常恶劣的气候条件</w:t>
      </w:r>
      <w:bookmarkEnd w:id="9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2" w:name="_Toc2766"/>
      <w:r>
        <w:rPr>
          <w:rFonts w:hint="eastAsia" w:ascii="仿宋" w:hAnsi="仿宋" w:eastAsia="仿宋" w:cs="仿宋"/>
          <w:color w:val="auto"/>
          <w:kern w:val="0"/>
          <w:szCs w:val="21"/>
          <w:highlight w:val="none"/>
          <w:lang w:val="zh-CN"/>
        </w:rPr>
        <w:t>7.8 暂停施工</w:t>
      </w:r>
      <w:bookmarkEnd w:id="9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7.8.1发包人原因引起的暂停施工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因发包人原因引起暂停施工的，监理人经发包人同意后，应及时下达暂停施工指示。情况紧急且监理人未及时下达暂停施工指示的，按照第7.8.4项〔紧急情况下的暂停施工〕执行。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因发包人原因引起的暂停施工，发包人应承担由此增加的费用和（或）延误的工期，并支付承包人合理的利润。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7.8.2 承包人原因引起的暂停施工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7.8.3 指示暂停施工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监理人认为有必要时，并经发包人批准后，可向承包人作出暂停施工的指示，承包人应按监理人指示暂停施工。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7.8.4 紧急情况下的暂停施工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7.8.5 暂停施工后的复工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承包人无故拖延和拒绝复工的，承包人承担由此增加的费用和（或）延误的工期；因发包人原因无法按时复工的，按照第7.5.1项〔因发包人原因导致工期延误〕约定办理。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7.8.6 暂停施工持续56天以上</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7.8.7 暂停施工期间的工程照管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暂停施工期间，承包人应负责妥善照管工程并提供安全保障，由此增加的费用由责任方承担。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7.8.8 暂停施工的措施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暂停施工期间，发包人和承包人均应采取必要的措施确保工程质量及安全，防止因暂停施工扩大损失。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3" w:name="_Toc16450"/>
      <w:r>
        <w:rPr>
          <w:rFonts w:hint="eastAsia" w:ascii="仿宋" w:hAnsi="仿宋" w:eastAsia="仿宋" w:cs="仿宋"/>
          <w:color w:val="auto"/>
          <w:kern w:val="0"/>
          <w:szCs w:val="21"/>
          <w:highlight w:val="none"/>
          <w:lang w:val="zh-CN"/>
        </w:rPr>
        <w:t>7.9提前竣工</w:t>
      </w:r>
      <w:bookmarkEnd w:id="9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7.9.2 发包人要求承包人提前竣工，或承包人提出提前竣工的建议能够给发包人带来效益的，合同当事人可以在专用合同条款中约定提前竣工的奖励。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4" w:name="_Toc25586"/>
      <w:r>
        <w:rPr>
          <w:rFonts w:hint="eastAsia" w:ascii="仿宋" w:hAnsi="仿宋" w:eastAsia="仿宋" w:cs="仿宋"/>
          <w:color w:val="auto"/>
          <w:kern w:val="0"/>
          <w:szCs w:val="21"/>
          <w:highlight w:val="none"/>
          <w:lang w:val="zh-CN"/>
        </w:rPr>
        <w:t>8. 材料与设备</w:t>
      </w:r>
      <w:bookmarkEnd w:id="9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5" w:name="_Toc14381"/>
      <w:r>
        <w:rPr>
          <w:rFonts w:hint="eastAsia" w:ascii="仿宋" w:hAnsi="仿宋" w:eastAsia="仿宋" w:cs="仿宋"/>
          <w:color w:val="auto"/>
          <w:kern w:val="0"/>
          <w:szCs w:val="21"/>
          <w:highlight w:val="none"/>
          <w:lang w:val="zh-CN"/>
        </w:rPr>
        <w:t>8.1发包人供应材料与工程设备</w:t>
      </w:r>
      <w:bookmarkEnd w:id="9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发包人自行供应材料、工程设备的，应在签订合同时在专用合同条款的附件《发包人供应材料设备一览表》中明确材料、工程设备的品种、规格、型号、数量、单价、质量等级和送达地点。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6" w:name="_Toc6984"/>
      <w:r>
        <w:rPr>
          <w:rFonts w:hint="eastAsia" w:ascii="仿宋" w:hAnsi="仿宋" w:eastAsia="仿宋" w:cs="仿宋"/>
          <w:color w:val="auto"/>
          <w:kern w:val="0"/>
          <w:szCs w:val="21"/>
          <w:highlight w:val="none"/>
          <w:lang w:val="zh-CN"/>
        </w:rPr>
        <w:t>8.2承包人采购材料与工程设备</w:t>
      </w:r>
      <w:bookmarkEnd w:id="9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7" w:name="_Toc14719"/>
      <w:r>
        <w:rPr>
          <w:rFonts w:hint="eastAsia" w:ascii="仿宋" w:hAnsi="仿宋" w:eastAsia="仿宋" w:cs="仿宋"/>
          <w:color w:val="auto"/>
          <w:kern w:val="0"/>
          <w:szCs w:val="21"/>
          <w:highlight w:val="none"/>
          <w:lang w:val="zh-CN"/>
        </w:rPr>
        <w:t>8.3材料与工程设备的接收与拒收</w:t>
      </w:r>
      <w:bookmarkEnd w:id="9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发包人提供的材料和工程设备的规格、数量或质量不符合合同约定的，或因发包人原因导致交货日期延误或交货地点变更等情况的，按照第16.1款〔发包人违约〕约定办理。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8" w:name="_Toc4975"/>
      <w:r>
        <w:rPr>
          <w:rFonts w:hint="eastAsia" w:ascii="仿宋" w:hAnsi="仿宋" w:eastAsia="仿宋" w:cs="仿宋"/>
          <w:color w:val="auto"/>
          <w:kern w:val="0"/>
          <w:szCs w:val="21"/>
          <w:highlight w:val="none"/>
          <w:lang w:val="zh-CN"/>
        </w:rPr>
        <w:t>8.4材料与工程设备的保管与使用</w:t>
      </w:r>
      <w:bookmarkEnd w:id="9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8.4.1 发包人供应材料与工程设备的保管与使用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发包人供应的材料和工程设备使用前，由承包人负责检验，检验费用由发包人承担，不合格的不得使用。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8.4.2 承包人采购材料与工程设备的保管与使用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发包人或监理人发现承包人使用不符合设计或有关标准要求的材料和工程设备时，有权要求承包人进行修复、拆除或重新采购，由此增加的费用和（或）延误的工期，由承包人承担。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99" w:name="_Toc1617"/>
      <w:r>
        <w:rPr>
          <w:rFonts w:hint="eastAsia" w:ascii="仿宋" w:hAnsi="仿宋" w:eastAsia="仿宋" w:cs="仿宋"/>
          <w:color w:val="auto"/>
          <w:kern w:val="0"/>
          <w:szCs w:val="21"/>
          <w:highlight w:val="none"/>
          <w:lang w:val="zh-CN"/>
        </w:rPr>
        <w:t>8.5禁止使用不合格的材料和工程设备</w:t>
      </w:r>
      <w:bookmarkEnd w:id="9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8.5.1 监理人有权拒绝承包人提供的不合格材料或工程设备，并要求承包人立即进行更换。监理人应在更换后再次进行检查和检验，由此增加的费用和（或）延误的工期由承包人承担。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8.5.2 监理人发现承包人使用了不合格的材料和工程设备，承包人应按照监理人的指示立即改正，并禁止在工程中继续使用不合格的材料和工程设备。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8.5.3 发包人提供的材料或工程设备不符合合同要求的，承包人有权拒绝，并可要求发包人更换，由此增加的费用和（或）延误的工期由发包人承担，并支付承包人合理的利润。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0" w:name="_Toc4167"/>
      <w:r>
        <w:rPr>
          <w:rFonts w:hint="eastAsia" w:ascii="仿宋" w:hAnsi="仿宋" w:eastAsia="仿宋" w:cs="仿宋"/>
          <w:color w:val="auto"/>
          <w:kern w:val="0"/>
          <w:szCs w:val="21"/>
          <w:highlight w:val="none"/>
          <w:lang w:val="zh-CN"/>
        </w:rPr>
        <w:t>8.6 样品</w:t>
      </w:r>
      <w:bookmarkEnd w:id="10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8.6.1  样品的报送与封存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需要承包人报送样品的材料或工程设备，样品的种类、名称、规格、数量等要求均应在专用合同条款中约定。样品的报送程序如下：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（3）经发包人和监理人审批确认的样品应按约定的方法封样，封存的样品作为检验工程相关部分的标准之一。承包人在施工过程中不得使用与样品不符的材料或工程设备。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8.6.2 样品的保管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经批准的样品应由监理人负责封存于现场，承包人应在现场为保存样品提供适当和固定的场所并保持适当和良好的存储环境条件。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1" w:name="_Toc23683"/>
      <w:r>
        <w:rPr>
          <w:rFonts w:hint="eastAsia" w:ascii="仿宋" w:hAnsi="仿宋" w:eastAsia="仿宋" w:cs="仿宋"/>
          <w:color w:val="auto"/>
          <w:kern w:val="0"/>
          <w:szCs w:val="21"/>
          <w:highlight w:val="none"/>
          <w:lang w:val="zh-CN"/>
        </w:rPr>
        <w:t>8.7材料与工程设备的替代</w:t>
      </w:r>
      <w:bookmarkEnd w:id="10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8.7.1 出现下列情况需要使用替代材料和工程设备的，承包人应按照第8.7.2项约定的程序执行：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（1）基准日期后生效的法律规定禁止使用的；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（2）发包人要求使用替代品的；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（3）因其他原因必须使用替代品的。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8.7.2 承包人应在使用替代材料和工程设备28天前书面通知监理人，并附下列文件：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（1）被替代的材料和工程设备的名称、数量、规格、型号、品牌、性能、价格及其他相关资料；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（2）替代品的名称、数量、规格、型号、品牌、性能、价格及其他相关资料；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（3）替代品与被替代产品之间的差异以及使用替代品可能对工程产生的影响；</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（4）替代品与被替代产品的价格差异；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（5）使用替代品的理由和原因说明；</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（6）监理人要求的其他文件。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监理人应在收到通知后14天内向承包人发出经发包人签认的书面指示；监理人逾期发出书面指示的，视为发包人和监理人同意使用替代品。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2" w:name="_Toc17319"/>
      <w:r>
        <w:rPr>
          <w:rFonts w:hint="eastAsia" w:ascii="仿宋" w:hAnsi="仿宋" w:eastAsia="仿宋" w:cs="仿宋"/>
          <w:color w:val="auto"/>
          <w:kern w:val="0"/>
          <w:szCs w:val="21"/>
          <w:highlight w:val="none"/>
          <w:lang w:val="zh-CN"/>
        </w:rPr>
        <w:t>8.8施工设备和临时设施</w:t>
      </w:r>
      <w:bookmarkEnd w:id="10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8.8.1 承包人提供的施工设备和临时设施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除专用合同条款另有约定外，承包人应自行承担修建临时设施的费用，需要临时占地的，应由发包人办理申请手续并承担相应费用。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8.8.2发包人提供的施工设备和临时设施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发包人提供的施工设备或临时设施在专用合同条款中约定。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8.8.3要求承包人增加或更换施工设备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承包人使用的施工设备不能满足合同进度计划和（或）质量要求时，监理人有权要求承包人增加或更换施工设备，承包人应及时增加或更换，由此增加的费用和（或）延误的工期由承包人承担。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3" w:name="_Toc19487"/>
      <w:r>
        <w:rPr>
          <w:rFonts w:hint="eastAsia" w:ascii="仿宋" w:hAnsi="仿宋" w:eastAsia="仿宋" w:cs="仿宋"/>
          <w:color w:val="auto"/>
          <w:kern w:val="0"/>
          <w:szCs w:val="21"/>
          <w:highlight w:val="none"/>
          <w:lang w:val="zh-CN"/>
        </w:rPr>
        <w:t>8.9材料与设备专用要求</w:t>
      </w:r>
      <w:bookmarkEnd w:id="10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4" w:name="_Toc443"/>
      <w:r>
        <w:rPr>
          <w:rFonts w:hint="eastAsia" w:ascii="仿宋" w:hAnsi="仿宋" w:eastAsia="仿宋" w:cs="仿宋"/>
          <w:color w:val="auto"/>
          <w:kern w:val="0"/>
          <w:szCs w:val="21"/>
          <w:highlight w:val="none"/>
          <w:lang w:val="zh-CN"/>
        </w:rPr>
        <w:t>9. 试验与检验</w:t>
      </w:r>
      <w:bookmarkEnd w:id="10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5" w:name="_Toc24417"/>
      <w:r>
        <w:rPr>
          <w:rFonts w:hint="eastAsia" w:ascii="仿宋" w:hAnsi="仿宋" w:eastAsia="仿宋" w:cs="仿宋"/>
          <w:color w:val="auto"/>
          <w:kern w:val="0"/>
          <w:szCs w:val="21"/>
          <w:highlight w:val="none"/>
          <w:lang w:val="zh-CN"/>
        </w:rPr>
        <w:t>9.1试验设备与试验人员</w:t>
      </w:r>
      <w:bookmarkEnd w:id="10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9.1.2 承包人应按专用合同条款的约定提供试验设备、取样装置、试验场所和试验条件，并向监理人提交相应进场计划表。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承包人配置的试验设备要符合相应试验规程的要求并经过具有资质的检测单位检测，且在正式使用该试验设备前，需要经过监理人与承包人共同校定。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9.1.3 承包人应向监理人提交试验人员的名单及其岗位、资格等证明资料，试验人员必须能够熟练进行相应的检测试验，承包人对试验人员的试验程序和试验结果的正确性负责。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6" w:name="_Toc11537"/>
      <w:r>
        <w:rPr>
          <w:rFonts w:hint="eastAsia" w:ascii="仿宋" w:hAnsi="仿宋" w:eastAsia="仿宋" w:cs="仿宋"/>
          <w:color w:val="auto"/>
          <w:kern w:val="0"/>
          <w:szCs w:val="21"/>
          <w:highlight w:val="none"/>
          <w:lang w:val="zh-CN"/>
        </w:rPr>
        <w:t>9.2取样</w:t>
      </w:r>
      <w:bookmarkEnd w:id="10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试验属于自检性质的，承包人可以单独取样。试验属于监理人抽检性质的，可由监理人取样，也可由承包人的试验人员在监理人的监督下取样。</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7" w:name="_Toc4813"/>
      <w:r>
        <w:rPr>
          <w:rFonts w:hint="eastAsia" w:ascii="仿宋" w:hAnsi="仿宋" w:eastAsia="仿宋" w:cs="仿宋"/>
          <w:color w:val="auto"/>
          <w:kern w:val="0"/>
          <w:szCs w:val="21"/>
          <w:highlight w:val="none"/>
          <w:lang w:val="zh-CN"/>
        </w:rPr>
        <w:t>9.3材料、工程设备和工程的试验和检验</w:t>
      </w:r>
      <w:bookmarkEnd w:id="10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8" w:name="_Toc11554"/>
      <w:r>
        <w:rPr>
          <w:rFonts w:hint="eastAsia" w:ascii="仿宋" w:hAnsi="仿宋" w:eastAsia="仿宋" w:cs="仿宋"/>
          <w:color w:val="auto"/>
          <w:kern w:val="0"/>
          <w:szCs w:val="21"/>
          <w:highlight w:val="none"/>
          <w:lang w:val="zh-CN"/>
        </w:rPr>
        <w:t>9.4现场工艺试验</w:t>
      </w:r>
      <w:bookmarkEnd w:id="10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承包人应按合同约定或监理人指示进行现场工艺试验。对大型的现场工艺试验，监理人认为必要时，承包人应根据监理人提出的工艺试验要求，编制工艺试验措施计划，报送监理人审查。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09" w:name="_Toc5050"/>
      <w:r>
        <w:rPr>
          <w:rFonts w:hint="eastAsia" w:ascii="仿宋" w:hAnsi="仿宋" w:eastAsia="仿宋" w:cs="仿宋"/>
          <w:color w:val="auto"/>
          <w:kern w:val="0"/>
          <w:szCs w:val="21"/>
          <w:highlight w:val="none"/>
          <w:lang w:val="zh-CN"/>
        </w:rPr>
        <w:t>10. 变更</w:t>
      </w:r>
      <w:bookmarkEnd w:id="10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0" w:name="_Toc13979"/>
      <w:r>
        <w:rPr>
          <w:rFonts w:hint="eastAsia" w:ascii="仿宋" w:hAnsi="仿宋" w:eastAsia="仿宋" w:cs="仿宋"/>
          <w:color w:val="auto"/>
          <w:kern w:val="0"/>
          <w:szCs w:val="21"/>
          <w:highlight w:val="none"/>
          <w:lang w:val="zh-CN"/>
        </w:rPr>
        <w:t>10.1变更的范围</w:t>
      </w:r>
      <w:bookmarkEnd w:id="11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除专用合同条款另有约定外，合同履行过程中发生以下情形的，应按照本条约定进行变更：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（1）增加或减少合同中任何工作，或追加额外的工作；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（2）取消合同中任何工作，但转由他人实施的工作除外；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（3）改变合同中任何工作的质量标准或其他特性；</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（4）改变工程的基线、标高、位置和尺寸；</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（5）改变工程的时间安排或实施顺序。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1" w:name="_Toc9127"/>
      <w:r>
        <w:rPr>
          <w:rFonts w:hint="eastAsia" w:ascii="仿宋" w:hAnsi="仿宋" w:eastAsia="仿宋" w:cs="仿宋"/>
          <w:color w:val="auto"/>
          <w:kern w:val="0"/>
          <w:szCs w:val="21"/>
          <w:highlight w:val="none"/>
          <w:lang w:val="zh-CN"/>
        </w:rPr>
        <w:t>10.2变更权</w:t>
      </w:r>
      <w:bookmarkEnd w:id="11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涉及设计变更的，应由设计人提供变更后的图纸和说明。如变更超过原设计标准或批准的建设规模时，发包人应及时办理规划、设计变更等审批手续。</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2" w:name="_Toc3683"/>
      <w:r>
        <w:rPr>
          <w:rFonts w:hint="eastAsia" w:ascii="仿宋" w:hAnsi="仿宋" w:eastAsia="仿宋" w:cs="仿宋"/>
          <w:color w:val="auto"/>
          <w:kern w:val="0"/>
          <w:szCs w:val="21"/>
          <w:highlight w:val="none"/>
          <w:lang w:val="zh-CN"/>
        </w:rPr>
        <w:t>10.3变更程序</w:t>
      </w:r>
      <w:bookmarkEnd w:id="11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10.3.1 发包人提出变更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发包人提出变更的，应通过监理人向承包人发出变更指示，变更指示应说明计划变更的工程范围和变更的内容。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10.3.2 监理人提出变更建议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10.3.3 变更执行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3" w:name="_Toc24511"/>
      <w:r>
        <w:rPr>
          <w:rFonts w:hint="eastAsia" w:ascii="仿宋" w:hAnsi="仿宋" w:eastAsia="仿宋" w:cs="仿宋"/>
          <w:color w:val="auto"/>
          <w:kern w:val="0"/>
          <w:szCs w:val="21"/>
          <w:highlight w:val="none"/>
          <w:lang w:val="zh-CN"/>
        </w:rPr>
        <w:t>10.4变更估价</w:t>
      </w:r>
      <w:bookmarkEnd w:id="11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10.4.1 变更估价原则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除专用合同条款另有约定外，变更估价按照本款约定处理：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（1）已标价工程量清单或预算书有相同项目的，按照相同项目单价认定；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（2）已标价工程量清单或预算书中无相同项目，但有类似项目的，参照类似项目的单价认定；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10.4.2 变更估价程序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因变更引起的价格调整应计入最近一期的进度款中支付。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4" w:name="_Toc364"/>
      <w:r>
        <w:rPr>
          <w:rFonts w:hint="eastAsia" w:ascii="仿宋" w:hAnsi="仿宋" w:eastAsia="仿宋" w:cs="仿宋"/>
          <w:color w:val="auto"/>
          <w:kern w:val="0"/>
          <w:szCs w:val="21"/>
          <w:highlight w:val="none"/>
          <w:lang w:val="zh-CN"/>
        </w:rPr>
        <w:t>10.5承包人的合理化建议</w:t>
      </w:r>
      <w:bookmarkEnd w:id="11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承包人提出合理化建议的，应向监理人提交合理化建议说明，说明建议的内容和理由，以及实施该建议对合同价格和工期的影响。</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合理化建议降低了合同价格或者提高了工程经济效益的，发包人可对承包人给予奖励，奖励的方法和金额在专用合同条款中约定。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5" w:name="_Toc15316"/>
      <w:r>
        <w:rPr>
          <w:rFonts w:hint="eastAsia" w:ascii="仿宋" w:hAnsi="仿宋" w:eastAsia="仿宋" w:cs="仿宋"/>
          <w:color w:val="auto"/>
          <w:kern w:val="0"/>
          <w:szCs w:val="21"/>
          <w:highlight w:val="none"/>
          <w:lang w:val="zh-CN"/>
        </w:rPr>
        <w:t>10.6变更引起的工期调整</w:t>
      </w:r>
      <w:bookmarkEnd w:id="115"/>
      <w:r>
        <w:rPr>
          <w:rFonts w:hint="eastAsia" w:ascii="仿宋" w:hAnsi="仿宋" w:eastAsia="仿宋" w:cs="仿宋"/>
          <w:color w:val="auto"/>
          <w:kern w:val="0"/>
          <w:szCs w:val="21"/>
          <w:highlight w:val="none"/>
          <w:lang w:val="zh-CN"/>
        </w:rPr>
        <w:t xml:space="preserve"> </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因变更引起工期变化的，合同当事人均可要求调整合同工期，由合同当事人按照第4.4款〔商定或确定〕并参考工程所在地的工期定额标准确定增减工期天数。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6" w:name="_Toc19522"/>
      <w:r>
        <w:rPr>
          <w:rFonts w:hint="eastAsia" w:ascii="仿宋" w:hAnsi="仿宋" w:eastAsia="仿宋" w:cs="仿宋"/>
          <w:color w:val="auto"/>
          <w:kern w:val="0"/>
          <w:szCs w:val="21"/>
          <w:highlight w:val="none"/>
          <w:lang w:val="zh-CN"/>
        </w:rPr>
        <w:t>10.7暂估价</w:t>
      </w:r>
      <w:bookmarkEnd w:id="11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暂估价专业分包工程、服务、材料和工程设备的明细由合同当事人在专用合同条款中约定。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10.7.1 依法必须招标的暂估价项目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对于依法必须招标的暂估价项目，采取以下第1种方式确定。合同当事人也可以在专用合同条款中选择其他招标方式。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第1种方式：对于依法必须招标的暂估价项目，由承包人招标，对该暂估价项目的确认和批准按照以下约定执行：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10.7.2不属于依法必须招标的暂估价项目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除专用合同条款另有约定外，对于不属于依法必须招标的暂估价项目，采取以下第1种方式确定：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第1种方式：对于不属于依法必须招标的暂估价项目，按本项约定确认和批准：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（2）发包人认为承包人确定的供应商、分包人无法满足工程质量或合同要求的，发包人可以要求承包人重新确定暂估价项目的供应商、分包人;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（3）承包人应当在签订暂估价合同后7天内，将暂估价合同副本报送发包人留存。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第2种方式：承包人按照第10.7.1项〔依法必须招标的暂估价项目〕约定的第1种方式确定暂估价项目。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第3种方式：承包人直接实施的暂估价项目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承包人具备实施暂估价项目的资格和条件的，经发包人和承包人协商一致后，可由承包人自行实施暂估价项目，合同当事人可以在专用合同条款约定具体事项。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7" w:name="_Toc16955"/>
      <w:r>
        <w:rPr>
          <w:rFonts w:hint="eastAsia" w:ascii="仿宋" w:hAnsi="仿宋" w:eastAsia="仿宋" w:cs="仿宋"/>
          <w:color w:val="auto"/>
          <w:kern w:val="0"/>
          <w:szCs w:val="21"/>
          <w:highlight w:val="none"/>
          <w:lang w:val="zh-CN"/>
        </w:rPr>
        <w:t>10.8暂列金额</w:t>
      </w:r>
      <w:bookmarkEnd w:id="11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暂列金额应按照发包人的要求使用，发包人的要求应通过监理人发出。合同当事人可以在专用合同条款中协商确定有关事项。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8" w:name="_Toc30706"/>
      <w:r>
        <w:rPr>
          <w:rFonts w:hint="eastAsia" w:ascii="仿宋" w:hAnsi="仿宋" w:eastAsia="仿宋" w:cs="仿宋"/>
          <w:color w:val="auto"/>
          <w:kern w:val="0"/>
          <w:szCs w:val="21"/>
          <w:highlight w:val="none"/>
          <w:lang w:val="zh-CN"/>
        </w:rPr>
        <w:t>10.9计日工</w:t>
      </w:r>
      <w:bookmarkEnd w:id="11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采用计日工计价的任何一项工作，承包人应在该项工作实施过程中，每天提交以下报表和有关凭证报送监理人审查：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（1）工作名称、内容和数量；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（2）投入该工作的所有人员的姓名、专业、工种、级别和耗用工时；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（3）投入该工作的材料类别和数量；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（4）投入该工作的施工设备型号、台数和耗用台时；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（5）其他有关资料和凭证。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计日工由承包人汇总后，列入最近一期进度付款申请单，由监理人审查并经发包人批准后列入进度付款。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19" w:name="_Toc10136"/>
      <w:r>
        <w:rPr>
          <w:rFonts w:hint="eastAsia" w:ascii="仿宋" w:hAnsi="仿宋" w:eastAsia="仿宋" w:cs="仿宋"/>
          <w:color w:val="auto"/>
          <w:kern w:val="0"/>
          <w:szCs w:val="21"/>
          <w:highlight w:val="none"/>
          <w:lang w:val="zh-CN"/>
        </w:rPr>
        <w:t>11. 价格调整</w:t>
      </w:r>
      <w:bookmarkEnd w:id="11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0" w:name="_Toc7992"/>
      <w:r>
        <w:rPr>
          <w:rFonts w:hint="eastAsia" w:ascii="仿宋" w:hAnsi="仿宋" w:eastAsia="仿宋" w:cs="仿宋"/>
          <w:color w:val="auto"/>
          <w:kern w:val="0"/>
          <w:szCs w:val="21"/>
          <w:highlight w:val="none"/>
          <w:lang w:val="zh-CN"/>
        </w:rPr>
        <w:t>11.1市场价格波动引起的调整</w:t>
      </w:r>
      <w:bookmarkEnd w:id="12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除专用合同条款另有约定外，市场价格波动超过合同当事人约定的范围，合同价格应当调整。合同当事人可以在专用合同条款中约定选择以下一种方式对合同价格进行调整：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第1种方式：采用价格指数进行价格调整。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（1）价格调整公式</w:t>
      </w:r>
    </w:p>
    <w:p>
      <w:pPr>
        <w:adjustRightInd w:val="0"/>
        <w:snapToGrid w:val="0"/>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zh-CN"/>
        </w:rPr>
        <w:t>因人工、材料和设备等价格波动影响合同价格时，根据专用合同条款中约定的数据，按以下公式计算差额并调整合同价格：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公式中：ΔP——需调整的价格差额；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——约定的付款证书中承包人应得到的已完成工程量的金额。此项金额应不包括价格调整、不计质量保证金的扣留和支付、预付款的支付和扣回。约定的变更及其他金额已按现行价格计价的，也不计在内；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A——定值权重（即不调部分的权重）；</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——各可调因子的变值权重（即可调部分的权重），为各可调因子在签约合同价中所占的比例；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——各可调因子的现行价格指数，指约定的付款证书相关周期最后一天的前42天的各可调因子的价格指数；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——各可调因子的基本价格指数，指基准日期的各可调因子的价格指数。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（2）暂时确定调整差额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在计算调整差额时无现行价格指数的，合同当事人同意暂用前次价格指数计算。实际价格指数有调整的，合同当事人进行相应调整。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（3）权重的调整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因变更导致合同约定的权重不合理时，按照第4.4款〔商定或确定〕执行。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（4）因承包人原因工期延误后的价格调整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因承包人原因未按期竣工的，对合同约定的竣工日期后继续施工的工程，在使用价格调整公式时，应采用计划竣工日期与实际竣工日期的两个价格指数中较低的一个作为现行价格指数。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第2种方式：采用造价信息进行价格调整。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（2）材料、工程设备价格变化的价款调整按照发包人提供的基准价格，按以下风险范围规定执行: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③承包人在已标价工程量清单或预算书中载明材料单价等于基准价格的：除专用合同条款另有约定外，合同履行期间材料单价涨跌幅以基准价格为基础超过±5%时，其超过部分据实调整。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前述基准价格是指由发包人在磋商文件或专用合同条款中给定的材料、工程设备的价格，该价格原则上应当按照省级或行业建设主管部门或其授权的工程造价管理机构发布的信息价编制。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（3）施工机械台班单价或施工机械使用费发生变化超过省级或行业建设主管部门或其授权的工程造价管理机构规定的范围时，按规定调整合同价格。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第3种方式：专用合同条款约定的其他方式。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1" w:name="_Toc31182"/>
      <w:r>
        <w:rPr>
          <w:rFonts w:hint="eastAsia" w:ascii="仿宋" w:hAnsi="仿宋" w:eastAsia="仿宋" w:cs="仿宋"/>
          <w:color w:val="auto"/>
          <w:kern w:val="0"/>
          <w:szCs w:val="21"/>
          <w:highlight w:val="none"/>
          <w:lang w:val="zh-CN"/>
        </w:rPr>
        <w:t>11.2法律变化引起的调整</w:t>
      </w:r>
      <w:bookmarkEnd w:id="12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因法律变化引起的合同价格和工期调整，合同当事人无法达成一致的，由总监理工程师按第4.4款〔商定或确定〕的约定处理。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因承包人原因造成工期延误，在工期延误期间出现法律变化的，由此增加的费用和（或）延误的工期由承包人承担。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2" w:name="_Toc26140"/>
      <w:r>
        <w:rPr>
          <w:rFonts w:hint="eastAsia" w:ascii="仿宋" w:hAnsi="仿宋" w:eastAsia="仿宋" w:cs="仿宋"/>
          <w:color w:val="auto"/>
          <w:kern w:val="0"/>
          <w:szCs w:val="21"/>
          <w:highlight w:val="none"/>
          <w:lang w:val="zh-CN"/>
        </w:rPr>
        <w:t>12. 合同价格、计量与支付</w:t>
      </w:r>
      <w:bookmarkEnd w:id="12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3" w:name="_Toc11187"/>
      <w:r>
        <w:rPr>
          <w:rFonts w:hint="eastAsia" w:ascii="仿宋" w:hAnsi="仿宋" w:eastAsia="仿宋" w:cs="仿宋"/>
          <w:color w:val="auto"/>
          <w:kern w:val="0"/>
          <w:szCs w:val="21"/>
          <w:highlight w:val="none"/>
          <w:lang w:val="zh-CN"/>
        </w:rPr>
        <w:t>12.1 合同价格形式</w:t>
      </w:r>
      <w:bookmarkEnd w:id="12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发包人和承包人应在合同协议书中选择下列一种合同价格形式：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1、单价合同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2、总价合同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3、其它价格形式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合同当事人可在专用合同条款中约定其他合同价格形式。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4" w:name="_Toc32605"/>
      <w:r>
        <w:rPr>
          <w:rFonts w:hint="eastAsia" w:ascii="仿宋" w:hAnsi="仿宋" w:eastAsia="仿宋" w:cs="仿宋"/>
          <w:color w:val="auto"/>
          <w:kern w:val="0"/>
          <w:szCs w:val="21"/>
          <w:highlight w:val="none"/>
          <w:lang w:val="zh-CN"/>
        </w:rPr>
        <w:t>12.2预付款</w:t>
      </w:r>
      <w:bookmarkEnd w:id="12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12.2.1预付款的支付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预付款的支付按照专用合同条款约定执行，但至迟应在开工通知载明的开工日期7天前支付。预付款应当用于材料、工程设备、施工设备的采购及修建临时工程、组织施工队伍进场等。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除专用合同条款另有约定外，预付款在进度付款中同比例扣回。在颁发工程接收证书前，提前解除合同的，尚未扣完的预付款应与合同价款一并结算。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发包人逾期支付预付款超过7天的，承包人有权向发包人发出要求预付的催告通知，发包人收到通知后7天内仍未支付的，承包人有权暂停施工，并按第16.1.1项〔发包人违约的情形〕执行。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12.2.2 预付款担保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发包人在工程款中逐期扣回预付款后，预付款担保额度应相应减少，但剩余的预付款担保金额不得低于未被扣回的预付款金额。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5" w:name="_Toc2879"/>
      <w:r>
        <w:rPr>
          <w:rFonts w:hint="eastAsia" w:ascii="仿宋" w:hAnsi="仿宋" w:eastAsia="仿宋" w:cs="仿宋"/>
          <w:color w:val="auto"/>
          <w:kern w:val="0"/>
          <w:szCs w:val="21"/>
          <w:highlight w:val="none"/>
          <w:lang w:val="zh-CN"/>
        </w:rPr>
        <w:t>12.3计量</w:t>
      </w:r>
      <w:bookmarkEnd w:id="12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12.3.1 计量原则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工程量计量按照合同约定的工程量计算规则、图纸及变更指示等进行计量。工程量计算规则应以相关的国家标准、行业标准等为依据，由合同当事人在专用合同条款中约定。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12.3.2 计量周期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除专用合同条款另有约定外，工程量的计量按月进行。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12.3.3 单价合同的计量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除专用合同条款另有约定外，单价合同的计量按照本项约定执行：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（1）承包人应于每月25日向监理人报送上月20日至当月19日已完成的工程量报告，并附具进度付款申请单、已完成工程量报表和有关资料。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（3）监理人未在收到承包人提交的工程量报表后的7天内完成审核的，承包人报送的工程量报告中的工程量视为承包人实际完成的工程量，据此计算工程价款。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12.3.4 总价合同的计量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除专用合同条款另有约定外，按月计量支付的总价合同，按照本项约定执行：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（1）承包人应于每月25日向监理人报送上月20日至当月19日已完成的工程量报告，并附具进度付款申请单、已完成工程量报表和有关资料。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（3）监理人未在收到承包人提交的工程量报表后的7天内完成复核的，承包人提交的工程量报告中的工程量视为承包人实际完成的工程量。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12.3.5 总价合同采用支付分解表计量支付的，可以按照第12.3.4项〔总价合同的计量〕约定进行计量，但合同价款按照支付分解表进行支付。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12.3.6 其他价格形式合同的计量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合同当事人可在专用合同条款中约定其他价格形式合同的计量方式和程序。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6" w:name="_Toc13923"/>
      <w:r>
        <w:rPr>
          <w:rFonts w:hint="eastAsia" w:ascii="仿宋" w:hAnsi="仿宋" w:eastAsia="仿宋" w:cs="仿宋"/>
          <w:color w:val="auto"/>
          <w:kern w:val="0"/>
          <w:szCs w:val="21"/>
          <w:highlight w:val="none"/>
          <w:lang w:val="zh-CN"/>
        </w:rPr>
        <w:t>12.4工程进度款支付</w:t>
      </w:r>
      <w:bookmarkEnd w:id="12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12.4.1 付款周期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除专用合同条款另有约定外，付款周期应按照第12.3.2项〔计量周期〕的约定与计量周期保持一致。</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12.4.2 进度付款申请单的编制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除专用合同条款另有约定外，进度付款申请单应包括下列内容：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（1）截至本次付款周期已完成工作对应的金额；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（2）根据第10条〔变更〕应增加和扣减的变更金额；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（3）根据第12.2款〔预付款〕约定应支付的预付款和扣减的返还预付款；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（4）根据第15.3款〔质量保证金〕约定应扣减的质量保证金；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（5）根据第19条〔索赔〕应增加和扣减的索赔金额；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（6）对已签发的进度款支付证书中出现错误的修正，应在本次进度付款中支付或扣除的金额；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（7）根据合同约定应增加和扣减的其他金额。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12.4.3 进度付款申请单的提交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（1）单价合同进度付款申请单的提交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（2）总价合同进度付款申请单的提交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总价合同按月计量支付的，承包人按照第12.3.4项〔总价合同的计量〕约定的时间按月向监理人提交进度付款申请单，并附上已完成工程量报表和有关资料。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总价合同按支付分解表支付的，承包人应按照第12.4.6项〔支付分解表〕及第12.4.2项〔进度付款申请单的编制〕的约定向监理人提交进度付款申请单。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（3）其他价格形式合同的进度付款申请单的提交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合同当事人可在专用合同条款中约定其他价格形式合同的进度付款申请单的编制和提交程序。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12.4.4 进度款审核和支付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（2）除专用合同条款另有约定外，发包人应在进度款支付证书或临时进度款支付证书签发后14天内完成支付，发包人逾期支付进度款的，应按照中国人民银行发布的同期同类贷款基准利率支付违约金。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（3）发包人签发进度款支付证书或临时进度款支付证书，不表明发包人已同意、批准或接受了承包人完成的相应部分的工作。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12.4.5 进度付款的修正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在对已签发的进度款支付证书进行阶段汇总和复核中发现错误、遗漏或重复的，发包人和承包人均有权提出修正申请。经发包人和承包人同意的修正，应在下期进度付款中支付或扣除。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12.4.6 支付分解表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1、支付分解表的编制要求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（1）支付分解表中所列的每期付款金额，应为第12.4.2项〔进度付款申请单的编制〕第（1）目的估算金额；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（2）实际进度与施工进度计划不一致的，合同当事人可按照第4.4款〔商定或确定〕修改支付分解表；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（3）不采用支付分解表的，承包人应向发包人和监理人提交按季度编制的支付估算分解表，用于支付参考。</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2、总价合同支付分解表的编制与审批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（2）监理人应在收到支付分解表后7天内完成审核并报送发包人。发包人应在收到经监理人审核的支付分解表后7天内完成审批，经发包人批准的支付分解表为有约束力的支付分解表。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（3）发包人逾期未完成支付分解表审批的，也未及时要求承包人进行修正和提供补充资料的，则承包人提交的支付分解表视为已经获得发包人批准。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3、单价合同的总价项目支付分解表的编制与审批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7" w:name="_Toc24139"/>
      <w:r>
        <w:rPr>
          <w:rFonts w:hint="eastAsia" w:ascii="仿宋" w:hAnsi="仿宋" w:eastAsia="仿宋" w:cs="仿宋"/>
          <w:color w:val="auto"/>
          <w:kern w:val="0"/>
          <w:szCs w:val="21"/>
          <w:highlight w:val="none"/>
          <w:lang w:val="zh-CN"/>
        </w:rPr>
        <w:t>12.5支付账户</w:t>
      </w:r>
      <w:bookmarkEnd w:id="12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发包人应将合同价款支付至合同协议书中约定的承包人账户。</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8" w:name="_Toc27020"/>
      <w:r>
        <w:rPr>
          <w:rFonts w:hint="eastAsia" w:ascii="仿宋" w:hAnsi="仿宋" w:eastAsia="仿宋" w:cs="仿宋"/>
          <w:color w:val="auto"/>
          <w:kern w:val="0"/>
          <w:szCs w:val="21"/>
          <w:highlight w:val="none"/>
          <w:lang w:val="zh-CN"/>
        </w:rPr>
        <w:t>13. 验收和工程试车</w:t>
      </w:r>
      <w:bookmarkEnd w:id="12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29" w:name="_Toc531"/>
      <w:r>
        <w:rPr>
          <w:rFonts w:hint="eastAsia" w:ascii="仿宋" w:hAnsi="仿宋" w:eastAsia="仿宋" w:cs="仿宋"/>
          <w:color w:val="auto"/>
          <w:kern w:val="0"/>
          <w:szCs w:val="21"/>
          <w:highlight w:val="none"/>
          <w:lang w:val="zh-CN"/>
        </w:rPr>
        <w:t>13.1分部分项工程验收</w:t>
      </w:r>
      <w:bookmarkEnd w:id="12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13.1.1 分部分项工程质量应符合国家有关工程施工验收规范、标准及合同约定，承包人应按照施工组织设计的要求完成分部分项工程施工。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分部分项工程的验收资料应当作为竣工资料的组成部分。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0" w:name="_Toc11"/>
      <w:r>
        <w:rPr>
          <w:rFonts w:hint="eastAsia" w:ascii="仿宋" w:hAnsi="仿宋" w:eastAsia="仿宋" w:cs="仿宋"/>
          <w:color w:val="auto"/>
          <w:kern w:val="0"/>
          <w:szCs w:val="21"/>
          <w:highlight w:val="none"/>
          <w:lang w:val="zh-CN"/>
        </w:rPr>
        <w:t>13.2竣工验收</w:t>
      </w:r>
      <w:bookmarkEnd w:id="13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13.2.1竣工验收条件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工程具备以下条件的，承包人可以申请竣工验收：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（1）除发包人同意的甩项工作和缺陷修补工作外，合同范围内的全部工程以及有关工作，包括合同要求的试验、试运行以及检验均已完成，并符合合同要求；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（2）已按合同约定编制了甩项工作和缺陷修补工作清单以及相应的施工计划；</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（3）已按合同约定的内容和份数备齐竣工资料。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13.2.2竣工验收程序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除专用合同条款另有约定外，承包人申请竣工验收的，应当按照以下程序进行：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（3）竣工验收合格的，发包人应在验收合格后14天内向承包人签发工程接收证书。发包人无正当理由逾期不颁发工程接收证书的，自验收合格后第15天起视为已颁发工程接收证书。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除专用合同条款另有约定外，发包人不按照本项约定组织竣工验收、颁发工程接收证书的，每逾期一天，应以签约合同价为基数，按照中国人民银行发布的同期同类贷款基准利率支付违约金。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13.2.3竣工日期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13.2.4 拒绝接收全部或部分工程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13.2.5 移交、接收全部与部分工程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除专用合同条款另有约定外，合同当事人应当在颁发工程接收证书后7天内完成工程的移交。</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发包人无正当理由不接收工程的，发包人自应当接收工程之日起，承担工程照管、成品保护、保管等与工程有关的各项费用，合同当事人可以在专用合同条款中另行约定发包人逾期接收工程的违约责任。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承包人无正当理由不移交工程的，承包人应承担工程照管、成品保护、保管等与工程有关的各项费用，合同当事人可以在专用合同条款中另行约定承包人无正当理由不移交工程的违约责任。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1" w:name="_Toc3110"/>
      <w:r>
        <w:rPr>
          <w:rFonts w:hint="eastAsia" w:ascii="仿宋" w:hAnsi="仿宋" w:eastAsia="仿宋" w:cs="仿宋"/>
          <w:color w:val="auto"/>
          <w:kern w:val="0"/>
          <w:szCs w:val="21"/>
          <w:highlight w:val="none"/>
          <w:lang w:val="zh-CN"/>
        </w:rPr>
        <w:t>13.3工程试车</w:t>
      </w:r>
      <w:bookmarkEnd w:id="13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13.3.1试车程序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工程需要试车的，除专用合同条款另有约定外，试车内容应与承包人承包范围相一致，试车费用由承包人承担。工程试车应按如下程序进行：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13.3.2 试车中的责任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13.3.3 投料试车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如需进行投料试车的，发包人应在工程竣工验收后组织投料试车。发包人要求在工程竣工验收前进行或需要承包人配合时，应征得承包人同意，并在专用合同条款中约定有关事项。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2" w:name="_Toc32705"/>
      <w:r>
        <w:rPr>
          <w:rFonts w:hint="eastAsia" w:ascii="仿宋" w:hAnsi="仿宋" w:eastAsia="仿宋" w:cs="仿宋"/>
          <w:color w:val="auto"/>
          <w:kern w:val="0"/>
          <w:szCs w:val="21"/>
          <w:highlight w:val="none"/>
          <w:lang w:val="zh-CN"/>
        </w:rPr>
        <w:t>13.4提前交付单位工程的验收</w:t>
      </w:r>
      <w:bookmarkEnd w:id="13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13.4.1 发包人需要在工程竣工前使用单位工程的，或承包人提出提前交付已经竣工的单位工程且经发包人同意的，可进行单位工程验收，验收的程序按照第13.2款〔竣工验收〕的约定进行。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验收合格后，由监理人向承包人出具经发包人签认的单位工程接收证书。已签发单位工程接收证书的单位工程由发包人负责照管。单位工程的验收成果和结论作为整体工程竣工验收申请报告的附件。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13.4.2 发包人要求在工程竣工前交付单位工程，由此导致承包人费用增加和（或）工期延误的，由发包人承担由此增加的费用和（或）延误的工期，并支付承包人合理的利润。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3" w:name="_Toc8031"/>
      <w:r>
        <w:rPr>
          <w:rFonts w:hint="eastAsia" w:ascii="仿宋" w:hAnsi="仿宋" w:eastAsia="仿宋" w:cs="仿宋"/>
          <w:color w:val="auto"/>
          <w:kern w:val="0"/>
          <w:szCs w:val="21"/>
          <w:highlight w:val="none"/>
          <w:lang w:val="zh-CN"/>
        </w:rPr>
        <w:t>13.5 施工期运行</w:t>
      </w:r>
      <w:bookmarkEnd w:id="13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13.5.2 在施工期运行中发现工程或工程设备损坏或存在缺陷的，由承包人按第15.2款〔缺陷责任期〕约定进行修复。</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13.6 竣工退场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13.6.1 竣工退场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颁发工程接收证书后，承包人应按以下要求对施工现场进行清理：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（1）施工现场内残留的垃圾已全部清除出场；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（2）临时工程已拆除，场地已进行清理、平整或复原；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（3）按合同约定应撤离的人员、承包人施工设备和剩余的材料，包括废弃的施工设备和材料，已按计划撤离施工现场；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（4）施工现场周边及其附近道路、河道的施工堆积物，已全部清理；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（5）施工现场其他场地清理工作已全部完成。</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13.6.2 地表还原</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承包人应按发包人要求恢复临时占地及清理场地，承包人未按发包人的要求恢复临时占地，或者场地清理未达到合同约定要求的，发包人有权委托其他人恢复或清理，所发生的费用由承包人承担。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4" w:name="_Toc32284"/>
      <w:r>
        <w:rPr>
          <w:rFonts w:hint="eastAsia" w:ascii="仿宋" w:hAnsi="仿宋" w:eastAsia="仿宋" w:cs="仿宋"/>
          <w:color w:val="auto"/>
          <w:kern w:val="0"/>
          <w:szCs w:val="21"/>
          <w:highlight w:val="none"/>
          <w:lang w:val="zh-CN"/>
        </w:rPr>
        <w:t>14. 竣工结算</w:t>
      </w:r>
      <w:bookmarkEnd w:id="13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5" w:name="_Toc2245"/>
      <w:r>
        <w:rPr>
          <w:rFonts w:hint="eastAsia" w:ascii="仿宋" w:hAnsi="仿宋" w:eastAsia="仿宋" w:cs="仿宋"/>
          <w:color w:val="auto"/>
          <w:kern w:val="0"/>
          <w:szCs w:val="21"/>
          <w:highlight w:val="none"/>
          <w:lang w:val="zh-CN"/>
        </w:rPr>
        <w:t>14.1 竣工结算申请</w:t>
      </w:r>
      <w:bookmarkEnd w:id="13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除专用合同条款另有约定外，竣工结算申请单应包括以下内容：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（1）竣工结算合同价格；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（2）发包人已支付承包人的款项；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（3）应扣留的质量保证金。已缴纳履约保证金的或提供其他工程质量担保方式的除外；</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（4）发包人应支付承包人的合同价款。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6" w:name="_Toc27354"/>
      <w:r>
        <w:rPr>
          <w:rFonts w:hint="eastAsia" w:ascii="仿宋" w:hAnsi="仿宋" w:eastAsia="仿宋" w:cs="仿宋"/>
          <w:color w:val="auto"/>
          <w:kern w:val="0"/>
          <w:szCs w:val="21"/>
          <w:highlight w:val="none"/>
          <w:lang w:val="zh-CN"/>
        </w:rPr>
        <w:t>14.2 竣工结算审核</w:t>
      </w:r>
      <w:bookmarkEnd w:id="13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7" w:name="_Toc10971"/>
      <w:r>
        <w:rPr>
          <w:rFonts w:hint="eastAsia" w:ascii="仿宋" w:hAnsi="仿宋" w:eastAsia="仿宋" w:cs="仿宋"/>
          <w:color w:val="auto"/>
          <w:kern w:val="0"/>
          <w:szCs w:val="21"/>
          <w:highlight w:val="none"/>
          <w:lang w:val="zh-CN"/>
        </w:rPr>
        <w:t>14.3 甩项竣工协议</w:t>
      </w:r>
      <w:bookmarkEnd w:id="13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要求甩项竣工的，合同当事人应签订甩项竣工协议。在甩项竣工协议中应明确，合同当事人按照第14.1款〔竣工结算申请〕及14.2款〔竣工结算审核〕的约定，对已完合格工程进行结算，并支付相应合同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8" w:name="_Toc13004"/>
      <w:r>
        <w:rPr>
          <w:rFonts w:hint="eastAsia" w:ascii="仿宋" w:hAnsi="仿宋" w:eastAsia="仿宋" w:cs="仿宋"/>
          <w:color w:val="auto"/>
          <w:kern w:val="0"/>
          <w:szCs w:val="21"/>
          <w:highlight w:val="none"/>
          <w:lang w:val="zh-CN"/>
        </w:rPr>
        <w:t>14.4 最终结清</w:t>
      </w:r>
      <w:bookmarkEnd w:id="13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14.4.1 最终结清申请单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（1）除专用合同条款另有约定外，承包人应在缺陷责任期终止证书颁发后7天内，按专用合同条款约定的份数向发包人提交最终结清申请单，并提供相关证明材料。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除专用合同条款另有约定外，最终结清申请单应列明质量保证金、应扣除的质量保证金、缺陷责任期内发生的增减费用。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（2）发包人对最终结清申请单内容有异议的，有权要求承包人进行修正和提供补充资料，承包人应向发包人提交修正后的最终结清申请单。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14.4.2 最终结清证书和支付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（3）承包人对发包人颁发的最终结清证书有异议的，按第20条〔争议解决〕的约定办理。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39" w:name="_Toc4878"/>
      <w:r>
        <w:rPr>
          <w:rFonts w:hint="eastAsia" w:ascii="仿宋" w:hAnsi="仿宋" w:eastAsia="仿宋" w:cs="仿宋"/>
          <w:color w:val="auto"/>
          <w:kern w:val="0"/>
          <w:szCs w:val="21"/>
          <w:highlight w:val="none"/>
          <w:lang w:val="zh-CN"/>
        </w:rPr>
        <w:t>15. 缺陷责任与保修</w:t>
      </w:r>
      <w:bookmarkEnd w:id="13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0" w:name="_Toc23094"/>
      <w:r>
        <w:rPr>
          <w:rFonts w:hint="eastAsia" w:ascii="仿宋" w:hAnsi="仿宋" w:eastAsia="仿宋" w:cs="仿宋"/>
          <w:color w:val="auto"/>
          <w:kern w:val="0"/>
          <w:szCs w:val="21"/>
          <w:highlight w:val="none"/>
          <w:lang w:val="zh-CN"/>
        </w:rPr>
        <w:t>15.1 工程保修的原则</w:t>
      </w:r>
      <w:bookmarkEnd w:id="14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1" w:name="_Toc7269"/>
      <w:r>
        <w:rPr>
          <w:rFonts w:hint="eastAsia" w:ascii="仿宋" w:hAnsi="仿宋" w:eastAsia="仿宋" w:cs="仿宋"/>
          <w:color w:val="auto"/>
          <w:kern w:val="0"/>
          <w:szCs w:val="21"/>
          <w:highlight w:val="none"/>
          <w:lang w:val="zh-CN"/>
        </w:rPr>
        <w:t>15.2 缺陷责任期</w:t>
      </w:r>
      <w:bookmarkEnd w:id="14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15.2.1 缺陷责任期从工程通过竣工验收之日起计算，合同当事人应在专用合同条款约定缺陷责任期的具体期限，但该期限最长不超过24个月。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  </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由他人原因造成的缺陷，发包人负责组织维修，承包人不承担费用，且发包人不得从保证金中扣除费用。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15.2.3 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2" w:name="_Toc24719"/>
      <w:r>
        <w:rPr>
          <w:rFonts w:hint="eastAsia" w:ascii="仿宋" w:hAnsi="仿宋" w:eastAsia="仿宋" w:cs="仿宋"/>
          <w:color w:val="auto"/>
          <w:kern w:val="0"/>
          <w:szCs w:val="21"/>
          <w:highlight w:val="none"/>
          <w:lang w:val="zh-CN"/>
        </w:rPr>
        <w:t>15.3 质量保证金</w:t>
      </w:r>
      <w:bookmarkEnd w:id="14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经合同当事人协商一致扣留质量保证金的，应在专用合同条款中予以明确。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在工程项目竣工前，承包人已经提供履约担保的，发包人不得同时预留工程质量保证金。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15.3.1 承包人提供质量保证金的方式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承包人提供质量保证金有以下三种方式：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（1）质量保证金保函；</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（2）相应比例的工程款；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（3）双方约定的其他方式。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除专用合同条款另有约定外，质量保证金原则上采用上述第（1）种方式。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15.3.2 质量保证金的扣留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质量保证金的扣留有以下三种方式：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（1）在支付工程进度款时逐次扣留，在此情形下，质量保证金的计算基数不包括预付款的支付、扣回以及价格调整的金额；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（2）工程竣工结算时一次性扣留质量保证金；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（3）双方约定的其他扣留方式。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除专用合同条款另有约定外，质量保证金的扣留原则上采用上述第（1）种方式。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 </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发包人在退还质量保证金的同时按照中国人民银行发布的同期同类贷款基准利率支付利息。</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15.3.3质量保证金的退还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缺陷责任期内，承包人认真履行合同约定的责任，到期后，承包人可向发包人申请返还保证金。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 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发包人和承包人对保证金预留、返还以及工程维修质量、费用有争议的，按本合同第20条约定的争议和纠纷解决程序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3" w:name="_Toc16096"/>
      <w:r>
        <w:rPr>
          <w:rFonts w:hint="eastAsia" w:ascii="仿宋" w:hAnsi="仿宋" w:eastAsia="仿宋" w:cs="仿宋"/>
          <w:color w:val="auto"/>
          <w:kern w:val="0"/>
          <w:szCs w:val="21"/>
          <w:highlight w:val="none"/>
          <w:lang w:val="zh-CN"/>
        </w:rPr>
        <w:t>15.4 保修</w:t>
      </w:r>
      <w:bookmarkEnd w:id="14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15.4.1保修责任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发包人未经竣工验收擅自使用工程的，保修期自转移占有之日起算。</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15.4.2 修复费用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保修期内，修复的费用按照以下约定处理：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（1）保修期内，因承包人原因造成工程的缺陷、损坏，承包人应负责修复，并承担修复的费用以及因工程的缺陷、损坏造成的人身伤害和财产损失；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（2）保修期内，因发包人使用不当造成工程的缺陷、损坏，可以委托承包人修复，但发包人应承担修复的费用，并支付承包人合理利润；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15.4.3 修复通知</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15.4.4 未能修复</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15.4.5 承包人出入权</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4" w:name="_Toc689"/>
      <w:r>
        <w:rPr>
          <w:rFonts w:hint="eastAsia" w:ascii="仿宋" w:hAnsi="仿宋" w:eastAsia="仿宋" w:cs="仿宋"/>
          <w:color w:val="auto"/>
          <w:kern w:val="0"/>
          <w:szCs w:val="21"/>
          <w:highlight w:val="none"/>
          <w:lang w:val="zh-CN"/>
        </w:rPr>
        <w:t>16. 违约</w:t>
      </w:r>
      <w:bookmarkEnd w:id="14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5" w:name="_Toc15710"/>
      <w:r>
        <w:rPr>
          <w:rFonts w:hint="eastAsia" w:ascii="仿宋" w:hAnsi="仿宋" w:eastAsia="仿宋" w:cs="仿宋"/>
          <w:color w:val="auto"/>
          <w:kern w:val="0"/>
          <w:szCs w:val="21"/>
          <w:highlight w:val="none"/>
          <w:lang w:val="zh-CN"/>
        </w:rPr>
        <w:t>16.1 发包人违约</w:t>
      </w:r>
      <w:bookmarkEnd w:id="14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16.1.1 发包人违约的情形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在合同履行过程中发生的下列情形，属于发包人违约：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（1）因发包人原因未能在计划开工日期前7天内下达开工通知的；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（2）因发包人原因未能按合同约定支付合同价款的；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（3）发包人违反第10.1款〔变更的范围〕第（2）项约定，自行实施被取消的工作或转由他人实施的；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（4）发包人提供的材料、工程设备的规格、数量或质量不符合合同约定，或因发包人原因导致交货日期延误或交货地点变更等情况的；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（5）因发包人违反合同约定造成暂停施工的；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（6）发包人无正当理由没有在约定期限内发出复工指示，导致承包人无法复工的；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（7）发包人明确表示或者以其行为表明不履行合同主要义务的；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（8）发包人未能按照合同约定履行其他义务的。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16.1.2 发包人违约的责任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发包人应承担因其违约给承包人增加的费用和（或）延误的工期，并支付承包人合理的利润。此外，合同当事人可在专用合同条款中另行约定发包人违约责任的承担方式和计算方法。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16.1.3 因发包人违约解除合同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16.1.4 因发包人违约解除合同后的付款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承包人按照本款约定解除合同的，发包人应在解除合同后28天内支付下列款项，并解除履约担保：</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（1）合同解除前所完成工作的价款；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（2）承包人为工程施工订购并已付款的材料、工程设备和其他物品的价款；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（3）承包人撤离施工现场以及遣散承包人人员的款项；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（4）按照合同约定在合同解除前应支付的违约金；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（5）按照合同约定应当支付给承包人的其他款项；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（6）按照合同约定应退还的质量保证金；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（7）因解除合同给承包人造成的损失。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合同当事人未能就解除合同后的结清达成一致的，按照第20条〔争议解决〕的约定处理。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承包人应妥善做好已完工程和与工程有关的已购材料、工程设备的保护和移交工作，并将施工设备和人员撤出施工现场，发包人应为承包人撤出提供必要条件。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6" w:name="_Toc21418"/>
      <w:r>
        <w:rPr>
          <w:rFonts w:hint="eastAsia" w:ascii="仿宋" w:hAnsi="仿宋" w:eastAsia="仿宋" w:cs="仿宋"/>
          <w:color w:val="auto"/>
          <w:kern w:val="0"/>
          <w:szCs w:val="21"/>
          <w:highlight w:val="none"/>
          <w:lang w:val="zh-CN"/>
        </w:rPr>
        <w:t>16.2 承包人违约</w:t>
      </w:r>
      <w:bookmarkEnd w:id="14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16.2.1 承包人违约的情形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在合同履行过程中发生的下列情形，属于承包人违约：</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（1）承包人违反合同约定进行转包或违法分包的；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（2）承包人违反合同约定采购和使用不合格的材料和工程设备的；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（3）因承包人原因导致工程质量不符合合同要求的；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（4）承包人违反第8.9款〔材料与设备专用要求〕的约定，未经批准，私自将已按照合同约定进入施工现场的材料或设备撤离施工现场的；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（5）承包人未能按施工进度计划及时完成合同约定的工作，造成工期延误的；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（6）承包人在缺陷责任期及保修期内，未能在合理期限对工程缺陷进行修复，或拒绝按发包人要求进行修复的；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（7）承包人明确表示或者以其行为表明不履行合同主要义务的；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（8）承包人未能按照合同约定履行其他义务的。</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承包人发生除本项第（7）目约定以外的其他违约情况时，监理人可向承包人发出整改通知，要求其在指定的期限内改正。</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16.2.2 承包人违约的责任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承包人应承担因其违约行为而增加的费用和（或）延误的工期。此外，合同当事人可在专用合同条款中另行约定承包人违约责任的承担方式和计算方法。</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16.2.3 因承包人违约解除合同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16.2.4因承包人违约解除合同后的处理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因承包人原因导致合同解除的，则合同当事人应在合同解除后28天内完成估价、付款和清算，并按以下约定执行：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（1）合同解除后，按第4.4款〔商定或确定〕商定或确定承包人实际完成工作对应的合同价款，以及承包人已提供的材料、工程设备、施工设备和临时工程等的价值；</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（2）合同解除后，承包人应支付的违约金；</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（3）合同解除后，因解除合同给发包人造成的损失；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（4）合同解除后，承包人应按照发包人要求和监理人的指示完成现场的清理和撤离；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（5）发包人和承包人应在合同解除后进行清算，出具最终结清付款证书，结清全部款项。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因承包人违约解除合同的，发包人有权暂停对承包人的付款，查清各项付款和已扣款项。发包人和承包人未能就合同解除后的清算和款项支付达成一致的，按照第20条〔争议解决〕的约定处理。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16.2.5采购合同权益转让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7" w:name="_Toc29625"/>
      <w:r>
        <w:rPr>
          <w:rFonts w:hint="eastAsia" w:ascii="仿宋" w:hAnsi="仿宋" w:eastAsia="仿宋" w:cs="仿宋"/>
          <w:color w:val="auto"/>
          <w:kern w:val="0"/>
          <w:szCs w:val="21"/>
          <w:highlight w:val="none"/>
          <w:lang w:val="zh-CN"/>
        </w:rPr>
        <w:t>16.3 第三人造成的违约</w:t>
      </w:r>
      <w:bookmarkEnd w:id="14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在履行合同过程中，一方当事人因第三人的原因造成违约的，应当向对方当事人承担违约责任。一方当事人和第三人之间的纠纷，依照法律规定或者按照约定解决。</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8" w:name="_Toc2279"/>
      <w:r>
        <w:rPr>
          <w:rFonts w:hint="eastAsia" w:ascii="仿宋" w:hAnsi="仿宋" w:eastAsia="仿宋" w:cs="仿宋"/>
          <w:color w:val="auto"/>
          <w:kern w:val="0"/>
          <w:szCs w:val="21"/>
          <w:highlight w:val="none"/>
          <w:lang w:val="zh-CN"/>
        </w:rPr>
        <w:t>17. 不可抗力</w:t>
      </w:r>
      <w:bookmarkEnd w:id="14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49" w:name="_Toc20158"/>
      <w:r>
        <w:rPr>
          <w:rFonts w:hint="eastAsia" w:ascii="仿宋" w:hAnsi="仿宋" w:eastAsia="仿宋" w:cs="仿宋"/>
          <w:color w:val="auto"/>
          <w:kern w:val="0"/>
          <w:szCs w:val="21"/>
          <w:highlight w:val="none"/>
          <w:lang w:val="zh-CN"/>
        </w:rPr>
        <w:t>17.1 不可抗力的确认</w:t>
      </w:r>
      <w:bookmarkEnd w:id="14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0" w:name="_Toc31944"/>
      <w:r>
        <w:rPr>
          <w:rFonts w:hint="eastAsia" w:ascii="仿宋" w:hAnsi="仿宋" w:eastAsia="仿宋" w:cs="仿宋"/>
          <w:color w:val="auto"/>
          <w:kern w:val="0"/>
          <w:szCs w:val="21"/>
          <w:highlight w:val="none"/>
          <w:lang w:val="zh-CN"/>
        </w:rPr>
        <w:t>17.2 不可抗力的通知</w:t>
      </w:r>
      <w:bookmarkEnd w:id="15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不可抗力持续发生的，合同一方当事人应及时向合同另一方当事人和监理人提交中间报告，说明不可抗力和履行合同受阻的情况，并于不可抗力事件结束后28天内提交最终报告及有关资料。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1" w:name="_Toc1260"/>
      <w:r>
        <w:rPr>
          <w:rFonts w:hint="eastAsia" w:ascii="仿宋" w:hAnsi="仿宋" w:eastAsia="仿宋" w:cs="仿宋"/>
          <w:color w:val="auto"/>
          <w:kern w:val="0"/>
          <w:szCs w:val="21"/>
          <w:highlight w:val="none"/>
          <w:lang w:val="zh-CN"/>
        </w:rPr>
        <w:t>17.3 不可抗力后果的承担</w:t>
      </w:r>
      <w:bookmarkEnd w:id="15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17.3.1 不可抗力引起的后果及造成的损失由合同当事人按照法律规定及合同约定各自承担。不可抗力发生前已完成的工程应当按照合同约定进行计量支付。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17.3.2 不可抗力导致的人员伤亡、财产损失、费用增加和（或）工期延误等后果，由合同当事人按以下原则承担：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（1）永久工程、已运至施工现场的材料和工程设备的损坏，以及因工程损坏造成的第三人人员伤亡和财产损失由发包人承担；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（2）承包人施工设备的损坏由承包人承担；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（3）发包人和承包人承担各自人员伤亡和财产的损失；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（5）因不可抗力引起或将引起工期延误，发包人要求赶工的，由此增加的赶工费用由发包人承担；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（6）承包人在停工期间按照发包人要求照管、清理和修复工程的费用由发包人承担。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不可抗力发生后，合同当事人均应采取措施尽量避免和减少损失的扩大，任何一方当事人没有采取有效措施导致损失扩大的，应对扩大的损失承担责任。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因合同一方迟延履行合同义务，在迟延履行期间遭遇不可抗力的，不免除其违约责任。</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2" w:name="_Toc17130"/>
      <w:r>
        <w:rPr>
          <w:rFonts w:hint="eastAsia" w:ascii="仿宋" w:hAnsi="仿宋" w:eastAsia="仿宋" w:cs="仿宋"/>
          <w:color w:val="auto"/>
          <w:kern w:val="0"/>
          <w:szCs w:val="21"/>
          <w:highlight w:val="none"/>
          <w:lang w:val="zh-CN"/>
        </w:rPr>
        <w:t>17.4 因不可抗力解除合同</w:t>
      </w:r>
      <w:bookmarkEnd w:id="15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因不可抗力导致合同无法履行连续超过84天或累计超过140天的，发包人和承包人均有权解除合同。合同解除后，由双方当事人按照第4.4款〔商定或确定〕商定或确定发包人应支付的款项，该款项包括：</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（1）合同解除前承包人已完成工作的价款；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（2）承包人为工程订购的并已交付给承包人，或承包人有责任接受交付的材料、工程设备和其他物品的价款；</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（3）发包人要求承包人退货或解除订货合同而产生的费用，或因不能退货或解除合同而产生的损失；</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（4）承包人撤离施工现场以及遣散承包人人员的费用；</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（5）按照合同约定在合同解除前应支付给承包人的其他款项；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（6）扣减承包人按照合同约定应向发包人支付的款项；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（7）双方商定或确定的其他款项。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除专用合同条款另有约定外，合同解除后，发包人应在商定或确定上述款项后28天内完成上述款项的支付。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3" w:name="_Toc7711"/>
      <w:r>
        <w:rPr>
          <w:rFonts w:hint="eastAsia" w:ascii="仿宋" w:hAnsi="仿宋" w:eastAsia="仿宋" w:cs="仿宋"/>
          <w:color w:val="auto"/>
          <w:kern w:val="0"/>
          <w:szCs w:val="21"/>
          <w:highlight w:val="none"/>
          <w:lang w:val="zh-CN"/>
        </w:rPr>
        <w:t>18. 保险</w:t>
      </w:r>
      <w:bookmarkEnd w:id="15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4" w:name="_Toc2444"/>
      <w:r>
        <w:rPr>
          <w:rFonts w:hint="eastAsia" w:ascii="仿宋" w:hAnsi="仿宋" w:eastAsia="仿宋" w:cs="仿宋"/>
          <w:color w:val="auto"/>
          <w:kern w:val="0"/>
          <w:szCs w:val="21"/>
          <w:highlight w:val="none"/>
          <w:lang w:val="zh-CN"/>
        </w:rPr>
        <w:t>18.1 工程保险</w:t>
      </w:r>
      <w:bookmarkEnd w:id="15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除专用合同条款另有约定外，发包人应投保建筑工程一切险或安装工程一切险；发包人委托承包人投保的，因投保产生的保险费和其他相关费用由发包人承担。</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5" w:name="_Toc16532"/>
      <w:r>
        <w:rPr>
          <w:rFonts w:hint="eastAsia" w:ascii="仿宋" w:hAnsi="仿宋" w:eastAsia="仿宋" w:cs="仿宋"/>
          <w:color w:val="auto"/>
          <w:kern w:val="0"/>
          <w:szCs w:val="21"/>
          <w:highlight w:val="none"/>
          <w:lang w:val="zh-CN"/>
        </w:rPr>
        <w:t>18.2 工伤保险</w:t>
      </w:r>
      <w:bookmarkEnd w:id="15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18.2.1 发包人应依照法律规定参加工伤保险，并为在施工现场的全部员工办理工伤保险，缴纳工伤保险费，并要求监理人及由发包人为履行合同聘请的第三方依法参加工伤保险。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18.2.2 承包人应依照法律规定参加工伤保险，并为其履行合同的全部员工办理工伤保险，缴纳工伤保险费，并要求分包人及由承包人为履行合同聘请的第三方依法参加工伤保险。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6" w:name="_Toc15555"/>
      <w:r>
        <w:rPr>
          <w:rFonts w:hint="eastAsia" w:ascii="仿宋" w:hAnsi="仿宋" w:eastAsia="仿宋" w:cs="仿宋"/>
          <w:color w:val="auto"/>
          <w:kern w:val="0"/>
          <w:szCs w:val="21"/>
          <w:highlight w:val="none"/>
          <w:lang w:val="zh-CN"/>
        </w:rPr>
        <w:t>18.3其他保险</w:t>
      </w:r>
      <w:bookmarkEnd w:id="15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发包人和承包人可以为其施工现场的全部人员办理意外伤害保险并支付保险费，包括其员工及为履行合同聘请的第三方的人员，具体事项由合同当事人在专用合同条款约定。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除专用合同条款另有约定外，承包人应为其施工设备等办理财产保险。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7" w:name="_Toc29201"/>
      <w:r>
        <w:rPr>
          <w:rFonts w:hint="eastAsia" w:ascii="仿宋" w:hAnsi="仿宋" w:eastAsia="仿宋" w:cs="仿宋"/>
          <w:color w:val="auto"/>
          <w:kern w:val="0"/>
          <w:szCs w:val="21"/>
          <w:highlight w:val="none"/>
          <w:lang w:val="zh-CN"/>
        </w:rPr>
        <w:t>18.4持续保险</w:t>
      </w:r>
      <w:bookmarkEnd w:id="15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合同当事人应与保险人保持联系，使保险人能够随时了解工程实施中的变动，并确保按保险合同条款要求持续保险。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8" w:name="_Toc27531"/>
      <w:r>
        <w:rPr>
          <w:rFonts w:hint="eastAsia" w:ascii="仿宋" w:hAnsi="仿宋" w:eastAsia="仿宋" w:cs="仿宋"/>
          <w:color w:val="auto"/>
          <w:kern w:val="0"/>
          <w:szCs w:val="21"/>
          <w:highlight w:val="none"/>
          <w:lang w:val="zh-CN"/>
        </w:rPr>
        <w:t>18.5 保险凭证</w:t>
      </w:r>
      <w:bookmarkEnd w:id="15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合同当事人应及时向另一方当事人提交其已投保的各项保险的凭证和保险单复印件。</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59" w:name="_Toc11804"/>
      <w:r>
        <w:rPr>
          <w:rFonts w:hint="eastAsia" w:ascii="仿宋" w:hAnsi="仿宋" w:eastAsia="仿宋" w:cs="仿宋"/>
          <w:color w:val="auto"/>
          <w:kern w:val="0"/>
          <w:szCs w:val="21"/>
          <w:highlight w:val="none"/>
          <w:lang w:val="zh-CN"/>
        </w:rPr>
        <w:t>18.6 未按约定投保的补救</w:t>
      </w:r>
      <w:bookmarkEnd w:id="15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18.6.1发包人未按合同约定办理保险，或未能使保险持续有效的，则承包人可代为办理，所需费用由发包人承担。发包人未按合同约定办理保险，导致未能得到足额赔偿的，由发包人负责补足。</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18.6.2承包人未按合同约定办理保险，或未能使保险持续有效的，则发包人可代为办理，所需费用由承包人承担。承包人未按合同约定办理保险，导致未能得到足额赔偿的，由承包人负责补足。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0" w:name="_Toc10199"/>
      <w:r>
        <w:rPr>
          <w:rFonts w:hint="eastAsia" w:ascii="仿宋" w:hAnsi="仿宋" w:eastAsia="仿宋" w:cs="仿宋"/>
          <w:color w:val="auto"/>
          <w:kern w:val="0"/>
          <w:szCs w:val="21"/>
          <w:highlight w:val="none"/>
          <w:lang w:val="zh-CN"/>
        </w:rPr>
        <w:t>18.7 通知义务</w:t>
      </w:r>
      <w:bookmarkEnd w:id="16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除专用合同条款另有约定外，发包人变更除工伤保险之外的保险合同时，应事先征得承包人同意，并通知监理人；承包人变更除工伤保险之外的保险合同时，应事先征得发包人同意，并通知监理人。</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保险事故发生时，投保人应按照保险合同规定的条件和期限及时向保险人报告。发包人和承包人应当在知道保险事故发生后及时通知对方。</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1" w:name="_Toc19214"/>
      <w:r>
        <w:rPr>
          <w:rFonts w:hint="eastAsia" w:ascii="仿宋" w:hAnsi="仿宋" w:eastAsia="仿宋" w:cs="仿宋"/>
          <w:color w:val="auto"/>
          <w:kern w:val="0"/>
          <w:szCs w:val="21"/>
          <w:highlight w:val="none"/>
          <w:lang w:val="zh-CN"/>
        </w:rPr>
        <w:t>19. 索赔</w:t>
      </w:r>
      <w:bookmarkEnd w:id="16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2" w:name="_Toc29219"/>
      <w:r>
        <w:rPr>
          <w:rFonts w:hint="eastAsia" w:ascii="仿宋" w:hAnsi="仿宋" w:eastAsia="仿宋" w:cs="仿宋"/>
          <w:color w:val="auto"/>
          <w:kern w:val="0"/>
          <w:szCs w:val="21"/>
          <w:highlight w:val="none"/>
          <w:lang w:val="zh-CN"/>
        </w:rPr>
        <w:t>19.1承包人的索赔</w:t>
      </w:r>
      <w:bookmarkEnd w:id="16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根据合同约定，承包人认为有权得到追加付款和（或）延长工期的，应按以下程序向发包人提出索赔：</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（2）承包人应在发出索赔意向通知书后28天内，向监理人正式递交索赔报告；索赔报告应详细说明索赔理由以及要求追加的付款金额和（或）延长的工期，并附必要的记录和证明材料；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（3）索赔事件具有持续影响的，承包人应按合理时间间隔继续递交延续索赔通知，说明持续影响的实际情况和记录，列出累计的追加付款金额和（或）工期延长天数；</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（4）在索赔事件影响结束后28天内，承包人应向监理人递交最终索赔报告，说明最终要求索赔的追加付款金额和（或）延长的工期，并附必要的记录和证明材料。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3" w:name="_Toc17640"/>
      <w:r>
        <w:rPr>
          <w:rFonts w:hint="eastAsia" w:ascii="仿宋" w:hAnsi="仿宋" w:eastAsia="仿宋" w:cs="仿宋"/>
          <w:color w:val="auto"/>
          <w:kern w:val="0"/>
          <w:szCs w:val="21"/>
          <w:highlight w:val="none"/>
          <w:lang w:val="zh-CN"/>
        </w:rPr>
        <w:t>19.2 对承包人索赔的处理</w:t>
      </w:r>
      <w:bookmarkEnd w:id="163"/>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对承包人索赔的处理如下：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（1）监理人应在收到索赔报告后14天内完成审查并报送发包人。监理人对索赔报告存在异议的，有权要求承包人提交全部原始记录副本；</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（2）发包人应在监理人收到索赔报告或有关索赔的进一步证明材料后的28天内，由监理人向承包人出具经发包人签认的索赔处理结果。发包人逾期答复的，则视为认可承包人的索赔要求；</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（3）承包人接受索赔处理结果的，索赔款项在当期进度款中进行支付；承包人不接受索赔处理结果的，按照第20条〔争议解决〕约定处理。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4" w:name="_Toc17913"/>
      <w:r>
        <w:rPr>
          <w:rFonts w:hint="eastAsia" w:ascii="仿宋" w:hAnsi="仿宋" w:eastAsia="仿宋" w:cs="仿宋"/>
          <w:color w:val="auto"/>
          <w:kern w:val="0"/>
          <w:szCs w:val="21"/>
          <w:highlight w:val="none"/>
          <w:lang w:val="zh-CN"/>
        </w:rPr>
        <w:t>19.3发包人的索赔</w:t>
      </w:r>
      <w:bookmarkEnd w:id="164"/>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根据合同约定，发包人认为有权得到赔付金额和（或）延长缺陷责任期的，监理人应向承包人发出通知并附有详细的证明。</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5" w:name="_Toc8792"/>
      <w:r>
        <w:rPr>
          <w:rFonts w:hint="eastAsia" w:ascii="仿宋" w:hAnsi="仿宋" w:eastAsia="仿宋" w:cs="仿宋"/>
          <w:color w:val="auto"/>
          <w:kern w:val="0"/>
          <w:szCs w:val="21"/>
          <w:highlight w:val="none"/>
          <w:lang w:val="zh-CN"/>
        </w:rPr>
        <w:t>19.4 对发包人索赔的处理</w:t>
      </w:r>
      <w:bookmarkEnd w:id="165"/>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对发包人索赔的处理如下：</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（1）承包人收到发包人提交的索赔报告后，应及时审查索赔报告的内容、查验发包人证明材料；</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（2）承包人应在收到索赔报告或有关索赔的进一步证明材料后28天内，将索赔处理结果答复发包人。如果承包人未在上述期限内作出答复的，则视为对发包人索赔要求的认可；</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（3）承包人接受索赔处理结果的，发包人可从应支付给承包人的合同价款中扣除赔付的金额或延长缺陷责任期；发包人不接受索赔处理结果的，按第20条〔争议解决〕约定处理。</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6" w:name="_Toc19317"/>
      <w:r>
        <w:rPr>
          <w:rFonts w:hint="eastAsia" w:ascii="仿宋" w:hAnsi="仿宋" w:eastAsia="仿宋" w:cs="仿宋"/>
          <w:color w:val="auto"/>
          <w:kern w:val="0"/>
          <w:szCs w:val="21"/>
          <w:highlight w:val="none"/>
          <w:lang w:val="zh-CN"/>
        </w:rPr>
        <w:t>19.5 提出索赔的期限</w:t>
      </w:r>
      <w:bookmarkEnd w:id="166"/>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（1）承包人按第14.2款〔竣工结算审核〕约定接收竣工付款证书后，应被视为已无权再提出在工程接收证书颁发前所发生的任何索赔。</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（2）承包人按第14.4款〔最终结清〕提交的最终结清申请单中，只限于提出工程接收证书颁发后发生的索赔。提出索赔的期限自接受最终结清证书时终止。</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7" w:name="_Toc16034"/>
      <w:r>
        <w:rPr>
          <w:rFonts w:hint="eastAsia" w:ascii="仿宋" w:hAnsi="仿宋" w:eastAsia="仿宋" w:cs="仿宋"/>
          <w:color w:val="auto"/>
          <w:kern w:val="0"/>
          <w:szCs w:val="21"/>
          <w:highlight w:val="none"/>
          <w:lang w:val="zh-CN"/>
        </w:rPr>
        <w:t>20. 争议解决</w:t>
      </w:r>
      <w:bookmarkEnd w:id="167"/>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8" w:name="_Toc24057"/>
      <w:r>
        <w:rPr>
          <w:rFonts w:hint="eastAsia" w:ascii="仿宋" w:hAnsi="仿宋" w:eastAsia="仿宋" w:cs="仿宋"/>
          <w:color w:val="auto"/>
          <w:kern w:val="0"/>
          <w:szCs w:val="21"/>
          <w:highlight w:val="none"/>
          <w:lang w:val="zh-CN"/>
        </w:rPr>
        <w:t>20.1和解</w:t>
      </w:r>
      <w:bookmarkEnd w:id="168"/>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合同当事人可以就争议自行和解，自行和解达成协议的经双方签字并盖章后作为合同补充文件，双方均应遵照执行。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69" w:name="_Toc2063"/>
      <w:r>
        <w:rPr>
          <w:rFonts w:hint="eastAsia" w:ascii="仿宋" w:hAnsi="仿宋" w:eastAsia="仿宋" w:cs="仿宋"/>
          <w:color w:val="auto"/>
          <w:kern w:val="0"/>
          <w:szCs w:val="21"/>
          <w:highlight w:val="none"/>
          <w:lang w:val="zh-CN"/>
        </w:rPr>
        <w:t>20.2调解</w:t>
      </w:r>
      <w:bookmarkEnd w:id="169"/>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合同当事人可以就争议请求建设行政主管部门、行业协会或其他第三方进行调解，调解达成协议的，经双方签字并盖章后作为合同补充文件，双方均应遵照执行。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70" w:name="_Toc22897"/>
      <w:r>
        <w:rPr>
          <w:rFonts w:hint="eastAsia" w:ascii="仿宋" w:hAnsi="仿宋" w:eastAsia="仿宋" w:cs="仿宋"/>
          <w:color w:val="auto"/>
          <w:kern w:val="0"/>
          <w:szCs w:val="21"/>
          <w:highlight w:val="none"/>
          <w:lang w:val="zh-CN"/>
        </w:rPr>
        <w:t>20.3争议评审</w:t>
      </w:r>
      <w:bookmarkEnd w:id="170"/>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合同当事人在专用合同条款中约定采取争议评审方式解决争议以及评审规则，并按下列约定执行：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20.3.1 争议磋商小组的确定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合同当事人可以共同选择一名或三名争议评审员，组成争议磋商小组。除专用合同条款另有约定外，合同当事人应当自合同签订后28天内，或者争议发生后14天内，选定争议评审员。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除专用合同条款另有约定外，评审员报酬由发包人和承包人各承担一半。</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20.3.2 争议磋商小组的决定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当事人可在任何时间将与合同有关的任何争议共同提请争议磋商小组进行评审。争议磋商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20.3.3 争议磋商小组决定的效力</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争议磋商小组作出的书面决定经合同当事人签字确认后，对双方具有约束力，双方应遵照执行。</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任何一方当事人不接受争议磋商小组决定或不履行争议磋商小组决定的，双方可选择采用其他争议解决方式。</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71" w:name="_Toc32398"/>
      <w:r>
        <w:rPr>
          <w:rFonts w:hint="eastAsia" w:ascii="仿宋" w:hAnsi="仿宋" w:eastAsia="仿宋" w:cs="仿宋"/>
          <w:color w:val="auto"/>
          <w:kern w:val="0"/>
          <w:szCs w:val="21"/>
          <w:highlight w:val="none"/>
          <w:lang w:val="zh-CN"/>
        </w:rPr>
        <w:t>20.4仲裁或诉讼</w:t>
      </w:r>
      <w:bookmarkEnd w:id="171"/>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因合同及合同有关事项产生的争议，合同当事人可以在专用合同条款中约定以下一种方式解决争议：</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（1）向约定的仲裁委员会申请仲裁；</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（2）向有管辖权的人民法院起诉。</w:t>
      </w:r>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bookmarkStart w:id="172" w:name="_Toc27356"/>
      <w:r>
        <w:rPr>
          <w:rFonts w:hint="eastAsia" w:ascii="仿宋" w:hAnsi="仿宋" w:eastAsia="仿宋" w:cs="仿宋"/>
          <w:color w:val="auto"/>
          <w:kern w:val="0"/>
          <w:szCs w:val="21"/>
          <w:highlight w:val="none"/>
          <w:lang w:val="zh-CN"/>
        </w:rPr>
        <w:t>20.5争议解决条款效力</w:t>
      </w:r>
      <w:bookmarkEnd w:id="172"/>
    </w:p>
    <w:p>
      <w:pPr>
        <w:adjustRightInd w:val="0"/>
        <w:snapToGrid w:val="0"/>
        <w:spacing w:line="360" w:lineRule="auto"/>
        <w:ind w:firstLine="420" w:firstLineChars="200"/>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合同有关争议解决的条款独立存在，合同的变更、解除、终止、无效或者被撤销均不影响其效力。</w:t>
      </w:r>
    </w:p>
    <w:p>
      <w:pPr>
        <w:adjustRightInd w:val="0"/>
        <w:snapToGrid w:val="0"/>
        <w:spacing w:line="360" w:lineRule="auto"/>
        <w:ind w:firstLine="420" w:firstLineChars="200"/>
        <w:rPr>
          <w:rFonts w:hint="eastAsia" w:ascii="仿宋" w:hAnsi="仿宋" w:eastAsia="仿宋" w:cs="仿宋"/>
          <w:color w:val="auto"/>
          <w:kern w:val="0"/>
          <w:szCs w:val="21"/>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ind w:firstLine="420"/>
        <w:rPr>
          <w:rFonts w:hint="eastAsia" w:ascii="仿宋" w:hAnsi="仿宋" w:eastAsia="仿宋" w:cs="仿宋"/>
          <w:color w:val="auto"/>
          <w:highlight w:val="none"/>
        </w:rPr>
      </w:pPr>
    </w:p>
    <w:p>
      <w:pPr>
        <w:autoSpaceDE w:val="0"/>
        <w:autoSpaceDN w:val="0"/>
        <w:adjustRightInd w:val="0"/>
        <w:jc w:val="center"/>
        <w:rPr>
          <w:rFonts w:hint="eastAsia" w:ascii="仿宋" w:hAnsi="仿宋" w:eastAsia="仿宋" w:cs="仿宋"/>
          <w:color w:val="auto"/>
          <w:kern w:val="0"/>
          <w:sz w:val="28"/>
          <w:szCs w:val="28"/>
          <w:highlight w:val="none"/>
        </w:rPr>
      </w:pPr>
    </w:p>
    <w:p>
      <w:pPr>
        <w:rPr>
          <w:rFonts w:hint="eastAsia" w:ascii="仿宋" w:hAnsi="仿宋" w:eastAsia="仿宋" w:cs="仿宋"/>
          <w:bCs/>
          <w:color w:val="auto"/>
          <w:kern w:val="2"/>
          <w:sz w:val="28"/>
          <w:szCs w:val="28"/>
          <w:highlight w:val="none"/>
          <w:lang w:val="zh-CN"/>
        </w:rPr>
      </w:pPr>
      <w:bookmarkStart w:id="173" w:name="_Toc28539"/>
      <w:r>
        <w:rPr>
          <w:rFonts w:hint="eastAsia" w:ascii="仿宋" w:hAnsi="仿宋" w:eastAsia="仿宋" w:cs="仿宋"/>
          <w:bCs/>
          <w:color w:val="auto"/>
          <w:kern w:val="2"/>
          <w:sz w:val="28"/>
          <w:szCs w:val="28"/>
          <w:highlight w:val="none"/>
          <w:lang w:val="zh-CN"/>
        </w:rPr>
        <w:br w:type="page"/>
      </w:r>
    </w:p>
    <w:p>
      <w:pPr>
        <w:pStyle w:val="3"/>
        <w:numPr>
          <w:ilvl w:val="0"/>
          <w:numId w:val="0"/>
        </w:numPr>
        <w:snapToGrid/>
        <w:spacing w:line="320" w:lineRule="exact"/>
        <w:ind w:firstLine="2811" w:firstLineChars="1000"/>
        <w:jc w:val="both"/>
        <w:rPr>
          <w:rFonts w:hint="eastAsia" w:ascii="仿宋" w:hAnsi="仿宋" w:eastAsia="仿宋" w:cs="仿宋"/>
          <w:color w:val="auto"/>
          <w:sz w:val="24"/>
          <w:szCs w:val="24"/>
          <w:highlight w:val="none"/>
        </w:rPr>
      </w:pPr>
      <w:r>
        <w:rPr>
          <w:rFonts w:hint="eastAsia" w:ascii="仿宋" w:hAnsi="仿宋" w:eastAsia="仿宋" w:cs="仿宋"/>
          <w:bCs/>
          <w:color w:val="auto"/>
          <w:kern w:val="2"/>
          <w:sz w:val="28"/>
          <w:szCs w:val="28"/>
          <w:highlight w:val="none"/>
          <w:lang w:val="zh-CN"/>
        </w:rPr>
        <w:t>第三部分 专用合同条款</w:t>
      </w:r>
      <w:bookmarkEnd w:id="173"/>
    </w:p>
    <w:p>
      <w:pPr>
        <w:pStyle w:val="6"/>
        <w:numPr>
          <w:ilvl w:val="0"/>
          <w:numId w:val="0"/>
        </w:numPr>
        <w:autoSpaceDN w:val="0"/>
        <w:spacing w:before="0" w:after="0" w:line="300" w:lineRule="auto"/>
        <w:ind w:firstLine="200"/>
        <w:jc w:val="both"/>
        <w:rPr>
          <w:rFonts w:hint="eastAsia" w:ascii="仿宋" w:hAnsi="仿宋" w:eastAsia="仿宋" w:cs="仿宋"/>
          <w:color w:val="auto"/>
          <w:sz w:val="21"/>
          <w:szCs w:val="21"/>
          <w:highlight w:val="none"/>
        </w:rPr>
      </w:pPr>
      <w:bookmarkStart w:id="174" w:name="_Toc351203633"/>
      <w:bookmarkEnd w:id="174"/>
      <w:r>
        <w:rPr>
          <w:rFonts w:hint="eastAsia" w:ascii="仿宋" w:hAnsi="仿宋" w:eastAsia="仿宋" w:cs="仿宋"/>
          <w:b w:val="0"/>
          <w:bCs/>
          <w:color w:val="auto"/>
          <w:sz w:val="21"/>
          <w:szCs w:val="21"/>
          <w:highlight w:val="none"/>
        </w:rPr>
        <w:t>1. 一般约定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 词语定义</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1.1.1.10其他合同文件包括：</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1.1.1.10其他合同文件包括：</w:t>
      </w:r>
      <w:r>
        <w:rPr>
          <w:rFonts w:hint="eastAsia" w:ascii="仿宋" w:hAnsi="仿宋" w:eastAsia="仿宋" w:cs="仿宋"/>
          <w:color w:val="auto"/>
          <w:szCs w:val="21"/>
          <w:highlight w:val="none"/>
          <w:u w:val="single"/>
        </w:rPr>
        <w:t>(1)合同协议书；(2)中标通知书；(3)本工程施工</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（含</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附件、</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补充）；(4)投标书及其附件（含承包人在评标期间递交和确认并经业主同意的对有关问题的补充资料和澄清文件等）；(5)合同专用条款（含数据表和</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补充答疑书中与此有关的部分）；(6)合同通用条款；(7)标准、规范及有关技术文件（含</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补充答疑书中与此有关的部分）；(8)图纸（含</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答疑书中与此有关的部分）；(9)工程量清单；(10)工程报价书。双方有关工程的洽谈、变更等书面协议或文件均视为本合同的组成部分。合同协议书中约定采用总价合同形式的，已标价工程量清单中的各项工程量对合同双方不具合同约束力。图纸与技术标准和要求之间有矛盾或者不一致的，以其中要求较严格的标准为准。合同双方在合同履行过程中签订的补充协议亦构成合同文件的组成部分。</w:t>
      </w: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 合同当事人及其他相关方</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1.1.2.4监理人：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 xml:space="preserve">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资质类别和等级：</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1.1.2.5 设计人：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资质类别和等级：</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color w:val="auto"/>
          <w:szCs w:val="21"/>
          <w:highlight w:val="none"/>
          <w:u w:val="single"/>
        </w:rPr>
        <w:t xml:space="preserve">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工程和设备</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1.1.3.7 作为施工现场组成部分的其他场所包括：</w:t>
      </w:r>
      <w:r>
        <w:rPr>
          <w:rFonts w:hint="eastAsia" w:ascii="仿宋" w:hAnsi="仿宋" w:eastAsia="仿宋" w:cs="仿宋"/>
          <w:color w:val="auto"/>
          <w:szCs w:val="21"/>
          <w:highlight w:val="none"/>
          <w:u w:val="single"/>
        </w:rPr>
        <w:t>施工所必需的临时设施</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1.1.3.9 永久占地包括：</w:t>
      </w:r>
      <w:r>
        <w:rPr>
          <w:rFonts w:hint="eastAsia" w:ascii="仿宋" w:hAnsi="仿宋" w:eastAsia="仿宋" w:cs="仿宋"/>
          <w:color w:val="auto"/>
          <w:szCs w:val="21"/>
          <w:highlight w:val="none"/>
          <w:u w:val="single"/>
        </w:rPr>
        <w:t>经许可，实施合同工程需永久占用的土地</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1.1.3.10 临时占地包括：</w:t>
      </w:r>
      <w:r>
        <w:rPr>
          <w:rFonts w:hint="eastAsia" w:ascii="仿宋" w:hAnsi="仿宋" w:eastAsia="仿宋" w:cs="仿宋"/>
          <w:color w:val="auto"/>
          <w:szCs w:val="21"/>
          <w:highlight w:val="none"/>
          <w:u w:val="single"/>
        </w:rPr>
        <w:t>经许可，实施合同工程需永久占用的土地</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1.3法律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适用于合同的其他规范性文件：</w:t>
      </w:r>
      <w:r>
        <w:rPr>
          <w:rFonts w:hint="eastAsia" w:ascii="仿宋" w:hAnsi="仿宋" w:eastAsia="仿宋" w:cs="仿宋"/>
          <w:color w:val="auto"/>
          <w:szCs w:val="21"/>
          <w:highlight w:val="none"/>
          <w:u w:val="single"/>
        </w:rPr>
        <w:t>《中华人民共和国民法典》、《中华人民共和国建筑法》、《中华人民共和国招标投标法》、《建设工程质量管理条例》、《建设工程安全生产管理条例》等国家现行法律及自治区现行地方法规</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 标准和规范</w:t>
      </w:r>
    </w:p>
    <w:p>
      <w:pPr>
        <w:spacing w:line="300" w:lineRule="auto"/>
        <w:ind w:firstLine="42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1.4.1适用于工程的标准规范包括：</w:t>
      </w:r>
      <w:r>
        <w:rPr>
          <w:rFonts w:hint="eastAsia" w:ascii="仿宋" w:hAnsi="仿宋" w:eastAsia="仿宋" w:cs="仿宋"/>
          <w:color w:val="auto"/>
          <w:szCs w:val="21"/>
          <w:highlight w:val="none"/>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新建标【2018】6号、新建标【2019】4号等文件有关规定执行，计税方式为增值税销项税。地方标准有高于或严于现行国家、部、行业标准的，承包人应熟悉并遵守。</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 发包人提供国外标准、规范的名称</w:t>
      </w:r>
      <w:r>
        <w:rPr>
          <w:rFonts w:hint="eastAsia" w:ascii="仿宋" w:hAnsi="仿宋" w:eastAsia="仿宋" w:cs="仿宋"/>
          <w:color w:val="auto"/>
          <w:szCs w:val="21"/>
          <w:highlight w:val="none"/>
          <w:u w:val="single"/>
        </w:rPr>
        <w:t>：</w:t>
      </w:r>
      <w:bookmarkStart w:id="175" w:name="D2国内没有相应标准规范时的约定"/>
      <w:r>
        <w:rPr>
          <w:rFonts w:hint="eastAsia" w:ascii="仿宋" w:hAnsi="仿宋" w:eastAsia="仿宋" w:cs="仿宋"/>
          <w:color w:val="auto"/>
          <w:szCs w:val="21"/>
          <w:highlight w:val="none"/>
          <w:u w:val="single"/>
        </w:rPr>
        <w:t>按发包人指定的所在省区内已建工程的验收标准和规范</w:t>
      </w:r>
      <w:bookmarkEnd w:id="175"/>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发包人提供国外标准、规范的份数：</w:t>
      </w:r>
      <w:r>
        <w:rPr>
          <w:rFonts w:hint="eastAsia" w:ascii="仿宋" w:hAnsi="仿宋" w:eastAsia="仿宋" w:cs="仿宋"/>
          <w:color w:val="auto"/>
          <w:kern w:val="0"/>
          <w:sz w:val="24"/>
          <w:highlight w:val="none"/>
          <w:u w:val="single"/>
        </w:rPr>
        <w:t>/</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发包人提供国外标准、规范的名称：</w:t>
      </w:r>
      <w:r>
        <w:rPr>
          <w:rFonts w:hint="eastAsia" w:ascii="仿宋" w:hAnsi="仿宋" w:eastAsia="仿宋" w:cs="仿宋"/>
          <w:color w:val="auto"/>
          <w:kern w:val="0"/>
          <w:sz w:val="24"/>
          <w:highlight w:val="none"/>
          <w:u w:val="singl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autoSpaceDN w:val="0"/>
        <w:spacing w:line="30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1.4.3发包人对工程的技术标准和功能要求的特殊要求：</w:t>
      </w:r>
      <w:r>
        <w:rPr>
          <w:rFonts w:hint="eastAsia" w:ascii="仿宋" w:hAnsi="仿宋" w:eastAsia="仿宋" w:cs="仿宋"/>
          <w:color w:val="auto"/>
          <w:szCs w:val="21"/>
          <w:highlight w:val="none"/>
          <w:u w:val="single"/>
        </w:rPr>
        <w:t>按合同约定执行</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 合同文件的优先顺序</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合同文件组成及优先顺序为：</w:t>
      </w:r>
      <w:r>
        <w:rPr>
          <w:rFonts w:hint="eastAsia" w:ascii="仿宋" w:hAnsi="仿宋" w:eastAsia="仿宋" w:cs="仿宋"/>
          <w:color w:val="auto"/>
          <w:szCs w:val="21"/>
          <w:highlight w:val="none"/>
          <w:u w:val="single"/>
        </w:rPr>
        <w:t>(1)合同协议书；(2)中标通知书；(3)合同专用条款（含数据表和</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补充答疑书中与此有关的部分）；(4)合同通用条款；(5)本工程施工</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（含</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附件、</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补充）；(6)投标书及其附件（含承包人在评标期间递交和确认并经业主同意的对有关问题的补充资料和澄清文件等）；(7)标准、规范及有关技术文件（含</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补充答疑书中与此有关的部分）；(8)图纸（含</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补充答疑书中与此有关的部分）；(9)工程量清单；(10)工程报价书。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若合同协议书中约定采用单价合同形式的，已标价工程量清单中的各项工程量对合同双方不具合同约束力。</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 图纸和承包人文件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 图纸的提供</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发包人向承包人提供图纸的期限：</w:t>
      </w:r>
      <w:r>
        <w:rPr>
          <w:rFonts w:hint="eastAsia" w:ascii="仿宋" w:hAnsi="仿宋" w:eastAsia="仿宋" w:cs="仿宋"/>
          <w:color w:val="auto"/>
          <w:szCs w:val="21"/>
          <w:highlight w:val="none"/>
          <w:u w:val="single"/>
        </w:rPr>
        <w:t>开工前7日向承包人提供加盖有效印章的全套图纸</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发包人向承包人提供图纸的数量：</w:t>
      </w:r>
      <w:r>
        <w:rPr>
          <w:rFonts w:hint="eastAsia" w:ascii="仿宋" w:hAnsi="仿宋" w:eastAsia="仿宋" w:cs="仿宋"/>
          <w:color w:val="auto"/>
          <w:szCs w:val="21"/>
          <w:highlight w:val="none"/>
          <w:u w:val="single"/>
        </w:rPr>
        <w:t>3套</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发包人向承包人提供图纸的内容：</w:t>
      </w:r>
      <w:r>
        <w:rPr>
          <w:rFonts w:hint="eastAsia" w:ascii="仿宋" w:hAnsi="仿宋" w:eastAsia="仿宋" w:cs="仿宋"/>
          <w:color w:val="auto"/>
          <w:szCs w:val="21"/>
          <w:highlight w:val="none"/>
          <w:u w:val="single"/>
        </w:rPr>
        <w:t>提供加盖有效印章的全套图纸</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1.6.4 承包人文件</w:t>
      </w:r>
    </w:p>
    <w:p>
      <w:pPr>
        <w:autoSpaceDN w:val="0"/>
        <w:spacing w:line="300" w:lineRule="auto"/>
        <w:ind w:left="218" w:leftChars="100" w:hanging="8" w:hangingChars="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需要由承包人提供的文件，包括：</w:t>
      </w:r>
      <w:r>
        <w:rPr>
          <w:rFonts w:hint="eastAsia" w:ascii="仿宋" w:hAnsi="仿宋" w:eastAsia="仿宋" w:cs="仿宋"/>
          <w:color w:val="auto"/>
          <w:szCs w:val="21"/>
          <w:highlight w:val="none"/>
          <w:u w:val="single"/>
        </w:rPr>
        <w:t>开工报告、施工组织设计、专项施工方案、进度报表及有关现场资料、经济签证、设计变更、竣工验收图纸、工程量清单；以及为满足竣工验收需要的全部资料。</w:t>
      </w:r>
    </w:p>
    <w:p>
      <w:pPr>
        <w:autoSpaceDN w:val="0"/>
        <w:spacing w:line="300" w:lineRule="auto"/>
        <w:ind w:left="218" w:leftChars="100" w:hanging="8" w:hangingChars="4"/>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承包人提供的文件的期限为：</w:t>
      </w:r>
      <w:r>
        <w:rPr>
          <w:rFonts w:hint="eastAsia" w:ascii="仿宋" w:hAnsi="仿宋" w:eastAsia="仿宋" w:cs="仿宋"/>
          <w:color w:val="auto"/>
          <w:szCs w:val="21"/>
          <w:highlight w:val="none"/>
          <w:u w:val="single"/>
        </w:rPr>
        <w:t>开工报告、施工组织设计、专项施工方案、进度报表需在开工7日前提供。经济签证、设计变更、竣工验收图纸、工程量清单以及为满足竣工验收需要的全部资料在竣工验收后15日内提供；</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承包人提供的文件的数量为：</w:t>
      </w:r>
      <w:r>
        <w:rPr>
          <w:rFonts w:hint="eastAsia" w:ascii="仿宋" w:hAnsi="仿宋" w:eastAsia="仿宋" w:cs="仿宋"/>
          <w:color w:val="auto"/>
          <w:szCs w:val="21"/>
          <w:highlight w:val="none"/>
          <w:u w:val="single"/>
        </w:rPr>
        <w:t>一式五份</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承包人提供的文件的形式为：</w:t>
      </w:r>
      <w:r>
        <w:rPr>
          <w:rFonts w:hint="eastAsia" w:ascii="仿宋" w:hAnsi="仿宋" w:eastAsia="仿宋" w:cs="仿宋"/>
          <w:color w:val="auto"/>
          <w:szCs w:val="21"/>
          <w:highlight w:val="none"/>
          <w:u w:val="single"/>
        </w:rPr>
        <w:t>需提交纸质版文件及电子版文件</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发包人审批承包人文件的期限：</w:t>
      </w:r>
      <w:r>
        <w:rPr>
          <w:rFonts w:hint="eastAsia" w:ascii="仿宋" w:hAnsi="仿宋" w:eastAsia="仿宋" w:cs="仿宋"/>
          <w:color w:val="auto"/>
          <w:szCs w:val="21"/>
          <w:highlight w:val="none"/>
          <w:u w:val="single"/>
        </w:rPr>
        <w:t>收到文件起七日内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1.6.5 现场图纸准备</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关于现场图纸准备的约定：</w:t>
      </w:r>
      <w:r>
        <w:rPr>
          <w:rFonts w:hint="eastAsia" w:ascii="仿宋" w:hAnsi="仿宋" w:eastAsia="仿宋" w:cs="仿宋"/>
          <w:color w:val="auto"/>
          <w:szCs w:val="21"/>
          <w:highlight w:val="none"/>
          <w:u w:val="single"/>
        </w:rPr>
        <w:t>施工现场两套</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 联络</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1.7.1发包人和承包人应当在</w:t>
      </w:r>
      <w:r>
        <w:rPr>
          <w:rFonts w:hint="eastAsia" w:ascii="仿宋" w:hAnsi="仿宋" w:eastAsia="仿宋" w:cs="仿宋"/>
          <w:color w:val="auto"/>
          <w:szCs w:val="21"/>
          <w:highlight w:val="none"/>
          <w:u w:val="single"/>
        </w:rPr>
        <w:t xml:space="preserve">壹 </w:t>
      </w:r>
      <w:r>
        <w:rPr>
          <w:rFonts w:hint="eastAsia" w:ascii="仿宋" w:hAnsi="仿宋" w:eastAsia="仿宋" w:cs="仿宋"/>
          <w:color w:val="auto"/>
          <w:szCs w:val="21"/>
          <w:highlight w:val="none"/>
        </w:rPr>
        <w:t>天内将与合同有关的通知、批准、证明、证书、指示、指令、要求、请求、同意、意见、确定和决定等书面函件送达对方当事人。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 发包人接收文件的地点：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发包人指定的接收人为：</w:t>
      </w:r>
      <w:r>
        <w:rPr>
          <w:rFonts w:hint="eastAsia" w:ascii="仿宋" w:hAnsi="仿宋" w:eastAsia="仿宋" w:cs="仿宋"/>
          <w:color w:val="auto"/>
          <w:szCs w:val="21"/>
          <w:highlight w:val="none"/>
          <w:u w:val="single"/>
        </w:rPr>
        <w:t> 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承包人接收文件的地点：</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承包人指定的接收人为：</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监理人接收文件的地点：</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监理人指定的接收人为：</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1.10 交通运输</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1.10.1 出入现场的权利</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关于出入现场的权利的约定：</w:t>
      </w:r>
      <w:r>
        <w:rPr>
          <w:rFonts w:hint="eastAsia" w:ascii="仿宋" w:hAnsi="仿宋" w:eastAsia="仿宋" w:cs="仿宋"/>
          <w:color w:val="auto"/>
          <w:szCs w:val="21"/>
          <w:highlight w:val="none"/>
          <w:u w:val="single"/>
        </w:rPr>
        <w:t>发包方负责办理承包方出入施工现场的手续，相关费用由承包方承担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1.10.3 场内交通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关于场外交通和场内交通的边界的约定：</w:t>
      </w:r>
      <w:r>
        <w:rPr>
          <w:rFonts w:hint="eastAsia" w:ascii="仿宋" w:hAnsi="仿宋" w:eastAsia="仿宋" w:cs="仿宋"/>
          <w:color w:val="auto"/>
          <w:szCs w:val="21"/>
          <w:highlight w:val="none"/>
          <w:u w:val="single"/>
        </w:rPr>
        <w:t>场外交通以建筑用地范围为边界，场外交通由发包人协调解决。</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关于发包人向承包人免费提供满足工程施工需要的场内道路和交通设施的约定：</w:t>
      </w:r>
      <w:r>
        <w:rPr>
          <w:rFonts w:hint="eastAsia" w:ascii="仿宋" w:hAnsi="仿宋" w:eastAsia="仿宋" w:cs="仿宋"/>
          <w:color w:val="auto"/>
          <w:szCs w:val="21"/>
          <w:highlight w:val="none"/>
          <w:u w:val="single"/>
        </w:rPr>
        <w:t>承包人负责办理通道的相关手续，以满足施工的运输要求。</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1.10.4超大件和超重件的运输</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运输超大件或超重件所需的道路和桥梁临时加固改造费用和其他有关费用由</w:t>
      </w:r>
      <w:r>
        <w:rPr>
          <w:rFonts w:hint="eastAsia" w:ascii="仿宋" w:hAnsi="仿宋" w:eastAsia="仿宋" w:cs="仿宋"/>
          <w:color w:val="auto"/>
          <w:szCs w:val="21"/>
          <w:highlight w:val="none"/>
          <w:u w:val="single"/>
        </w:rPr>
        <w:t>承包人</w:t>
      </w:r>
      <w:r>
        <w:rPr>
          <w:rFonts w:hint="eastAsia" w:ascii="仿宋" w:hAnsi="仿宋" w:eastAsia="仿宋" w:cs="仿宋"/>
          <w:color w:val="auto"/>
          <w:szCs w:val="21"/>
          <w:highlight w:val="none"/>
        </w:rPr>
        <w:t>承担。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知识产权</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Cs w:val="21"/>
          <w:highlight w:val="none"/>
          <w:u w:val="single"/>
        </w:rPr>
        <w:t>归属发包人</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关于发包人提供的上述文件的使用限制的要求：</w:t>
      </w:r>
      <w:r>
        <w:rPr>
          <w:rFonts w:hint="eastAsia" w:ascii="仿宋" w:hAnsi="仿宋" w:eastAsia="仿宋" w:cs="仿宋"/>
          <w:color w:val="auto"/>
          <w:szCs w:val="21"/>
          <w:highlight w:val="none"/>
          <w:u w:val="single"/>
        </w:rPr>
        <w:t>不丢失、保存完好、存档。未经发包方书面同意不得外借</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1.11.2 关于承包人为实施工程所编制文件的著作权的归属：</w:t>
      </w:r>
      <w:r>
        <w:rPr>
          <w:rFonts w:hint="eastAsia" w:ascii="仿宋" w:hAnsi="仿宋" w:eastAsia="仿宋" w:cs="仿宋"/>
          <w:color w:val="auto"/>
          <w:szCs w:val="21"/>
          <w:highlight w:val="none"/>
          <w:u w:val="single"/>
        </w:rPr>
        <w:t>发包方</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关于承包人提供的上述文件的使用限制的要求：</w:t>
      </w:r>
      <w:r>
        <w:rPr>
          <w:rFonts w:hint="eastAsia" w:ascii="仿宋" w:hAnsi="仿宋" w:eastAsia="仿宋" w:cs="仿宋"/>
          <w:color w:val="auto"/>
          <w:szCs w:val="21"/>
          <w:highlight w:val="none"/>
          <w:u w:val="single"/>
        </w:rPr>
        <w:t>执行通用条款</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1.11.4 承包人在施工过程中所采用的专利、专有技术、技术秘密的使用费的承担方式：</w:t>
      </w:r>
      <w:r>
        <w:rPr>
          <w:rFonts w:hint="eastAsia" w:ascii="仿宋" w:hAnsi="仿宋" w:eastAsia="仿宋" w:cs="仿宋"/>
          <w:color w:val="auto"/>
          <w:szCs w:val="21"/>
          <w:highlight w:val="none"/>
          <w:u w:val="single"/>
        </w:rPr>
        <w:t>由承包人负责，并承担相关费用。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1.13工程量清单错误的修正</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出现工程量清单错误时，是否调整合同价格：</w:t>
      </w:r>
      <w:r>
        <w:rPr>
          <w:rFonts w:hint="eastAsia" w:ascii="仿宋" w:hAnsi="仿宋" w:eastAsia="仿宋" w:cs="仿宋"/>
          <w:color w:val="auto"/>
          <w:szCs w:val="21"/>
          <w:highlight w:val="none"/>
          <w:u w:val="single"/>
        </w:rPr>
        <w:t>执行通用条款</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允许调整合同价格的工程量偏差范围：</w:t>
      </w:r>
      <w:r>
        <w:rPr>
          <w:rFonts w:hint="eastAsia" w:ascii="仿宋" w:hAnsi="仿宋" w:eastAsia="仿宋" w:cs="仿宋"/>
          <w:color w:val="auto"/>
          <w:szCs w:val="21"/>
          <w:highlight w:val="none"/>
          <w:u w:val="single"/>
          <w:lang w:eastAsia="zh-CN"/>
        </w:rPr>
        <w:t>响应文件</w:t>
      </w:r>
      <w:r>
        <w:rPr>
          <w:rFonts w:hint="eastAsia" w:ascii="仿宋" w:hAnsi="仿宋" w:eastAsia="仿宋" w:cs="仿宋"/>
          <w:color w:val="auto"/>
          <w:szCs w:val="21"/>
          <w:highlight w:val="none"/>
          <w:u w:val="single"/>
        </w:rPr>
        <w:t>工程量清单中的综合单价不因材料、机械设备等市场因素价格变化而作任何变动，除非这类项目在实施施工中发生设计变更，或该项以实际施工的工程量增减变化超过原工程量清单的15％，此时可由发包人根据《建设工程工程量清单计价规范》GB50500-2013相关条款确定新的单价，但是新的单价仅适用于超出原工程量清单工程量数额的那一部分，工程量清单范围之内的工程量仍执行原来单价。</w:t>
      </w:r>
    </w:p>
    <w:p>
      <w:pPr>
        <w:pStyle w:val="6"/>
        <w:numPr>
          <w:ilvl w:val="0"/>
          <w:numId w:val="0"/>
        </w:numPr>
        <w:autoSpaceDN w:val="0"/>
        <w:spacing w:before="0" w:after="0" w:line="300" w:lineRule="auto"/>
        <w:ind w:firstLine="2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2. 发包人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发包人代表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发包人代表：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  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color w:val="auto"/>
          <w:szCs w:val="21"/>
          <w:highlight w:val="none"/>
          <w:u w:val="single"/>
        </w:rPr>
        <w:t xml:space="preserve">  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发包人对发包人代表的授权范围如下：</w:t>
      </w:r>
      <w:r>
        <w:rPr>
          <w:rFonts w:hint="eastAsia" w:ascii="仿宋" w:hAnsi="仿宋" w:eastAsia="仿宋" w:cs="仿宋"/>
          <w:color w:val="auto"/>
          <w:szCs w:val="21"/>
          <w:highlight w:val="none"/>
          <w:u w:val="single"/>
        </w:rPr>
        <w:t>派驻工程师代表发包人行使本工程管理权，负责施工全过程内外关系协调，对工程进度、质量、造价、安全施工进行全面控制、监督、协调和管理，审核设计变更及经济签证，负责其他应由发包人完成的工作。</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 施工现场、施工条件和基础资料的提供</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 提供施工现场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关于发包人移交施工现场的期限要求：</w:t>
      </w:r>
      <w:r>
        <w:rPr>
          <w:rFonts w:hint="eastAsia" w:ascii="仿宋" w:hAnsi="仿宋" w:eastAsia="仿宋" w:cs="仿宋"/>
          <w:color w:val="auto"/>
          <w:kern w:val="0"/>
          <w:szCs w:val="21"/>
          <w:highlight w:val="none"/>
          <w:u w:val="single"/>
        </w:rPr>
        <w:t>开工前具备施工条件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 提供施工条件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关于发包人应负责提供施工所需要的条件，包括：</w:t>
      </w:r>
      <w:r>
        <w:rPr>
          <w:rFonts w:hint="eastAsia" w:ascii="仿宋" w:hAnsi="仿宋" w:eastAsia="仿宋" w:cs="仿宋"/>
          <w:color w:val="auto"/>
          <w:szCs w:val="21"/>
          <w:highlight w:val="none"/>
          <w:u w:val="single"/>
        </w:rPr>
        <w:t> </w:t>
      </w:r>
      <w:r>
        <w:rPr>
          <w:rFonts w:hint="eastAsia" w:ascii="仿宋" w:hAnsi="仿宋" w:eastAsia="仿宋" w:cs="仿宋"/>
          <w:color w:val="auto"/>
          <w:sz w:val="24"/>
          <w:szCs w:val="30"/>
          <w:highlight w:val="none"/>
          <w:u w:val="singl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 资金来源证明及支付担保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发包人提供资金来源证明的期限要求：</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发包人是否提供支付担保：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发包人提供支付担保的形式：</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left="861" w:leftChars="100" w:hanging="651" w:hangingChars="31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3. 承包人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 承包人的一般义务</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（5）承包人提交的竣工资料的内容：</w:t>
      </w:r>
      <w:r>
        <w:rPr>
          <w:rFonts w:hint="eastAsia" w:ascii="仿宋" w:hAnsi="仿宋" w:eastAsia="仿宋" w:cs="仿宋"/>
          <w:color w:val="auto"/>
          <w:szCs w:val="21"/>
          <w:highlight w:val="none"/>
          <w:u w:val="single"/>
        </w:rPr>
        <w:t>按工程所在地城建档案馆要求，</w:t>
      </w:r>
      <w:r>
        <w:rPr>
          <w:rFonts w:hint="eastAsia" w:ascii="仿宋" w:hAnsi="仿宋" w:eastAsia="仿宋" w:cs="仿宋"/>
          <w:color w:val="auto"/>
          <w:kern w:val="0"/>
          <w:szCs w:val="21"/>
          <w:highlight w:val="none"/>
          <w:u w:val="single"/>
        </w:rPr>
        <w:t>承包人提交竣工付款申请、竣工结算报告及完整的结算资料的时间与份数为竣工验收合格之日起28天内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承包人需要提交的竣工资料套数：</w:t>
      </w:r>
      <w:r>
        <w:rPr>
          <w:rFonts w:hint="eastAsia" w:ascii="仿宋" w:hAnsi="仿宋" w:eastAsia="仿宋" w:cs="仿宋"/>
          <w:color w:val="auto"/>
          <w:kern w:val="0"/>
          <w:szCs w:val="21"/>
          <w:highlight w:val="none"/>
          <w:u w:val="single"/>
        </w:rPr>
        <w:t>共5份</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承包人提交的竣工资料的费用承担：</w:t>
      </w:r>
      <w:r>
        <w:rPr>
          <w:rFonts w:hint="eastAsia" w:ascii="仿宋" w:hAnsi="仿宋" w:eastAsia="仿宋" w:cs="仿宋"/>
          <w:color w:val="auto"/>
          <w:szCs w:val="21"/>
          <w:highlight w:val="none"/>
          <w:u w:val="single"/>
        </w:rPr>
        <w:t>    </w:t>
      </w:r>
      <w:r>
        <w:rPr>
          <w:rFonts w:hint="eastAsia" w:ascii="仿宋" w:hAnsi="仿宋" w:eastAsia="仿宋" w:cs="仿宋"/>
          <w:color w:val="auto"/>
          <w:kern w:val="0"/>
          <w:szCs w:val="21"/>
          <w:highlight w:val="none"/>
          <w:u w:val="single"/>
        </w:rPr>
        <w:t>承包人承担</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承包人提交的竣工资料移交时间：</w:t>
      </w:r>
      <w:r>
        <w:rPr>
          <w:rFonts w:hint="eastAsia" w:ascii="仿宋" w:hAnsi="仿宋" w:eastAsia="仿宋" w:cs="仿宋"/>
          <w:color w:val="auto"/>
          <w:szCs w:val="21"/>
          <w:highlight w:val="none"/>
          <w:u w:val="single"/>
        </w:rPr>
        <w:t> </w:t>
      </w:r>
      <w:r>
        <w:rPr>
          <w:rFonts w:hint="eastAsia" w:ascii="仿宋" w:hAnsi="仿宋" w:eastAsia="仿宋" w:cs="仿宋"/>
          <w:color w:val="auto"/>
          <w:kern w:val="0"/>
          <w:szCs w:val="21"/>
          <w:highlight w:val="none"/>
          <w:u w:val="single"/>
        </w:rPr>
        <w:t>竣工验收合格之日起28天内</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承包人提交的竣工资料形式要求：</w:t>
      </w:r>
      <w:r>
        <w:rPr>
          <w:rFonts w:hint="eastAsia" w:ascii="仿宋" w:hAnsi="仿宋" w:eastAsia="仿宋" w:cs="仿宋"/>
          <w:color w:val="auto"/>
          <w:szCs w:val="21"/>
          <w:highlight w:val="none"/>
          <w:u w:val="single"/>
        </w:rPr>
        <w:t>装订成册的书面形式、电子文档及发包人的其他要求</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（6）承包人应履行的其他义务：</w:t>
      </w:r>
      <w:r>
        <w:rPr>
          <w:rFonts w:hint="eastAsia" w:ascii="仿宋" w:hAnsi="仿宋" w:eastAsia="仿宋" w:cs="仿宋"/>
          <w:color w:val="auto"/>
          <w:szCs w:val="21"/>
          <w:highlight w:val="none"/>
          <w:u w:val="singl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 项目经理</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 项目经理：</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建造师执业资格等级：</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建造师注册证书号：</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建造师执业印章号：</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安全生产考核合格证书号：</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  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承包人对项目经理的授权范围如下：</w:t>
      </w:r>
      <w:r>
        <w:rPr>
          <w:rFonts w:hint="eastAsia" w:ascii="仿宋" w:hAnsi="仿宋" w:eastAsia="仿宋" w:cs="仿宋"/>
          <w:color w:val="auto"/>
          <w:kern w:val="0"/>
          <w:szCs w:val="21"/>
          <w:highlight w:val="none"/>
          <w:u w:val="single"/>
        </w:rPr>
        <w:t>投标书中的相关人员</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关于项目经理每月在施工现场的时间要求：</w:t>
      </w:r>
      <w:r>
        <w:rPr>
          <w:rFonts w:hint="eastAsia" w:ascii="仿宋" w:hAnsi="仿宋" w:eastAsia="仿宋" w:cs="仿宋"/>
          <w:color w:val="auto"/>
          <w:kern w:val="0"/>
          <w:szCs w:val="21"/>
          <w:highlight w:val="none"/>
          <w:u w:val="single"/>
        </w:rPr>
        <w:t>项目经理每天必须在工地</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承包人未提交劳动合同，以及没有为项目经理缴纳社会保险证明的违约责任：</w:t>
      </w:r>
      <w:r>
        <w:rPr>
          <w:rFonts w:hint="eastAsia" w:ascii="仿宋" w:hAnsi="仿宋" w:eastAsia="仿宋" w:cs="仿宋"/>
          <w:color w:val="auto"/>
          <w:kern w:val="0"/>
          <w:szCs w:val="21"/>
          <w:highlight w:val="none"/>
          <w:u w:val="single"/>
        </w:rPr>
        <w:t>发包人限期承包人在收到提交要求后3日内补交，并承担违约金5000元；3日内不能补交的，承包人必须更换项目经理，并承担违约金1万元，由此导致的一切责任由承包人承担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项目经理未经批准，擅自离开施工现场的违约责任：</w:t>
      </w:r>
      <w:r>
        <w:rPr>
          <w:rFonts w:hint="eastAsia" w:ascii="仿宋" w:hAnsi="仿宋" w:eastAsia="仿宋" w:cs="仿宋"/>
          <w:color w:val="auto"/>
          <w:szCs w:val="21"/>
          <w:highlight w:val="none"/>
          <w:u w:val="single"/>
        </w:rPr>
        <w:t>承包人拟派驻现场项目负责人在整个工程实施过程中不得更换，离开现场。由于特殊原因，暂时离开现场的项目负责人，必须按请假制度，同时承包人应安排同等资历人员进行临时履行职责。</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擅自离开施工现场一天，从履约保证金中按3000元/天扣除，履约保证金不足时从工程结算款中扣除</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3.2.3 承包人擅自更换项目经理的违约责任：</w:t>
      </w:r>
      <w:r>
        <w:rPr>
          <w:rFonts w:hint="eastAsia" w:ascii="仿宋" w:hAnsi="仿宋" w:eastAsia="仿宋" w:cs="仿宋"/>
          <w:color w:val="auto"/>
          <w:szCs w:val="21"/>
          <w:highlight w:val="none"/>
          <w:u w:val="single"/>
        </w:rPr>
        <w:t>没收履约保证金，解除合同，建设单位另行发包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3.2.4 承包人无正当理由拒绝更换项目经理的违约责任：</w:t>
      </w:r>
      <w:r>
        <w:rPr>
          <w:rFonts w:hint="eastAsia" w:ascii="仿宋" w:hAnsi="仿宋" w:eastAsia="仿宋" w:cs="仿宋"/>
          <w:color w:val="auto"/>
          <w:szCs w:val="21"/>
          <w:highlight w:val="none"/>
          <w:u w:val="single"/>
        </w:rPr>
        <w:t>没收履约保证金，解除合同，建设单位另行发包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 承包人人员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 承包人提交项目管理机构及施工现场管理人员安排报告的期限：</w:t>
      </w:r>
      <w:r>
        <w:rPr>
          <w:rFonts w:hint="eastAsia" w:ascii="仿宋" w:hAnsi="仿宋" w:eastAsia="仿宋" w:cs="仿宋"/>
          <w:color w:val="auto"/>
          <w:szCs w:val="21"/>
          <w:highlight w:val="none"/>
          <w:u w:val="single"/>
        </w:rPr>
        <w:t>开工前3日内到场</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3.3.3 承包人无正当理由拒绝撤换主要施工管理人员的违约责任：</w:t>
      </w:r>
      <w:r>
        <w:rPr>
          <w:rFonts w:hint="eastAsia" w:ascii="仿宋" w:hAnsi="仿宋" w:eastAsia="仿宋" w:cs="仿宋"/>
          <w:color w:val="auto"/>
          <w:szCs w:val="21"/>
          <w:highlight w:val="none"/>
          <w:u w:val="single"/>
        </w:rPr>
        <w:t>没收履约保证金，解除合同，建设单位另行发包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3.3.4 承包人主要施工管理人员离开施工现场的批准要求：</w:t>
      </w:r>
      <w:r>
        <w:rPr>
          <w:rFonts w:hint="eastAsia" w:ascii="仿宋" w:hAnsi="仿宋" w:eastAsia="仿宋" w:cs="仿宋"/>
          <w:color w:val="auto"/>
          <w:szCs w:val="21"/>
          <w:highlight w:val="none"/>
          <w:u w:val="single"/>
        </w:rPr>
        <w:t>必须请示建设单位现场人员，报请项目负责人同意</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3.3.5承包人擅自更换主要施工管理人员的违约责任：</w:t>
      </w:r>
      <w:r>
        <w:rPr>
          <w:rFonts w:hint="eastAsia" w:ascii="仿宋" w:hAnsi="仿宋" w:eastAsia="仿宋" w:cs="仿宋"/>
          <w:color w:val="auto"/>
          <w:szCs w:val="21"/>
          <w:highlight w:val="none"/>
          <w:u w:val="single"/>
        </w:rPr>
        <w:t xml:space="preserve">没收履约保证金，解除合同，建设单位另行发包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承包人主要施工管理人员擅自离开施工现场的违约责任：</w:t>
      </w:r>
      <w:r>
        <w:rPr>
          <w:rFonts w:hint="eastAsia" w:ascii="仿宋" w:hAnsi="仿宋" w:eastAsia="仿宋" w:cs="仿宋"/>
          <w:color w:val="auto"/>
          <w:szCs w:val="21"/>
          <w:highlight w:val="none"/>
          <w:u w:val="single"/>
        </w:rPr>
        <w:t>擅自离开施工现场一天，从履约保证金中按3000元/天扣除，履约保证金不足时从工程结算款中扣除</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 分包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3.5.1 分包的一般约定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禁止分包的工程包括：</w:t>
      </w:r>
      <w:r>
        <w:rPr>
          <w:rFonts w:hint="eastAsia" w:ascii="仿宋" w:hAnsi="仿宋" w:eastAsia="仿宋" w:cs="仿宋"/>
          <w:color w:val="auto"/>
          <w:szCs w:val="21"/>
          <w:highlight w:val="none"/>
          <w:u w:val="single"/>
        </w:rPr>
        <w:t>不准分包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主体结构、关键性工作的范围：</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3.5.2分包的确定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允许分包的专业工程包括：</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其他关于分包的约定：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3.5.4 分包合同价款</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关于分包合同价款支付的约定：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 工程照管与成品、半成品保护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承包人负责照管工程及工程相关的材料、工程设备的起始时间：</w:t>
      </w:r>
      <w:r>
        <w:rPr>
          <w:rFonts w:hint="eastAsia" w:ascii="仿宋" w:hAnsi="仿宋" w:eastAsia="仿宋" w:cs="仿宋"/>
          <w:color w:val="auto"/>
          <w:szCs w:val="21"/>
          <w:highlight w:val="none"/>
          <w:u w:val="single"/>
        </w:rPr>
        <w:t>从开工至工程竣工交付使用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 履约担保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承包人是否提供履约担保：</w:t>
      </w:r>
      <w:r>
        <w:rPr>
          <w:rFonts w:hint="eastAsia" w:ascii="仿宋" w:hAnsi="仿宋" w:eastAsia="仿宋" w:cs="仿宋"/>
          <w:color w:val="auto"/>
          <w:szCs w:val="21"/>
          <w:highlight w:val="none"/>
          <w:u w:val="single"/>
        </w:rPr>
        <w:t>是</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承包人提供履约担保的形式、金额及期限的：</w:t>
      </w:r>
      <w:r>
        <w:rPr>
          <w:rFonts w:hint="eastAsia" w:ascii="仿宋" w:hAnsi="仿宋" w:eastAsia="仿宋" w:cs="仿宋"/>
          <w:color w:val="auto"/>
          <w:szCs w:val="21"/>
          <w:highlight w:val="none"/>
          <w:u w:val="single"/>
        </w:rPr>
        <w:t>提供履约保证金，履约保证金金额为合同价的10%（履约保证金形式为银行保函），于招标完成后提供。履约保证金的返还：按照相关要求办法执行</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4. 监理人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4.1监理人的一般规定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关于监理人的监理内容：</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关于监理人的监理权限：</w:t>
      </w:r>
      <w:r>
        <w:rPr>
          <w:rFonts w:hint="eastAsia" w:ascii="仿宋" w:hAnsi="仿宋" w:eastAsia="仿宋" w:cs="仿宋"/>
          <w:color w:val="auto"/>
          <w:szCs w:val="21"/>
          <w:highlight w:val="none"/>
          <w:u w:val="single"/>
        </w:rPr>
        <w:t xml:space="preserve">                    。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关于监理人在施工现场的办公场所、生活场所的提供和费用承担的约定：</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 监理人员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总监理工程师：</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监理工程师执业资格证书号：</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关于监理人的其他约定：</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4.4 商定或确定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在发包人和承包人不能通过协商达成一致意见时，发包人授权监理人对以下事项进行确定：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5. 工程质量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 质量要求</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5.1.1 特殊质量标准和要求：</w:t>
      </w:r>
      <w:r>
        <w:rPr>
          <w:rFonts w:hint="eastAsia" w:ascii="仿宋" w:hAnsi="仿宋" w:eastAsia="仿宋" w:cs="仿宋"/>
          <w:color w:val="auto"/>
          <w:szCs w:val="21"/>
          <w:highlight w:val="none"/>
          <w:u w:val="single"/>
        </w:rPr>
        <w:t>（1）按发包人指定的所在省区内已建工程的验收标准和规范。（2）承包人应严格按标准、规范和设计图纸的要求以及发包人代表和总监理工程师按合同发出的指令施工，接受发包人代表和总监理工程师的检查，为检查提供便利条件，承担由自身原因导致的返工、修改的费用</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关于工程奖项的约定：</w:t>
      </w:r>
      <w:r>
        <w:rPr>
          <w:rFonts w:hint="eastAsia" w:ascii="仿宋" w:hAnsi="仿宋" w:eastAsia="仿宋" w:cs="仿宋"/>
          <w:color w:val="auto"/>
          <w:szCs w:val="21"/>
          <w:highlight w:val="none"/>
          <w:u w:val="single"/>
        </w:rPr>
        <w:t>无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 隐蔽工程检查</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5.3.2承包人提前通知监理人隐蔽工程检查的期限的约定：</w:t>
      </w:r>
      <w:r>
        <w:rPr>
          <w:rFonts w:hint="eastAsia" w:ascii="仿宋" w:hAnsi="仿宋" w:eastAsia="仿宋" w:cs="仿宋"/>
          <w:color w:val="auto"/>
          <w:szCs w:val="21"/>
          <w:highlight w:val="none"/>
          <w:u w:val="single"/>
        </w:rPr>
        <w:t>工程隐蔽部位隐蔽前48小时内。通知方式包括但不限于书面形式。因为承包人未提前通知造成监理人未能对隐蔽工程进行检查的，以后因为隐蔽工程而引发的一切争议的后果均由承包人承担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监理人不能按时进行检查时，应提前</w:t>
      </w:r>
      <w:r>
        <w:rPr>
          <w:rFonts w:hint="eastAsia" w:ascii="仿宋" w:hAnsi="仿宋" w:eastAsia="仿宋" w:cs="仿宋"/>
          <w:color w:val="auto"/>
          <w:szCs w:val="21"/>
          <w:highlight w:val="none"/>
          <w:u w:val="single"/>
        </w:rPr>
        <w:t xml:space="preserve">24 </w:t>
      </w:r>
      <w:r>
        <w:rPr>
          <w:rFonts w:hint="eastAsia" w:ascii="仿宋" w:hAnsi="仿宋" w:eastAsia="仿宋" w:cs="仿宋"/>
          <w:color w:val="auto"/>
          <w:szCs w:val="21"/>
          <w:highlight w:val="none"/>
        </w:rPr>
        <w:t>小时提交书面延期要求。</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关于延期最长不得超过：</w:t>
      </w:r>
      <w:r>
        <w:rPr>
          <w:rFonts w:hint="eastAsia" w:ascii="仿宋" w:hAnsi="仿宋" w:eastAsia="仿宋" w:cs="仿宋"/>
          <w:color w:val="auto"/>
          <w:szCs w:val="21"/>
          <w:highlight w:val="none"/>
          <w:u w:val="single"/>
        </w:rPr>
        <w:t>48</w:t>
      </w:r>
      <w:r>
        <w:rPr>
          <w:rFonts w:hint="eastAsia" w:ascii="仿宋" w:hAnsi="仿宋" w:eastAsia="仿宋" w:cs="仿宋"/>
          <w:color w:val="auto"/>
          <w:szCs w:val="21"/>
          <w:highlight w:val="none"/>
        </w:rPr>
        <w:t>小时。</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6. 安全文明施工与环境保护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6.1安全文明施工</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6.1.1 项目安全生产的达标目标及相应事项的约定：</w:t>
      </w:r>
      <w:r>
        <w:rPr>
          <w:rFonts w:hint="eastAsia" w:ascii="仿宋" w:hAnsi="仿宋" w:eastAsia="仿宋" w:cs="仿宋"/>
          <w:color w:val="auto"/>
          <w:szCs w:val="21"/>
          <w:highlight w:val="none"/>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w:t>
      </w:r>
    </w:p>
    <w:p>
      <w:pPr>
        <w:autoSpaceDN w:val="0"/>
        <w:spacing w:line="300" w:lineRule="auto"/>
        <w:ind w:firstLine="409"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6.1.4 关于治安保卫的特别约定：</w:t>
      </w:r>
      <w:r>
        <w:rPr>
          <w:rFonts w:hint="eastAsia" w:ascii="仿宋" w:hAnsi="仿宋" w:eastAsia="仿宋" w:cs="仿宋"/>
          <w:color w:val="auto"/>
          <w:szCs w:val="21"/>
          <w:highlight w:val="none"/>
          <w:u w:val="single"/>
        </w:rPr>
        <w:t>承包单位要认真加强工地安全管理和大门值班制度，提高安防意识，防止不法人员进行各种破坏活动。若承包单位思想麻痹、不落实要求和制度或防护不到位、对存在的问题未发现或发现而不整改等原因，出现遭袭击等事故，造成的一切人员伤亡和财产损失均由承包司承担，与我单位和其它单位无关</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关于编制施工场地治安管理计划的约定：</w:t>
      </w:r>
      <w:r>
        <w:rPr>
          <w:rFonts w:hint="eastAsia" w:ascii="仿宋" w:hAnsi="仿宋" w:eastAsia="仿宋" w:cs="仿宋"/>
          <w:color w:val="auto"/>
          <w:szCs w:val="21"/>
          <w:highlight w:val="none"/>
          <w:u w:val="single"/>
        </w:rPr>
        <w:t>结合工地所处地段的特殊性、环境编制施工场地治安管理计划，并报监理和建设单位人员审核。自承包人进入施工现场之日起，因为承包人的施工行为（包括但不限于施工准备行为、安全防护措施、实际施工行为等）、施工现场的施工设施、设备、材料等造成的承包人人员、财产损害，第三方人员、财产的损害均由承包人承担一切责任。</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6.1.5 文明施工</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合同当事人对文明施工的要求：</w:t>
      </w:r>
      <w:r>
        <w:rPr>
          <w:rFonts w:hint="eastAsia" w:ascii="仿宋" w:hAnsi="仿宋" w:eastAsia="仿宋" w:cs="仿宋"/>
          <w:color w:val="auto"/>
          <w:szCs w:val="21"/>
          <w:highlight w:val="none"/>
          <w:u w:val="single"/>
        </w:rPr>
        <w:t> 达到自治区文明施工要求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6.1.6 关于安全文明施工费支付比例和支付期限的约定：</w:t>
      </w:r>
      <w:r>
        <w:rPr>
          <w:rFonts w:hint="eastAsia" w:ascii="仿宋" w:hAnsi="仿宋" w:eastAsia="仿宋" w:cs="仿宋"/>
          <w:color w:val="auto"/>
          <w:szCs w:val="21"/>
          <w:highlight w:val="none"/>
          <w:u w:val="single"/>
        </w:rPr>
        <w:t> 包含在合同价中，随工程进度款同期支付</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7. 工期和进度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 施工组织设计</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7.1.1 合同当事人约定的施工组织设计应包括的其他内容：</w:t>
      </w:r>
      <w:r>
        <w:rPr>
          <w:rFonts w:hint="eastAsia" w:ascii="仿宋" w:hAnsi="仿宋" w:eastAsia="仿宋" w:cs="仿宋"/>
          <w:color w:val="auto"/>
          <w:szCs w:val="21"/>
          <w:highlight w:val="none"/>
          <w:u w:val="single"/>
        </w:rPr>
        <w:t>施工方案、施工进度计划、施工现场平面布置图、劳动力需用量计划、材料需用量计划、机械设备需用量计划、资金需用量计划、承包人自有周转资金计划、质量保证体系、工期保证体系、安全保证体系、现场安全文明施工措施、扬尘防治措施等</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7.1.2 施工组织设计的提交和修改</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承包人提交详细施工组织设计的期限的约定：</w:t>
      </w:r>
      <w:r>
        <w:rPr>
          <w:rFonts w:hint="eastAsia" w:ascii="仿宋" w:hAnsi="仿宋" w:eastAsia="仿宋" w:cs="仿宋"/>
          <w:color w:val="auto"/>
          <w:szCs w:val="21"/>
          <w:highlight w:val="none"/>
          <w:u w:val="single"/>
        </w:rPr>
        <w:t>中标通知书下发三日内报监理和发包人审核。</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发包人和监理人在收到详细的施工组织设计后确认或提出修改意见的期限：</w:t>
      </w:r>
      <w:r>
        <w:rPr>
          <w:rFonts w:hint="eastAsia" w:ascii="仿宋" w:hAnsi="仿宋" w:eastAsia="仿宋" w:cs="仿宋"/>
          <w:color w:val="auto"/>
          <w:szCs w:val="21"/>
          <w:highlight w:val="none"/>
          <w:u w:val="single"/>
        </w:rPr>
        <w:t>收到施工组织设计后  7日内提出修改意见或确认。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 施工进度计划</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7.2.2 施工进度计划的修订</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发包人和监理人在收到修订的施工进度计划后确认或提出修改意见的期限：</w:t>
      </w:r>
      <w:r>
        <w:rPr>
          <w:rFonts w:hint="eastAsia" w:ascii="仿宋" w:hAnsi="仿宋" w:eastAsia="仿宋" w:cs="仿宋"/>
          <w:color w:val="auto"/>
          <w:szCs w:val="21"/>
          <w:highlight w:val="none"/>
          <w:u w:val="single"/>
        </w:rPr>
        <w:t xml:space="preserve">收到施工组织设计后  7日内确认。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 开工</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7.3.1 开工准备</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关于承包人提交工程开工报审表的期限：</w:t>
      </w:r>
      <w:r>
        <w:rPr>
          <w:rFonts w:hint="eastAsia" w:ascii="仿宋" w:hAnsi="仿宋" w:eastAsia="仿宋" w:cs="仿宋"/>
          <w:color w:val="auto"/>
          <w:szCs w:val="21"/>
          <w:highlight w:val="none"/>
          <w:u w:val="single"/>
        </w:rPr>
        <w:t>合同签订后7日内提供</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关于发包人应完成的其他开工准备工作及期限：</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关于承包人应完成的其他开工准备工作及期限：</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7.3.2开工通知</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因发包人原因造成监理人未能在计划开工日期之日起</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天内发出开工通知的，承包人有权提出价格调整要求，或者解除合同。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 测量放线</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7.4.1发包人通过监理人向承包人提供测量基准点、基准线和水准点及其书面资料的期限：</w:t>
      </w:r>
      <w:r>
        <w:rPr>
          <w:rFonts w:hint="eastAsia" w:ascii="仿宋" w:hAnsi="仿宋" w:eastAsia="仿宋" w:cs="仿宋"/>
          <w:color w:val="auto"/>
          <w:szCs w:val="21"/>
          <w:highlight w:val="none"/>
          <w:u w:val="single"/>
        </w:rPr>
        <w:t>开工后7日内。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 工期延误</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7.5.1 因发包人原因导致工期延误</w:t>
      </w:r>
    </w:p>
    <w:p>
      <w:pPr>
        <w:autoSpaceDE w:val="0"/>
        <w:autoSpaceDN w:val="0"/>
        <w:spacing w:line="3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因发包人原因导致工期延误的其他情形：</w:t>
      </w:r>
      <w:r>
        <w:rPr>
          <w:rFonts w:hint="eastAsia" w:ascii="仿宋" w:hAnsi="仿宋" w:eastAsia="仿宋" w:cs="仿宋"/>
          <w:color w:val="auto"/>
          <w:szCs w:val="21"/>
          <w:highlight w:val="none"/>
          <w:u w:val="single"/>
        </w:rPr>
        <w:t xml:space="preserve"> ①政策问题影响施工进度；②不可抗力；③不可预见的不利因素。</w:t>
      </w:r>
    </w:p>
    <w:p>
      <w:pPr>
        <w:autoSpaceDE w:val="0"/>
        <w:autoSpaceDN w:val="0"/>
        <w:spacing w:line="3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因发包人原因造成工期延误，工期顺延。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7.5.2 因承包人原因导致工期延误</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因承包人原因造成工期延误，逾期竣工违约金的计算方法为：</w:t>
      </w:r>
      <w:r>
        <w:rPr>
          <w:rFonts w:hint="eastAsia" w:ascii="仿宋" w:hAnsi="仿宋" w:eastAsia="仿宋" w:cs="仿宋"/>
          <w:color w:val="auto"/>
          <w:szCs w:val="21"/>
          <w:highlight w:val="none"/>
          <w:u w:val="single"/>
        </w:rPr>
        <w:t>每推延一天，赔偿2000元</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因承包人原因造成工期延误，逾期竣工违约金的上限：</w:t>
      </w:r>
      <w:r>
        <w:rPr>
          <w:rFonts w:hint="eastAsia" w:ascii="仿宋" w:hAnsi="仿宋" w:eastAsia="仿宋" w:cs="仿宋"/>
          <w:color w:val="auto"/>
          <w:szCs w:val="21"/>
          <w:highlight w:val="none"/>
          <w:u w:val="single"/>
        </w:rPr>
        <w:t>合同价的5%</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7.6 不利物质条件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不利物质条件的其他情形和有关约定：</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7.7异常恶劣的气候条件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发包人和承包人同意以下情形视为异常恶劣的气候条件：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7.9 提前竣工的奖励</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7.9.2提前竣工的奖励：</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8. 材料与设备</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8.4材料与工程设备的保管与使用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8.4.1发包人供应的材料设备的保管费用的承担：</w:t>
      </w:r>
      <w:r>
        <w:rPr>
          <w:rFonts w:hint="eastAsia" w:ascii="仿宋" w:hAnsi="仿宋" w:eastAsia="仿宋" w:cs="仿宋"/>
          <w:color w:val="auto"/>
          <w:szCs w:val="21"/>
          <w:highlight w:val="none"/>
          <w:u w:val="single"/>
        </w:rPr>
        <w:t xml:space="preserve">  由承包人负责管理，费用由承包人自理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8.6 样品</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8.6.1 样品的报送与封存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需要承包人报送样品的材料或工程设备，样品的种类、名称、规格、数量要求：</w:t>
      </w:r>
      <w:r>
        <w:rPr>
          <w:rFonts w:hint="eastAsia" w:ascii="仿宋" w:hAnsi="仿宋" w:eastAsia="仿宋" w:cs="仿宋"/>
          <w:color w:val="auto"/>
          <w:szCs w:val="21"/>
          <w:highlight w:val="none"/>
          <w:u w:val="single"/>
        </w:rPr>
        <w:t>需要承包人报送样品的材料或工程设备，样品的种类、名称、规格、数量视实际情况由发包人确认。承包人采购所有进场材料设备必须严格按照</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清单及设计施工图纸提出的技术参数、标准执行，经监管部门按规定进行检验合格，并经监理和发包人确认合格后方可使用。暂估价材料、专业工程暂估价等由发包人确定材料品质（品牌、规格等）、价格后方可实施，否则不予认可，造成的损失承包人自行承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8.8 施工设备和临时设施</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8.8.1 承包人提供的施工设备和临时设施</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关于修建临时设施费用承担的约定：</w:t>
      </w:r>
      <w:r>
        <w:rPr>
          <w:rFonts w:hint="eastAsia" w:ascii="仿宋" w:hAnsi="仿宋" w:eastAsia="仿宋" w:cs="仿宋"/>
          <w:color w:val="auto"/>
          <w:szCs w:val="21"/>
          <w:highlight w:val="none"/>
          <w:u w:val="single"/>
        </w:rPr>
        <w:t>执行合同条款及相关政策文件。</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9. 试验与检验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9.1试验设备与试验人员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9.1.2 试验设备</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施工现场需要配置的试验场所：</w:t>
      </w:r>
      <w:r>
        <w:rPr>
          <w:rFonts w:hint="eastAsia" w:ascii="仿宋" w:hAnsi="仿宋" w:eastAsia="仿宋" w:cs="仿宋"/>
          <w:color w:val="auto"/>
          <w:szCs w:val="21"/>
          <w:highlight w:val="none"/>
          <w:u w:val="single"/>
        </w:rPr>
        <w:t>按现场条件和试验要求配置 </w:t>
      </w:r>
      <w:r>
        <w:rPr>
          <w:rFonts w:hint="eastAsia" w:ascii="仿宋" w:hAnsi="仿宋" w:eastAsia="仿宋" w:cs="仿宋"/>
          <w:color w:val="auto"/>
          <w:szCs w:val="21"/>
          <w:highlight w:val="non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施工现场需要配备的试验设备：</w:t>
      </w:r>
      <w:r>
        <w:rPr>
          <w:rFonts w:hint="eastAsia" w:ascii="仿宋" w:hAnsi="仿宋" w:eastAsia="仿宋" w:cs="仿宋"/>
          <w:color w:val="auto"/>
          <w:szCs w:val="21"/>
          <w:highlight w:val="none"/>
          <w:u w:val="single"/>
        </w:rPr>
        <w:t>按建设行政管理部门和试验要求配置</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施工现场需要具备的其他试验条件：</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9.4 现场工艺试验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现场工艺试验的有关约定：</w:t>
      </w:r>
      <w:r>
        <w:rPr>
          <w:rFonts w:hint="eastAsia" w:ascii="仿宋" w:hAnsi="仿宋" w:eastAsia="仿宋" w:cs="仿宋"/>
          <w:color w:val="auto"/>
          <w:szCs w:val="21"/>
          <w:highlight w:val="none"/>
          <w:u w:val="single"/>
        </w:rPr>
        <w:t>承包人应按合同约定或监理人指示进行现场工艺试验。对大型的现场工艺试验，监理人认为必要时，承包人应根据监理人提出的工艺试验要求，编制工艺试验措施计划，报送监理人审查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10. 变更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10.1变更的范围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关于变更的范围的约定：</w:t>
      </w:r>
      <w:r>
        <w:rPr>
          <w:rFonts w:hint="eastAsia" w:ascii="仿宋" w:hAnsi="仿宋" w:eastAsia="仿宋" w:cs="仿宋"/>
          <w:color w:val="auto"/>
          <w:szCs w:val="21"/>
          <w:highlight w:val="none"/>
          <w:u w:val="single"/>
        </w:rPr>
        <w:t>执行通用条款第 10.1条</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10.4 变更估价</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10.4.1 变更估价原则</w:t>
      </w:r>
    </w:p>
    <w:p>
      <w:pPr>
        <w:spacing w:line="30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关于变更估价的约定:</w:t>
      </w:r>
      <w:r>
        <w:rPr>
          <w:rFonts w:hint="eastAsia" w:ascii="仿宋" w:hAnsi="仿宋" w:eastAsia="仿宋" w:cs="仿宋"/>
          <w:color w:val="auto"/>
          <w:szCs w:val="21"/>
          <w:highlight w:val="none"/>
          <w:u w:val="single"/>
        </w:rPr>
        <w:t>已标价工程量清单项目或其工程数量发生变化，应按照下列规定调整：</w:t>
      </w:r>
    </w:p>
    <w:p>
      <w:pPr>
        <w:spacing w:line="30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1.已标价工程量清单中有适用于变更工程项目的，采用该项目的单价；但当工程变更导致该清单项目的工程数量发生变化，且工程量偏差超过15%，此时，该项目单价的调整应按照清单计价规范第  9.6.2条的规定调整;</w:t>
      </w:r>
    </w:p>
    <w:p>
      <w:pPr>
        <w:spacing w:line="30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2.已标价工程量清单中没有适用、但有类似于变更工程项目的，可在合理范围内参照类似项目的单价；3.</w:t>
      </w:r>
      <w:r>
        <w:rPr>
          <w:rFonts w:hint="eastAsia" w:ascii="仿宋" w:hAnsi="仿宋" w:eastAsia="仿宋" w:cs="仿宋"/>
          <w:color w:val="auto"/>
          <w:szCs w:val="21"/>
          <w:highlight w:val="none"/>
          <w:u w:val="single"/>
          <w:lang w:eastAsia="zh-CN"/>
        </w:rPr>
        <w:t>经济标</w:t>
      </w:r>
      <w:r>
        <w:rPr>
          <w:rFonts w:hint="eastAsia" w:ascii="仿宋" w:hAnsi="仿宋" w:eastAsia="仿宋" w:cs="仿宋"/>
          <w:color w:val="auto"/>
          <w:szCs w:val="21"/>
          <w:highlight w:val="none"/>
          <w:u w:val="single"/>
        </w:rPr>
        <w:t>中没有适用也没有类似于变更工程项目的，由承包人根据变更工程资料、计量规则和计价办法、工程造价管理机构发布的信息价格和承包人报价浮动率提出变更工程项目的单价，报发包人确认后调整。承包人报价浮动率可按下列公式计算：承包人报价浮动率  L=（1-中标价/招标控制价）×100%；</w:t>
      </w:r>
    </w:p>
    <w:p>
      <w:pPr>
        <w:spacing w:line="30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已标价工程量清单中没有适用也没有类似于变更工程项目，且工程造价管理机构发布的信息价格缺价的，由承包人根据变更工程资料、计量规则、计价办法和通过市场调查等取得有合法依据的市场价格提出变更工程项目的单价，报发包人确认后调整;</w:t>
      </w:r>
    </w:p>
    <w:p>
      <w:pPr>
        <w:spacing w:line="30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5.因工程量清单漏项（仅适用于合同协议书约定采用单价合同形式时）或变更引起措施项目发生变化，原措施项目费中已有的措施项目，采用原措施项目费的组价方法变更；原措施项目费中没有的措施项目，采用预算定额确定措施费用;</w:t>
      </w:r>
    </w:p>
    <w:p>
      <w:pPr>
        <w:spacing w:line="30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6.增减工程量的单价确定，①签订合同后，经设计单位发出、发包人认可的设计变更及经发包人和监理人计量后签证认可的工程量变化，无论工程量变化幅度多大，亦须按工程量清单表之单价调整；如无适用或类似的综合单价时，参照国家现行定额，结合报价下浮率执行。 ②如分部分项工程量清单中的项目特征和工程内容发生设计变更时，对变更部分应做重新组价，按实调整。但不能以工程量清单中项目特征和工作内容描述与施工图有较小差异或描述不完整为由或以此认为发生变化为由提出调整综合单价的要求，此要求将不被批准。③除实际地质条件与地勘报告对比发生较大变化时可按实调整外，</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及招标答疑规定其它应包括的风险范围不做调整。④经济签证、设计变更。</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的工程量清单和图纸中包含的项目实际上没有发生的，在工程结算时应当取消；</w:t>
      </w:r>
      <w:r>
        <w:rPr>
          <w:rFonts w:hint="eastAsia" w:ascii="仿宋" w:hAnsi="仿宋" w:eastAsia="仿宋" w:cs="仿宋"/>
          <w:color w:val="auto"/>
          <w:szCs w:val="21"/>
          <w:highlight w:val="none"/>
          <w:u w:val="single"/>
          <w:lang w:eastAsia="zh-CN"/>
        </w:rPr>
        <w:t>磋商文件</w:t>
      </w:r>
      <w:r>
        <w:rPr>
          <w:rFonts w:hint="eastAsia" w:ascii="仿宋" w:hAnsi="仿宋" w:eastAsia="仿宋" w:cs="仿宋"/>
          <w:color w:val="auto"/>
          <w:szCs w:val="21"/>
          <w:highlight w:val="none"/>
          <w:u w:val="single"/>
        </w:rPr>
        <w:t>的工程量清单发生漏项的，在工程结算时应当按实增加;</w:t>
      </w:r>
    </w:p>
    <w:p>
      <w:pPr>
        <w:spacing w:line="30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u w:val="single"/>
        </w:rPr>
        <w:t>7、变更取消的项目投标报价，低于控价时，应按招标控制价的综合单价调减。其他变更减少或增加工程量的项目，其报价偏离该项综合单价控价金额的15%及以上时，视为不平衡报价项目，不平衡报价项目调整方式以招标控制价综合单价为基准按以上条约定内容进行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10.5承包人的合理化建议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监理人审查承包人合理化建议的期限：</w:t>
      </w:r>
      <w:r>
        <w:rPr>
          <w:rFonts w:hint="eastAsia" w:ascii="仿宋" w:hAnsi="仿宋" w:eastAsia="仿宋" w:cs="仿宋"/>
          <w:color w:val="auto"/>
          <w:szCs w:val="21"/>
          <w:highlight w:val="none"/>
          <w:u w:val="single"/>
        </w:rPr>
        <w:t>收到完整的文件资料后7日内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发包人审批承包人合理化建议的期限：</w:t>
      </w:r>
      <w:r>
        <w:rPr>
          <w:rFonts w:hint="eastAsia" w:ascii="仿宋" w:hAnsi="仿宋" w:eastAsia="仿宋" w:cs="仿宋"/>
          <w:color w:val="auto"/>
          <w:szCs w:val="21"/>
          <w:highlight w:val="none"/>
          <w:u w:val="single"/>
        </w:rPr>
        <w:t>收到完整的文件资料后7日内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承包人提出的合理化建议降低了合同价格或者提高了工程经济效益的奖励的方法和金额为：</w:t>
      </w:r>
      <w:r>
        <w:rPr>
          <w:rFonts w:hint="eastAsia" w:ascii="仿宋" w:hAnsi="仿宋" w:eastAsia="仿宋" w:cs="仿宋"/>
          <w:color w:val="auto"/>
          <w:szCs w:val="21"/>
          <w:highlight w:val="none"/>
          <w:u w:val="singl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10.7 暂估价</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暂估价材料和工程设备的明细详见附件11：《暂估价一览表》。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10.7.1 依法必须招标的暂估价项目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对于依法必须招标的暂估价项目的确认和批准采取</w:t>
      </w:r>
      <w:r>
        <w:rPr>
          <w:rFonts w:hint="eastAsia" w:ascii="仿宋" w:hAnsi="仿宋" w:eastAsia="仿宋" w:cs="仿宋"/>
          <w:color w:val="auto"/>
          <w:szCs w:val="21"/>
          <w:highlight w:val="none"/>
          <w:u w:val="single"/>
        </w:rPr>
        <w:t>通用条款第2种方式</w:t>
      </w:r>
      <w:r>
        <w:rPr>
          <w:rFonts w:hint="eastAsia" w:ascii="仿宋" w:hAnsi="仿宋" w:eastAsia="仿宋" w:cs="仿宋"/>
          <w:color w:val="auto"/>
          <w:szCs w:val="21"/>
          <w:highlight w:val="none"/>
        </w:rPr>
        <w:t>确定。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10.7.2 不属于依法必须招标的暂估价项目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对于不属于依法必须招标的暂估价项目的确认和批准采取</w:t>
      </w:r>
      <w:r>
        <w:rPr>
          <w:rFonts w:hint="eastAsia" w:ascii="仿宋" w:hAnsi="仿宋" w:eastAsia="仿宋" w:cs="仿宋"/>
          <w:color w:val="auto"/>
          <w:szCs w:val="21"/>
          <w:highlight w:val="none"/>
          <w:u w:val="single"/>
        </w:rPr>
        <w:t>通用条款第1 种方式</w:t>
      </w:r>
      <w:r>
        <w:rPr>
          <w:rFonts w:hint="eastAsia" w:ascii="仿宋" w:hAnsi="仿宋" w:eastAsia="仿宋" w:cs="仿宋"/>
          <w:color w:val="auto"/>
          <w:szCs w:val="21"/>
          <w:highlight w:val="none"/>
        </w:rPr>
        <w:t>确定。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第3种方式：承包人直接实施的暂估价项目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承包人直接实施的暂估价项目的约定：</w:t>
      </w:r>
      <w:r>
        <w:rPr>
          <w:rFonts w:hint="eastAsia" w:ascii="仿宋" w:hAnsi="仿宋" w:eastAsia="仿宋" w:cs="仿宋"/>
          <w:color w:val="auto"/>
          <w:szCs w:val="21"/>
          <w:highlight w:val="none"/>
          <w:u w:val="single"/>
        </w:rPr>
        <w:t xml:space="preserve">  无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10.8 暂列金额</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合同当事人关于暂列金额使用的约定：</w:t>
      </w:r>
      <w:r>
        <w:rPr>
          <w:rFonts w:hint="eastAsia" w:ascii="仿宋" w:hAnsi="仿宋" w:eastAsia="仿宋" w:cs="仿宋"/>
          <w:color w:val="auto"/>
          <w:szCs w:val="21"/>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经发包人签证后确定全部使用、部分使用或不使用。暂列金不计入工程款付款的基数。</w:t>
      </w:r>
    </w:p>
    <w:p>
      <w:pPr>
        <w:pStyle w:val="6"/>
        <w:numPr>
          <w:ilvl w:val="0"/>
          <w:numId w:val="0"/>
        </w:numPr>
        <w:autoSpaceDN w:val="0"/>
        <w:spacing w:before="0" w:after="0" w:line="300" w:lineRule="auto"/>
        <w:ind w:firstLine="105" w:firstLineChars="5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11. 价格调整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市场价格波动引起的调整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市场价格波动是否调整合同价格的约定：</w:t>
      </w:r>
      <w:r>
        <w:rPr>
          <w:rFonts w:hint="eastAsia" w:ascii="仿宋" w:hAnsi="仿宋" w:eastAsia="仿宋" w:cs="仿宋"/>
          <w:color w:val="auto"/>
          <w:szCs w:val="21"/>
          <w:highlight w:val="none"/>
          <w:u w:val="single"/>
        </w:rPr>
        <w:t xml:space="preserve">材料价格调整按自治区调差文件执行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因市场价格波动调整合同价格，采用以下第</w:t>
      </w:r>
      <w:r>
        <w:rPr>
          <w:rFonts w:hint="eastAsia" w:ascii="仿宋" w:hAnsi="仿宋" w:eastAsia="仿宋" w:cs="仿宋"/>
          <w:color w:val="auto"/>
          <w:szCs w:val="21"/>
          <w:highlight w:val="none"/>
          <w:u w:val="single"/>
        </w:rPr>
        <w:t xml:space="preserve">  2.3  </w:t>
      </w:r>
      <w:r>
        <w:rPr>
          <w:rFonts w:hint="eastAsia" w:ascii="仿宋" w:hAnsi="仿宋" w:eastAsia="仿宋" w:cs="仿宋"/>
          <w:color w:val="auto"/>
          <w:szCs w:val="21"/>
          <w:highlight w:val="none"/>
        </w:rPr>
        <w:t>种方式对合同价格进行调整：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第1种方式：采用价格指数进行价格调整。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关于各可调因子、定值和变值权重，以及基本价格指数及其来源的约定：</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第2种方式：采用造价信息进行价格调整。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（2）关于基准价格的约定：</w:t>
      </w:r>
      <w:r>
        <w:rPr>
          <w:rFonts w:hint="eastAsia" w:ascii="仿宋" w:hAnsi="仿宋" w:eastAsia="仿宋" w:cs="仿宋"/>
          <w:color w:val="auto"/>
          <w:szCs w:val="21"/>
          <w:highlight w:val="none"/>
          <w:u w:val="single"/>
        </w:rPr>
        <w:t>执行开标前28天造价主管部门发布的最新信息价</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Cs w:val="21"/>
          <w:highlight w:val="none"/>
          <w:u w:val="single"/>
        </w:rPr>
        <w:t xml:space="preserve"> 5 </w:t>
      </w:r>
      <w:r>
        <w:rPr>
          <w:rFonts w:hint="eastAsia" w:ascii="仿宋" w:hAnsi="仿宋" w:eastAsia="仿宋" w:cs="仿宋"/>
          <w:color w:val="auto"/>
          <w:szCs w:val="21"/>
          <w:highlight w:val="none"/>
        </w:rPr>
        <w:t>%时，或材料单价跌幅以已标价工程量清单或预算书中载明材料单价为基础超过</w:t>
      </w:r>
      <w:r>
        <w:rPr>
          <w:rFonts w:hint="eastAsia" w:ascii="仿宋" w:hAnsi="仿宋" w:eastAsia="仿宋" w:cs="仿宋"/>
          <w:color w:val="auto"/>
          <w:szCs w:val="21"/>
          <w:highlight w:val="none"/>
          <w:u w:val="single"/>
        </w:rPr>
        <w:t xml:space="preserve"> 5</w:t>
      </w:r>
      <w:r>
        <w:rPr>
          <w:rFonts w:hint="eastAsia" w:ascii="仿宋" w:hAnsi="仿宋" w:eastAsia="仿宋" w:cs="仿宋"/>
          <w:color w:val="auto"/>
          <w:szCs w:val="21"/>
          <w:highlight w:val="none"/>
        </w:rPr>
        <w:t>%时，其超过部分据实调整。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Cs w:val="21"/>
          <w:highlight w:val="none"/>
          <w:u w:val="single"/>
        </w:rPr>
        <w:t xml:space="preserve"> 5  </w:t>
      </w:r>
      <w:r>
        <w:rPr>
          <w:rFonts w:hint="eastAsia" w:ascii="仿宋" w:hAnsi="仿宋" w:eastAsia="仿宋" w:cs="仿宋"/>
          <w:color w:val="auto"/>
          <w:szCs w:val="21"/>
          <w:highlight w:val="none"/>
        </w:rPr>
        <w:t>%时，材料单价涨幅以已标价工程量清单或预算书中载明材料单价为基础超过</w:t>
      </w:r>
      <w:r>
        <w:rPr>
          <w:rFonts w:hint="eastAsia" w:ascii="仿宋" w:hAnsi="仿宋" w:eastAsia="仿宋" w:cs="仿宋"/>
          <w:color w:val="auto"/>
          <w:szCs w:val="21"/>
          <w:highlight w:val="none"/>
          <w:u w:val="single"/>
        </w:rPr>
        <w:t xml:space="preserve"> 5 </w:t>
      </w:r>
      <w:r>
        <w:rPr>
          <w:rFonts w:hint="eastAsia" w:ascii="仿宋" w:hAnsi="仿宋" w:eastAsia="仿宋" w:cs="仿宋"/>
          <w:color w:val="auto"/>
          <w:szCs w:val="21"/>
          <w:highlight w:val="none"/>
        </w:rPr>
        <w:t>%时，其超过部分据实调整。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Cs w:val="21"/>
          <w:highlight w:val="none"/>
          <w:u w:val="single"/>
        </w:rPr>
        <w:t xml:space="preserve">  5 </w:t>
      </w:r>
      <w:r>
        <w:rPr>
          <w:rFonts w:hint="eastAsia" w:ascii="仿宋" w:hAnsi="仿宋" w:eastAsia="仿宋" w:cs="仿宋"/>
          <w:color w:val="auto"/>
          <w:szCs w:val="21"/>
          <w:highlight w:val="none"/>
        </w:rPr>
        <w:t>%时，其超过部分据实调整。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第3种方式：其他价格调整方式：</w:t>
      </w:r>
      <w:r>
        <w:rPr>
          <w:rFonts w:hint="eastAsia" w:ascii="仿宋" w:hAnsi="仿宋" w:eastAsia="仿宋" w:cs="仿宋"/>
          <w:color w:val="auto"/>
          <w:szCs w:val="21"/>
          <w:highlight w:val="none"/>
          <w:u w:val="single"/>
        </w:rPr>
        <w:t xml:space="preserve"> 合同价款在协议书内约定后，任何一方不得擅自改变。双方约定合同单价包含的风险范围和风险费用的计算方法，在约定的风险范围内合同单价不再调整，根据本工程特点具体约定如下：（1）调整价差的主要材料（砂、砾石、沥青混凝土、混凝土、水泥稳定层等）按工程造价管理总站中信息价文件内容执行。（2）合同工程基准期为开标前28天。（3）承包人按《建设工程工程量清单计价规范》规定的工程量计算规则及本地区工程量清单计价办法，以设计图纸、技术规范为依据进行计算，提交计量报告，经造价工程师计量确认后按工程量清单中的单价计算，交发包人审批后支付金额。（4）投标清单中材料超出相关定额规定的含量不予调差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12. 合同价格、计量与支付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 合同价格形式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1、单价合同。</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综合单价包含的风险范围：</w:t>
      </w:r>
      <w:r>
        <w:rPr>
          <w:rFonts w:hint="eastAsia" w:ascii="仿宋" w:hAnsi="仿宋" w:eastAsia="仿宋" w:cs="仿宋"/>
          <w:color w:val="auto"/>
          <w:szCs w:val="21"/>
          <w:highlight w:val="none"/>
          <w:u w:val="single"/>
        </w:rPr>
        <w:t>（1）以投标截止日前28天为基准日，其后国家的法律、法规、规章和政策发生变化引起工程造价增减变化的，发、承包人双方应当按照省级或行业建设主管部门或其授权的工程造价管理机构据此发布的规定调整合同价款。（2）以投标截止日前 28天为基准日，自治区和乌鲁木齐建设主管部门发布的人工费调整。（3）由政府定价或政府指导价管理的主要材料（砂、砾石、沥青混凝土、混凝土、水泥稳定层等）调整价格变化超过5%以上部分。（4）以投标截止日前 28天为基准日，施工机械台班单价或施工机械使用费涨幅超过自治区和鸟鲁木齐市建设主管部门或其授权的工程造价管理机构规定的范围时。</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风险费用的计算方法：</w:t>
      </w:r>
      <w:r>
        <w:rPr>
          <w:rFonts w:hint="eastAsia" w:ascii="仿宋" w:hAnsi="仿宋" w:eastAsia="仿宋" w:cs="仿宋"/>
          <w:color w:val="auto"/>
          <w:szCs w:val="21"/>
          <w:highlight w:val="none"/>
          <w:u w:val="single"/>
        </w:rPr>
        <w:t> 1、对于主要由市场价格波动导致的价格风险及人工、 材料、机械费用上涨风险，如工程造价中的主要材料（砂、砾石、沥青混凝土、混凝土、水泥稳定层等）等价格风险，承包人可承担5%以内的材料价格风险，10%施工机械使用费的风险。2、对于法律、法 规、规章或有关政策出台导致工程税金、规费、人工发生变化，并由省级、行业建设行政主管部门或其授权的工程造价管理机构根据上述变化发布的政策性调 整，承包人不应承担此类风险，应按照有关调整规定执行。3、对于承包人根据 自身技术水平、管理、经营状况能够自主控制的风险，如承包人的管理费、利润的风险，承包人应结合市场情况，根据企业自身实际合理确定、自主报价，该部 分风险由承包人全部承担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风险范围以外合同价格的调整方法：</w:t>
      </w:r>
      <w:r>
        <w:rPr>
          <w:rFonts w:hint="eastAsia" w:ascii="仿宋" w:hAnsi="仿宋" w:eastAsia="仿宋" w:cs="仿宋"/>
          <w:color w:val="auto"/>
          <w:szCs w:val="21"/>
          <w:highlight w:val="none"/>
          <w:u w:val="singl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2、总价合同。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总价包含的风险范围：</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风险费用的计算方法：</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风险范围以外合同价格的调整方法：</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3、其他价格方式：</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 预付款</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12.2.1 预付款的支付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预付款支付比例或金额：</w:t>
      </w:r>
      <w:r>
        <w:rPr>
          <w:rFonts w:hint="eastAsia" w:ascii="仿宋" w:hAnsi="仿宋" w:eastAsia="仿宋" w:cs="仿宋"/>
          <w:color w:val="auto"/>
          <w:szCs w:val="21"/>
          <w:highlight w:val="none"/>
          <w:u w:val="single"/>
        </w:rPr>
        <w:t>无预付款</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预付款支付期限：</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预付款扣回的方式：</w:t>
      </w:r>
      <w:r>
        <w:rPr>
          <w:rFonts w:hint="eastAsia" w:ascii="仿宋" w:hAnsi="仿宋" w:eastAsia="仿宋" w:cs="仿宋"/>
          <w:color w:val="auto"/>
          <w:szCs w:val="21"/>
          <w:highlight w:val="none"/>
          <w:u w:val="single"/>
        </w:rPr>
        <w:t>合同履行过程中无预付款，按工程进度支付。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12.2.2 预付款担保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承包人提交预付款担保的期限：</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预付款担保的形式为：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 计量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12.3.1 计量原则</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工程量计算规则：</w:t>
      </w:r>
      <w:r>
        <w:rPr>
          <w:rFonts w:hint="eastAsia" w:ascii="仿宋" w:hAnsi="仿宋" w:eastAsia="仿宋" w:cs="仿宋"/>
          <w:color w:val="auto"/>
          <w:szCs w:val="21"/>
          <w:highlight w:val="none"/>
          <w:u w:val="single"/>
        </w:rPr>
        <w:t>执行国家标准《建设工程工程量清单计价规范》（GB50500—2013）或其适用的修订版本。</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12.3.2 计量周期</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关于计量周期的约定：</w:t>
      </w:r>
      <w:r>
        <w:rPr>
          <w:rFonts w:hint="eastAsia" w:ascii="仿宋" w:hAnsi="仿宋" w:eastAsia="仿宋" w:cs="仿宋"/>
          <w:color w:val="auto"/>
          <w:szCs w:val="21"/>
          <w:highlight w:val="none"/>
          <w:u w:val="single"/>
        </w:rPr>
        <w:t>每月22日提供已完成工程报表一式五份，并由工程师签字。</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12.3.3 单价合同的计量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关于单价合同计量的约定：</w:t>
      </w:r>
      <w:r>
        <w:rPr>
          <w:rFonts w:hint="eastAsia" w:ascii="仿宋" w:hAnsi="仿宋" w:eastAsia="仿宋" w:cs="仿宋"/>
          <w:color w:val="auto"/>
          <w:szCs w:val="21"/>
          <w:highlight w:val="none"/>
          <w:u w:val="single"/>
        </w:rPr>
        <w:t>执行通用条款</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12.3.4 总价合同的计量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关于总价合同计量的约定：</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12.3.5总价合同采用支付分解表计量支付的，是否适用第12.3.4 项〔总价合同的计量〕约定进行计量：</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12.3.6 其他价格形式合同的计量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其他价格形式的计量方式和程序：</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 工程进度款支付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12.4.1 付款周期</w:t>
      </w:r>
    </w:p>
    <w:p>
      <w:pPr>
        <w:autoSpaceDN w:val="0"/>
        <w:spacing w:line="300" w:lineRule="auto"/>
        <w:ind w:firstLine="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关于付款周期的约定：</w:t>
      </w:r>
      <w:r>
        <w:rPr>
          <w:rFonts w:hint="eastAsia" w:ascii="仿宋" w:hAnsi="仿宋" w:eastAsia="仿宋" w:cs="仿宋"/>
          <w:color w:val="auto"/>
          <w:szCs w:val="21"/>
          <w:highlight w:val="none"/>
          <w:lang w:val="en-US" w:eastAsia="zh-CN"/>
        </w:rPr>
        <w:t>合同签订后支付合同价款的20%预付款，后期施工按照进度85%支付。全部竣工验收支付至合同总价的 85% ，审计后付结算价的 97%，余款 3% 作为质量保证金，等质保期满后 15 天内一次性付清（无息）。施工周期：自甲方通知进场之日起90天完成。</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12.4.2 进度付款申请单的编制</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关于进度付款申请单编制的约定：</w:t>
      </w:r>
      <w:r>
        <w:rPr>
          <w:rFonts w:hint="eastAsia" w:ascii="仿宋" w:hAnsi="仿宋" w:eastAsia="仿宋" w:cs="仿宋"/>
          <w:color w:val="auto"/>
          <w:szCs w:val="21"/>
          <w:highlight w:val="none"/>
          <w:u w:val="single"/>
        </w:rPr>
        <w:t>按月申请。</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12.4.3 进度付款申请单的提交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（1）单价合同进度付款申请单提交的约定：</w:t>
      </w:r>
      <w:r>
        <w:rPr>
          <w:rFonts w:hint="eastAsia" w:ascii="仿宋" w:hAnsi="仿宋" w:eastAsia="仿宋" w:cs="仿宋"/>
          <w:color w:val="auto"/>
          <w:szCs w:val="21"/>
          <w:highlight w:val="none"/>
          <w:u w:val="single"/>
        </w:rPr>
        <w:t>进度款申请单一式五份</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（2）总价合同进度付款申请单提交的约定：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（3）其他价格形式合同进度付款申请单提交的约定：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12.4.4 进度款审核和支付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（1）监理人审查并报送发包人的期限：</w:t>
      </w:r>
      <w:r>
        <w:rPr>
          <w:rFonts w:hint="eastAsia" w:ascii="仿宋" w:hAnsi="仿宋" w:eastAsia="仿宋" w:cs="仿宋"/>
          <w:color w:val="auto"/>
          <w:szCs w:val="21"/>
          <w:highlight w:val="none"/>
          <w:u w:val="single"/>
        </w:rPr>
        <w:t>收到申请7日内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发包人完成审批并签发进度款支付证书的期限：</w:t>
      </w:r>
      <w:r>
        <w:rPr>
          <w:rFonts w:hint="eastAsia" w:ascii="仿宋" w:hAnsi="仿宋" w:eastAsia="仿宋" w:cs="仿宋"/>
          <w:color w:val="auto"/>
          <w:szCs w:val="21"/>
          <w:highlight w:val="none"/>
          <w:u w:val="single"/>
        </w:rPr>
        <w:t>收到申请7日内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（2）发包人支付进度款的期限：</w:t>
      </w:r>
      <w:r>
        <w:rPr>
          <w:rFonts w:hint="eastAsia" w:ascii="仿宋" w:hAnsi="仿宋" w:eastAsia="仿宋" w:cs="仿宋"/>
          <w:color w:val="auto"/>
          <w:szCs w:val="21"/>
          <w:highlight w:val="none"/>
          <w:u w:val="single"/>
        </w:rPr>
        <w:t> 无。</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发包人逾期支付进度款的违约金的计算方式：</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12.4.6 支付分解表的编制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2、总价合同支付分解表的编制与审批：</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3、单价合同的总价项目支付分解表的编制与审批：   </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13. 验收和工程试车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 分部分项工程验收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13.1.2监理人不能按时进行验收时，应提前</w:t>
      </w:r>
      <w:r>
        <w:rPr>
          <w:rFonts w:hint="eastAsia" w:ascii="仿宋" w:hAnsi="仿宋" w:eastAsia="仿宋" w:cs="仿宋"/>
          <w:color w:val="auto"/>
          <w:szCs w:val="21"/>
          <w:highlight w:val="none"/>
          <w:u w:val="single"/>
        </w:rPr>
        <w:t xml:space="preserve">  24  </w:t>
      </w:r>
      <w:r>
        <w:rPr>
          <w:rFonts w:hint="eastAsia" w:ascii="仿宋" w:hAnsi="仿宋" w:eastAsia="仿宋" w:cs="仿宋"/>
          <w:color w:val="auto"/>
          <w:szCs w:val="21"/>
          <w:highlight w:val="none"/>
        </w:rPr>
        <w:t>小时提交书面延期要求。</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关于延期最长不得超过：</w:t>
      </w:r>
      <w:r>
        <w:rPr>
          <w:rFonts w:hint="eastAsia" w:ascii="仿宋" w:hAnsi="仿宋" w:eastAsia="仿宋" w:cs="仿宋"/>
          <w:color w:val="auto"/>
          <w:szCs w:val="21"/>
          <w:highlight w:val="none"/>
          <w:u w:val="single"/>
        </w:rPr>
        <w:t xml:space="preserve">    48  </w:t>
      </w:r>
      <w:r>
        <w:rPr>
          <w:rFonts w:hint="eastAsia" w:ascii="仿宋" w:hAnsi="仿宋" w:eastAsia="仿宋" w:cs="仿宋"/>
          <w:color w:val="auto"/>
          <w:szCs w:val="21"/>
          <w:highlight w:val="none"/>
        </w:rPr>
        <w:t>小时。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 竣工验收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13.2.2竣工验收程序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关于竣工验收程序的约定：</w:t>
      </w:r>
      <w:r>
        <w:rPr>
          <w:rFonts w:hint="eastAsia" w:ascii="仿宋" w:hAnsi="仿宋" w:eastAsia="仿宋" w:cs="仿宋"/>
          <w:color w:val="auto"/>
          <w:szCs w:val="21"/>
          <w:highlight w:val="none"/>
          <w:u w:val="single"/>
        </w:rPr>
        <w:t xml:space="preserve">执行通用条款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发包人不按照本项约定组织竣工验收、颁发工程接收证书的违约金的计算方法：</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13.2.5移交、接收全部与部分工程</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承包人向发包人移交工程的期限：</w:t>
      </w:r>
      <w:r>
        <w:rPr>
          <w:rFonts w:hint="eastAsia" w:ascii="仿宋" w:hAnsi="仿宋" w:eastAsia="仿宋" w:cs="仿宋"/>
          <w:color w:val="auto"/>
          <w:szCs w:val="21"/>
          <w:highlight w:val="none"/>
          <w:u w:val="single"/>
        </w:rPr>
        <w:t>应当在工程验收合格后7天内完成工程的移交。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发包人未按本合同约定接收全部或部分工程的，违约金的计算方法为：</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承包人未按时移交工程的，违约金的计算方法为：</w:t>
      </w:r>
      <w:r>
        <w:rPr>
          <w:rFonts w:hint="eastAsia" w:ascii="仿宋" w:hAnsi="仿宋" w:eastAsia="仿宋" w:cs="仿宋"/>
          <w:color w:val="auto"/>
          <w:szCs w:val="21"/>
          <w:highlight w:val="none"/>
          <w:u w:val="single"/>
        </w:rPr>
        <w:t>承包人未能及时移交工程时，延误按3000元/天从工程结算款中扣除。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13.3 工程试车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13.3.1 试车程序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工程试车内容：</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（1）单机无负荷试车费用由</w:t>
      </w:r>
      <w:r>
        <w:rPr>
          <w:rFonts w:hint="eastAsia" w:ascii="仿宋" w:hAnsi="仿宋" w:eastAsia="仿宋" w:cs="仿宋"/>
          <w:color w:val="auto"/>
          <w:szCs w:val="21"/>
          <w:highlight w:val="none"/>
          <w:u w:val="single"/>
        </w:rPr>
        <w:t xml:space="preserve">承包人 </w:t>
      </w:r>
      <w:r>
        <w:rPr>
          <w:rFonts w:hint="eastAsia" w:ascii="仿宋" w:hAnsi="仿宋" w:eastAsia="仿宋" w:cs="仿宋"/>
          <w:color w:val="auto"/>
          <w:szCs w:val="21"/>
          <w:highlight w:val="none"/>
        </w:rPr>
        <w:t>承担；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（2）无负荷联动试车费用由</w:t>
      </w:r>
      <w:r>
        <w:rPr>
          <w:rFonts w:hint="eastAsia" w:ascii="仿宋" w:hAnsi="仿宋" w:eastAsia="仿宋" w:cs="仿宋"/>
          <w:color w:val="auto"/>
          <w:szCs w:val="21"/>
          <w:highlight w:val="none"/>
          <w:u w:val="single"/>
        </w:rPr>
        <w:t>承包人</w:t>
      </w:r>
      <w:r>
        <w:rPr>
          <w:rFonts w:hint="eastAsia" w:ascii="仿宋" w:hAnsi="仿宋" w:eastAsia="仿宋" w:cs="仿宋"/>
          <w:color w:val="auto"/>
          <w:szCs w:val="21"/>
          <w:highlight w:val="none"/>
        </w:rPr>
        <w:t>承担。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13.3.3 投料试车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关于投料试车相关事项的约定</w:t>
      </w:r>
      <w:r>
        <w:rPr>
          <w:rFonts w:hint="eastAsia" w:ascii="仿宋" w:hAnsi="仿宋" w:eastAsia="仿宋" w:cs="仿宋"/>
          <w:color w:val="auto"/>
          <w:szCs w:val="21"/>
          <w:highlight w:val="none"/>
          <w:u w:val="single"/>
        </w:rPr>
        <w:t>如需进行投料试车的，竣工验收时由承包人实施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13.6 竣工退场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13.6.1 竣工退场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承包人完成竣工退场的期限：</w:t>
      </w:r>
      <w:r>
        <w:rPr>
          <w:rFonts w:hint="eastAsia" w:ascii="仿宋" w:hAnsi="仿宋" w:eastAsia="仿宋" w:cs="仿宋"/>
          <w:color w:val="auto"/>
          <w:szCs w:val="21"/>
          <w:highlight w:val="none"/>
          <w:u w:val="single"/>
        </w:rPr>
        <w:t>整改正式竣工验收后3日内退场，每延误1天按3000元罚款，发包人从工程结算款中扣除。</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14. 竣工结算</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14.1 竣工付款申请</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承包人提交竣工付款申请单的期限：</w:t>
      </w:r>
      <w:r>
        <w:rPr>
          <w:rFonts w:hint="eastAsia" w:ascii="仿宋" w:hAnsi="仿宋" w:eastAsia="仿宋" w:cs="仿宋"/>
          <w:color w:val="auto"/>
          <w:szCs w:val="21"/>
          <w:highlight w:val="none"/>
          <w:u w:val="single"/>
        </w:rPr>
        <w:t>承包人应在工程竣工验收合格后28天内向发包人和监理人提交竣工结算申请单，并提交完整的结算资料5份，在工程竣工验收合格后30天内向发包人提交完整合格工程资料六套，每延误1天按3000元罚款，发包人从工程结算款中扣除</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竣工付款申请单应包括的内容：</w:t>
      </w:r>
      <w:r>
        <w:rPr>
          <w:rFonts w:hint="eastAsia" w:ascii="仿宋" w:hAnsi="仿宋" w:eastAsia="仿宋" w:cs="仿宋"/>
          <w:color w:val="auto"/>
          <w:szCs w:val="21"/>
          <w:highlight w:val="none"/>
          <w:u w:val="single"/>
        </w:rPr>
        <w:t>见发包人竣工验收报告书规定。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14.2 竣工结算审核</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发包人审批竣工付款申请单的期限：</w:t>
      </w:r>
      <w:r>
        <w:rPr>
          <w:rFonts w:hint="eastAsia" w:ascii="仿宋" w:hAnsi="仿宋" w:eastAsia="仿宋" w:cs="仿宋"/>
          <w:color w:val="auto"/>
          <w:szCs w:val="21"/>
          <w:highlight w:val="none"/>
          <w:u w:val="single"/>
        </w:rPr>
        <w:t>审计结果确定后20日内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发包人完成竣工付款的期限：</w:t>
      </w:r>
      <w:r>
        <w:rPr>
          <w:rFonts w:hint="eastAsia" w:ascii="仿宋" w:hAnsi="仿宋" w:eastAsia="仿宋" w:cs="仿宋"/>
          <w:color w:val="auto"/>
          <w:szCs w:val="21"/>
          <w:highlight w:val="none"/>
          <w:u w:val="single"/>
        </w:rPr>
        <w:t>结算审计的结果确定后28日内。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关于竣工付款证书异议部分复核的方式和程序：</w:t>
      </w:r>
      <w:r>
        <w:rPr>
          <w:rFonts w:hint="eastAsia" w:ascii="仿宋" w:hAnsi="仿宋" w:eastAsia="仿宋" w:cs="仿宋"/>
          <w:color w:val="auto"/>
          <w:szCs w:val="21"/>
          <w:highlight w:val="none"/>
          <w:u w:val="single"/>
        </w:rPr>
        <w:t>执行通用条款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14.4 最终结清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14.4.1 最终结清申请单</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承包人提交最终结清申请单的份数：</w:t>
      </w:r>
      <w:r>
        <w:rPr>
          <w:rFonts w:hint="eastAsia" w:ascii="仿宋" w:hAnsi="仿宋" w:eastAsia="仿宋" w:cs="仿宋"/>
          <w:color w:val="auto"/>
          <w:szCs w:val="21"/>
          <w:highlight w:val="none"/>
          <w:u w:val="single"/>
        </w:rPr>
        <w:t xml:space="preserve">五份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承包人提交最终结算申请单的期限：</w:t>
      </w:r>
      <w:r>
        <w:rPr>
          <w:rFonts w:hint="eastAsia" w:ascii="仿宋" w:hAnsi="仿宋" w:eastAsia="仿宋" w:cs="仿宋"/>
          <w:color w:val="auto"/>
          <w:szCs w:val="21"/>
          <w:highlight w:val="none"/>
          <w:u w:val="single"/>
        </w:rPr>
        <w:t>工程各部位的质量保修全部期满后14日内 </w:t>
      </w:r>
      <w:r>
        <w:rPr>
          <w:rFonts w:hint="eastAsia" w:ascii="仿宋" w:hAnsi="仿宋" w:eastAsia="仿宋" w:cs="仿宋"/>
          <w:color w:val="auto"/>
          <w:szCs w:val="21"/>
          <w:highlight w:val="non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14.4.2 最终结清证书和支付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（1）发包人完成最终结清申请单的审批并颁发最终结清证书的期限：</w:t>
      </w:r>
      <w:r>
        <w:rPr>
          <w:rFonts w:hint="eastAsia" w:ascii="仿宋" w:hAnsi="仿宋" w:eastAsia="仿宋" w:cs="仿宋"/>
          <w:color w:val="auto"/>
          <w:szCs w:val="21"/>
          <w:highlight w:val="none"/>
          <w:u w:val="single"/>
        </w:rPr>
        <w:t>收到申请14天内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（2）发包人完成支付的期限：</w:t>
      </w:r>
      <w:r>
        <w:rPr>
          <w:rFonts w:hint="eastAsia" w:ascii="仿宋" w:hAnsi="仿宋" w:eastAsia="仿宋" w:cs="仿宋"/>
          <w:color w:val="auto"/>
          <w:szCs w:val="21"/>
          <w:highlight w:val="none"/>
          <w:u w:val="single"/>
        </w:rPr>
        <w:t>结申请签发后14日内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15. 缺陷责任期与保修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15.2缺陷责任期</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缺陷责任期的具体期限：</w:t>
      </w:r>
      <w:r>
        <w:rPr>
          <w:rFonts w:hint="eastAsia" w:ascii="仿宋" w:hAnsi="仿宋" w:eastAsia="仿宋" w:cs="仿宋"/>
          <w:color w:val="auto"/>
          <w:szCs w:val="21"/>
          <w:highlight w:val="none"/>
          <w:u w:val="single"/>
        </w:rPr>
        <w:t> 执行国家、行业及自治区标准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 质量保证金</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关于是否扣留质量保证金的约定：</w:t>
      </w:r>
      <w:r>
        <w:rPr>
          <w:rFonts w:hint="eastAsia" w:ascii="仿宋" w:hAnsi="仿宋" w:eastAsia="仿宋" w:cs="仿宋"/>
          <w:color w:val="auto"/>
          <w:szCs w:val="21"/>
          <w:highlight w:val="none"/>
          <w:u w:val="single"/>
        </w:rPr>
        <w:t>扣留质量保证金为结算价的10%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 承包人提供质量保证金的方式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质量保证金采用以下第</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种方式：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（1）质量保证金保函，保证金额为：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u w:val="single"/>
          <w:lang w:val="en-US" w:eastAsia="zh-CN"/>
        </w:rPr>
        <w:t>3</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%的工程结算款；</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（3）其他方式:</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15.3.2 质量保证金的扣留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质量保证金的扣留采取以下第</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种方式：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（1）在支付工程进度款时逐次扣留，在此情形下，质量保证金的计算基数不包括预付款的支付、扣回以及价格调整的金额；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（2）工程竣工结算时一次性扣留质量保证金；</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（3）其他扣留方式:</w:t>
      </w:r>
      <w:r>
        <w:rPr>
          <w:rFonts w:hint="eastAsia" w:ascii="仿宋" w:hAnsi="仿宋" w:eastAsia="仿宋" w:cs="仿宋"/>
          <w:color w:val="auto"/>
          <w:szCs w:val="21"/>
          <w:highlight w:val="none"/>
          <w:u w:val="single"/>
        </w:rPr>
        <w:t xml:space="preserve">             /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关于质量保证金的补充约定：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15.4保修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15.4.1 保修责任</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工程保修期为：</w:t>
      </w:r>
      <w:r>
        <w:rPr>
          <w:rFonts w:hint="eastAsia" w:ascii="仿宋" w:hAnsi="仿宋" w:eastAsia="仿宋" w:cs="仿宋"/>
          <w:color w:val="auto"/>
          <w:szCs w:val="21"/>
          <w:highlight w:val="none"/>
          <w:u w:val="single"/>
        </w:rPr>
        <w:t xml:space="preserve">二年，图纸约定保修年限高于国家规定最低年限的分项工程，以图纸规定为准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15.4.3 修复通知</w:t>
      </w:r>
    </w:p>
    <w:p>
      <w:pPr>
        <w:autoSpaceDN w:val="0"/>
        <w:spacing w:line="300" w:lineRule="auto"/>
        <w:ind w:firstLine="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承包人收到保修通知并到达工程现场的合理时间：</w:t>
      </w:r>
      <w:r>
        <w:rPr>
          <w:rFonts w:hint="eastAsia" w:ascii="仿宋" w:hAnsi="仿宋" w:eastAsia="仿宋" w:cs="仿宋"/>
          <w:color w:val="auto"/>
          <w:szCs w:val="21"/>
          <w:highlight w:val="none"/>
          <w:u w:val="single"/>
        </w:rPr>
        <w:t>保修期内承包人保证在  24小时内到达现场并提供维修，若出现问题承包人在24小时内没有解决或给出合理方案，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autoSpaceDN w:val="0"/>
        <w:spacing w:line="300" w:lineRule="auto"/>
        <w:ind w:firstLine="409" w:firstLineChars="19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工程保修期满，若因承包方施工原因造成的质量问题，仍应由承包方负责。</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16. 违约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 发包人违约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16.1.1发包人违约的情形</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发包人违约的其他情形：</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16.1.2 发包人违约的责任</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发包人违约责任的承担方式和计算方法：</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（1）因发包人原因未能在计划开工日期前7天内下达开工通知的违约责任：</w:t>
      </w:r>
      <w:r>
        <w:rPr>
          <w:rFonts w:hint="eastAsia" w:ascii="仿宋" w:hAnsi="仿宋" w:eastAsia="仿宋" w:cs="仿宋"/>
          <w:color w:val="auto"/>
          <w:szCs w:val="21"/>
          <w:highlight w:val="none"/>
          <w:u w:val="single"/>
        </w:rPr>
        <w:t>执行通用条款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（2）因发包人原因未能按合同约定支付合同价款的违约责任：</w:t>
      </w:r>
      <w:r>
        <w:rPr>
          <w:rFonts w:hint="eastAsia" w:ascii="仿宋" w:hAnsi="仿宋" w:eastAsia="仿宋" w:cs="仿宋"/>
          <w:color w:val="auto"/>
          <w:szCs w:val="21"/>
          <w:highlight w:val="none"/>
          <w:u w:val="single"/>
        </w:rPr>
        <w:t>工期顺延</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（3）发包人违反第10.1款〔变更的范围〕第（2）项约定，自行实施被取消的工作或转由他人实施的违约责任：</w:t>
      </w:r>
      <w:r>
        <w:rPr>
          <w:rFonts w:hint="eastAsia" w:ascii="仿宋" w:hAnsi="仿宋" w:eastAsia="仿宋" w:cs="仿宋"/>
          <w:color w:val="auto"/>
          <w:szCs w:val="21"/>
          <w:highlight w:val="none"/>
          <w:u w:val="single"/>
        </w:rPr>
        <w:t> 工期顺延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Cs w:val="21"/>
          <w:highlight w:val="none"/>
          <w:u w:val="single"/>
        </w:rPr>
        <w:t> 工期顺延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（5）因发包人违反合同约定造成暂停施工的违约责任：</w:t>
      </w:r>
      <w:r>
        <w:rPr>
          <w:rFonts w:hint="eastAsia" w:ascii="仿宋" w:hAnsi="仿宋" w:eastAsia="仿宋" w:cs="仿宋"/>
          <w:color w:val="auto"/>
          <w:szCs w:val="21"/>
          <w:highlight w:val="none"/>
          <w:u w:val="single"/>
        </w:rPr>
        <w:t>无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（6）发包人无正当理由没有在约定期限内发出复工指示，导致承包人无法复工的违约责任：</w:t>
      </w:r>
      <w:r>
        <w:rPr>
          <w:rFonts w:hint="eastAsia" w:ascii="仿宋" w:hAnsi="仿宋" w:eastAsia="仿宋" w:cs="仿宋"/>
          <w:color w:val="auto"/>
          <w:szCs w:val="21"/>
          <w:highlight w:val="none"/>
          <w:u w:val="single"/>
        </w:rPr>
        <w:t>无。</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（7）其他：</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16.1.3 因发包人违约解除合同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承包人按16.1.1项〔发包人违约的情形〕约定暂停施工满</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天后发包人仍不纠正其违约行为并致使合同目的不能实现的，承包人有权解除合同。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承包人违约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16.2.1 承包人违约的情形</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承包人违约的其他情形：</w:t>
      </w:r>
      <w:r>
        <w:rPr>
          <w:rFonts w:hint="eastAsia" w:ascii="仿宋" w:hAnsi="仿宋" w:eastAsia="仿宋" w:cs="仿宋"/>
          <w:color w:val="auto"/>
          <w:szCs w:val="21"/>
          <w:highlight w:val="none"/>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万分之三的违约金，并且发包人有权单方解除本协议，没收履约保证金，停止支付工程款，涉及刑事犯罪的，发包人将依法向有关部门进行举报</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16.2.2承包人违约的责任</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承包人违约责任的承担方式和计算方法：（</w:t>
      </w:r>
      <w:r>
        <w:rPr>
          <w:rFonts w:hint="eastAsia" w:ascii="仿宋" w:hAnsi="仿宋" w:eastAsia="仿宋" w:cs="仿宋"/>
          <w:color w:val="auto"/>
          <w:szCs w:val="21"/>
          <w:highlight w:val="none"/>
          <w:u w:val="single"/>
        </w:rPr>
        <w:t>1）承包人有 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 其中，造成与承包人有关的第三方阻碍本项目移交使用的，自承包人接到发包人通知之日起 10日内，承包人必须完全完成清场退出工作，每延迟一天，按日向发包人支付 2000元的违约金。同时给发包人及相关单位工作带来不利影响或造成损失的，由承包人无条件承担相应赔偿等法律责任。2）工程竣工验收未达到合同约定的质量标准，承包人负责免费返修或返工重建，直至达到合同约定的质量标准为止，费用由承包人自行承担并承担由此给发包人造成的损失，工期不顺延，同时承包人向发包人支付经审定的工程竣工结算价款 3%的违约金，如给发包人造成损失，由此引起的费用由承包人无条件承担，此费用在应付工程款中扣除。施工过程中出现一般质量事故但不影响结构安全和功能的，每次向发包人支付人民币贰拾万元违约金，并无条件整改直至合格；施工过程中出现重大质量事故但不影响结构安全和功能的，每次向发包人支付签约合同价格 3%的违约金，并且发包人有权单方解除合同。施工过程中出现重大质量事故且影响结构安全和功能的，每次向发包人支付签约合同价格 5%的违约金，发包人有权单方解除合同，承包人同时应承担由此带来的一切损失；外观质量差，但不影响结构安全和功能的，每处向发包人支付人民币壹万违约金；对出现的质量事故必须在监理人、发包人规定的时间内完成整改，否则将按该项违约金的三倍赔偿。</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承包人未按施工规范施工或施工质量达不到合同规定要求的，自监理人发出整改通知之日起3日内，承包人必须无条件进行整改，费用自行承担。如整改后，仍达不到规定要求的，承包人除承担整改费用外还需向发包人支付签约合同价格 3%的违约金，发包人有权另行指定施工单位进行整改，其费用由承包人承担。</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（4）承包人提供和使用了不合格的材料和工程设备或进场滞后，限期在 12小时内退场，已使用的必须拆除。由此造成的影响工程质量和工期延误，造成的损失由承包人自行承担，并向发包人支付每次人民币壹拾万元的违约金。</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（5）承包人原因造成的质量事故、工程事故和安全事故，造成人身和财产损害的，承包人承担全部行政、民事和刑事责任，并承担损害赔偿责任，向发包人支付签约合同价格3%违约金，发包人有权单方解除合同。</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（6）承包人违反本专用合同条款第  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签订合同价格5‰的违约金。</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（7）未按发包人、监理人以及主管部门规定建立、健全安全、文明施工制度、措施等，每发现一处，承包人须向发包人支付人民币伍仟元违约金，出现一般安全事故、重大安全事故的按相关规定进行处罚。</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（8）未按发包人、监理人以及主管部门规定建立、健全安全、文明施工制度、措施等，每发现一处，承包人须向发包人支付人民币伍仟元违约金，出现一般安全事故、重大安全事故的按相关规定进行处罚。</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9）因承包人提供产品材质或工期不能满足发包人要求的，或承包人提供的材料或设备价格差异过大的，自监理人发出整改通知之日起3日内，承包人必须无条件进行整改，费用由承包人自行承担。如整改后，仍达不到规定要求的，发包人有权另行指定分包，其费用由承包人承担。</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（10）承包人不得以任何理由采取恶意停工、恶意闹事等方式，造成不良影响，每发生一次，承包人向发包人支付签约合同价格3%违约金，发包人有权单方解除本协议。</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（11）承包人应严格按照</w:t>
      </w:r>
      <w:r>
        <w:rPr>
          <w:rFonts w:hint="eastAsia" w:ascii="仿宋" w:hAnsi="仿宋" w:eastAsia="仿宋" w:cs="仿宋"/>
          <w:color w:val="auto"/>
          <w:szCs w:val="21"/>
          <w:highlight w:val="none"/>
          <w:u w:val="single"/>
          <w:lang w:eastAsia="zh-CN"/>
        </w:rPr>
        <w:t>响应文件</w:t>
      </w:r>
      <w:r>
        <w:rPr>
          <w:rFonts w:hint="eastAsia" w:ascii="仿宋" w:hAnsi="仿宋" w:eastAsia="仿宋" w:cs="仿宋"/>
          <w:color w:val="auto"/>
          <w:szCs w:val="21"/>
          <w:highlight w:val="none"/>
          <w:u w:val="single"/>
        </w:rPr>
        <w:t>中的承诺将劳务工工资发放到位，如出现因承包人恶意拖欠和拒不按计划偿付民工工资或未能按期足额支付农民工工资，导致民工到政府部门上访或到发包人处索要工资的情况，则每出现一次，承包人向发包人支付签约合同价格1%违约金发包人有权单方解除本协议，没收履约保证金，停止支付工程款，涉及刑事犯罪的，发包人将依法向有关部门进行举报。</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12）若发包人代为支付民工工资，发包人将按所代付民工工资总金额的10%向承包人收取管理费。并依据国家、自治区等相关法律、法规、政策文件予以严厉处罚，必要时可单方解除合同并依法追究承包人的责任。</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（13）承包人如发生二次（含二次）及以上未完成发包人要求的工程进度节点，承包人无条件接受发包人的另行委托，由此造成的损失由承包人承担。</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（14）承包人如未按要求参加发包人、监理人及行业主管部门对本项目组织的专题会，在请假未经同意的条件下（须经会议最高负责人同意），按项目经理  2000元/次、其他人员500元/次作违约金在当期付款及结算中扣除；若迟到，则项目经理按 500元/人.次，其他人员200元/人.次以现金方式向发包人支付。</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15）承包人违约，发包人可发出整改通知要求承包人限期进行整改，如承包人在规定时间内仍不纠正违约行为的，发包人有权单方解除合同，承包人向发包人支付签约合同价格3%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（16）承包人不得违规转包、分包工程，也不得肢解所承包的工程以其它名义转给他人。承包人违反本款规定，承包人应承担其违约所引起的费用增加和（或）工期延误及一切责任，并向发包人支付签约合同价格  5％的违约金，发包人有权单方解除本协议。</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（17）承包人逾期完工，按日向发包人支付五万元违约金，发包人有权单方解除合同，不支付工程款。</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（18）承包人施工质量不合格，向发包人支付签约合同价格   5%违约金，发包人有权选择要求承包人返修或者单方解除合同；要求返修的，按承包人逾期完工，执行本条上一款承担违约责任。</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（19）承包人违反本合同的其他约定或相关法律规定，给发包人造成超过  50000元的损失的，承包方无条件赔偿一切损失，并向发包人支付签约合同价格  3%违约金，发包人有权单方解除合同。</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（20）承包方违约，还应赔偿守约方因此遭受的其他损失，包括为主张权益所支付的律师费、交通费等全部费用。承包人违约的，发包方有权将相应违约金从应给承包方支付的货款、质保金中直接予以扣除。</w:t>
      </w:r>
    </w:p>
    <w:p>
      <w:pPr>
        <w:autoSpaceDE w:val="0"/>
        <w:autoSpaceDN w:val="0"/>
        <w:spacing w:line="3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（21）工程因质量、安全等原因，承包人被建设行政主管部门停工的，每发生一次向发包人支付签约合同价格3%违约金，并且发包人有权单方解除合同。</w:t>
      </w:r>
    </w:p>
    <w:p>
      <w:pPr>
        <w:autoSpaceDE w:val="0"/>
        <w:autoSpaceDN w:val="0"/>
        <w:spacing w:line="300" w:lineRule="exact"/>
        <w:jc w:val="left"/>
        <w:rPr>
          <w:rFonts w:hint="eastAsia" w:ascii="仿宋" w:hAnsi="仿宋" w:eastAsia="仿宋" w:cs="仿宋"/>
          <w:color w:val="auto"/>
          <w:sz w:val="30"/>
          <w:highlight w:val="none"/>
          <w:u w:val="single"/>
        </w:rPr>
      </w:pPr>
      <w:r>
        <w:rPr>
          <w:rFonts w:hint="eastAsia" w:ascii="仿宋" w:hAnsi="仿宋" w:eastAsia="仿宋" w:cs="仿宋"/>
          <w:color w:val="auto"/>
          <w:szCs w:val="21"/>
          <w:highlight w:val="none"/>
          <w:u w:val="single"/>
        </w:rPr>
        <w:t>（22）承包人须严格执行发包人规定的进场时间和施工进度，由于承包人的原因造成其它施工单位的损失、停工或延期，承包人将无条件承担一切损失（损失额由发包人确定）。</w:t>
      </w: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16.2.3 因承包人违约解除合同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关于承包人违约解除合同的特别约定：</w:t>
      </w:r>
      <w:r>
        <w:rPr>
          <w:rFonts w:hint="eastAsia" w:ascii="仿宋" w:hAnsi="仿宋" w:eastAsia="仿宋" w:cs="仿宋"/>
          <w:color w:val="auto"/>
          <w:szCs w:val="21"/>
          <w:highlight w:val="none"/>
          <w:u w:val="single"/>
        </w:rPr>
        <w:t xml:space="preserve">没收履约保证金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szCs w:val="21"/>
          <w:highlight w:val="none"/>
          <w:u w:val="single"/>
        </w:rPr>
        <w:t>双方协商 </w:t>
      </w:r>
      <w:r>
        <w:rPr>
          <w:rFonts w:hint="eastAsia" w:ascii="仿宋" w:hAnsi="仿宋" w:eastAsia="仿宋" w:cs="仿宋"/>
          <w:color w:val="auto"/>
          <w:szCs w:val="21"/>
          <w:highlight w:val="none"/>
        </w:rPr>
        <w:t>。</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 xml:space="preserve">17. 不可抗力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 不可抗力的确认</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除通用合同条款约定的不可抗力事件之外，视为不可抗力的其他情形： </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17.4 因不可抗力解除合同</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合同解除后，发包人应在商定或确定发包人应支付款项后</w:t>
      </w:r>
      <w:r>
        <w:rPr>
          <w:rFonts w:hint="eastAsia" w:ascii="仿宋" w:hAnsi="仿宋" w:eastAsia="仿宋" w:cs="仿宋"/>
          <w:color w:val="auto"/>
          <w:szCs w:val="21"/>
          <w:highlight w:val="none"/>
          <w:u w:val="single"/>
        </w:rPr>
        <w:t>90</w:t>
      </w:r>
      <w:r>
        <w:rPr>
          <w:rFonts w:hint="eastAsia" w:ascii="仿宋" w:hAnsi="仿宋" w:eastAsia="仿宋" w:cs="仿宋"/>
          <w:color w:val="auto"/>
          <w:szCs w:val="21"/>
          <w:highlight w:val="none"/>
        </w:rPr>
        <w:t>天内完成款项的支付。</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18. 保险</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18.1 工程保险</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关于工程保险的特别约定：</w:t>
      </w:r>
      <w:r>
        <w:rPr>
          <w:rFonts w:hint="eastAsia" w:ascii="仿宋" w:hAnsi="仿宋" w:eastAsia="仿宋" w:cs="仿宋"/>
          <w:color w:val="auto"/>
          <w:szCs w:val="21"/>
          <w:highlight w:val="none"/>
          <w:u w:val="single"/>
        </w:rPr>
        <w:t> 凡在施工现场的所有人员均必须参加人身意外伤害险和工伤保险，若发生安全事故造成的一切经济损失均由承包人承担。</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18.3 其他保险</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关于其他保险的约定：</w:t>
      </w:r>
      <w:r>
        <w:rPr>
          <w:rFonts w:hint="eastAsia" w:ascii="仿宋" w:hAnsi="仿宋" w:eastAsia="仿宋" w:cs="仿宋"/>
          <w:color w:val="auto"/>
          <w:szCs w:val="21"/>
          <w:highlight w:val="none"/>
          <w:u w:val="single"/>
        </w:rPr>
        <w:t> 承包人为其施工现场的全部人员办理意外伤害保险并支付保险费，包括其员工及为履行合同聘请的第三方的人员</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承包人是否应为其施工设备等办理财产保险：</w:t>
      </w:r>
      <w:r>
        <w:rPr>
          <w:rFonts w:hint="eastAsia" w:ascii="仿宋" w:hAnsi="仿宋" w:eastAsia="仿宋" w:cs="仿宋"/>
          <w:color w:val="auto"/>
          <w:szCs w:val="21"/>
          <w:highlight w:val="none"/>
          <w:u w:val="single"/>
        </w:rPr>
        <w:t>承包人为其施工设备等办理财产保险，费用处理。</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18.7 通知义务</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关于变更保险合同时的通知义务的约定：</w:t>
      </w:r>
      <w:r>
        <w:rPr>
          <w:rFonts w:hint="eastAsia" w:ascii="仿宋" w:hAnsi="仿宋" w:eastAsia="仿宋" w:cs="仿宋"/>
          <w:color w:val="auto"/>
          <w:szCs w:val="21"/>
          <w:highlight w:val="none"/>
          <w:u w:val="single"/>
        </w:rPr>
        <w:t>24小时内通知对方和监理人  。</w:t>
      </w:r>
    </w:p>
    <w:p>
      <w:pPr>
        <w:pStyle w:val="6"/>
        <w:numPr>
          <w:ilvl w:val="0"/>
          <w:numId w:val="0"/>
        </w:numPr>
        <w:autoSpaceDN w:val="0"/>
        <w:spacing w:before="0" w:after="0" w:line="300" w:lineRule="auto"/>
        <w:ind w:firstLine="210" w:firstLineChars="100"/>
        <w:jc w:val="both"/>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rPr>
        <w:t>20. 争议解决</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20.3 争议评审</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合同当事人是否同意将工程争议提交争议</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决定：</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20.3.1 争议</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的确定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争议</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成员的确定：</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选定争议评审员的期限：</w:t>
      </w:r>
      <w:r>
        <w:rPr>
          <w:rFonts w:hint="eastAsia" w:ascii="仿宋" w:hAnsi="仿宋" w:eastAsia="仿宋" w:cs="仿宋"/>
          <w:color w:val="auto"/>
          <w:szCs w:val="21"/>
          <w:highlight w:val="none"/>
          <w:u w:val="single"/>
        </w:rPr>
        <w:t> 事项从发生到解决确定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争议</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成员的报酬承担方式：</w:t>
      </w:r>
      <w:r>
        <w:rPr>
          <w:rFonts w:hint="eastAsia" w:ascii="仿宋" w:hAnsi="仿宋" w:eastAsia="仿宋" w:cs="仿宋"/>
          <w:color w:val="auto"/>
          <w:szCs w:val="21"/>
          <w:highlight w:val="none"/>
          <w:u w:val="single"/>
        </w:rPr>
        <w:t>造价审计报酬由发包人承担，评审员报酬由承包人承担</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其他事项的约定：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20.3.2 争议</w:t>
      </w:r>
      <w:r>
        <w:rPr>
          <w:rFonts w:hint="eastAsia" w:ascii="仿宋" w:hAnsi="仿宋" w:eastAsia="仿宋" w:cs="仿宋"/>
          <w:color w:val="auto"/>
          <w:szCs w:val="21"/>
          <w:highlight w:val="none"/>
          <w:lang w:eastAsia="zh-CN"/>
        </w:rPr>
        <w:t>磋商小组</w:t>
      </w:r>
      <w:r>
        <w:rPr>
          <w:rFonts w:hint="eastAsia" w:ascii="仿宋" w:hAnsi="仿宋" w:eastAsia="仿宋" w:cs="仿宋"/>
          <w:color w:val="auto"/>
          <w:szCs w:val="21"/>
          <w:highlight w:val="none"/>
        </w:rPr>
        <w:t>的决定</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合同当事人关于本项的约定：</w:t>
      </w:r>
      <w:r>
        <w:rPr>
          <w:rFonts w:hint="eastAsia" w:ascii="仿宋" w:hAnsi="仿宋" w:eastAsia="仿宋" w:cs="仿宋"/>
          <w:color w:val="auto"/>
          <w:szCs w:val="21"/>
          <w:highlight w:val="none"/>
          <w:u w:val="single"/>
        </w:rPr>
        <w:t>           /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20.4仲裁或诉讼</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因合同及合同有关事项发生的争议，按下列第</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种方式解决：</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仲裁委员会申请仲裁；</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（2）向</w:t>
      </w:r>
      <w:r>
        <w:rPr>
          <w:rFonts w:hint="eastAsia" w:ascii="仿宋" w:hAnsi="仿宋" w:eastAsia="仿宋" w:cs="仿宋"/>
          <w:color w:val="auto"/>
          <w:szCs w:val="21"/>
          <w:highlight w:val="none"/>
          <w:u w:val="single"/>
        </w:rPr>
        <w:t>项目所在地</w:t>
      </w:r>
      <w:r>
        <w:rPr>
          <w:rFonts w:hint="eastAsia" w:ascii="仿宋" w:hAnsi="仿宋" w:eastAsia="仿宋" w:cs="仿宋"/>
          <w:color w:val="auto"/>
          <w:szCs w:val="21"/>
          <w:highlight w:val="none"/>
        </w:rPr>
        <w:t>人民法院起诉。</w:t>
      </w:r>
    </w:p>
    <w:p>
      <w:pPr>
        <w:autoSpaceDN w:val="0"/>
        <w:spacing w:line="300" w:lineRule="auto"/>
        <w:rPr>
          <w:rFonts w:hint="eastAsia" w:ascii="仿宋" w:hAnsi="仿宋" w:eastAsia="仿宋" w:cs="仿宋"/>
          <w:b/>
          <w:bCs/>
          <w:color w:val="auto"/>
          <w:szCs w:val="21"/>
          <w:highlight w:val="none"/>
        </w:rPr>
      </w:pPr>
    </w:p>
    <w:p>
      <w:pPr>
        <w:autoSpaceDN w:val="0"/>
        <w:spacing w:line="300" w:lineRule="auto"/>
        <w:ind w:firstLine="200"/>
        <w:rPr>
          <w:rFonts w:hint="eastAsia" w:ascii="仿宋" w:hAnsi="仿宋" w:eastAsia="仿宋" w:cs="仿宋"/>
          <w:b/>
          <w:bCs/>
          <w:color w:val="auto"/>
          <w:szCs w:val="21"/>
          <w:highlight w:val="none"/>
        </w:rPr>
      </w:pPr>
    </w:p>
    <w:p>
      <w:pPr>
        <w:autoSpaceDN w:val="0"/>
        <w:spacing w:line="300" w:lineRule="auto"/>
        <w:ind w:firstLine="200"/>
        <w:rPr>
          <w:rFonts w:hint="eastAsia" w:ascii="仿宋" w:hAnsi="仿宋" w:eastAsia="仿宋" w:cs="仿宋"/>
          <w:b/>
          <w:bCs/>
          <w:color w:val="auto"/>
          <w:szCs w:val="21"/>
          <w:highlight w:val="none"/>
        </w:rPr>
      </w:pPr>
    </w:p>
    <w:p>
      <w:pPr>
        <w:autoSpaceDN w:val="0"/>
        <w:spacing w:line="300" w:lineRule="auto"/>
        <w:ind w:firstLine="200"/>
        <w:rPr>
          <w:rFonts w:hint="eastAsia" w:ascii="仿宋" w:hAnsi="仿宋" w:eastAsia="仿宋" w:cs="仿宋"/>
          <w:b/>
          <w:bCs/>
          <w:color w:val="auto"/>
          <w:szCs w:val="21"/>
          <w:highlight w:val="none"/>
        </w:rPr>
      </w:pPr>
    </w:p>
    <w:p>
      <w:pPr>
        <w:autoSpaceDN w:val="0"/>
        <w:spacing w:line="300" w:lineRule="auto"/>
        <w:ind w:firstLine="200"/>
        <w:rPr>
          <w:rFonts w:hint="eastAsia" w:ascii="仿宋" w:hAnsi="仿宋" w:eastAsia="仿宋" w:cs="仿宋"/>
          <w:b/>
          <w:bCs/>
          <w:color w:val="auto"/>
          <w:szCs w:val="21"/>
          <w:highlight w:val="none"/>
        </w:rPr>
      </w:pPr>
    </w:p>
    <w:p>
      <w:pPr>
        <w:autoSpaceDN w:val="0"/>
        <w:spacing w:line="300" w:lineRule="auto"/>
        <w:ind w:firstLine="200"/>
        <w:rPr>
          <w:rFonts w:hint="eastAsia" w:ascii="仿宋" w:hAnsi="仿宋" w:eastAsia="仿宋" w:cs="仿宋"/>
          <w:b/>
          <w:bCs/>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附件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协议书附件：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附件1：承包人承揽工程项目一览表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专用合同条款附件：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附件2：发包人供应材料设备一览表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附件3：工程质量保修书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附件4：主要建设工程文件目录</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附件5：承包人用于本工程施工的机械设备表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附件6：承包人主要施工管理人员表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附件7：分包人主要施工管理人员表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附件8：履约担保格式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附件9：预付款担保格式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附件10：支付担保格式</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附件11：暂估价一览表</w:t>
      </w:r>
    </w:p>
    <w:p>
      <w:pPr>
        <w:autoSpaceDN w:val="0"/>
        <w:spacing w:line="300" w:lineRule="auto"/>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附件1：          承包人承揽工程项目一览表</w:t>
      </w:r>
    </w:p>
    <w:tbl>
      <w:tblPr>
        <w:tblStyle w:val="24"/>
        <w:tblW w:w="9524" w:type="dxa"/>
        <w:jc w:val="center"/>
        <w:tblLayout w:type="fixed"/>
        <w:tblCellMar>
          <w:top w:w="0" w:type="dxa"/>
          <w:left w:w="0" w:type="dxa"/>
          <w:bottom w:w="0" w:type="dxa"/>
          <w:right w:w="0" w:type="dxa"/>
        </w:tblCellMar>
      </w:tblPr>
      <w:tblGrid>
        <w:gridCol w:w="826"/>
        <w:gridCol w:w="1141"/>
        <w:gridCol w:w="952"/>
        <w:gridCol w:w="1456"/>
        <w:gridCol w:w="591"/>
        <w:gridCol w:w="1238"/>
        <w:gridCol w:w="1044"/>
        <w:gridCol w:w="1093"/>
        <w:gridCol w:w="592"/>
        <w:gridCol w:w="591"/>
      </w:tblGrid>
      <w:tr>
        <w:tblPrEx>
          <w:tblCellMar>
            <w:top w:w="0" w:type="dxa"/>
            <w:left w:w="0" w:type="dxa"/>
            <w:bottom w:w="0" w:type="dxa"/>
            <w:right w:w="0" w:type="dxa"/>
          </w:tblCellMar>
        </w:tblPrEx>
        <w:trPr>
          <w:jc w:val="center"/>
        </w:trPr>
        <w:tc>
          <w:tcPr>
            <w:tcW w:w="826"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单位工程名称</w:t>
            </w:r>
          </w:p>
        </w:tc>
        <w:tc>
          <w:tcPr>
            <w:tcW w:w="114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建设规模</w:t>
            </w:r>
          </w:p>
        </w:tc>
        <w:tc>
          <w:tcPr>
            <w:tcW w:w="952"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建筑面积(平方米)</w:t>
            </w:r>
          </w:p>
        </w:tc>
        <w:tc>
          <w:tcPr>
            <w:tcW w:w="145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结构形式</w:t>
            </w:r>
          </w:p>
        </w:tc>
        <w:tc>
          <w:tcPr>
            <w:tcW w:w="59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层数</w:t>
            </w:r>
          </w:p>
        </w:tc>
        <w:tc>
          <w:tcPr>
            <w:tcW w:w="1238"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生产能力</w:t>
            </w:r>
          </w:p>
        </w:tc>
        <w:tc>
          <w:tcPr>
            <w:tcW w:w="1044"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设备安装内容</w:t>
            </w:r>
          </w:p>
        </w:tc>
        <w:tc>
          <w:tcPr>
            <w:tcW w:w="109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合同价格（元）</w:t>
            </w:r>
          </w:p>
        </w:tc>
        <w:tc>
          <w:tcPr>
            <w:tcW w:w="592"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开工日期</w:t>
            </w:r>
          </w:p>
        </w:tc>
        <w:tc>
          <w:tcPr>
            <w:tcW w:w="591"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竣工日期</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826"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41"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52"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45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38"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44"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93"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2"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591" w:type="dxa"/>
            <w:tcBorders>
              <w:top w:val="nil"/>
              <w:left w:val="nil"/>
              <w:bottom w:val="single" w:color="auto" w:sz="12"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bl>
    <w:p>
      <w:pPr>
        <w:autoSpaceDN w:val="0"/>
        <w:spacing w:line="300" w:lineRule="auto"/>
        <w:ind w:firstLine="622" w:firstLineChars="295"/>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br w:type="page"/>
      </w:r>
      <w:r>
        <w:rPr>
          <w:rFonts w:hint="eastAsia" w:ascii="仿宋" w:hAnsi="仿宋" w:eastAsia="仿宋" w:cs="仿宋"/>
          <w:color w:val="auto"/>
          <w:szCs w:val="21"/>
          <w:highlight w:val="none"/>
        </w:rPr>
        <w:t>附件2：</w:t>
      </w:r>
    </w:p>
    <w:p>
      <w:pPr>
        <w:autoSpaceDN w:val="0"/>
        <w:spacing w:line="300" w:lineRule="auto"/>
        <w:ind w:firstLine="3129" w:firstLineChars="1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发包人供应材料设备一览表</w:t>
      </w:r>
    </w:p>
    <w:tbl>
      <w:tblPr>
        <w:tblStyle w:val="24"/>
        <w:tblW w:w="0" w:type="auto"/>
        <w:jc w:val="center"/>
        <w:tblLayout w:type="fixed"/>
        <w:tblCellMar>
          <w:top w:w="0" w:type="dxa"/>
          <w:left w:w="0" w:type="dxa"/>
          <w:bottom w:w="0" w:type="dxa"/>
          <w:right w:w="0" w:type="dxa"/>
        </w:tblCellMar>
      </w:tblPr>
      <w:tblGrid>
        <w:gridCol w:w="676"/>
        <w:gridCol w:w="1026"/>
        <w:gridCol w:w="1014"/>
        <w:gridCol w:w="730"/>
        <w:gridCol w:w="677"/>
        <w:gridCol w:w="986"/>
        <w:gridCol w:w="761"/>
        <w:gridCol w:w="677"/>
        <w:gridCol w:w="1054"/>
        <w:gridCol w:w="761"/>
      </w:tblGrid>
      <w:tr>
        <w:tblPrEx>
          <w:tblCellMar>
            <w:top w:w="0" w:type="dxa"/>
            <w:left w:w="0" w:type="dxa"/>
            <w:bottom w:w="0" w:type="dxa"/>
            <w:right w:w="0" w:type="dxa"/>
          </w:tblCellMar>
        </w:tblPrEx>
        <w:trPr>
          <w:jc w:val="center"/>
        </w:trPr>
        <w:tc>
          <w:tcPr>
            <w:tcW w:w="676"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02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材料、</w:t>
            </w:r>
          </w:p>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设备品种</w:t>
            </w:r>
          </w:p>
        </w:tc>
        <w:tc>
          <w:tcPr>
            <w:tcW w:w="1014"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规格型号</w:t>
            </w:r>
          </w:p>
        </w:tc>
        <w:tc>
          <w:tcPr>
            <w:tcW w:w="730"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677"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98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76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质量等级</w:t>
            </w:r>
          </w:p>
        </w:tc>
        <w:tc>
          <w:tcPr>
            <w:tcW w:w="677"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供应时间</w:t>
            </w:r>
          </w:p>
        </w:tc>
        <w:tc>
          <w:tcPr>
            <w:tcW w:w="1054"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送达地点</w:t>
            </w:r>
          </w:p>
        </w:tc>
        <w:tc>
          <w:tcPr>
            <w:tcW w:w="761"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center"/>
          </w:tcPr>
          <w:p>
            <w:pPr>
              <w:pStyle w:val="11"/>
              <w:autoSpaceDN w:val="0"/>
              <w:spacing w:line="30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676"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2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14"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30"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98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677"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054"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1" w:type="dxa"/>
            <w:tcBorders>
              <w:top w:val="nil"/>
              <w:left w:val="nil"/>
              <w:bottom w:val="single" w:color="auto" w:sz="12" w:space="0"/>
              <w:right w:val="single" w:color="auto" w:sz="12" w:space="0"/>
            </w:tcBorders>
            <w:noWrap w:val="0"/>
            <w:tcMar>
              <w:top w:w="0" w:type="dxa"/>
              <w:left w:w="28" w:type="dxa"/>
              <w:bottom w:w="0" w:type="dxa"/>
              <w:right w:w="28" w:type="dxa"/>
            </w:tcMar>
            <w:vAlign w:val="center"/>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bl>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附件3：    </w:t>
      </w:r>
    </w:p>
    <w:p>
      <w:pPr>
        <w:autoSpaceDN w:val="0"/>
        <w:spacing w:line="300" w:lineRule="auto"/>
        <w:ind w:firstLine="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工程质量保修书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承包人（全称）：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发包人和承包人根据《中华人民共和国建筑法》和《建设工程质量管理条例》，经协商一致就</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（工程全称）签订工程质量保修书。</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一、工程质量保修范围和内容</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承包人在质量保修期内，按照有关法律规定和合同约定，承担工程质量保修责任。</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　　</w:t>
      </w:r>
      <w:r>
        <w:rPr>
          <w:rFonts w:hint="eastAsia" w:ascii="仿宋" w:hAnsi="仿宋" w:eastAsia="仿宋" w:cs="仿宋"/>
          <w:color w:val="auto"/>
          <w:szCs w:val="21"/>
          <w:highlight w:val="none"/>
        </w:rPr>
        <w:t>二、质量保修期</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根据《建设工程质量管理条例》及有关规定，工程的质量保修期如下：</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1．地基基础工程和主体结构工程为设计文件规定的工程合理使用年限；</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2．屋面防水工程、有防水要求的卫生间、房间和外墙面的防渗为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3．装修工程为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4．电气管线、给排水管道、设备安装工程为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5．供热与供冷系统为</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个采暖期、供冷期；</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6．住宅小区内的给排水设施、道路等配套工程为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7．其他项目保修期限约定如下：</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质量保修期自工程竣工验收合格之日起计算。</w:t>
      </w:r>
    </w:p>
    <w:p>
      <w:pPr>
        <w:autoSpaceDN w:val="0"/>
        <w:spacing w:line="300" w:lineRule="auto"/>
        <w:ind w:firstLine="613" w:firstLineChars="292"/>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三、缺陷责任期</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工程缺陷责任期为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个月，缺陷责任期自工程竣工验收合格之日起计算。单位工程先于全部工程进行验收，单位工程缺陷责任期自单位工程验收合格之日起算。</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缺陷责任期终止后，发包人应退还剩余的质量保证金。</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四、质量保修责任</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1．属于保修范围、内容的项目，承包人应当在接到保修通知之日起7天内派人保修。承包人不在约定期限内派人保修的，发包人可以委托他人修理。</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2．发生紧急事故需抢修的，承包人在接到事故通知后，应当立即到达事故现场抢修。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4．质量保修完成后，由发包人组织验收。</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五、保修费用</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保修费用由造成质量缺陷的责任方承担。</w:t>
      </w:r>
    </w:p>
    <w:p>
      <w:pPr>
        <w:autoSpaceDN w:val="0"/>
        <w:spacing w:line="300" w:lineRule="auto"/>
        <w:ind w:firstLine="622" w:firstLineChars="295"/>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六</w:t>
      </w:r>
      <w:r>
        <w:rPr>
          <w:rFonts w:hint="eastAsia" w:ascii="仿宋" w:hAnsi="仿宋" w:eastAsia="仿宋" w:cs="仿宋"/>
          <w:color w:val="auto"/>
          <w:szCs w:val="21"/>
          <w:highlight w:val="none"/>
        </w:rPr>
        <w:t>、双方约定的其他工程质量保修事项：</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工程质量保修书由发包人、承包人在工程竣工验收前共同签署，作为施工合同附件，其有效期限至保修期满。</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发包人(公章)：</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承包人(公章)：</w:t>
      </w:r>
      <w:r>
        <w:rPr>
          <w:rFonts w:hint="eastAsia" w:ascii="仿宋" w:hAnsi="仿宋" w:eastAsia="仿宋" w:cs="仿宋"/>
          <w:color w:val="auto"/>
          <w:szCs w:val="21"/>
          <w:highlight w:val="none"/>
          <w:u w:val="single"/>
        </w:rPr>
        <w:t xml:space="preserve">          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地  址：</w:t>
      </w:r>
      <w:r>
        <w:rPr>
          <w:rFonts w:hint="eastAsia" w:ascii="仿宋" w:hAnsi="仿宋" w:eastAsia="仿宋" w:cs="仿宋"/>
          <w:color w:val="auto"/>
          <w:szCs w:val="21"/>
          <w:highlight w:val="none"/>
          <w:u w:val="single"/>
        </w:rPr>
        <w:t> 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 法定代表人(签字)：</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委托代理人(签字)：</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委托代理人(签字)：</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电  话：</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传  真：</w:t>
      </w:r>
      <w:r>
        <w:rPr>
          <w:rFonts w:hint="eastAsia" w:ascii="仿宋" w:hAnsi="仿宋" w:eastAsia="仿宋" w:cs="仿宋"/>
          <w:color w:val="auto"/>
          <w:szCs w:val="21"/>
          <w:highlight w:val="none"/>
          <w:u w:val="single"/>
        </w:rPr>
        <w:t xml:space="preserve">  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开户银行：</w:t>
      </w:r>
      <w:r>
        <w:rPr>
          <w:rFonts w:hint="eastAsia" w:ascii="仿宋" w:hAnsi="仿宋" w:eastAsia="仿宋" w:cs="仿宋"/>
          <w:color w:val="auto"/>
          <w:szCs w:val="21"/>
          <w:highlight w:val="none"/>
          <w:u w:val="singl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账  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账  号：</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 邮政编码：</w:t>
      </w:r>
      <w:r>
        <w:rPr>
          <w:rFonts w:hint="eastAsia" w:ascii="仿宋" w:hAnsi="仿宋" w:eastAsia="仿宋" w:cs="仿宋"/>
          <w:color w:val="auto"/>
          <w:szCs w:val="21"/>
          <w:highlight w:val="none"/>
          <w:u w:val="singl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br w:type="page"/>
      </w:r>
      <w:r>
        <w:rPr>
          <w:rFonts w:hint="eastAsia" w:ascii="仿宋" w:hAnsi="仿宋" w:eastAsia="仿宋" w:cs="仿宋"/>
          <w:color w:val="auto"/>
          <w:szCs w:val="21"/>
          <w:highlight w:val="none"/>
        </w:rPr>
        <w:t>附件4：</w:t>
      </w:r>
    </w:p>
    <w:p>
      <w:pPr>
        <w:autoSpaceDN w:val="0"/>
        <w:spacing w:line="300" w:lineRule="auto"/>
        <w:ind w:firstLine="3548" w:firstLineChars="169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主要建设工程文件目录</w:t>
      </w:r>
    </w:p>
    <w:tbl>
      <w:tblPr>
        <w:tblStyle w:val="24"/>
        <w:tblW w:w="0" w:type="auto"/>
        <w:jc w:val="center"/>
        <w:tblLayout w:type="fixed"/>
        <w:tblCellMar>
          <w:top w:w="0" w:type="dxa"/>
          <w:left w:w="0" w:type="dxa"/>
          <w:bottom w:w="0" w:type="dxa"/>
          <w:right w:w="0" w:type="dxa"/>
        </w:tblCellMar>
      </w:tblPr>
      <w:tblGrid>
        <w:gridCol w:w="1788"/>
        <w:gridCol w:w="1184"/>
        <w:gridCol w:w="1391"/>
        <w:gridCol w:w="1154"/>
        <w:gridCol w:w="1326"/>
        <w:gridCol w:w="1519"/>
      </w:tblGrid>
      <w:tr>
        <w:tblPrEx>
          <w:tblCellMar>
            <w:top w:w="0" w:type="dxa"/>
            <w:left w:w="0" w:type="dxa"/>
            <w:bottom w:w="0" w:type="dxa"/>
            <w:right w:w="0" w:type="dxa"/>
          </w:tblCellMar>
        </w:tblPrEx>
        <w:trPr>
          <w:jc w:val="center"/>
        </w:trPr>
        <w:tc>
          <w:tcPr>
            <w:tcW w:w="1788"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文件名称</w:t>
            </w:r>
          </w:p>
        </w:tc>
        <w:tc>
          <w:tcPr>
            <w:tcW w:w="1184"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套数</w:t>
            </w:r>
          </w:p>
        </w:tc>
        <w:tc>
          <w:tcPr>
            <w:tcW w:w="139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费用（元）</w:t>
            </w:r>
          </w:p>
        </w:tc>
        <w:tc>
          <w:tcPr>
            <w:tcW w:w="1154"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w:t>
            </w:r>
          </w:p>
        </w:tc>
        <w:tc>
          <w:tcPr>
            <w:tcW w:w="132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autoSpaceDN w:val="0"/>
              <w:spacing w:line="300" w:lineRule="auto"/>
              <w:ind w:firstLine="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移交时间</w:t>
            </w:r>
          </w:p>
        </w:tc>
        <w:tc>
          <w:tcPr>
            <w:tcW w:w="1519"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top"/>
          </w:tcPr>
          <w:p>
            <w:pPr>
              <w:autoSpaceDN w:val="0"/>
              <w:spacing w:line="300" w:lineRule="auto"/>
              <w:ind w:firstLine="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责任人</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1788"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84"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91"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54"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326"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519" w:type="dxa"/>
            <w:tcBorders>
              <w:top w:val="nil"/>
              <w:left w:val="nil"/>
              <w:bottom w:val="single" w:color="auto" w:sz="12"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bl>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附件5：</w:t>
      </w:r>
    </w:p>
    <w:p>
      <w:pPr>
        <w:autoSpaceDN w:val="0"/>
        <w:spacing w:line="300" w:lineRule="auto"/>
        <w:ind w:firstLine="3129" w:firstLineChars="1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承包人用于本工程施工的机械设备表</w:t>
      </w:r>
    </w:p>
    <w:tbl>
      <w:tblPr>
        <w:tblStyle w:val="24"/>
        <w:tblW w:w="0" w:type="auto"/>
        <w:jc w:val="center"/>
        <w:tblLayout w:type="fixed"/>
        <w:tblCellMar>
          <w:top w:w="0" w:type="dxa"/>
          <w:left w:w="0" w:type="dxa"/>
          <w:bottom w:w="0" w:type="dxa"/>
          <w:right w:w="0" w:type="dxa"/>
        </w:tblCellMar>
      </w:tblPr>
      <w:tblGrid>
        <w:gridCol w:w="976"/>
        <w:gridCol w:w="1168"/>
        <w:gridCol w:w="743"/>
        <w:gridCol w:w="899"/>
        <w:gridCol w:w="765"/>
        <w:gridCol w:w="870"/>
        <w:gridCol w:w="1275"/>
        <w:gridCol w:w="870"/>
        <w:gridCol w:w="796"/>
      </w:tblGrid>
      <w:tr>
        <w:tblPrEx>
          <w:tblCellMar>
            <w:top w:w="0" w:type="dxa"/>
            <w:left w:w="0" w:type="dxa"/>
            <w:bottom w:w="0" w:type="dxa"/>
            <w:right w:w="0" w:type="dxa"/>
          </w:tblCellMar>
        </w:tblPrEx>
        <w:trPr>
          <w:jc w:val="center"/>
        </w:trPr>
        <w:tc>
          <w:tcPr>
            <w:tcW w:w="976"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168"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机械或设备名称</w:t>
            </w:r>
          </w:p>
        </w:tc>
        <w:tc>
          <w:tcPr>
            <w:tcW w:w="74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规格型号</w:t>
            </w:r>
          </w:p>
        </w:tc>
        <w:tc>
          <w:tcPr>
            <w:tcW w:w="899"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765"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产地</w:t>
            </w:r>
          </w:p>
        </w:tc>
        <w:tc>
          <w:tcPr>
            <w:tcW w:w="870"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制造年份</w:t>
            </w:r>
          </w:p>
        </w:tc>
        <w:tc>
          <w:tcPr>
            <w:tcW w:w="1275"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额定功率(kW)</w:t>
            </w:r>
          </w:p>
        </w:tc>
        <w:tc>
          <w:tcPr>
            <w:tcW w:w="870"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生产能力</w:t>
            </w:r>
          </w:p>
        </w:tc>
        <w:tc>
          <w:tcPr>
            <w:tcW w:w="796"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center"/>
          </w:tcPr>
          <w:p>
            <w:pPr>
              <w:pStyle w:val="11"/>
              <w:autoSpaceDN w:val="0"/>
              <w:spacing w:line="30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r>
        <w:tblPrEx>
          <w:tblCellMar>
            <w:top w:w="0" w:type="dxa"/>
            <w:left w:w="0" w:type="dxa"/>
            <w:bottom w:w="0" w:type="dxa"/>
            <w:right w:w="0" w:type="dxa"/>
          </w:tblCellMar>
        </w:tblPrEx>
        <w:trPr>
          <w:trHeight w:val="567" w:hRule="atLeast"/>
          <w:jc w:val="center"/>
        </w:trPr>
        <w:tc>
          <w:tcPr>
            <w:tcW w:w="976"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168"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4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99"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65"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1275"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870"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c>
          <w:tcPr>
            <w:tcW w:w="796" w:type="dxa"/>
            <w:tcBorders>
              <w:top w:val="nil"/>
              <w:left w:val="nil"/>
              <w:bottom w:val="single" w:color="auto" w:sz="12" w:space="0"/>
              <w:right w:val="single" w:color="auto" w:sz="12" w:space="0"/>
            </w:tcBorders>
            <w:noWrap w:val="0"/>
            <w:tcMar>
              <w:top w:w="0" w:type="dxa"/>
              <w:left w:w="28" w:type="dxa"/>
              <w:bottom w:w="0" w:type="dxa"/>
              <w:right w:w="28" w:type="dxa"/>
            </w:tcMar>
            <w:vAlign w:val="top"/>
          </w:tcPr>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tc>
      </w:tr>
    </w:tbl>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附件6：</w:t>
      </w:r>
    </w:p>
    <w:p>
      <w:pPr>
        <w:autoSpaceDN w:val="0"/>
        <w:spacing w:line="300" w:lineRule="auto"/>
        <w:ind w:firstLine="3339" w:firstLineChars="159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承包人主要施工管理人员表</w:t>
      </w:r>
    </w:p>
    <w:tbl>
      <w:tblPr>
        <w:tblStyle w:val="24"/>
        <w:tblW w:w="0" w:type="auto"/>
        <w:jc w:val="center"/>
        <w:tblLayout w:type="fixed"/>
        <w:tblCellMar>
          <w:top w:w="0" w:type="dxa"/>
          <w:left w:w="0" w:type="dxa"/>
          <w:bottom w:w="0" w:type="dxa"/>
          <w:right w:w="0" w:type="dxa"/>
        </w:tblCellMar>
      </w:tblPr>
      <w:tblGrid>
        <w:gridCol w:w="1589"/>
        <w:gridCol w:w="1225"/>
        <w:gridCol w:w="996"/>
        <w:gridCol w:w="996"/>
        <w:gridCol w:w="3556"/>
      </w:tblGrid>
      <w:tr>
        <w:tblPrEx>
          <w:tblCellMar>
            <w:top w:w="0" w:type="dxa"/>
            <w:left w:w="0" w:type="dxa"/>
            <w:bottom w:w="0" w:type="dxa"/>
            <w:right w:w="0" w:type="dxa"/>
          </w:tblCellMar>
        </w:tblPrEx>
        <w:trPr>
          <w:jc w:val="center"/>
        </w:trPr>
        <w:tc>
          <w:tcPr>
            <w:tcW w:w="1589"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    称</w:t>
            </w:r>
          </w:p>
        </w:tc>
        <w:tc>
          <w:tcPr>
            <w:tcW w:w="1225"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姓名</w:t>
            </w:r>
          </w:p>
        </w:tc>
        <w:tc>
          <w:tcPr>
            <w:tcW w:w="99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职务</w:t>
            </w:r>
          </w:p>
        </w:tc>
        <w:tc>
          <w:tcPr>
            <w:tcW w:w="99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职称</w:t>
            </w:r>
          </w:p>
        </w:tc>
        <w:tc>
          <w:tcPr>
            <w:tcW w:w="3556"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主要资历、经验及承担过的项目</w:t>
            </w:r>
          </w:p>
        </w:tc>
      </w:tr>
      <w:tr>
        <w:tblPrEx>
          <w:tblCellMar>
            <w:top w:w="0" w:type="dxa"/>
            <w:left w:w="0" w:type="dxa"/>
            <w:bottom w:w="0" w:type="dxa"/>
            <w:right w:w="0" w:type="dxa"/>
          </w:tblCellMar>
        </w:tblPrEx>
        <w:trPr>
          <w:jc w:val="center"/>
        </w:trPr>
        <w:tc>
          <w:tcPr>
            <w:tcW w:w="8362" w:type="dxa"/>
            <w:gridSpan w:val="5"/>
            <w:tcBorders>
              <w:top w:val="nil"/>
              <w:left w:val="single" w:color="auto" w:sz="12" w:space="0"/>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一、总部人员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项目主管</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single" w:color="auto" w:sz="8" w:space="0"/>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其他人员</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8362" w:type="dxa"/>
            <w:gridSpan w:val="5"/>
            <w:tcBorders>
              <w:top w:val="single" w:color="auto" w:sz="8" w:space="0"/>
              <w:left w:val="single" w:color="auto" w:sz="12" w:space="0"/>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二、现场人员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项目经理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项目副经理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技术负责人</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造价管理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材料管理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计划管理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restart"/>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其他人员</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nil"/>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single" w:color="auto" w:sz="8" w:space="0"/>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12"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bl>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附件7：</w:t>
      </w:r>
    </w:p>
    <w:p>
      <w:pPr>
        <w:autoSpaceDN w:val="0"/>
        <w:spacing w:line="300" w:lineRule="auto"/>
        <w:ind w:firstLine="3129" w:firstLineChars="1490"/>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分包人主要施工管理人员表</w:t>
      </w:r>
    </w:p>
    <w:tbl>
      <w:tblPr>
        <w:tblStyle w:val="24"/>
        <w:tblW w:w="0" w:type="auto"/>
        <w:jc w:val="center"/>
        <w:tblLayout w:type="fixed"/>
        <w:tblCellMar>
          <w:top w:w="0" w:type="dxa"/>
          <w:left w:w="0" w:type="dxa"/>
          <w:bottom w:w="0" w:type="dxa"/>
          <w:right w:w="0" w:type="dxa"/>
        </w:tblCellMar>
      </w:tblPr>
      <w:tblGrid>
        <w:gridCol w:w="1589"/>
        <w:gridCol w:w="1225"/>
        <w:gridCol w:w="996"/>
        <w:gridCol w:w="996"/>
        <w:gridCol w:w="3556"/>
      </w:tblGrid>
      <w:tr>
        <w:tblPrEx>
          <w:tblCellMar>
            <w:top w:w="0" w:type="dxa"/>
            <w:left w:w="0" w:type="dxa"/>
            <w:bottom w:w="0" w:type="dxa"/>
            <w:right w:w="0" w:type="dxa"/>
          </w:tblCellMar>
        </w:tblPrEx>
        <w:trPr>
          <w:jc w:val="center"/>
        </w:trPr>
        <w:tc>
          <w:tcPr>
            <w:tcW w:w="1589"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    称</w:t>
            </w:r>
          </w:p>
        </w:tc>
        <w:tc>
          <w:tcPr>
            <w:tcW w:w="1225"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姓名</w:t>
            </w:r>
          </w:p>
        </w:tc>
        <w:tc>
          <w:tcPr>
            <w:tcW w:w="99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职务</w:t>
            </w:r>
          </w:p>
        </w:tc>
        <w:tc>
          <w:tcPr>
            <w:tcW w:w="996"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职称</w:t>
            </w:r>
          </w:p>
        </w:tc>
        <w:tc>
          <w:tcPr>
            <w:tcW w:w="3556"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主要资历、经验及承担过的项目</w:t>
            </w:r>
          </w:p>
        </w:tc>
      </w:tr>
      <w:tr>
        <w:tblPrEx>
          <w:tblCellMar>
            <w:top w:w="0" w:type="dxa"/>
            <w:left w:w="0" w:type="dxa"/>
            <w:bottom w:w="0" w:type="dxa"/>
            <w:right w:w="0" w:type="dxa"/>
          </w:tblCellMar>
        </w:tblPrEx>
        <w:trPr>
          <w:jc w:val="center"/>
        </w:trPr>
        <w:tc>
          <w:tcPr>
            <w:tcW w:w="8362" w:type="dxa"/>
            <w:gridSpan w:val="5"/>
            <w:tcBorders>
              <w:top w:val="nil"/>
              <w:left w:val="single" w:color="auto" w:sz="12" w:space="0"/>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一、总部人员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项目主管</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single" w:color="auto" w:sz="8" w:space="0"/>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其他人员</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8362" w:type="dxa"/>
            <w:gridSpan w:val="5"/>
            <w:tcBorders>
              <w:top w:val="single" w:color="auto" w:sz="8" w:space="0"/>
              <w:left w:val="single" w:color="auto" w:sz="12" w:space="0"/>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二、现场人员</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项目经理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项目副经理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技术负责人</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造价管理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材料管理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计划管理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安全管理</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restart"/>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其他人员</w:t>
            </w: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nil"/>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nil"/>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single" w:color="auto" w:sz="8" w:space="0"/>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8"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1589" w:type="dxa"/>
            <w:vMerge w:val="continue"/>
            <w:tcBorders>
              <w:top w:val="nil"/>
              <w:left w:val="single" w:color="auto" w:sz="12" w:space="0"/>
              <w:bottom w:val="single" w:color="auto" w:sz="12" w:space="0"/>
              <w:right w:val="single" w:color="auto" w:sz="8" w:space="0"/>
            </w:tcBorders>
            <w:noWrap w:val="0"/>
            <w:vAlign w:val="center"/>
          </w:tcPr>
          <w:p>
            <w:pPr>
              <w:autoSpaceDN w:val="0"/>
              <w:spacing w:line="300" w:lineRule="auto"/>
              <w:ind w:firstLine="200"/>
              <w:rPr>
                <w:rFonts w:hint="eastAsia" w:ascii="仿宋" w:hAnsi="仿宋" w:eastAsia="仿宋" w:cs="仿宋"/>
                <w:color w:val="auto"/>
                <w:szCs w:val="21"/>
                <w:highlight w:val="none"/>
              </w:rPr>
            </w:pPr>
          </w:p>
        </w:tc>
        <w:tc>
          <w:tcPr>
            <w:tcW w:w="1225"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996" w:type="dxa"/>
            <w:tcBorders>
              <w:top w:val="nil"/>
              <w:left w:val="nil"/>
              <w:bottom w:val="single" w:color="auto" w:sz="12" w:space="0"/>
              <w:right w:val="single" w:color="auto" w:sz="8"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3556" w:type="dxa"/>
            <w:tcBorders>
              <w:top w:val="nil"/>
              <w:left w:val="nil"/>
              <w:bottom w:val="single" w:color="auto" w:sz="12" w:space="0"/>
              <w:right w:val="single" w:color="auto" w:sz="12" w:space="0"/>
            </w:tcBorders>
            <w:noWrap w:val="0"/>
            <w:tcMar>
              <w:top w:w="0" w:type="dxa"/>
              <w:left w:w="28" w:type="dxa"/>
              <w:bottom w:w="0" w:type="dxa"/>
              <w:right w:w="28" w:type="dxa"/>
            </w:tcMar>
            <w:vAlign w:val="center"/>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bl>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附件8：</w:t>
      </w:r>
    </w:p>
    <w:p>
      <w:pPr>
        <w:autoSpaceDN w:val="0"/>
        <w:spacing w:line="300" w:lineRule="auto"/>
        <w:ind w:firstLine="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履约担保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（发包人名称）：</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（发包人名称，以下简称“发包人”）与</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（承包人名称）（以下称“承包人”）于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担保金额人民币（大写）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担保有效期自你方与承包人签订的合同生效之日起至你方签发或应签发工程接收证书之日止。</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在本担保有效期内，因承包人违反合同约定的义务给你方造成经济损失时，我方在收到你方以书面形式提出的在担保金额内的赔偿要求后，在7天内无条件支付。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 你方和承包人按合同约定变更合同时，我方承担本担保规定的义务不变。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 因本保函发生的纠纷，可由双方协商解决，协商不成的，任何一方均可提请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仲裁委员会仲裁。</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 本保函自我方法定代表人（或其授权代理人）签字并加盖公章之日起生效。</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担 保 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（盖单位章）</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（签字）</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附件9 ：</w:t>
      </w:r>
    </w:p>
    <w:p>
      <w:pPr>
        <w:autoSpaceDN w:val="0"/>
        <w:spacing w:line="300" w:lineRule="auto"/>
        <w:ind w:firstLine="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预付款担保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 （发包人名称）：</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（承包人名称）（以下称“承包人”）与</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（发包人名称）（以下简称“发包人”）</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日签订的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担保金额人民币（大写）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担保有效期自预付款支付给承包人起生效，至你方签发的进度款支付证书说明已完全扣清止。</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 你方和承包人按合同约定变更合同时，我方承担本保函规定的义务不变。</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 因本保函发生的纠纷，可由双方协商解决，协商不成的，任何一方均可提请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仲裁委员会仲裁。</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 本保函自我方法定代表人（或其授权代理人）签字并加盖公章之日起生效。</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担保人：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（盖单位章）</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（签字）</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    话：</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br w:type="page"/>
      </w:r>
      <w:r>
        <w:rPr>
          <w:rFonts w:hint="eastAsia" w:ascii="仿宋" w:hAnsi="仿宋" w:eastAsia="仿宋" w:cs="仿宋"/>
          <w:color w:val="auto"/>
          <w:szCs w:val="21"/>
          <w:highlight w:val="none"/>
        </w:rPr>
        <w:t xml:space="preserve">附件10:  </w:t>
      </w:r>
    </w:p>
    <w:p>
      <w:pPr>
        <w:autoSpaceDN w:val="0"/>
        <w:spacing w:line="280" w:lineRule="exact"/>
        <w:ind w:firstLine="19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支付担保</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（承包人）：</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鉴于你方作为承包人已经与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（发包人名称）（以下称“发包人”）于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日签订了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（工程名称）《建设工程施工合同》（以下称“主合同”），应发包人的申请，我方愿就发包人履行主合同约定的工程款支付义务以保证的方式向你方提供如下担保：</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一、保证的范围及保证金额</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我方的保证范围是主合同约定的工程款。</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本保函所称主合同约定的工程款是指主合同约定的除工程质量保证金以外的合同价款。</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 我方保证的金额是主合同约定的工程款的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%，数额最高不超过人民币元（大写：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二、保证的方式及保证期间</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我方保证的方式为：连带责任保证。</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我方保证的期间为：自本合同生效之日起至主合同约定的工程款支付完毕之日后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日内。</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 你方与发包人协议变更工程款支付日期的，经我方书面同意后，保证期间按照变更后的支付日期做相应调整。</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三、承担保证责任的形式</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我方承担保证责任的形式是代为支付。发包人未按主合同约定向你方支付工程款的，由我方在保证金额内代为支付。</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四、代偿的安排</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 我方收到你方的书面索赔通知及相应的证明材料后７天内无条件支付。</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五、保证责任的解除</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 在本保函承诺的保证期间内，你方未书面向我方主张保证责任的，自保证期间届满次日起，我方保证责任解除。</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发包人按主合同约定履行了工程款的全部支付义务的，自本保函承诺的保证期间届满次日起，我方保证责任解除。</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 我方按照本保函向你方履行保证责任所支付金额达到本保函保证金额时，自我方向你方支付（支付款项从我方账户划出）之日起，保证责任即解除。</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按照法律法规的规定或出现应解除我方保证责任的其他情形的，我方在本保函项下的保证责任亦解除。</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5. 我方解除保证责任后，你方应自我方保证责任解除之日起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个工作日内，将本保函原件返还我方。</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六、免责条款</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 因你方违约致使发包人不能履行义务的，我方不承担保证责任。</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 依照法律法规的规定或你方与发包人的另行约定，免除发包人部分或全部义务的，我方亦免除其相应的保证责任。</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4. 因不可抗力造成发包人不能履行义务的，我方不承担保证责任。</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七、争议解决</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因本保函或本保函相关事项发生的纠纷，可由双方协商解决，协商不成的，按下列第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种方式解决：</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仲裁委员会申请仲裁；</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（2）向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人民法院起诉。</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八、保函的生效</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本保函自我方法定代表人（或其授权代理人）签字并加盖公章之日起生效。</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担保人：</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（盖章）</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    真：</w:t>
      </w:r>
      <w:r>
        <w:rPr>
          <w:rFonts w:hint="eastAsia" w:ascii="仿宋" w:hAnsi="仿宋" w:eastAsia="仿宋" w:cs="仿宋"/>
          <w:color w:val="auto"/>
          <w:szCs w:val="21"/>
          <w:highlight w:val="none"/>
          <w:u w:val="single"/>
        </w:rPr>
        <w:t>            </w:t>
      </w:r>
    </w:p>
    <w:p>
      <w:pPr>
        <w:autoSpaceDN w:val="0"/>
        <w:spacing w:line="280" w:lineRule="exact"/>
        <w:ind w:firstLine="198"/>
        <w:rPr>
          <w:rFonts w:hint="eastAsia" w:ascii="仿宋" w:hAnsi="仿宋" w:eastAsia="仿宋" w:cs="仿宋"/>
          <w:color w:val="auto"/>
          <w:szCs w:val="21"/>
          <w:highlight w:val="none"/>
        </w:rPr>
      </w:pP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autoSpaceDN w:val="0"/>
        <w:spacing w:line="280" w:lineRule="exact"/>
        <w:ind w:firstLine="198"/>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附件11：</w:t>
      </w:r>
    </w:p>
    <w:p>
      <w:pPr>
        <w:autoSpaceDN w:val="0"/>
        <w:spacing w:line="300" w:lineRule="auto"/>
        <w:ind w:firstLine="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11-1：材料暂估价表</w:t>
      </w:r>
    </w:p>
    <w:tbl>
      <w:tblPr>
        <w:tblStyle w:val="24"/>
        <w:tblW w:w="0" w:type="auto"/>
        <w:jc w:val="center"/>
        <w:tblLayout w:type="fixed"/>
        <w:tblCellMar>
          <w:top w:w="0" w:type="dxa"/>
          <w:left w:w="0" w:type="dxa"/>
          <w:bottom w:w="0" w:type="dxa"/>
          <w:right w:w="0" w:type="dxa"/>
        </w:tblCellMar>
      </w:tblPr>
      <w:tblGrid>
        <w:gridCol w:w="928"/>
        <w:gridCol w:w="1803"/>
        <w:gridCol w:w="801"/>
        <w:gridCol w:w="733"/>
        <w:gridCol w:w="1300"/>
        <w:gridCol w:w="1358"/>
        <w:gridCol w:w="1553"/>
      </w:tblGrid>
      <w:tr>
        <w:tblPrEx>
          <w:tblCellMar>
            <w:top w:w="0" w:type="dxa"/>
            <w:left w:w="0" w:type="dxa"/>
            <w:bottom w:w="0" w:type="dxa"/>
            <w:right w:w="0" w:type="dxa"/>
          </w:tblCellMar>
        </w:tblPrEx>
        <w:trPr>
          <w:jc w:val="center"/>
        </w:trPr>
        <w:tc>
          <w:tcPr>
            <w:tcW w:w="928"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80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名称</w:t>
            </w:r>
          </w:p>
        </w:tc>
        <w:tc>
          <w:tcPr>
            <w:tcW w:w="80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73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1300"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1358"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合价（元）</w:t>
            </w:r>
          </w:p>
        </w:tc>
        <w:tc>
          <w:tcPr>
            <w:tcW w:w="1553"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12"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bl>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p>
    <w:p>
      <w:pPr>
        <w:pStyle w:val="28"/>
        <w:numPr>
          <w:ilvl w:val="0"/>
          <w:numId w:val="0"/>
        </w:numPr>
        <w:rPr>
          <w:rFonts w:hint="eastAsia" w:ascii="仿宋" w:hAnsi="仿宋" w:eastAsia="仿宋" w:cs="仿宋"/>
          <w:color w:val="auto"/>
          <w:highlight w:val="none"/>
        </w:rPr>
      </w:pPr>
    </w:p>
    <w:p>
      <w:pPr>
        <w:autoSpaceDN w:val="0"/>
        <w:spacing w:line="300" w:lineRule="auto"/>
        <w:ind w:firstLine="200"/>
        <w:rPr>
          <w:rFonts w:hint="eastAsia" w:ascii="仿宋" w:hAnsi="仿宋" w:eastAsia="仿宋" w:cs="仿宋"/>
          <w:color w:val="auto"/>
          <w:szCs w:val="21"/>
          <w:highlight w:val="none"/>
        </w:rPr>
      </w:pP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                           工程设备暂估价表</w:t>
      </w:r>
    </w:p>
    <w:tbl>
      <w:tblPr>
        <w:tblStyle w:val="24"/>
        <w:tblW w:w="0" w:type="auto"/>
        <w:jc w:val="center"/>
        <w:tblLayout w:type="fixed"/>
        <w:tblCellMar>
          <w:top w:w="0" w:type="dxa"/>
          <w:left w:w="0" w:type="dxa"/>
          <w:bottom w:w="0" w:type="dxa"/>
          <w:right w:w="0" w:type="dxa"/>
        </w:tblCellMar>
      </w:tblPr>
      <w:tblGrid>
        <w:gridCol w:w="928"/>
        <w:gridCol w:w="1803"/>
        <w:gridCol w:w="801"/>
        <w:gridCol w:w="733"/>
        <w:gridCol w:w="1300"/>
        <w:gridCol w:w="1358"/>
        <w:gridCol w:w="1553"/>
      </w:tblGrid>
      <w:tr>
        <w:tblPrEx>
          <w:tblCellMar>
            <w:top w:w="0" w:type="dxa"/>
            <w:left w:w="0" w:type="dxa"/>
            <w:bottom w:w="0" w:type="dxa"/>
            <w:right w:w="0" w:type="dxa"/>
          </w:tblCellMar>
        </w:tblPrEx>
        <w:trPr>
          <w:jc w:val="center"/>
        </w:trPr>
        <w:tc>
          <w:tcPr>
            <w:tcW w:w="928"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80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名称</w:t>
            </w:r>
          </w:p>
        </w:tc>
        <w:tc>
          <w:tcPr>
            <w:tcW w:w="80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73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1300"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1358"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合价（元）</w:t>
            </w:r>
          </w:p>
        </w:tc>
        <w:tc>
          <w:tcPr>
            <w:tcW w:w="1553"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12"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bl>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w:t>
      </w:r>
    </w:p>
    <w:p>
      <w:pPr>
        <w:autoSpaceDN w:val="0"/>
        <w:spacing w:line="300" w:lineRule="auto"/>
        <w:ind w:firstLine="200"/>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Cs w:val="21"/>
          <w:highlight w:val="none"/>
        </w:rPr>
        <w:t>11-3：                           专业工程暂估价表</w:t>
      </w:r>
    </w:p>
    <w:tbl>
      <w:tblPr>
        <w:tblStyle w:val="24"/>
        <w:tblW w:w="0" w:type="auto"/>
        <w:jc w:val="center"/>
        <w:tblLayout w:type="fixed"/>
        <w:tblCellMar>
          <w:top w:w="0" w:type="dxa"/>
          <w:left w:w="0" w:type="dxa"/>
          <w:bottom w:w="0" w:type="dxa"/>
          <w:right w:w="0" w:type="dxa"/>
        </w:tblCellMar>
      </w:tblPr>
      <w:tblGrid>
        <w:gridCol w:w="928"/>
        <w:gridCol w:w="1803"/>
        <w:gridCol w:w="801"/>
        <w:gridCol w:w="733"/>
        <w:gridCol w:w="1300"/>
        <w:gridCol w:w="1358"/>
        <w:gridCol w:w="1553"/>
      </w:tblGrid>
      <w:tr>
        <w:tblPrEx>
          <w:tblCellMar>
            <w:top w:w="0" w:type="dxa"/>
            <w:left w:w="0" w:type="dxa"/>
            <w:bottom w:w="0" w:type="dxa"/>
            <w:right w:w="0" w:type="dxa"/>
          </w:tblCellMar>
        </w:tblPrEx>
        <w:trPr>
          <w:jc w:val="center"/>
        </w:trPr>
        <w:tc>
          <w:tcPr>
            <w:tcW w:w="928" w:type="dxa"/>
            <w:tcBorders>
              <w:top w:val="single" w:color="auto" w:sz="12" w:space="0"/>
              <w:left w:val="single" w:color="auto" w:sz="12" w:space="0"/>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80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名称</w:t>
            </w:r>
          </w:p>
        </w:tc>
        <w:tc>
          <w:tcPr>
            <w:tcW w:w="801"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单位</w:t>
            </w:r>
          </w:p>
        </w:tc>
        <w:tc>
          <w:tcPr>
            <w:tcW w:w="733"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数量</w:t>
            </w:r>
          </w:p>
        </w:tc>
        <w:tc>
          <w:tcPr>
            <w:tcW w:w="1300"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单价（元）</w:t>
            </w:r>
          </w:p>
        </w:tc>
        <w:tc>
          <w:tcPr>
            <w:tcW w:w="1358" w:type="dxa"/>
            <w:tcBorders>
              <w:top w:val="single" w:color="auto" w:sz="12" w:space="0"/>
              <w:left w:val="nil"/>
              <w:bottom w:val="double" w:color="auto" w:sz="6"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合价（元）</w:t>
            </w:r>
          </w:p>
        </w:tc>
        <w:tc>
          <w:tcPr>
            <w:tcW w:w="1553" w:type="dxa"/>
            <w:tcBorders>
              <w:top w:val="single" w:color="auto" w:sz="12" w:space="0"/>
              <w:left w:val="nil"/>
              <w:bottom w:val="double" w:color="auto" w:sz="6"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8"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8"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r>
        <w:tblPrEx>
          <w:tblCellMar>
            <w:top w:w="0" w:type="dxa"/>
            <w:left w:w="0" w:type="dxa"/>
            <w:bottom w:w="0" w:type="dxa"/>
            <w:right w:w="0" w:type="dxa"/>
          </w:tblCellMar>
        </w:tblPrEx>
        <w:trPr>
          <w:jc w:val="center"/>
        </w:trPr>
        <w:tc>
          <w:tcPr>
            <w:tcW w:w="928" w:type="dxa"/>
            <w:tcBorders>
              <w:top w:val="nil"/>
              <w:left w:val="single" w:color="auto" w:sz="12" w:space="0"/>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80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801"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733"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00"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358" w:type="dxa"/>
            <w:tcBorders>
              <w:top w:val="nil"/>
              <w:left w:val="nil"/>
              <w:bottom w:val="single" w:color="auto" w:sz="12" w:space="0"/>
              <w:right w:val="single" w:color="auto" w:sz="8"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c>
          <w:tcPr>
            <w:tcW w:w="1553" w:type="dxa"/>
            <w:tcBorders>
              <w:top w:val="nil"/>
              <w:left w:val="nil"/>
              <w:bottom w:val="single" w:color="auto" w:sz="12" w:space="0"/>
              <w:right w:val="single" w:color="auto" w:sz="12" w:space="0"/>
            </w:tcBorders>
            <w:noWrap w:val="0"/>
            <w:tcMar>
              <w:top w:w="0" w:type="dxa"/>
              <w:left w:w="28" w:type="dxa"/>
              <w:bottom w:w="0" w:type="dxa"/>
              <w:right w:w="28" w:type="dxa"/>
            </w:tcMar>
            <w:vAlign w:val="top"/>
          </w:tcPr>
          <w:p>
            <w:pPr>
              <w:pStyle w:val="11"/>
              <w:autoSpaceDN w:val="0"/>
              <w:spacing w:line="300" w:lineRule="auto"/>
              <w:ind w:firstLine="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w:t>
            </w:r>
          </w:p>
        </w:tc>
      </w:tr>
    </w:tbl>
    <w:p>
      <w:pPr>
        <w:rPr>
          <w:rFonts w:hint="eastAsia" w:ascii="仿宋" w:hAnsi="仿宋" w:eastAsia="仿宋" w:cs="仿宋"/>
          <w:color w:val="auto"/>
          <w:highlight w:val="none"/>
        </w:rPr>
      </w:pPr>
    </w:p>
    <w:p>
      <w:pPr>
        <w:jc w:val="left"/>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360" w:lineRule="auto"/>
        <w:jc w:val="center"/>
        <w:rPr>
          <w:rFonts w:hint="eastAsia" w:ascii="仿宋" w:hAnsi="仿宋" w:eastAsia="仿宋" w:cs="仿宋"/>
          <w:b/>
          <w:sz w:val="30"/>
          <w:szCs w:val="30"/>
          <w:highlight w:val="none"/>
        </w:rPr>
      </w:pPr>
      <w:r>
        <w:rPr>
          <w:rFonts w:hint="eastAsia" w:ascii="仿宋" w:hAnsi="仿宋" w:eastAsia="仿宋" w:cs="仿宋"/>
          <w:b/>
          <w:bCs/>
          <w:color w:val="auto"/>
          <w:szCs w:val="21"/>
          <w:highlight w:val="none"/>
        </w:rPr>
        <w:br w:type="page"/>
      </w:r>
      <w:r>
        <w:rPr>
          <w:rFonts w:hint="eastAsia" w:ascii="仿宋" w:hAnsi="仿宋" w:eastAsia="仿宋" w:cs="仿宋"/>
          <w:sz w:val="24"/>
          <w:highlight w:val="none"/>
        </w:rPr>
        <w:t xml:space="preserve">      </w:t>
      </w:r>
      <w:r>
        <w:rPr>
          <w:rFonts w:hint="eastAsia" w:ascii="仿宋" w:hAnsi="仿宋" w:eastAsia="仿宋" w:cs="仿宋"/>
          <w:b/>
          <w:sz w:val="30"/>
          <w:szCs w:val="30"/>
          <w:highlight w:val="none"/>
        </w:rPr>
        <w:drawing>
          <wp:anchor distT="0" distB="0" distL="114300" distR="114300" simplePos="0" relativeHeight="251659264" behindDoc="1" locked="1" layoutInCell="1" allowOverlap="1">
            <wp:simplePos x="0" y="0"/>
            <wp:positionH relativeFrom="column">
              <wp:posOffset>4940300</wp:posOffset>
            </wp:positionH>
            <wp:positionV relativeFrom="paragraph">
              <wp:posOffset>10020300</wp:posOffset>
            </wp:positionV>
            <wp:extent cx="546100" cy="520700"/>
            <wp:effectExtent l="0" t="0" r="6350" b="12700"/>
            <wp:wrapNone/>
            <wp:docPr id="2" name="Picture 2" descr="958471706141161974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9584717061411619742531"/>
                    <pic:cNvPicPr>
                      <a:picLocks noChangeAspect="1" noChangeArrowheads="1"/>
                    </pic:cNvPicPr>
                  </pic:nvPicPr>
                  <pic:blipFill>
                    <a:blip r:embed="rId9"/>
                    <a:srcRect/>
                    <a:stretch>
                      <a:fillRect/>
                    </a:stretch>
                  </pic:blipFill>
                  <pic:spPr>
                    <a:xfrm>
                      <a:off x="0" y="0"/>
                      <a:ext cx="546100" cy="520700"/>
                    </a:xfrm>
                    <a:prstGeom prst="rect">
                      <a:avLst/>
                    </a:prstGeom>
                    <a:noFill/>
                  </pic:spPr>
                </pic:pic>
              </a:graphicData>
            </a:graphic>
          </wp:anchor>
        </w:drawing>
      </w:r>
      <w:r>
        <w:rPr>
          <w:rFonts w:hint="eastAsia" w:ascii="仿宋" w:hAnsi="仿宋" w:eastAsia="仿宋" w:cs="仿宋"/>
          <w:b/>
          <w:sz w:val="30"/>
          <w:szCs w:val="30"/>
          <w:highlight w:val="none"/>
        </w:rPr>
        <w:t>第四章  技术标准及要求</w:t>
      </w:r>
      <w:bookmarkEnd w:id="20"/>
    </w:p>
    <w:p>
      <w:pPr>
        <w:spacing w:line="400" w:lineRule="exact"/>
        <w:jc w:val="left"/>
        <w:rPr>
          <w:rFonts w:hint="eastAsia" w:ascii="仿宋" w:hAnsi="仿宋" w:eastAsia="仿宋" w:cs="仿宋"/>
          <w:b/>
          <w:bCs/>
          <w:color w:val="auto"/>
          <w:sz w:val="24"/>
          <w:szCs w:val="24"/>
          <w:highlight w:val="none"/>
        </w:rPr>
      </w:pPr>
      <w:bookmarkStart w:id="176" w:name="_Toc17338"/>
      <w:bookmarkStart w:id="177" w:name="_Toc18426"/>
      <w:r>
        <w:rPr>
          <w:rFonts w:hint="eastAsia" w:ascii="仿宋" w:hAnsi="仿宋" w:eastAsia="仿宋" w:cs="仿宋"/>
          <w:b/>
          <w:bCs/>
          <w:color w:val="auto"/>
          <w:sz w:val="24"/>
          <w:szCs w:val="24"/>
          <w:highlight w:val="none"/>
        </w:rPr>
        <w:t>一、项目概况</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本项目为新疆医科大学第七附属医院医教综合楼建设项目医用气体项目。项目范围：医教综合楼A</w:t>
      </w:r>
      <w:r>
        <w:rPr>
          <w:rFonts w:hint="eastAsia" w:ascii="仿宋" w:hAnsi="仿宋" w:eastAsia="仿宋" w:cs="仿宋"/>
          <w:color w:val="auto"/>
          <w:sz w:val="24"/>
          <w:szCs w:val="24"/>
          <w:highlight w:val="none"/>
          <w:lang w:eastAsia="zh-CN"/>
        </w:rPr>
        <w:t>区</w:t>
      </w:r>
      <w:r>
        <w:rPr>
          <w:rFonts w:hint="eastAsia" w:ascii="仿宋" w:hAnsi="仿宋" w:eastAsia="仿宋" w:cs="仿宋"/>
          <w:color w:val="auto"/>
          <w:sz w:val="24"/>
          <w:szCs w:val="24"/>
          <w:highlight w:val="none"/>
          <w:lang w:val="en-US" w:eastAsia="zh-CN"/>
        </w:rPr>
        <w:t>18层</w:t>
      </w:r>
      <w:r>
        <w:rPr>
          <w:rFonts w:hint="eastAsia" w:ascii="仿宋" w:hAnsi="仿宋" w:eastAsia="仿宋" w:cs="仿宋"/>
          <w:color w:val="auto"/>
          <w:sz w:val="24"/>
          <w:szCs w:val="24"/>
          <w:highlight w:val="none"/>
        </w:rPr>
        <w:t>、B区</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层</w:t>
      </w:r>
      <w:r>
        <w:rPr>
          <w:rFonts w:hint="eastAsia" w:ascii="仿宋" w:hAnsi="仿宋" w:eastAsia="仿宋" w:cs="仿宋"/>
          <w:color w:val="auto"/>
          <w:sz w:val="24"/>
          <w:szCs w:val="24"/>
          <w:highlight w:val="none"/>
          <w:lang w:eastAsia="zh-CN"/>
        </w:rPr>
        <w:t>（以施工图及清单数量表为准）</w:t>
      </w:r>
      <w:r>
        <w:rPr>
          <w:rFonts w:hint="eastAsia" w:ascii="仿宋" w:hAnsi="仿宋" w:eastAsia="仿宋" w:cs="仿宋"/>
          <w:color w:val="auto"/>
          <w:sz w:val="24"/>
          <w:szCs w:val="24"/>
          <w:highlight w:val="none"/>
        </w:rPr>
        <w:t>。</w:t>
      </w:r>
    </w:p>
    <w:p>
      <w:pPr>
        <w:spacing w:line="400" w:lineRule="exact"/>
        <w:ind w:firstLine="484" w:firstLineChars="202"/>
        <w:jc w:val="left"/>
        <w:rPr>
          <w:rFonts w:hint="eastAsia" w:ascii="仿宋" w:hAnsi="仿宋" w:eastAsia="仿宋" w:cs="仿宋"/>
          <w:color w:val="auto"/>
          <w:sz w:val="24"/>
          <w:szCs w:val="24"/>
          <w:highlight w:val="none"/>
        </w:rPr>
      </w:pPr>
      <w:bookmarkStart w:id="178" w:name="_Hlk65763919"/>
      <w:r>
        <w:rPr>
          <w:rFonts w:hint="eastAsia" w:ascii="仿宋" w:hAnsi="仿宋" w:eastAsia="仿宋" w:cs="仿宋"/>
          <w:color w:val="auto"/>
          <w:sz w:val="24"/>
          <w:szCs w:val="24"/>
          <w:highlight w:val="none"/>
        </w:rPr>
        <w:t>各系统主要设备应包括</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1.医用中心供氧系统：医用气体汇集排、氧气二级减压装置、阀门、管道及终端等；</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2.医用中心吸引系统：医用真空负压机、真空罐、集气缸、阀门、管道及终端等；</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3.医用空气集中供应系统：螺杆式空压机、冷干机、四级过滤器、空气储罐、分气缸、阀门、管道及终端等；</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4.医用气体供应末端设施系统：病房设备带、医用气体终端、电源插座、灯、开关等；</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5.手术室气体系统：医用气体汇集排、阀门、管道等</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6.医用传呼系统：护士站主机、走廊显示屏、床头分机、</w:t>
      </w:r>
      <w:r>
        <w:rPr>
          <w:rFonts w:hint="eastAsia" w:ascii="仿宋" w:hAnsi="仿宋" w:eastAsia="仿宋" w:cs="仿宋"/>
          <w:color w:val="auto"/>
          <w:sz w:val="24"/>
          <w:szCs w:val="24"/>
          <w:highlight w:val="none"/>
          <w:lang w:eastAsia="zh-CN"/>
        </w:rPr>
        <w:t>卫生间分机、</w:t>
      </w:r>
      <w:r>
        <w:rPr>
          <w:rFonts w:hint="eastAsia" w:ascii="仿宋" w:hAnsi="仿宋" w:eastAsia="仿宋" w:cs="仿宋"/>
          <w:color w:val="auto"/>
          <w:sz w:val="24"/>
          <w:szCs w:val="24"/>
          <w:highlight w:val="none"/>
        </w:rPr>
        <w:t>呼叫电源线、信号线及保护套管等。</w:t>
      </w:r>
    </w:p>
    <w:p>
      <w:pPr>
        <w:spacing w:line="400" w:lineRule="exact"/>
        <w:ind w:firstLine="484" w:firstLineChars="202"/>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7.医用气体报警系统：医用气体报警系统软件、医用气体监测报警装置、氧气流量计、连接数据线、联网设备等</w:t>
      </w:r>
      <w:r>
        <w:rPr>
          <w:rFonts w:hint="eastAsia" w:ascii="仿宋" w:hAnsi="仿宋" w:eastAsia="仿宋" w:cs="仿宋"/>
          <w:color w:val="auto"/>
          <w:sz w:val="24"/>
          <w:szCs w:val="24"/>
          <w:highlight w:val="none"/>
          <w:lang w:val="en-US" w:eastAsia="zh-CN"/>
        </w:rPr>
        <w:t>.</w:t>
      </w:r>
    </w:p>
    <w:bookmarkEnd w:id="178"/>
    <w:p>
      <w:pPr>
        <w:spacing w:line="400" w:lineRule="exact"/>
        <w:jc w:val="left"/>
        <w:rPr>
          <w:rFonts w:hint="eastAsia" w:ascii="仿宋" w:hAnsi="仿宋" w:eastAsia="仿宋" w:cs="仿宋"/>
          <w:b/>
          <w:bCs/>
          <w:color w:val="auto"/>
          <w:sz w:val="24"/>
          <w:szCs w:val="24"/>
          <w:highlight w:val="none"/>
        </w:rPr>
      </w:pPr>
      <w:bookmarkStart w:id="179" w:name="_Hlk65764071"/>
      <w:r>
        <w:rPr>
          <w:rFonts w:hint="eastAsia" w:ascii="仿宋" w:hAnsi="仿宋" w:eastAsia="仿宋" w:cs="仿宋"/>
          <w:b/>
          <w:bCs/>
          <w:color w:val="auto"/>
          <w:sz w:val="24"/>
          <w:szCs w:val="24"/>
          <w:highlight w:val="none"/>
        </w:rPr>
        <w:t>二、招标范围</w:t>
      </w:r>
    </w:p>
    <w:bookmarkEnd w:id="179"/>
    <w:p>
      <w:pPr>
        <w:spacing w:line="400" w:lineRule="exact"/>
        <w:ind w:firstLine="484" w:firstLineChars="20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本次招标包含招标范围内所有相关系统</w:t>
      </w:r>
      <w:r>
        <w:rPr>
          <w:rFonts w:hint="eastAsia" w:ascii="仿宋" w:hAnsi="仿宋" w:eastAsia="仿宋" w:cs="仿宋"/>
          <w:color w:val="auto"/>
          <w:sz w:val="24"/>
          <w:szCs w:val="24"/>
          <w:highlight w:val="none"/>
          <w:lang w:eastAsia="zh-CN"/>
        </w:rPr>
        <w:t>施工图的优化及整理出图</w:t>
      </w:r>
      <w:r>
        <w:rPr>
          <w:rFonts w:hint="eastAsia" w:ascii="仿宋" w:hAnsi="仿宋" w:eastAsia="仿宋" w:cs="仿宋"/>
          <w:color w:val="auto"/>
          <w:sz w:val="24"/>
          <w:szCs w:val="24"/>
          <w:highlight w:val="none"/>
        </w:rPr>
        <w:t>、施工、检测、调试、验收、培训、保修及相关服务内容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医气管井处、护士站处预留电源</w:t>
      </w:r>
      <w:r>
        <w:rPr>
          <w:rFonts w:hint="eastAsia" w:ascii="仿宋" w:hAnsi="仿宋" w:eastAsia="仿宋" w:cs="仿宋"/>
          <w:color w:val="auto"/>
          <w:sz w:val="24"/>
          <w:szCs w:val="24"/>
          <w:highlight w:val="none"/>
          <w:lang w:eastAsia="zh-CN"/>
        </w:rPr>
        <w:t>包含在本次招标范围内。</w:t>
      </w:r>
      <w:r>
        <w:rPr>
          <w:rFonts w:hint="eastAsia" w:ascii="仿宋" w:hAnsi="仿宋" w:eastAsia="仿宋" w:cs="仿宋"/>
          <w:color w:val="auto"/>
          <w:sz w:val="24"/>
          <w:szCs w:val="24"/>
          <w:highlight w:val="none"/>
        </w:rPr>
        <w:t>施工图</w:t>
      </w:r>
      <w:r>
        <w:rPr>
          <w:rFonts w:hint="eastAsia" w:ascii="仿宋" w:hAnsi="仿宋" w:eastAsia="仿宋" w:cs="仿宋"/>
          <w:color w:val="auto"/>
          <w:sz w:val="24"/>
          <w:szCs w:val="24"/>
          <w:highlight w:val="none"/>
          <w:lang w:eastAsia="zh-CN"/>
        </w:rPr>
        <w:t>整理完善内容</w:t>
      </w:r>
      <w:r>
        <w:rPr>
          <w:rFonts w:hint="eastAsia" w:ascii="仿宋" w:hAnsi="仿宋" w:eastAsia="仿宋" w:cs="仿宋"/>
          <w:color w:val="auto"/>
          <w:sz w:val="24"/>
          <w:szCs w:val="24"/>
          <w:highlight w:val="none"/>
        </w:rPr>
        <w:t>（纸质版</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图及</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方案各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套、电子版各一套）</w:t>
      </w:r>
      <w:r>
        <w:rPr>
          <w:rFonts w:hint="eastAsia" w:ascii="仿宋" w:hAnsi="仿宋" w:eastAsia="仿宋" w:cs="仿宋"/>
          <w:color w:val="auto"/>
          <w:sz w:val="24"/>
          <w:szCs w:val="24"/>
          <w:highlight w:val="none"/>
          <w:lang w:eastAsia="zh-CN"/>
        </w:rPr>
        <w:t>。</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本次招标包含与原有液氧站</w:t>
      </w:r>
      <w:r>
        <w:rPr>
          <w:rFonts w:hint="eastAsia" w:ascii="仿宋" w:hAnsi="仿宋" w:eastAsia="仿宋" w:cs="仿宋"/>
          <w:color w:val="auto"/>
          <w:sz w:val="24"/>
          <w:szCs w:val="24"/>
          <w:highlight w:val="none"/>
          <w:lang w:val="en-US" w:eastAsia="zh-CN"/>
        </w:rPr>
        <w:t>,负压站、空气站</w:t>
      </w:r>
      <w:r>
        <w:rPr>
          <w:rFonts w:hint="eastAsia" w:ascii="仿宋" w:hAnsi="仿宋" w:eastAsia="仿宋" w:cs="仿宋"/>
          <w:color w:val="auto"/>
          <w:sz w:val="24"/>
          <w:szCs w:val="24"/>
          <w:highlight w:val="none"/>
        </w:rPr>
        <w:t>连接部分及管沟施工</w:t>
      </w:r>
      <w:r>
        <w:rPr>
          <w:rFonts w:hint="eastAsia" w:ascii="仿宋" w:hAnsi="仿宋" w:eastAsia="仿宋" w:cs="仿宋"/>
          <w:color w:val="auto"/>
          <w:sz w:val="24"/>
          <w:szCs w:val="24"/>
          <w:highlight w:val="none"/>
          <w:lang w:eastAsia="zh-CN"/>
        </w:rPr>
        <w:t>，楼层间医气管井楼板的管道开孔，招标范围内包含的所有压力容器需配备两套同型号、同规格压力及安全监测装置（压力表、安全阀等）。</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三、技术标准及规范要求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本工程所有设备和材料所涉及的设计标准与规范、产品标准与规范、工程标准与规范等必须符合中华人民共和国相应的最新版标准和规范，主要包括（但不局限于）：</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50030-2013            《氧气站设计规范》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50029-2014            《压缩空气站设计规范》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50016-2014            《建筑设计防火规范》（2018版）</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50184-2011            《工业金属管道工程施工质量验收规范》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50235-2010            《工业金属管道工程施工规范》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50236-2011            《现场设备、工业管道焊接工程施工规范》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50316-2000            《工业金属管道设计规范》（2008版）</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150.1～GB 150.4-2011  《压力容器 [合订本]》</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50683-2011            《现场设备、工业管道焊接工程施工质量验收规范》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50751-2012            《医用气体工程技术规范》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 9706.1-2007           《医用电器设备 第1部分：安全通用要求》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14976-2012          《流体输送用不锈钢无缝钢管》</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20801-2006          《压力管道规范工业管道》</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2828-2012           《计数抽样检验程序》</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GB/T 191-2008            《包装储运图示标志》</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国家、行业、地方等其它现行的相关标准、技术规范及法律法规等。</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四、项目具体内容及技术要求</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（一）医用中心供氧系统要求</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1、医用氧气汇集排要求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（1）规格：2×10瓶</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（2）流量：≥60m³/h</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（3）额定进口压力：15MPa，额定出口压力：0.6MPa（可调）</w:t>
      </w:r>
    </w:p>
    <w:p>
      <w:pPr>
        <w:pStyle w:val="23"/>
        <w:ind w:left="0" w:leftChars="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）氧气汇集排房间通风系统满足国家技术规范要求</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2、氧气分气缸要求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（1）规格：2进</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出 </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（2）材质：不锈钢</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（3）作用：聚积、分流气体</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（4）氧气分气缸必须符合GB 150.1～GB 150.4-2011《压力容器 [合订本]》标准的要求。</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3、氧气二级稳压装置要求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在相应病区楼层副管道上配置氧气二级稳压装置，箱体采用圆弧设计。</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（1）规格：双回路</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（2）功能：控制相应病区的压力</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（3）输出压力：0.2MPa-0.5MPa(可调)</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（4）结构：箱式</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（5）氧气二级稳压装置具有应急备用接口，可在紧急情况下直接连接氧气瓶，实现紧急供氧，需提供实物照片。</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（6）氧气二级稳压装置箱体内具有2套减压阀，可以在不影响压力情况下，实现不停气维修，满足GB 50751-2012《医用气体工程技术规范》规定“单一故障下，能够实现连续供气”的要求。</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4、氧气管道要求：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氧气管道采用不锈钢管，不锈钢管采用氩弧焊焊接方式连接，无泄漏，保证稳压供气。</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主要技术参数：</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（1）材质：06Cr19Ni10</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（2）焊接方式：氩弧焊</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（3）符合标准：GB/T 14976-2012《流体输送用不锈钢无缝钢管》</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（4）接地电阻：&lt;10Ω</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（5）氧气管道按脱脂工艺严格去油脱脂，并清洗及抗氧化处理后封堵，再发到现场。由氧源至大楼主管的管道安装在大楼气体管道井内,每个病区走廊横管安装在走廊吊顶内，病房内支管安装在暗埋槽内。</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（6）无缝不锈钢管内表面应无毒性残留，投标人应提供管道清洗方案，并提供第三方检测机构出具测试报告。</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（7）为保证厂家管道生产（如现场弯管等）及管道施工（如现场管道焊接等）的质量，须提供投标人的压力管道元件制造许可证。</w:t>
      </w:r>
    </w:p>
    <w:p>
      <w:pPr>
        <w:spacing w:line="400" w:lineRule="exact"/>
        <w:ind w:firstLine="240" w:firstLineChars="1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）氧气管道与在用氧站联通，满足正常使用。</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（二）医用中心吸引设备配置要求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医用中心吸引系统是由医用真空负压机、集气缸、医用压力监测报警装置、管道、终端等组成；</w:t>
      </w:r>
    </w:p>
    <w:p>
      <w:pPr>
        <w:spacing w:line="400" w:lineRule="exact"/>
        <w:ind w:firstLine="484" w:firstLineChars="202"/>
        <w:jc w:val="left"/>
        <w:rPr>
          <w:rFonts w:hint="eastAsia" w:ascii="仿宋" w:hAnsi="仿宋" w:eastAsia="仿宋" w:cs="仿宋"/>
          <w:color w:val="auto"/>
          <w:sz w:val="24"/>
          <w:szCs w:val="24"/>
          <w:highlight w:val="none"/>
        </w:rPr>
      </w:pPr>
      <w:bookmarkStart w:id="180" w:name="_Hlk42689237"/>
      <w:r>
        <w:rPr>
          <w:rFonts w:hint="eastAsia" w:ascii="仿宋" w:hAnsi="仿宋" w:eastAsia="仿宋" w:cs="仿宋"/>
          <w:color w:val="auto"/>
          <w:sz w:val="24"/>
          <w:szCs w:val="24"/>
          <w:highlight w:val="none"/>
        </w:rPr>
        <w:t>医用中心吸引系统需符合电磁兼容的相关标准要求，投标人须需提供医用中心吸引系统的电磁兼容报告。</w:t>
      </w:r>
    </w:p>
    <w:bookmarkEnd w:id="180"/>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1、医用真空负压机</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医用吸引站房主要采用1套医用真空负压机，其主要组成如下负压机组、真空罐、阀门一批及管道等。</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（1）负压机组要求：</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1）负压机组为整体集成式，出厂前联动试车，确保系统安全，质量可靠。</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医用真空负压机智能总控制系统由PLC程序控制，真空泵启动按先起先停原则自动切换交替工作，当一台真空泵工作不能满足系统需要时，备用真空泵自动顺序启动，有显示屏幕显示和设定机组运行各项参数。PLC中央集成控制，触摸屏人机操作界面。控制面板可设置每台真空泵运行状态指示及运行时间显示。</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3）本次招标的医用真空负压机为Ⅱ类医疗器械，须提医用真空负压机医疗器械注册证。</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置1台电控柜（含在医用真空负压机中），电控柜控制3台油旋式真环泵，以达到2用1备使用的目的，保证系统连续抽气。当压力高于-0.087MPa或低于-0.04MPa时均发出声光报警，具备数据远程传送功能，可通过网络连接局域网或互联网专用服务器。</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5）负压机组主要技术参数：</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 吸引量：≥3×200m3/h，二用一备</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电机功率：≤3×</w:t>
      </w:r>
      <w:r>
        <w:rPr>
          <w:rFonts w:hint="eastAsia" w:ascii="仿宋" w:hAnsi="仿宋" w:eastAsia="仿宋" w:cs="仿宋"/>
          <w:color w:val="auto"/>
          <w:sz w:val="24"/>
          <w:szCs w:val="24"/>
          <w:highlight w:val="none"/>
          <w:lang w:val="en-US" w:eastAsia="zh-CN"/>
        </w:rPr>
        <w:t>8.3</w:t>
      </w:r>
      <w:r>
        <w:rPr>
          <w:rFonts w:hint="eastAsia" w:ascii="仿宋" w:hAnsi="仿宋" w:eastAsia="仿宋" w:cs="仿宋"/>
          <w:color w:val="auto"/>
          <w:sz w:val="24"/>
          <w:szCs w:val="24"/>
          <w:highlight w:val="none"/>
        </w:rPr>
        <w:t>KW(380V)</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 噪音：室内小于74dB(A)、室外噪音值小于60dB（A）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 真空泵应采用国际知名品牌，原装进口产品。</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⑤配置防回流装置，可避免污物回流，保证设备运行安全，增加系统使用安全，须提供防回流装置的证明文件。</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6）负压自动电控柜应具有以下功能:</w:t>
      </w:r>
    </w:p>
    <w:p>
      <w:pPr>
        <w:spacing w:line="400" w:lineRule="exact"/>
        <w:ind w:firstLine="480" w:firstLineChars="200"/>
        <w:jc w:val="left"/>
        <w:rPr>
          <w:rFonts w:hint="eastAsia" w:ascii="仿宋" w:hAnsi="仿宋" w:eastAsia="仿宋" w:cs="仿宋"/>
          <w:color w:val="auto"/>
          <w:sz w:val="24"/>
          <w:szCs w:val="24"/>
          <w:highlight w:val="none"/>
        </w:rPr>
      </w:pPr>
      <w:bookmarkStart w:id="181" w:name="_Hlk65764944"/>
      <w:r>
        <w:rPr>
          <w:rFonts w:hint="eastAsia" w:ascii="仿宋" w:hAnsi="仿宋" w:eastAsia="仿宋" w:cs="仿宋"/>
          <w:color w:val="auto"/>
          <w:sz w:val="24"/>
          <w:szCs w:val="24"/>
          <w:highlight w:val="none"/>
        </w:rPr>
        <w:t>①能分别对三台真空泵组进行手动和自动控制。控制的工作负压值在-0.04～-0.087MPa之间（可调）。</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②工作真空泵与备用真空泵可自动交替使用，解决真空泵和长期备用带来的不利影响。</w:t>
      </w:r>
    </w:p>
    <w:bookmarkEnd w:id="181"/>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③当压力达到报警压力-0.039MPa值时，立即进行声光信号报警。</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④停电后机组停止工作，如恢复送电，机组即可自动投入运行。</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w:t>
      </w:r>
      <w:bookmarkStart w:id="182" w:name="_Hlk65765006"/>
      <w:r>
        <w:rPr>
          <w:rFonts w:hint="eastAsia" w:ascii="仿宋" w:hAnsi="仿宋" w:eastAsia="仿宋" w:cs="仿宋"/>
          <w:color w:val="auto"/>
          <w:sz w:val="24"/>
          <w:szCs w:val="24"/>
          <w:highlight w:val="none"/>
        </w:rPr>
        <w:t>全自动工作方式，无须专人值守，能根据医院的实际用气量的要求逐台启动或停止各机组的运行，各机组之间交替跟踪启动，互为备用，方便医院管理。同时设有手动控制系统，在突发情况下可采用转换至该状态下紧急启动运行。</w:t>
      </w:r>
    </w:p>
    <w:bookmarkEnd w:id="182"/>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⑥自动电气控制系统应具有可视化故障提醒功能，运行数据存储、查询功能，具有过流、电机反转等故障保护功能，出现异常情况时应能发出声光报警信号，以提示相关人员进行维护处理。</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⑦具有标准协议的数据通讯接口，便于设备的远程监控管理。</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7）吸引系统应有可靠的接地，接地电阻应小于10欧姆。</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（2）排气消毒装置要求</w:t>
      </w:r>
    </w:p>
    <w:p>
      <w:pPr>
        <w:spacing w:line="400" w:lineRule="exact"/>
        <w:ind w:firstLine="480" w:firstLineChars="200"/>
        <w:jc w:val="left"/>
        <w:rPr>
          <w:rFonts w:hint="eastAsia" w:ascii="仿宋" w:hAnsi="仿宋" w:eastAsia="仿宋" w:cs="仿宋"/>
          <w:color w:val="auto"/>
          <w:sz w:val="24"/>
          <w:szCs w:val="24"/>
          <w:highlight w:val="none"/>
        </w:rPr>
      </w:pPr>
      <w:bookmarkStart w:id="183" w:name="_Hlk65764545"/>
      <w:r>
        <w:rPr>
          <w:rFonts w:hint="eastAsia" w:ascii="仿宋" w:hAnsi="仿宋" w:eastAsia="仿宋" w:cs="仿宋"/>
          <w:color w:val="auto"/>
          <w:sz w:val="24"/>
          <w:szCs w:val="24"/>
          <w:highlight w:val="none"/>
        </w:rPr>
        <w:t>在吸引中心站医用真空负压机排气口安装1台排气消毒装置，用于医疗真空废气排放系统中，通过过滤、净化、消毒、灭菌过程，能快速、有效杀灭排气系统中的细菌、病菌、真菌及空气中常见的致病菌。</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1）单机处理量≥300m³/h，净化效率≥99.99%。</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2）采用高频加热方式灭菌，工作温度≥180℃</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3）针对新冠病毒必须有非常好的灭杀效果</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4）应提供排气消毒装置针对瞬时灭杀病毒的第三方检测报告。</w:t>
      </w:r>
    </w:p>
    <w:bookmarkEnd w:id="183"/>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（3）真空罐要求：</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配置2台真空罐，工作最大负压：-0.009MPa。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1）材质：碳钢</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2）容器类型：真空</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3）工作压力：-0.04MPa～-0.087MPa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4）单台容积：2.0m3</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5）真空罐必须符合GB 150.1～GB 150.4-2011《压力容器 [合订本]》标准的要求。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（4）集气缸的主要技术参数及要求：</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在吸引中心站内配置1台集气缸。</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1）规格：2抽5进（预留接口）</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2）材质：碳钢</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3）作用：聚积、分流气体、排污</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4）工作压力：-0.04MPa～-0.087MPa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5）集气缸必须符合GB 150.1～GB 150.4-2011《压力容器 [合订本]》标准的要求。</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2、吸引管道要求：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吸引管道采用不锈钢管，并经清洗、吹扫，不锈钢管采用氩弧焊焊接方式连接，无泄漏，保证稳压供气。</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吸引管道严格清洗、吹扫及抗氧化处理后封堵，再发到现场安装。</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（1）材质：06Cr19Ni10</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（2）焊接方式：氩弧焊</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（3）符合标准：GB/T 14976-2012《流体输送用不锈钢无缝钢管》</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（4）接地电阻：&lt;10Ω</w:t>
      </w:r>
    </w:p>
    <w:p>
      <w:pPr>
        <w:spacing w:line="400" w:lineRule="exact"/>
        <w:ind w:firstLine="484" w:firstLineChars="202"/>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（三）医用空气集中供应系统要求</w:t>
      </w:r>
    </w:p>
    <w:p>
      <w:pPr>
        <w:spacing w:line="400" w:lineRule="exact"/>
        <w:ind w:firstLine="484" w:firstLineChars="202"/>
        <w:jc w:val="left"/>
        <w:rPr>
          <w:rFonts w:hint="eastAsia" w:ascii="仿宋" w:hAnsi="仿宋" w:eastAsia="仿宋" w:cs="仿宋"/>
          <w:color w:val="auto"/>
          <w:sz w:val="24"/>
          <w:szCs w:val="24"/>
          <w:highlight w:val="none"/>
        </w:rPr>
      </w:pPr>
      <w:bookmarkStart w:id="184" w:name="_Hlk65764623"/>
      <w:bookmarkStart w:id="185" w:name="_Hlk65764672"/>
      <w:r>
        <w:rPr>
          <w:rFonts w:hint="eastAsia" w:ascii="仿宋" w:hAnsi="仿宋" w:eastAsia="仿宋" w:cs="仿宋"/>
          <w:color w:val="auto"/>
          <w:sz w:val="24"/>
          <w:szCs w:val="24"/>
          <w:highlight w:val="none"/>
        </w:rPr>
        <w:t>医用空气集中供应系统由医用空气集中供应系统由螺杆式空压机、四级过滤器、冷干式干燥机、管道、阀门、空气储罐、空气分气缸、空气减压装置、管道、终端等组成。</w:t>
      </w:r>
    </w:p>
    <w:bookmarkEnd w:id="184"/>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该系统的空压机共3台</w:t>
      </w:r>
      <w:bookmarkEnd w:id="185"/>
      <w:r>
        <w:rPr>
          <w:rFonts w:hint="eastAsia" w:ascii="仿宋" w:hAnsi="仿宋" w:eastAsia="仿宋" w:cs="仿宋"/>
          <w:color w:val="auto"/>
          <w:sz w:val="24"/>
          <w:szCs w:val="24"/>
          <w:highlight w:val="none"/>
        </w:rPr>
        <w:t>，采用并联安装,交替工作，实现2用1备。</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186" w:name="_Hlk65764690"/>
      <w:r>
        <w:rPr>
          <w:rFonts w:hint="eastAsia" w:ascii="仿宋" w:hAnsi="仿宋" w:eastAsia="仿宋" w:cs="仿宋"/>
          <w:color w:val="auto"/>
          <w:sz w:val="24"/>
          <w:szCs w:val="24"/>
          <w:highlight w:val="none"/>
        </w:rPr>
        <w:t>螺杆式</w:t>
      </w:r>
      <w:bookmarkEnd w:id="186"/>
      <w:r>
        <w:rPr>
          <w:rFonts w:hint="eastAsia" w:ascii="仿宋" w:hAnsi="仿宋" w:eastAsia="仿宋" w:cs="仿宋"/>
          <w:color w:val="auto"/>
          <w:sz w:val="24"/>
          <w:szCs w:val="24"/>
          <w:highlight w:val="none"/>
        </w:rPr>
        <w:t>空压机要求：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配置3台螺杆式空压机作为医用空气供应源，空压机输出的空气质量达到相关标准要求。</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1）单台处理量：≥2.3m</w:t>
      </w:r>
      <w:r>
        <w:rPr>
          <w:rFonts w:hint="eastAsia" w:ascii="仿宋" w:hAnsi="仿宋" w:eastAsia="仿宋" w:cs="仿宋"/>
          <w:color w:val="auto"/>
          <w:sz w:val="24"/>
          <w:szCs w:val="24"/>
          <w:highlight w:val="none"/>
          <w:vertAlign w:val="superscript"/>
        </w:rPr>
        <w:t>3</w:t>
      </w:r>
      <w:r>
        <w:rPr>
          <w:rFonts w:hint="eastAsia" w:ascii="仿宋" w:hAnsi="仿宋" w:eastAsia="仿宋" w:cs="仿宋"/>
          <w:color w:val="auto"/>
          <w:sz w:val="24"/>
          <w:szCs w:val="24"/>
          <w:highlight w:val="none"/>
        </w:rPr>
        <w:t>/min</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2）单台功率：≤15KW（380V）</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3）输出压力：≥1.0MPa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4）要求为国际知名品牌</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（2）四级过滤器要求：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配置三套四级过滤器，每台空压后配置一套过滤器。</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1）处理量：≥2.7m³/min</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2）最高处理精度：除尘0.01微米，除油0.003mg/m3</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3）要求同空气压缩机品牌保持一致</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（3）冷冻式干燥机要求：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配置三台冷冻式干燥机，每台空压机后配置一台冷冻式干燥机，冷冻式干燥机采用智能控制，准确高效。</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1）处理量：≥3.3m</w:t>
      </w:r>
      <w:r>
        <w:rPr>
          <w:rFonts w:hint="eastAsia" w:ascii="仿宋" w:hAnsi="仿宋" w:eastAsia="仿宋" w:cs="仿宋"/>
          <w:color w:val="auto"/>
          <w:sz w:val="24"/>
          <w:szCs w:val="24"/>
          <w:highlight w:val="none"/>
          <w:vertAlign w:val="superscript"/>
        </w:rPr>
        <w:t>3</w:t>
      </w:r>
      <w:r>
        <w:rPr>
          <w:rFonts w:hint="eastAsia" w:ascii="仿宋" w:hAnsi="仿宋" w:eastAsia="仿宋" w:cs="仿宋"/>
          <w:color w:val="auto"/>
          <w:sz w:val="24"/>
          <w:szCs w:val="24"/>
          <w:highlight w:val="none"/>
        </w:rPr>
        <w:t>/min</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2）压力露点：3-8℃</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3）最高工作压力：1.6MPa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4）要求同空气压缩机品牌保持一致</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（4）空气储罐要求：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配置三台空气储罐，每台空压机后配置一台。</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1）材质：不锈钢</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2）最大工作压力：1.0MPa</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3）容器类型：空气</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4）容积：1.0m</w:t>
      </w:r>
      <w:r>
        <w:rPr>
          <w:rFonts w:hint="eastAsia" w:ascii="仿宋" w:hAnsi="仿宋" w:eastAsia="仿宋" w:cs="仿宋"/>
          <w:color w:val="auto"/>
          <w:sz w:val="24"/>
          <w:szCs w:val="24"/>
          <w:highlight w:val="none"/>
          <w:vertAlign w:val="superscript"/>
        </w:rPr>
        <w:t>3</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5）符合GB 150.1～GB 150.4-2011《压力容器 [合订本]》标准的要求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（5）空气分气缸要求：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在空气中心站内配置1台分气缸。</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1）规格型号：2进5出（预留接口）</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2）材质：不锈钢</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3）作用：聚积、分流气体</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4）工作压力：1.0MPa</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5）符合GB 150.1～GB 150.4-2011《压力容器 [合订本]》标准的要求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（6）空气减压报警装置的主要技术参数及要求：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在空气中心站分气缸后设置空气减压报警装置，自带双减压器及报警器,可实现声光报警，报警压力误差≤3%，箱体采用圆弧设计。</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1）输出压力：0.4MPa-0.8MPa(可调)</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2）适用介质：空气</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3）结构：箱式</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4）具备数据远程传送功能，可通过网络连接局域网或互联网专用服务器。</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（7）空气压缩机组控制系统的主要技术参数及要求：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空气站配置一套空气压缩机组控制系统，采用进口PLC控制器，控制空压机自动或手动启停、交替使用。</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自动工作方式，无须专人值守，能根据医院的实际用气量的要求逐台启动或停止各机组的运行，各机组之间交替跟踪启动，互为备用，方便医院管理。同时设有手动控制系统，在突发情况下可采用转换至该状态下紧急启动运行。</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空气压缩机组控制系统需控制机组交替启停，保证系统可连续供气</w:t>
      </w:r>
      <w:r>
        <w:rPr>
          <w:rFonts w:hint="eastAsia" w:ascii="仿宋" w:hAnsi="仿宋" w:eastAsia="仿宋" w:cs="仿宋"/>
          <w:color w:val="auto"/>
          <w:sz w:val="24"/>
          <w:szCs w:val="24"/>
          <w:highlight w:val="none"/>
          <w:lang w:val="en-US" w:eastAsia="zh-CN"/>
        </w:rPr>
        <w:t>.</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空气管道要求：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空气管道采用不锈钢管，不锈钢管采用氩弧焊焊接方式连接，无泄漏，保证稳压供气。</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空气管道按脱脂工艺严格去油脱脂，并清洗及抗氧化处理后封堵，再发到现场。主管道与氧气主管并行，每个病区的横管安装在走廊吊顶内，病房内支管安装在铝合金设备带内。</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（1）材质：06Cr19Ni10</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（2）焊接方式：氩弧焊</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（3）符合标准：GB/T 14976-2012《流体输送用不锈钢无缝钢管》</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（4）接地电阻：&lt;10Ω</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（四）手术室气体系统要求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主要包括医用氮气系统和医用二氧化碳系统。</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1、医用气体汇集排要求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（1）规格：2×10瓶（氮气）、2×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瓶（二氧化碳）</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（2）流量：≥60m³/h</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（3）额定进口压力：15MPa，额定出口压力：0.6MPa（可调）</w:t>
      </w:r>
    </w:p>
    <w:p>
      <w:pPr>
        <w:spacing w:line="400" w:lineRule="exact"/>
        <w:ind w:firstLine="487" w:firstLineChars="202"/>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、氮气、二氧化碳管道要求：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氮气、二氧化碳管道采用不锈钢管，采用氩弧焊焊接方式连接，无泄漏，保证稳压供气。</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主要技术参数：</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（1）材质：06Cr19Ni10</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（2）焊接方式：氩弧焊</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（3）符合标准：GB/T 14976-2012《流体输送用不锈钢无缝钢管》</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（4）接地电阻：&lt;10Ω</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（5）管道按脱脂工艺严格去油脱脂，并清洗及抗氧化处理后封堵，再发到现场。由气源至大楼主管的管道安装在大楼气体管道井内,每个病区走廊横管安装在走廊吊顶内，病房内支管安装在暗埋槽内。</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（6）无缝不锈钢管内表面应无毒性残留，投标人应提供管道清洗方案，并提供第三方检测机构的测试报告。</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（7）为保证厂家管道生产（如现场弯管等）及管道施工（如现场管道焊接等）的质量，须提供投标人的压力管道元件制造许可证。</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（五）牙科吸引系统要求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牙科真空系统主要由牙科电动抽吸机、阀门、管道等组成。</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1、牙科抽吸机</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（1）单套最大抽吸量：≥7000L/min（抽气压力：-15KP）</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（2）电机功率：≤10kW (380V)</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（3）额定压力：-0.015MPa</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（4）真空度：≤-20KPa</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（5）电源：3N～380V，50Hz</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牙科抽吸机采用撬装式结构，集成不锈钢分离罐、气环泵、控制器及配套管路设施等。</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根据国家食品药品监督管理总局通告2017年第104号附件《医疗器械分类目录》规定，牙科抽吸机作为Ⅰ类医疗器械管理，须提供第Ⅰ类医疗器械备案信息表和第Ⅰ类医疗器械备案凭证。</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2、牙科吸引管道</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吸引管道均采用PVC-U管，并经清洗、吹扫，采用热熔连接方式连接，无泄漏，保证稳压供气。</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信号线用于连接牙椅和牙科抽吸机。信号线采用RVV2*1mm2信号线，且信号线需加套管保护。</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（六）牙科空气系统要求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牙科空气系统主要由1套牙科电动无油空压机、阀门、管道等组成。</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1、牙科电动无油空压机主要技术参数及要求：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牙科电动无油空压机主要技术参数及特点：</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（1）整套牙科空压机的额定产气量：≥1000L/min；</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（2）输入功率：≤11kW；</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（3）整套牙科空压机的额定排气压力：0.55MPa；</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（4）牙科空气品质符合GB50751-2012《医用气体工程技术规范》要求；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根据国家食品药品监督管理总局通告2017年第104号附件《医疗器械分类目录》规定，牙科电动无油空压机为国家Ⅰ类医疗器械,须提供第Ⅰ类医疗器械备案信息表及第一类医疗器械备案凭证。</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2、牙科空气管道</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管道均采用不锈钢管，并经酸洗脱脂，采用氩弧焊焊接方式连接，无泄漏，保证稳压供气。</w:t>
      </w:r>
    </w:p>
    <w:p>
      <w:pPr>
        <w:spacing w:line="400" w:lineRule="exact"/>
        <w:ind w:firstLine="484" w:firstLineChars="202"/>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（七）医用呼叫系统配置要求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1、系统技术参数：</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环境温度：0℃-40℃</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相对湿度：≤80％</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电源：AC220V  50Hz</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静态功耗：≤20W</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分机待机电流：≤300uA</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分机通话电流：≤300mA</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2、系统主要功能:</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（1）双向呼叫、双向对讲，在主机上可接入分机号码即可呼通分机，与分机实现通话。</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存储功能：当分机呼叫主机而主机未接听时，或者主机正在与其它分机通话时，主机将自动存储呼叫分机号码，并在主机数码显示窗口及显示屏上按呼叫先后顺序循环显示，当所有的病员同时呼叫，主机能根据轻重缓急择重显示，可设单键快速拔号。</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主机多功能显示：直接显示报警床位号码，走廊显示和复位功能；主机显示窗口应能由数码直接显示工作状态、顺序号、床号或房间号。并可根据呼叫时间的先后自动排序显示，走廊显示屏可显示呼叫床位号和房间号。</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（4）护理级别设定：可根据病员病情设置一、二级护理床位，并在主机上有不同颜色的床位指示灯显示。</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（5）优先处理及紧急呼叫功能：当普通病员正与主机通话时，特护病员此时呼叫可中断普通病员的通话。</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3、呼叫主机</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主机与一览表集于一体，设呼叫床位指示灯和（床位）数码显示窗口（与时间显示为同一窗口）及各种功能按键和数字按键，标准设定60门，应具有扩容功能。</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4、走廊显示屏</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双面四位显示，通话时与主机同步显示正在通话的床位号，无显示时间或轮流显示存贮号码。</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5、床头分机</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具有呼叫和对讲功能，并配有插头式呼叫手柄。</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6、卫生间分机</w:t>
      </w:r>
    </w:p>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在卫生间配置卫生间分机，防水级别：IPX8。</w:t>
      </w:r>
    </w:p>
    <w:p>
      <w:pPr>
        <w:spacing w:line="400" w:lineRule="exact"/>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（八）设备带及配套设施要求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1、通长式设备带要求：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设备带采用铝合金材质，规格宽度≥210mm、高度≥60mm、壁厚≥1.5mm，三腔分离；设备带表面采用静电喷塑处理或电泳工艺处理。</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病房内设备带采用病房通长式布置，设备带中心距地面1.4米。</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铝合金设备带表面采用喷塑，设备带上面板采用模块化集成式设计，使安装维修更加方便，并具有良好的防腐和保洁效果。须提供设备带的模块化集成式结构证明文件。</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设备带面板可拆卸，安装维修方便。带内设置气体、强电、弱电三个走线槽，以确保用电安全，具有电气防火保护，须提供设备带的电气防火安全检测报告。</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能避免在正常使用和单一故障状态时发生电击危险；可具有双重绝缘或加强绝缘部件，或安全特低电压运行部件，或用保护阻抗来防护的可触及部分。</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设备带上各种气体终端、4W LED灯具，5孔电源插座（带USB接口），</w:t>
      </w:r>
      <w:r>
        <w:rPr>
          <w:rFonts w:hint="eastAsia" w:ascii="仿宋" w:hAnsi="仿宋" w:eastAsia="仿宋" w:cs="仿宋"/>
          <w:color w:val="auto"/>
          <w:sz w:val="24"/>
          <w:szCs w:val="24"/>
          <w:highlight w:val="none"/>
          <w:lang w:eastAsia="zh-CN"/>
        </w:rPr>
        <w:t>每间设备带配备独立气体开关，</w:t>
      </w:r>
      <w:r>
        <w:rPr>
          <w:rFonts w:hint="eastAsia" w:ascii="仿宋" w:hAnsi="仿宋" w:eastAsia="仿宋" w:cs="仿宋"/>
          <w:color w:val="auto"/>
          <w:sz w:val="24"/>
          <w:szCs w:val="24"/>
          <w:highlight w:val="none"/>
        </w:rPr>
        <w:t>3空电源插座（用于透析室），大板开关等均采用嵌入式安装，使整条设备带表面美观。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2、气体终端要求：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终端采用</w:t>
      </w:r>
      <w:r>
        <w:rPr>
          <w:rFonts w:hint="eastAsia" w:ascii="仿宋" w:hAnsi="仿宋" w:eastAsia="仿宋" w:cs="仿宋"/>
          <w:color w:val="auto"/>
          <w:sz w:val="24"/>
          <w:szCs w:val="24"/>
          <w:highlight w:val="none"/>
          <w:lang w:eastAsia="zh-CN"/>
        </w:rPr>
        <w:t>美</w:t>
      </w:r>
      <w:r>
        <w:rPr>
          <w:rFonts w:hint="eastAsia" w:ascii="仿宋" w:hAnsi="仿宋" w:eastAsia="仿宋" w:cs="仿宋"/>
          <w:color w:val="auto"/>
          <w:sz w:val="24"/>
          <w:szCs w:val="24"/>
          <w:highlight w:val="none"/>
        </w:rPr>
        <w:t>标终端。终端底座采用精密铜铸件，自带维修功能、并设有防错插结构。</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终端表面进行清洗及抗氧化处理；压盖、阀座、阀芯、底座均采用优质铜合金制作；密封圈采用硅橡胶制作。</w:t>
      </w:r>
    </w:p>
    <w:p>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医用气体终端气体接口颜色及形状不同，具有防错差结构，使用次数大于20000次，需提供相关技术证明文件（包括且不限于专利证书或质量检测机构出具的检验报告或省级以上专业评审的认证证书）；</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可带气密封，具有通、断、拔三种状态；</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超大流量设计,压力在0.4MPa时，流量最大可达150 L/min</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 气密性测试</w:t>
      </w:r>
      <w:bookmarkStart w:id="187" w:name="_Hlk65759633"/>
    </w:p>
    <w:bookmarkEnd w:id="187"/>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所有产品具有意外保险</w:t>
      </w:r>
    </w:p>
    <w:p>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终端阀座与底座之间应具有防错装的装置。</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终端应插接灵活、气密性好，可实现单手操作，如发现终端泄漏，可关闭终端上的维修开关，检查泄漏原因。故障排出后，打开维修开关，恢复正常使用，检修时不会影响其它病房终端正常使用。</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气体终端由独立的阀座组合件和底座组合件组成，形成分体式结构，底座组合件上设置有自动密封的维修阀装置，当终端出现故障时，可将阀座组合件拆下单独进行维修，不需要关闭气源而影响其它终端的正常使用，方便安装和维护保养。提供省级或以上第三方检测机构出具的检验报告或专利证书。</w:t>
      </w:r>
    </w:p>
    <w:p>
      <w:pPr>
        <w:spacing w:line="400" w:lineRule="exact"/>
        <w:ind w:firstLine="484" w:firstLineChars="202"/>
        <w:jc w:val="left"/>
        <w:rPr>
          <w:rFonts w:hint="eastAsia" w:ascii="仿宋" w:hAnsi="仿宋" w:eastAsia="仿宋" w:cs="仿宋"/>
          <w:color w:val="auto"/>
          <w:sz w:val="24"/>
          <w:szCs w:val="24"/>
          <w:highlight w:val="none"/>
        </w:rPr>
      </w:pP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w:t>
      </w:r>
      <w:bookmarkStart w:id="188" w:name="_Hlk65762366"/>
      <w:r>
        <w:rPr>
          <w:rFonts w:hint="eastAsia" w:ascii="仿宋" w:hAnsi="仿宋" w:eastAsia="仿宋" w:cs="仿宋"/>
          <w:b/>
          <w:bCs/>
          <w:color w:val="auto"/>
          <w:sz w:val="24"/>
          <w:szCs w:val="24"/>
          <w:highlight w:val="none"/>
        </w:rPr>
        <w:t>医用气体报警系统</w:t>
      </w:r>
      <w:bookmarkEnd w:id="188"/>
      <w:r>
        <w:rPr>
          <w:rFonts w:hint="eastAsia" w:ascii="仿宋" w:hAnsi="仿宋" w:eastAsia="仿宋" w:cs="仿宋"/>
          <w:b/>
          <w:bCs/>
          <w:color w:val="auto"/>
          <w:sz w:val="24"/>
          <w:szCs w:val="24"/>
          <w:highlight w:val="none"/>
        </w:rPr>
        <w:t>（远程监控系统）配置要求</w:t>
      </w:r>
    </w:p>
    <w:p>
      <w:pPr>
        <w:spacing w:line="400" w:lineRule="exact"/>
        <w:ind w:firstLine="484" w:firstLineChars="202"/>
        <w:jc w:val="left"/>
        <w:rPr>
          <w:rFonts w:hint="eastAsia" w:ascii="仿宋" w:hAnsi="仿宋" w:eastAsia="仿宋" w:cs="仿宋"/>
          <w:color w:val="auto"/>
          <w:sz w:val="24"/>
          <w:szCs w:val="24"/>
          <w:highlight w:val="none"/>
        </w:rPr>
      </w:pPr>
      <w:bookmarkStart w:id="189" w:name="_Hlk65762388"/>
      <w:r>
        <w:rPr>
          <w:rFonts w:hint="eastAsia" w:ascii="仿宋" w:hAnsi="仿宋" w:eastAsia="仿宋" w:cs="仿宋"/>
          <w:color w:val="auto"/>
          <w:sz w:val="24"/>
          <w:szCs w:val="24"/>
          <w:highlight w:val="none"/>
        </w:rPr>
        <w:t>由于医院供气系统涉及面积广，管理难度大，为了设备使用的安全可靠，需设置医用气体报警系统。</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本次招标的医用气体报警系统为Ⅱ类医疗器械，须提供投标产品的医用气体报警系统医疗器械注册证。</w:t>
      </w:r>
    </w:p>
    <w:bookmarkEnd w:id="189"/>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1、医用气体报警系统软件要求</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（1）监测范围：</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1）监测医用中心站各设备压力、纯度和工作状态等。</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2）监测各层压力监测报警装置工作情况。</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3）监测各层氧气流量计工作情况。</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（2）集中监控主要功能：</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1）实时监测：集中监测、实时监测设备运行状态、了解设备运行情况。</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2）智能报表：解决人工抄表不变的问题，自动化统计分析的基础。</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3）趋势分析：实时曲线和历史曲线帮助对重要参数进行趋势分析。</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4）智能维保：根据设备运行历史自动计算维保时间、统筹管理维保工作。</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5）集中控制：集中控制现场设备，严谨的权限管理保证对设备的安全控制。</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6）报警提示：完善报警、预警功能，及时了解设备故障。</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7）运行档案：设备运行参数进行归档存储，作为数据资源供管理人员随时查询。</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（3）远程监控主要功能：</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1）采用固定IP地址的以太网或无线网络，与各医疗机构的医用气体集中监控系统联网，实现管理者、制造商或维保商对医用气体系统运行的运程监测。</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2）远程监控设备的运行状态。</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3）设备故障远程报警。</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（4）数据传输：</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1）通过医院智能化监控系统实现实时监控，并将数据传输到互联网，管理人员可以在任意地点察看中心供气系统运行数据。</w:t>
      </w:r>
    </w:p>
    <w:p>
      <w:pPr>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2）当设备运行异常时，自动向指定人员发送手机报警短信。</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2、氧气流量计要求：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每病区二级减压装置处设置台氧气流量计。</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（1）流量：生命支持病区≥800L/min，普通区域≥300L/min </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（2）精度：±（2.0+0.5FS）</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（3）最大工作压力：1.0MPa</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（4）工作温度：-10～+55℃</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（5）氧气流量计采用内置文丘里结构，采用分体式显示器，可通过特殊设计的连接电缆安装于远离气体管路的地方，采用LED数字显示，可显示瞬时流量和总量，具有RS485通讯模块，便于集中控制和远程传输。</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3、医用气体压力监测报警装置要求：</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在每个楼层病区安装一台压力监测报警装置，监测各个病区不同气体的压力情况，安装高度应便于操作和观察。</w:t>
      </w:r>
    </w:p>
    <w:p>
      <w:pPr>
        <w:spacing w:line="400" w:lineRule="exact"/>
        <w:ind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（1）工作温度：-20℃～50℃</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（2）结构：箱式</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（3）显示方式：数字显示</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（4）功能：监测病区的压力，保证病区压力不低于所需压力，以实现连续稳定地供气。</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（5）具备RS485通讯模块</w:t>
      </w:r>
    </w:p>
    <w:p>
      <w:pPr>
        <w:spacing w:line="40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（6）压力监护报警装置应具有多种颜色的指示灯，其中红色应仅用于指示危险的警告或紧急行动，绿色表示准备运转。</w:t>
      </w:r>
    </w:p>
    <w:p>
      <w:pPr>
        <w:pStyle w:val="23"/>
        <w:ind w:left="0" w:leftChars="0" w:firstLine="24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）投标人应保证招标人新老系统的兼容性，原有压力监控系统与新增系统应该能在一套系统内运行,实现对各中心站房及压力监测点的全流程管理。</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（十）</w:t>
      </w:r>
      <w:r>
        <w:rPr>
          <w:rFonts w:hint="eastAsia" w:ascii="仿宋" w:hAnsi="仿宋" w:eastAsia="仿宋" w:cs="仿宋"/>
          <w:b/>
          <w:bCs/>
          <w:color w:val="auto"/>
          <w:sz w:val="24"/>
          <w:szCs w:val="24"/>
          <w:highlight w:val="none"/>
        </w:rPr>
        <w:t>安装、调试与验收：</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1、中标人必须依照</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的要求和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的承诺，将设备、系统安装并调试至正常运行的最佳状态。</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2、货物若有国家标准按照国家标准验收，若无国家标准按行业标准验收，为原制造商制造的全新产品，整机无污染，无侵权行为、表面无划损、无任何缺陷隐患，在中国境内可依常规安全合法使用。</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3、货物为原厂商未启封全新包装，具出厂合格证，序列号、包装箱号与出厂批号一致，并可追索查阅。所有随设备的附件必须齐全。</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4、中标人应将关键主机设备的用户手册、保修手册、有关单证资料及配备件、随机工具等交付给采购人，使用操作及安全须知等重要资料应附有中文说明。</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国家有关规定、规范进行验收，必要时邀请相关的专业人员或机构参与验收。因货物质量问题发生争议时，由本地质量技术监督部门鉴定。货物符合质量技术标准的，鉴定费由采购人承担；否则鉴定费由中标人承担。若验收不合格，中标方必须按照国家相关技术规范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要求进行限期整改，并承担相关的一切费用。</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6、如果在本工程中使用假冒伪劣产品，用国内产品冒充进口产品，用组装产品冒充原装产品，用部分进口产品冒充全部进口产品，在具体施工中擅自使用与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不同的材料和施工工艺方法等情况出现，甲方将视情况给予惩罚，乙方不得有任何异议。</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7、安装验收合格后，卖方应向买方提供以下技术资料：</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（1）设备安装图；</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（2）电气设备及系统原理图；</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（3）电气设备及系统安装图；</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（4）构件、机械安装图；</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（5）安装手册；</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（6）操作手册；</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（7）维修保养手册；</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（8）制造、安装标准和技术规范；</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（9）安装及验收报告</w:t>
      </w:r>
    </w:p>
    <w:p>
      <w:pPr>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（10）产品出厂合格证</w:t>
      </w:r>
    </w:p>
    <w:p>
      <w:pPr>
        <w:pStyle w:val="14"/>
        <w:spacing w:line="360" w:lineRule="exac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（十一）、质保期及售后服务要求：</w:t>
      </w:r>
    </w:p>
    <w:p>
      <w:pPr>
        <w:tabs>
          <w:tab w:val="left" w:pos="2340"/>
        </w:tabs>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1、质量保证期（简称“质保期”）为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年，质保期内中标人对所供货物</w:t>
      </w:r>
      <w:r>
        <w:rPr>
          <w:rFonts w:hint="eastAsia" w:ascii="仿宋" w:hAnsi="仿宋" w:eastAsia="仿宋" w:cs="仿宋"/>
          <w:color w:val="auto"/>
          <w:sz w:val="24"/>
          <w:szCs w:val="24"/>
          <w:highlight w:val="none"/>
          <w:lang w:eastAsia="zh-CN"/>
        </w:rPr>
        <w:t>（清单配套产品）</w:t>
      </w:r>
      <w:r>
        <w:rPr>
          <w:rFonts w:hint="eastAsia" w:ascii="仿宋" w:hAnsi="仿宋" w:eastAsia="仿宋" w:cs="仿宋"/>
          <w:color w:val="auto"/>
          <w:sz w:val="24"/>
          <w:szCs w:val="24"/>
          <w:highlight w:val="none"/>
        </w:rPr>
        <w:t>实行包修、包维护保养</w:t>
      </w:r>
      <w:r>
        <w:rPr>
          <w:rFonts w:hint="eastAsia" w:ascii="仿宋" w:hAnsi="仿宋" w:eastAsia="仿宋" w:cs="仿宋"/>
          <w:color w:val="auto"/>
          <w:sz w:val="24"/>
          <w:szCs w:val="24"/>
          <w:highlight w:val="none"/>
          <w:lang w:eastAsia="zh-CN"/>
        </w:rPr>
        <w:t>（机组专用润滑油除外）</w:t>
      </w:r>
      <w:r>
        <w:rPr>
          <w:rFonts w:hint="eastAsia" w:ascii="仿宋" w:hAnsi="仿宋" w:eastAsia="仿宋" w:cs="仿宋"/>
          <w:color w:val="auto"/>
          <w:sz w:val="24"/>
          <w:szCs w:val="24"/>
          <w:highlight w:val="none"/>
        </w:rPr>
        <w:t>，期满后可同时提供终身(有偿)维修保养服务。</w:t>
      </w:r>
    </w:p>
    <w:p>
      <w:pPr>
        <w:autoSpaceDE w:val="0"/>
        <w:autoSpaceDN w:val="0"/>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2、质保期内，如设备或零部件因非人为因素出现故障而造成短期停用时，则质保期和免费维修期相应顺延。如</w:t>
      </w:r>
      <w:r>
        <w:rPr>
          <w:rFonts w:hint="eastAsia" w:ascii="仿宋" w:hAnsi="仿宋" w:eastAsia="仿宋" w:cs="仿宋"/>
          <w:color w:val="auto"/>
          <w:sz w:val="24"/>
          <w:szCs w:val="24"/>
          <w:highlight w:val="none"/>
          <w:lang w:eastAsia="zh-CN"/>
        </w:rPr>
        <w:t>故障导致</w:t>
      </w:r>
      <w:r>
        <w:rPr>
          <w:rFonts w:hint="eastAsia" w:ascii="仿宋" w:hAnsi="仿宋" w:eastAsia="仿宋" w:cs="仿宋"/>
          <w:color w:val="auto"/>
          <w:sz w:val="24"/>
          <w:szCs w:val="24"/>
          <w:highlight w:val="none"/>
        </w:rPr>
        <w:t>停用时间累计超过60天则质保期重新计算。</w:t>
      </w:r>
    </w:p>
    <w:p>
      <w:pPr>
        <w:autoSpaceDE w:val="0"/>
        <w:autoSpaceDN w:val="0"/>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3、对采购人的服务通知，中标人在接报后</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小时内到达现场，48小时内处理完毕。</w:t>
      </w:r>
    </w:p>
    <w:p>
      <w:pPr>
        <w:autoSpaceDE w:val="0"/>
        <w:autoSpaceDN w:val="0"/>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4、提供最近的质保服务地址、电话及工作人员名单，并说明质保服务的范围和承诺。其中包括产品服务保修年限、保修期内发生故障到达现场时间等。</w:t>
      </w:r>
    </w:p>
    <w:p>
      <w:pPr>
        <w:autoSpaceDE w:val="0"/>
        <w:autoSpaceDN w:val="0"/>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5、在工程交付使用后，投标人应对质保期内及其以后的终身服务做出承诺，并具有切实可行的措施，不能及时兑现服务承诺内容而影响招标人使用，投标人应怎样给予补偿，在投标书中均应明确说明。</w:t>
      </w:r>
    </w:p>
    <w:p>
      <w:pPr>
        <w:pStyle w:val="23"/>
        <w:ind w:left="0" w:leftChars="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质保期满以后，投标人应保证以不高于市场价格，终生提供备件和保养服务，质保期内及质保期后当发生故障时，应在2小时内到达现场服务。中标方向用户免费提供技术咨询服务。投标人在疆应有常设或指派的法定售后服务机构。</w:t>
      </w:r>
    </w:p>
    <w:p>
      <w:pPr>
        <w:spacing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十</w:t>
      </w:r>
      <w:r>
        <w:rPr>
          <w:rFonts w:hint="eastAsia" w:ascii="仿宋" w:hAnsi="仿宋" w:eastAsia="仿宋" w:cs="仿宋"/>
          <w:b/>
          <w:bCs/>
          <w:color w:val="auto"/>
          <w:sz w:val="24"/>
          <w:szCs w:val="24"/>
          <w:highlight w:val="none"/>
        </w:rPr>
        <w:t>）推荐品牌要求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2565"/>
        <w:gridCol w:w="1571"/>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b/>
                <w:snapToGrid w:val="0"/>
                <w:color w:val="auto"/>
                <w:sz w:val="24"/>
                <w:szCs w:val="24"/>
                <w:highlight w:val="none"/>
              </w:rPr>
            </w:pPr>
            <w:bookmarkStart w:id="190" w:name="_Hlk65759607"/>
            <w:r>
              <w:rPr>
                <w:rFonts w:hint="eastAsia" w:ascii="仿宋" w:hAnsi="仿宋" w:eastAsia="仿宋" w:cs="仿宋"/>
                <w:b/>
                <w:snapToGrid w:val="0"/>
                <w:color w:val="auto"/>
                <w:sz w:val="24"/>
                <w:szCs w:val="24"/>
                <w:highlight w:val="none"/>
              </w:rPr>
              <w:t>主要设备材料名称</w:t>
            </w:r>
          </w:p>
        </w:tc>
        <w:tc>
          <w:tcPr>
            <w:tcW w:w="1433" w:type="pct"/>
            <w:noWrap w:val="0"/>
            <w:vAlign w:val="center"/>
          </w:tcPr>
          <w:p>
            <w:pPr>
              <w:snapToGrid w:val="0"/>
              <w:jc w:val="center"/>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品牌一</w:t>
            </w:r>
          </w:p>
        </w:tc>
        <w:tc>
          <w:tcPr>
            <w:tcW w:w="878" w:type="pct"/>
            <w:noWrap w:val="0"/>
            <w:vAlign w:val="center"/>
          </w:tcPr>
          <w:p>
            <w:pPr>
              <w:snapToGrid w:val="0"/>
              <w:jc w:val="center"/>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品牌二</w:t>
            </w:r>
          </w:p>
        </w:tc>
        <w:tc>
          <w:tcPr>
            <w:tcW w:w="1097" w:type="pct"/>
            <w:noWrap w:val="0"/>
            <w:vAlign w:val="center"/>
          </w:tcPr>
          <w:p>
            <w:pPr>
              <w:snapToGrid w:val="0"/>
              <w:jc w:val="center"/>
              <w:rPr>
                <w:rFonts w:hint="eastAsia" w:ascii="仿宋" w:hAnsi="仿宋" w:eastAsia="仿宋" w:cs="仿宋"/>
                <w:b/>
                <w:snapToGrid w:val="0"/>
                <w:color w:val="auto"/>
                <w:sz w:val="24"/>
                <w:szCs w:val="24"/>
                <w:highlight w:val="none"/>
              </w:rPr>
            </w:pPr>
            <w:r>
              <w:rPr>
                <w:rFonts w:hint="eastAsia" w:ascii="仿宋" w:hAnsi="仿宋" w:eastAsia="仿宋" w:cs="仿宋"/>
                <w:b/>
                <w:snapToGrid w:val="0"/>
                <w:color w:val="auto"/>
                <w:sz w:val="24"/>
                <w:szCs w:val="24"/>
                <w:highlight w:val="none"/>
              </w:rPr>
              <w:t>品牌三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无油</w:t>
            </w:r>
            <w:r>
              <w:rPr>
                <w:rFonts w:hint="eastAsia" w:ascii="仿宋" w:hAnsi="仿宋" w:eastAsia="仿宋" w:cs="仿宋"/>
                <w:color w:val="auto"/>
                <w:sz w:val="24"/>
                <w:szCs w:val="24"/>
                <w:highlight w:val="none"/>
              </w:rPr>
              <w:t>空气压缩机</w:t>
            </w:r>
          </w:p>
        </w:tc>
        <w:tc>
          <w:tcPr>
            <w:tcW w:w="1433" w:type="pct"/>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阿特拉斯</w:t>
            </w:r>
          </w:p>
        </w:tc>
        <w:tc>
          <w:tcPr>
            <w:tcW w:w="878" w:type="pct"/>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必康美德</w:t>
            </w:r>
          </w:p>
        </w:tc>
        <w:tc>
          <w:tcPr>
            <w:tcW w:w="1097" w:type="pct"/>
            <w:noWrap w:val="0"/>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凯撒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无缝不锈钢管</w:t>
            </w:r>
          </w:p>
        </w:tc>
        <w:tc>
          <w:tcPr>
            <w:tcW w:w="1433"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金保莱</w:t>
            </w:r>
          </w:p>
        </w:tc>
        <w:tc>
          <w:tcPr>
            <w:tcW w:w="878"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鹏业</w:t>
            </w:r>
          </w:p>
        </w:tc>
        <w:tc>
          <w:tcPr>
            <w:tcW w:w="109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常泰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无缝铜管</w:t>
            </w:r>
          </w:p>
        </w:tc>
        <w:tc>
          <w:tcPr>
            <w:tcW w:w="1433"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海亮</w:t>
            </w:r>
          </w:p>
        </w:tc>
        <w:tc>
          <w:tcPr>
            <w:tcW w:w="878"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宏泰</w:t>
            </w:r>
          </w:p>
        </w:tc>
        <w:tc>
          <w:tcPr>
            <w:tcW w:w="109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永享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油旋式</w:t>
            </w:r>
            <w:r>
              <w:rPr>
                <w:rFonts w:hint="eastAsia" w:ascii="仿宋" w:hAnsi="仿宋" w:eastAsia="仿宋" w:cs="仿宋"/>
                <w:color w:val="auto"/>
                <w:sz w:val="24"/>
                <w:szCs w:val="24"/>
                <w:highlight w:val="none"/>
              </w:rPr>
              <w:t>真空泵</w:t>
            </w:r>
          </w:p>
        </w:tc>
        <w:tc>
          <w:tcPr>
            <w:tcW w:w="1433"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德国</w:t>
            </w:r>
            <w:r>
              <w:rPr>
                <w:rFonts w:hint="eastAsia" w:ascii="仿宋" w:hAnsi="仿宋" w:eastAsia="仿宋" w:cs="仿宋"/>
                <w:color w:val="auto"/>
                <w:sz w:val="24"/>
                <w:szCs w:val="24"/>
                <w:highlight w:val="none"/>
              </w:rPr>
              <w:t>普旭</w:t>
            </w:r>
          </w:p>
        </w:tc>
        <w:tc>
          <w:tcPr>
            <w:tcW w:w="878"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阿特拉斯</w:t>
            </w:r>
          </w:p>
        </w:tc>
        <w:tc>
          <w:tcPr>
            <w:tcW w:w="1097"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德国里奇乐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医用气体终端</w:t>
            </w:r>
          </w:p>
        </w:tc>
        <w:tc>
          <w:tcPr>
            <w:tcW w:w="1433"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捷锐</w:t>
            </w:r>
          </w:p>
        </w:tc>
        <w:tc>
          <w:tcPr>
            <w:tcW w:w="878"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德尔格</w:t>
            </w:r>
          </w:p>
        </w:tc>
        <w:tc>
          <w:tcPr>
            <w:tcW w:w="1097"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格尔森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二级稳压箱</w:t>
            </w:r>
          </w:p>
        </w:tc>
        <w:tc>
          <w:tcPr>
            <w:tcW w:w="1433"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港通</w:t>
            </w:r>
          </w:p>
        </w:tc>
        <w:tc>
          <w:tcPr>
            <w:tcW w:w="878"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捷锐</w:t>
            </w:r>
          </w:p>
        </w:tc>
        <w:tc>
          <w:tcPr>
            <w:tcW w:w="109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捷工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氧气流量计</w:t>
            </w:r>
          </w:p>
        </w:tc>
        <w:tc>
          <w:tcPr>
            <w:tcW w:w="1433"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成都矽翔</w:t>
            </w:r>
          </w:p>
        </w:tc>
        <w:tc>
          <w:tcPr>
            <w:tcW w:w="878"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杭州利华</w:t>
            </w:r>
          </w:p>
        </w:tc>
        <w:tc>
          <w:tcPr>
            <w:tcW w:w="109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医用气体报警系统</w:t>
            </w:r>
          </w:p>
        </w:tc>
        <w:tc>
          <w:tcPr>
            <w:tcW w:w="3409" w:type="pct"/>
            <w:gridSpan w:val="3"/>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具有医疗器械注册证产品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bookmarkStart w:id="191" w:name="_Hlk65759597"/>
            <w:r>
              <w:rPr>
                <w:rFonts w:hint="eastAsia" w:ascii="仿宋" w:hAnsi="仿宋" w:eastAsia="仿宋" w:cs="仿宋"/>
                <w:color w:val="auto"/>
                <w:sz w:val="24"/>
                <w:szCs w:val="24"/>
                <w:highlight w:val="none"/>
              </w:rPr>
              <w:t>医用呼叫系统</w:t>
            </w:r>
          </w:p>
        </w:tc>
        <w:tc>
          <w:tcPr>
            <w:tcW w:w="1433"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山东</w:t>
            </w:r>
            <w:r>
              <w:rPr>
                <w:rFonts w:hint="eastAsia" w:ascii="仿宋" w:hAnsi="仿宋" w:eastAsia="仿宋" w:cs="仿宋"/>
                <w:color w:val="auto"/>
                <w:sz w:val="24"/>
                <w:szCs w:val="24"/>
                <w:highlight w:val="none"/>
              </w:rPr>
              <w:t>亚华</w:t>
            </w:r>
          </w:p>
        </w:tc>
        <w:tc>
          <w:tcPr>
            <w:tcW w:w="878"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鑫德亮</w:t>
            </w:r>
          </w:p>
        </w:tc>
        <w:tc>
          <w:tcPr>
            <w:tcW w:w="109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飞星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医用气体汇集（流）排</w:t>
            </w:r>
          </w:p>
        </w:tc>
        <w:tc>
          <w:tcPr>
            <w:tcW w:w="1433"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捷锐</w:t>
            </w:r>
          </w:p>
        </w:tc>
        <w:tc>
          <w:tcPr>
            <w:tcW w:w="878"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尚荣</w:t>
            </w:r>
          </w:p>
        </w:tc>
        <w:tc>
          <w:tcPr>
            <w:tcW w:w="1097"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雅森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0" w:type="pct"/>
            <w:noWrap w:val="0"/>
            <w:vAlign w:val="center"/>
          </w:tcPr>
          <w:p>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电源插座、空开、开关</w:t>
            </w:r>
          </w:p>
        </w:tc>
        <w:tc>
          <w:tcPr>
            <w:tcW w:w="1433"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穆勒</w:t>
            </w:r>
          </w:p>
        </w:tc>
        <w:tc>
          <w:tcPr>
            <w:tcW w:w="878" w:type="pct"/>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公牛</w:t>
            </w:r>
          </w:p>
        </w:tc>
        <w:tc>
          <w:tcPr>
            <w:tcW w:w="1097" w:type="pct"/>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710" w:type="dxa"/>
            <w:noWrap w:val="0"/>
            <w:vAlign w:val="center"/>
          </w:tcPr>
          <w:p>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牙科抽吸机</w:t>
            </w:r>
          </w:p>
        </w:tc>
        <w:tc>
          <w:tcPr>
            <w:tcW w:w="2443"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宏润</w:t>
            </w:r>
          </w:p>
        </w:tc>
        <w:tc>
          <w:tcPr>
            <w:tcW w:w="1497"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医诚</w:t>
            </w:r>
          </w:p>
        </w:tc>
        <w:tc>
          <w:tcPr>
            <w:tcW w:w="1872" w:type="dxa"/>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具备</w:t>
            </w:r>
            <w:r>
              <w:rPr>
                <w:rFonts w:hint="eastAsia" w:ascii="仿宋" w:hAnsi="仿宋" w:eastAsia="仿宋" w:cs="仿宋"/>
                <w:color w:val="auto"/>
                <w:sz w:val="24"/>
                <w:szCs w:val="24"/>
                <w:highlight w:val="none"/>
              </w:rPr>
              <w:t>第Ⅰ类医疗器械备案信息表及第一类医疗器械备案凭证厂家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10" w:type="dxa"/>
            <w:noWrap w:val="0"/>
            <w:vAlign w:val="center"/>
          </w:tcPr>
          <w:p>
            <w:pPr>
              <w:snapToGrid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牙科电动无油空压机</w:t>
            </w:r>
          </w:p>
        </w:tc>
        <w:tc>
          <w:tcPr>
            <w:tcW w:w="2443"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宏润</w:t>
            </w:r>
          </w:p>
        </w:tc>
        <w:tc>
          <w:tcPr>
            <w:tcW w:w="1497" w:type="dxa"/>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医诚</w:t>
            </w:r>
          </w:p>
        </w:tc>
        <w:tc>
          <w:tcPr>
            <w:tcW w:w="1872" w:type="dxa"/>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具备</w:t>
            </w:r>
            <w:r>
              <w:rPr>
                <w:rFonts w:hint="eastAsia" w:ascii="仿宋" w:hAnsi="仿宋" w:eastAsia="仿宋" w:cs="仿宋"/>
                <w:color w:val="auto"/>
                <w:sz w:val="24"/>
                <w:szCs w:val="24"/>
                <w:highlight w:val="none"/>
              </w:rPr>
              <w:t>第Ⅰ类医疗器械备案信息表及第一类医疗器械备案凭证厂家</w:t>
            </w:r>
          </w:p>
        </w:tc>
      </w:tr>
      <w:bookmarkEnd w:id="190"/>
      <w:bookmarkEnd w:id="191"/>
    </w:tbl>
    <w:p>
      <w:pPr>
        <w:pStyle w:val="23"/>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（十一）</w:t>
      </w:r>
      <w:r>
        <w:rPr>
          <w:rFonts w:hint="eastAsia" w:ascii="仿宋" w:hAnsi="仿宋" w:eastAsia="仿宋" w:cs="仿宋"/>
          <w:color w:val="auto"/>
          <w:kern w:val="2"/>
          <w:sz w:val="24"/>
          <w:szCs w:val="24"/>
          <w:highlight w:val="none"/>
          <w:lang w:val="en-US" w:eastAsia="zh-CN" w:bidi="ar-SA"/>
        </w:rPr>
        <w:t>付款方式：合同签订后支付合同价款的20%预付款，后期施工按照进度85%支付。全部竣工验收支付至合同总价的 85% ，审计后付结算价的 97%，余款 3% 作为质量保证金，等质保期满后 15 天内一次性付清（无息）。施工周期：自甲方通知进场之日起90天完成。</w:t>
      </w:r>
    </w:p>
    <w:p>
      <w:pPr>
        <w:spacing w:line="360" w:lineRule="auto"/>
        <w:jc w:val="center"/>
        <w:outlineLvl w:val="0"/>
        <w:rPr>
          <w:rFonts w:hint="eastAsia" w:ascii="仿宋" w:hAnsi="仿宋" w:eastAsia="仿宋" w:cs="仿宋"/>
          <w:b/>
          <w:sz w:val="24"/>
          <w:szCs w:val="24"/>
          <w:highlight w:val="none"/>
        </w:rPr>
      </w:pPr>
    </w:p>
    <w:p>
      <w:pPr>
        <w:spacing w:line="360" w:lineRule="auto"/>
        <w:jc w:val="center"/>
        <w:outlineLvl w:val="0"/>
        <w:rPr>
          <w:rFonts w:hint="eastAsia" w:ascii="仿宋" w:hAnsi="仿宋" w:eastAsia="仿宋" w:cs="仿宋"/>
          <w:b/>
          <w:sz w:val="30"/>
          <w:szCs w:val="30"/>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spacing w:line="360" w:lineRule="auto"/>
        <w:jc w:val="center"/>
        <w:outlineLvl w:val="0"/>
        <w:rPr>
          <w:rFonts w:hint="eastAsia" w:ascii="仿宋" w:hAnsi="仿宋" w:eastAsia="仿宋" w:cs="仿宋"/>
          <w:b/>
          <w:sz w:val="40"/>
          <w:szCs w:val="40"/>
          <w:highlight w:val="none"/>
        </w:rPr>
      </w:pPr>
    </w:p>
    <w:p>
      <w:pPr>
        <w:rPr>
          <w:rFonts w:hint="eastAsia" w:ascii="仿宋" w:hAnsi="仿宋" w:eastAsia="仿宋" w:cs="仿宋"/>
          <w:b/>
          <w:sz w:val="40"/>
          <w:szCs w:val="40"/>
          <w:highlight w:val="none"/>
        </w:rPr>
      </w:pPr>
      <w:r>
        <w:rPr>
          <w:rFonts w:hint="eastAsia" w:ascii="仿宋" w:hAnsi="仿宋" w:eastAsia="仿宋" w:cs="仿宋"/>
          <w:b/>
          <w:sz w:val="40"/>
          <w:szCs w:val="40"/>
          <w:highlight w:val="none"/>
        </w:rPr>
        <w:br w:type="page"/>
      </w:r>
    </w:p>
    <w:p>
      <w:pPr>
        <w:spacing w:line="360" w:lineRule="auto"/>
        <w:jc w:val="center"/>
        <w:outlineLvl w:val="0"/>
        <w:rPr>
          <w:rFonts w:hint="eastAsia" w:ascii="仿宋" w:hAnsi="仿宋" w:eastAsia="仿宋" w:cs="仿宋"/>
          <w:b/>
          <w:sz w:val="40"/>
          <w:szCs w:val="40"/>
          <w:highlight w:val="none"/>
        </w:rPr>
      </w:pPr>
      <w:r>
        <w:rPr>
          <w:rFonts w:hint="eastAsia" w:ascii="仿宋" w:hAnsi="仿宋" w:eastAsia="仿宋" w:cs="仿宋"/>
          <w:b/>
          <w:sz w:val="40"/>
          <w:szCs w:val="40"/>
          <w:highlight w:val="none"/>
        </w:rPr>
        <w:t xml:space="preserve">第五章  </w:t>
      </w:r>
      <w:r>
        <w:rPr>
          <w:rFonts w:hint="eastAsia" w:ascii="仿宋" w:hAnsi="仿宋" w:eastAsia="仿宋" w:cs="仿宋"/>
          <w:b/>
          <w:sz w:val="40"/>
          <w:szCs w:val="40"/>
          <w:highlight w:val="none"/>
          <w:lang w:eastAsia="zh-CN"/>
        </w:rPr>
        <w:t>响应文件</w:t>
      </w:r>
      <w:r>
        <w:rPr>
          <w:rFonts w:hint="eastAsia" w:ascii="仿宋" w:hAnsi="仿宋" w:eastAsia="仿宋" w:cs="仿宋"/>
          <w:b/>
          <w:sz w:val="40"/>
          <w:szCs w:val="40"/>
          <w:highlight w:val="none"/>
        </w:rPr>
        <w:t>格式</w:t>
      </w:r>
      <w:bookmarkEnd w:id="176"/>
      <w:bookmarkEnd w:id="177"/>
    </w:p>
    <w:p>
      <w:pPr>
        <w:autoSpaceDE w:val="0"/>
        <w:autoSpaceDN w:val="0"/>
        <w:adjustRightInd w:val="0"/>
        <w:jc w:val="center"/>
        <w:rPr>
          <w:rFonts w:hint="eastAsia" w:ascii="仿宋" w:hAnsi="仿宋" w:eastAsia="仿宋" w:cs="仿宋"/>
          <w:b/>
          <w:spacing w:val="-6"/>
          <w:kern w:val="0"/>
          <w:sz w:val="28"/>
          <w:szCs w:val="28"/>
          <w:highlight w:val="none"/>
        </w:rPr>
      </w:pPr>
      <w:bookmarkStart w:id="192" w:name="_Toc421633314"/>
      <w:bookmarkStart w:id="193" w:name="_Toc16136"/>
      <w:bookmarkStart w:id="194" w:name="_Toc23294"/>
    </w:p>
    <w:p>
      <w:pPr>
        <w:jc w:val="right"/>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正本(或副本)</w:t>
      </w:r>
    </w:p>
    <w:p>
      <w:pPr>
        <w:autoSpaceDE w:val="0"/>
        <w:autoSpaceDN w:val="0"/>
        <w:adjustRightInd w:val="0"/>
        <w:jc w:val="center"/>
        <w:rPr>
          <w:rFonts w:hint="eastAsia" w:ascii="仿宋" w:hAnsi="仿宋" w:eastAsia="仿宋" w:cs="仿宋"/>
          <w:b/>
          <w:spacing w:val="-6"/>
          <w:kern w:val="0"/>
          <w:sz w:val="36"/>
          <w:szCs w:val="36"/>
          <w:highlight w:val="none"/>
        </w:rPr>
      </w:pPr>
    </w:p>
    <w:p>
      <w:pPr>
        <w:spacing w:line="360" w:lineRule="auto"/>
        <w:jc w:val="center"/>
        <w:rPr>
          <w:rFonts w:hint="eastAsia" w:ascii="仿宋" w:hAnsi="仿宋" w:eastAsia="仿宋" w:cs="仿宋"/>
          <w:b/>
          <w:bCs/>
          <w:sz w:val="48"/>
          <w:szCs w:val="48"/>
          <w:highlight w:val="none"/>
        </w:rPr>
      </w:pPr>
      <w:r>
        <w:rPr>
          <w:rFonts w:hint="eastAsia" w:ascii="仿宋" w:hAnsi="仿宋" w:eastAsia="仿宋" w:cs="仿宋"/>
          <w:b/>
          <w:bCs/>
          <w:sz w:val="48"/>
          <w:szCs w:val="48"/>
          <w:highlight w:val="none"/>
        </w:rPr>
        <w:t>项目名称</w:t>
      </w:r>
    </w:p>
    <w:p>
      <w:pPr>
        <w:jc w:val="center"/>
        <w:rPr>
          <w:rFonts w:hint="eastAsia" w:ascii="仿宋" w:hAnsi="仿宋" w:eastAsia="仿宋" w:cs="仿宋"/>
          <w:b/>
          <w:bCs/>
          <w:sz w:val="48"/>
          <w:szCs w:val="48"/>
          <w:highlight w:val="none"/>
        </w:rPr>
      </w:pPr>
    </w:p>
    <w:p>
      <w:pPr>
        <w:spacing w:line="360" w:lineRule="auto"/>
        <w:jc w:val="center"/>
        <w:rPr>
          <w:rFonts w:hint="eastAsia" w:ascii="仿宋" w:hAnsi="仿宋" w:eastAsia="仿宋" w:cs="仿宋"/>
          <w:b/>
          <w:sz w:val="44"/>
          <w:szCs w:val="44"/>
          <w:highlight w:val="none"/>
        </w:rPr>
      </w:pPr>
    </w:p>
    <w:p>
      <w:pPr>
        <w:spacing w:line="360" w:lineRule="auto"/>
        <w:rPr>
          <w:rFonts w:hint="eastAsia" w:ascii="仿宋" w:hAnsi="仿宋" w:eastAsia="仿宋" w:cs="仿宋"/>
          <w:b/>
          <w:sz w:val="44"/>
          <w:szCs w:val="44"/>
          <w:highlight w:val="none"/>
        </w:rPr>
      </w:pPr>
    </w:p>
    <w:p>
      <w:pPr>
        <w:jc w:val="center"/>
        <w:rPr>
          <w:rFonts w:hint="eastAsia" w:ascii="仿宋" w:hAnsi="仿宋" w:eastAsia="仿宋" w:cs="仿宋"/>
          <w:sz w:val="44"/>
          <w:szCs w:val="44"/>
          <w:highlight w:val="none"/>
        </w:rPr>
      </w:pPr>
      <w:bookmarkStart w:id="195" w:name="_Toc14995"/>
      <w:bookmarkStart w:id="196" w:name="_Toc28066"/>
      <w:r>
        <w:rPr>
          <w:rFonts w:hint="eastAsia" w:ascii="仿宋" w:hAnsi="仿宋" w:eastAsia="仿宋" w:cs="仿宋"/>
          <w:b/>
          <w:bCs/>
          <w:sz w:val="44"/>
          <w:szCs w:val="44"/>
          <w:highlight w:val="none"/>
          <w:lang w:val="en-US" w:eastAsia="zh-CN"/>
        </w:rPr>
        <w:t>响 应</w:t>
      </w:r>
      <w:r>
        <w:rPr>
          <w:rFonts w:hint="eastAsia" w:ascii="仿宋" w:hAnsi="仿宋" w:eastAsia="仿宋" w:cs="仿宋"/>
          <w:b/>
          <w:bCs/>
          <w:sz w:val="44"/>
          <w:szCs w:val="44"/>
          <w:highlight w:val="none"/>
        </w:rPr>
        <w:t xml:space="preserve"> 文 件</w:t>
      </w:r>
      <w:bookmarkEnd w:id="195"/>
      <w:bookmarkEnd w:id="196"/>
    </w:p>
    <w:p>
      <w:pPr>
        <w:spacing w:line="360" w:lineRule="auto"/>
        <w:jc w:val="center"/>
        <w:rPr>
          <w:rFonts w:hint="eastAsia" w:ascii="仿宋" w:hAnsi="仿宋" w:eastAsia="仿宋" w:cs="仿宋"/>
          <w:b/>
          <w:sz w:val="40"/>
          <w:szCs w:val="48"/>
          <w:highlight w:val="none"/>
        </w:rPr>
      </w:pPr>
      <w:r>
        <w:rPr>
          <w:rFonts w:hint="eastAsia" w:ascii="仿宋" w:hAnsi="仿宋" w:eastAsia="仿宋" w:cs="仿宋"/>
          <w:b/>
          <w:sz w:val="40"/>
          <w:szCs w:val="48"/>
          <w:highlight w:val="none"/>
        </w:rPr>
        <w:t xml:space="preserve"> </w:t>
      </w:r>
    </w:p>
    <w:p>
      <w:pPr>
        <w:spacing w:line="360" w:lineRule="auto"/>
        <w:rPr>
          <w:rFonts w:hint="eastAsia" w:ascii="仿宋" w:hAnsi="仿宋" w:eastAsia="仿宋" w:cs="仿宋"/>
          <w:sz w:val="30"/>
          <w:highlight w:val="none"/>
        </w:rPr>
      </w:pPr>
    </w:p>
    <w:p>
      <w:pPr>
        <w:spacing w:line="360" w:lineRule="auto"/>
        <w:rPr>
          <w:rFonts w:hint="eastAsia" w:ascii="仿宋" w:hAnsi="仿宋" w:eastAsia="仿宋" w:cs="仿宋"/>
          <w:sz w:val="30"/>
          <w:szCs w:val="30"/>
          <w:highlight w:val="none"/>
        </w:rPr>
      </w:pPr>
      <w:bookmarkStart w:id="197" w:name="_Toc1163"/>
      <w:bookmarkStart w:id="198" w:name="_Toc17886"/>
    </w:p>
    <w:p>
      <w:pPr>
        <w:spacing w:line="360" w:lineRule="auto"/>
        <w:rPr>
          <w:rFonts w:hint="eastAsia" w:ascii="仿宋" w:hAnsi="仿宋" w:eastAsia="仿宋" w:cs="仿宋"/>
          <w:sz w:val="30"/>
          <w:szCs w:val="30"/>
          <w:highlight w:val="none"/>
        </w:rPr>
      </w:pPr>
      <w:r>
        <w:rPr>
          <w:rFonts w:hint="eastAsia" w:ascii="仿宋" w:hAnsi="仿宋" w:eastAsia="仿宋" w:cs="仿宋"/>
          <w:sz w:val="30"/>
          <w:szCs w:val="30"/>
          <w:highlight w:val="none"/>
        </w:rPr>
        <w:t>投标单位：</w:t>
      </w:r>
      <w:bookmarkEnd w:id="197"/>
      <w:bookmarkEnd w:id="198"/>
      <w:r>
        <w:rPr>
          <w:rFonts w:hint="eastAsia" w:ascii="仿宋" w:hAnsi="仿宋" w:eastAsia="仿宋" w:cs="仿宋"/>
          <w:sz w:val="30"/>
          <w:szCs w:val="30"/>
          <w:highlight w:val="none"/>
        </w:rPr>
        <w:t>（公章）</w:t>
      </w:r>
    </w:p>
    <w:p>
      <w:pPr>
        <w:spacing w:line="360" w:lineRule="auto"/>
        <w:rPr>
          <w:rFonts w:hint="eastAsia" w:ascii="仿宋" w:hAnsi="仿宋" w:eastAsia="仿宋" w:cs="仿宋"/>
          <w:sz w:val="30"/>
          <w:szCs w:val="30"/>
          <w:highlight w:val="none"/>
        </w:rPr>
      </w:pPr>
      <w:bookmarkStart w:id="199" w:name="_Toc9835"/>
      <w:bookmarkStart w:id="200" w:name="_Toc21146"/>
      <w:r>
        <w:rPr>
          <w:rFonts w:hint="eastAsia" w:ascii="仿宋" w:hAnsi="仿宋" w:eastAsia="仿宋" w:cs="仿宋"/>
          <w:sz w:val="30"/>
          <w:szCs w:val="30"/>
          <w:highlight w:val="none"/>
        </w:rPr>
        <w:t>法人代表或授权代表：</w:t>
      </w:r>
      <w:bookmarkEnd w:id="199"/>
      <w:bookmarkEnd w:id="200"/>
      <w:r>
        <w:rPr>
          <w:rFonts w:hint="eastAsia" w:ascii="仿宋" w:hAnsi="仿宋" w:eastAsia="仿宋" w:cs="仿宋"/>
          <w:sz w:val="30"/>
          <w:szCs w:val="30"/>
          <w:highlight w:val="none"/>
        </w:rPr>
        <w:t>（签字或盖章）</w:t>
      </w:r>
    </w:p>
    <w:p>
      <w:pPr>
        <w:spacing w:line="360" w:lineRule="auto"/>
        <w:rPr>
          <w:rFonts w:hint="eastAsia" w:ascii="仿宋" w:hAnsi="仿宋" w:eastAsia="仿宋" w:cs="仿宋"/>
          <w:sz w:val="30"/>
          <w:szCs w:val="30"/>
          <w:highlight w:val="none"/>
        </w:rPr>
      </w:pPr>
      <w:bookmarkStart w:id="201" w:name="_Toc26855"/>
      <w:bookmarkStart w:id="202" w:name="_Toc11517"/>
      <w:r>
        <w:rPr>
          <w:rFonts w:hint="eastAsia" w:ascii="仿宋" w:hAnsi="仿宋" w:eastAsia="仿宋" w:cs="仿宋"/>
          <w:sz w:val="30"/>
          <w:szCs w:val="30"/>
          <w:highlight w:val="none"/>
        </w:rPr>
        <w:t>单位地址：</w:t>
      </w:r>
      <w:bookmarkEnd w:id="201"/>
      <w:bookmarkEnd w:id="202"/>
    </w:p>
    <w:p>
      <w:pPr>
        <w:spacing w:line="360" w:lineRule="auto"/>
        <w:rPr>
          <w:rFonts w:hint="eastAsia" w:ascii="仿宋" w:hAnsi="仿宋" w:eastAsia="仿宋" w:cs="仿宋"/>
          <w:sz w:val="30"/>
          <w:szCs w:val="30"/>
          <w:highlight w:val="none"/>
        </w:rPr>
      </w:pPr>
      <w:bookmarkStart w:id="203" w:name="_Toc23144"/>
      <w:bookmarkStart w:id="204" w:name="_Toc7012"/>
      <w:r>
        <w:rPr>
          <w:rFonts w:hint="eastAsia" w:ascii="仿宋" w:hAnsi="仿宋" w:eastAsia="仿宋" w:cs="仿宋"/>
          <w:sz w:val="30"/>
          <w:szCs w:val="30"/>
          <w:highlight w:val="none"/>
        </w:rPr>
        <w:t>联 系 人：</w:t>
      </w:r>
      <w:bookmarkEnd w:id="203"/>
      <w:bookmarkEnd w:id="204"/>
    </w:p>
    <w:p>
      <w:pPr>
        <w:spacing w:line="360" w:lineRule="auto"/>
        <w:rPr>
          <w:rFonts w:hint="eastAsia" w:ascii="仿宋" w:hAnsi="仿宋" w:eastAsia="仿宋" w:cs="仿宋"/>
          <w:sz w:val="30"/>
          <w:szCs w:val="30"/>
          <w:highlight w:val="none"/>
        </w:rPr>
      </w:pPr>
      <w:bookmarkStart w:id="205" w:name="_Toc17083"/>
      <w:bookmarkStart w:id="206" w:name="_Toc18518"/>
      <w:r>
        <w:rPr>
          <w:rFonts w:hint="eastAsia" w:ascii="仿宋" w:hAnsi="仿宋" w:eastAsia="仿宋" w:cs="仿宋"/>
          <w:sz w:val="30"/>
          <w:szCs w:val="30"/>
          <w:highlight w:val="none"/>
        </w:rPr>
        <w:t>联系电话：</w:t>
      </w:r>
      <w:bookmarkEnd w:id="205"/>
      <w:bookmarkEnd w:id="206"/>
    </w:p>
    <w:p>
      <w:pPr>
        <w:spacing w:line="360" w:lineRule="auto"/>
        <w:rPr>
          <w:rFonts w:hint="eastAsia" w:ascii="仿宋" w:hAnsi="仿宋" w:eastAsia="仿宋" w:cs="仿宋"/>
          <w:sz w:val="30"/>
          <w:szCs w:val="30"/>
          <w:highlight w:val="none"/>
        </w:rPr>
        <w:sectPr>
          <w:footerReference r:id="rId6" w:type="default"/>
          <w:pgSz w:w="11906" w:h="16838"/>
          <w:pgMar w:top="1531" w:right="1474" w:bottom="1417" w:left="1701" w:header="851" w:footer="794" w:gutter="0"/>
          <w:cols w:space="720" w:num="1"/>
          <w:docGrid w:linePitch="312" w:charSpace="0"/>
        </w:sectPr>
      </w:pPr>
      <w:bookmarkStart w:id="207" w:name="_Toc30970"/>
      <w:bookmarkStart w:id="208" w:name="_Toc29807"/>
      <w:r>
        <w:rPr>
          <w:rFonts w:hint="eastAsia" w:ascii="仿宋" w:hAnsi="仿宋" w:eastAsia="仿宋" w:cs="仿宋"/>
          <w:sz w:val="30"/>
          <w:szCs w:val="30"/>
          <w:highlight w:val="none"/>
        </w:rPr>
        <w:t>年  月   日</w:t>
      </w:r>
      <w:bookmarkEnd w:id="207"/>
      <w:bookmarkEnd w:id="208"/>
    </w:p>
    <w:p>
      <w:pPr>
        <w:spacing w:line="360" w:lineRule="auto"/>
        <w:jc w:val="center"/>
        <w:rPr>
          <w:rFonts w:hint="eastAsia" w:ascii="仿宋" w:hAnsi="仿宋" w:eastAsia="仿宋" w:cs="仿宋"/>
          <w:sz w:val="24"/>
          <w:highlight w:val="none"/>
        </w:rPr>
      </w:pPr>
      <w:bookmarkStart w:id="209" w:name="_Toc31677"/>
      <w:bookmarkStart w:id="210" w:name="_Toc8400"/>
      <w:r>
        <w:rPr>
          <w:rFonts w:hint="eastAsia" w:ascii="仿宋" w:hAnsi="仿宋" w:eastAsia="仿宋" w:cs="仿宋"/>
          <w:sz w:val="24"/>
          <w:highlight w:val="none"/>
        </w:rPr>
        <w:t>目录</w:t>
      </w:r>
      <w:bookmarkEnd w:id="192"/>
      <w:bookmarkEnd w:id="193"/>
      <w:bookmarkEnd w:id="194"/>
      <w:bookmarkEnd w:id="209"/>
      <w:bookmarkEnd w:id="210"/>
    </w:p>
    <w:p>
      <w:pPr>
        <w:pStyle w:val="5"/>
        <w:ind w:left="0"/>
        <w:rPr>
          <w:rFonts w:hint="eastAsia" w:ascii="仿宋" w:hAnsi="仿宋" w:eastAsia="仿宋" w:cs="仿宋"/>
          <w:highlight w:val="none"/>
        </w:rPr>
      </w:pPr>
      <w:r>
        <w:rPr>
          <w:rFonts w:hint="eastAsia" w:ascii="仿宋" w:hAnsi="仿宋" w:eastAsia="仿宋" w:cs="仿宋"/>
          <w:highlight w:val="none"/>
        </w:rPr>
        <w:t>应当包含但不限于以下内容：</w:t>
      </w:r>
    </w:p>
    <w:p>
      <w:pPr>
        <w:spacing w:line="360" w:lineRule="auto"/>
        <w:rPr>
          <w:rFonts w:hint="eastAsia" w:ascii="仿宋" w:hAnsi="仿宋" w:eastAsia="仿宋" w:cs="仿宋"/>
          <w:sz w:val="24"/>
          <w:highlight w:val="none"/>
        </w:rPr>
      </w:pPr>
      <w:bookmarkStart w:id="211" w:name="_Toc7036"/>
      <w:bookmarkStart w:id="212" w:name="_Toc15171"/>
      <w:r>
        <w:rPr>
          <w:rFonts w:hint="eastAsia" w:ascii="仿宋" w:hAnsi="仿宋" w:eastAsia="仿宋" w:cs="仿宋"/>
          <w:sz w:val="24"/>
          <w:highlight w:val="none"/>
        </w:rPr>
        <w:t>（1）投标承诺书；</w:t>
      </w:r>
      <w:bookmarkEnd w:id="211"/>
      <w:bookmarkEnd w:id="212"/>
    </w:p>
    <w:p>
      <w:pPr>
        <w:spacing w:line="360" w:lineRule="auto"/>
        <w:rPr>
          <w:rFonts w:hint="eastAsia" w:ascii="仿宋" w:hAnsi="仿宋" w:eastAsia="仿宋" w:cs="仿宋"/>
          <w:sz w:val="24"/>
          <w:highlight w:val="none"/>
        </w:rPr>
      </w:pPr>
      <w:bookmarkStart w:id="213" w:name="_Toc15443"/>
      <w:bookmarkStart w:id="214" w:name="_Toc13985"/>
      <w:r>
        <w:rPr>
          <w:rFonts w:hint="eastAsia" w:ascii="仿宋" w:hAnsi="仿宋" w:eastAsia="仿宋" w:cs="仿宋"/>
          <w:sz w:val="24"/>
          <w:highlight w:val="none"/>
        </w:rPr>
        <w:t>（2）投标报价一览表；</w:t>
      </w:r>
      <w:bookmarkEnd w:id="213"/>
      <w:bookmarkEnd w:id="214"/>
    </w:p>
    <w:p>
      <w:pPr>
        <w:spacing w:line="360" w:lineRule="auto"/>
        <w:rPr>
          <w:rFonts w:hint="eastAsia" w:ascii="仿宋" w:hAnsi="仿宋" w:eastAsia="仿宋" w:cs="仿宋"/>
          <w:sz w:val="24"/>
          <w:highlight w:val="none"/>
        </w:rPr>
      </w:pPr>
      <w:bookmarkStart w:id="215" w:name="_Toc24229"/>
      <w:bookmarkStart w:id="216" w:name="_Toc31340"/>
      <w:r>
        <w:rPr>
          <w:rFonts w:hint="eastAsia" w:ascii="仿宋" w:hAnsi="仿宋" w:eastAsia="仿宋" w:cs="仿宋"/>
          <w:sz w:val="24"/>
          <w:highlight w:val="none"/>
        </w:rPr>
        <w:t>（3）</w:t>
      </w:r>
      <w:r>
        <w:rPr>
          <w:rFonts w:hint="eastAsia" w:ascii="仿宋" w:hAnsi="仿宋" w:eastAsia="仿宋" w:cs="仿宋"/>
          <w:sz w:val="24"/>
          <w:highlight w:val="none"/>
          <w:lang w:eastAsia="zh-CN"/>
        </w:rPr>
        <w:t>经济标</w:t>
      </w:r>
      <w:r>
        <w:rPr>
          <w:rFonts w:hint="eastAsia" w:ascii="仿宋" w:hAnsi="仿宋" w:eastAsia="仿宋" w:cs="仿宋"/>
          <w:sz w:val="24"/>
          <w:highlight w:val="none"/>
        </w:rPr>
        <w:t>；</w:t>
      </w:r>
      <w:bookmarkEnd w:id="215"/>
      <w:bookmarkEnd w:id="216"/>
    </w:p>
    <w:p>
      <w:pPr>
        <w:spacing w:line="360" w:lineRule="auto"/>
        <w:rPr>
          <w:rFonts w:hint="eastAsia" w:ascii="仿宋" w:hAnsi="仿宋" w:eastAsia="仿宋" w:cs="仿宋"/>
          <w:sz w:val="24"/>
          <w:highlight w:val="none"/>
        </w:rPr>
      </w:pPr>
      <w:bookmarkStart w:id="217" w:name="_Toc26995"/>
      <w:bookmarkStart w:id="218" w:name="_Toc15286"/>
      <w:r>
        <w:rPr>
          <w:rFonts w:hint="eastAsia" w:ascii="仿宋" w:hAnsi="仿宋" w:eastAsia="仿宋" w:cs="仿宋"/>
          <w:sz w:val="24"/>
          <w:highlight w:val="none"/>
        </w:rPr>
        <w:t>（4）法定代表人身份证明书；</w:t>
      </w:r>
      <w:bookmarkEnd w:id="217"/>
      <w:bookmarkEnd w:id="218"/>
    </w:p>
    <w:p>
      <w:pPr>
        <w:spacing w:line="360" w:lineRule="auto"/>
        <w:rPr>
          <w:rFonts w:hint="eastAsia" w:ascii="仿宋" w:hAnsi="仿宋" w:eastAsia="仿宋" w:cs="仿宋"/>
          <w:sz w:val="24"/>
          <w:highlight w:val="none"/>
        </w:rPr>
      </w:pPr>
      <w:bookmarkStart w:id="219" w:name="_Toc1736"/>
      <w:bookmarkStart w:id="220" w:name="_Toc13034"/>
      <w:r>
        <w:rPr>
          <w:rFonts w:hint="eastAsia" w:ascii="仿宋" w:hAnsi="仿宋" w:eastAsia="仿宋" w:cs="仿宋"/>
          <w:sz w:val="24"/>
          <w:highlight w:val="none"/>
        </w:rPr>
        <w:t>（5）法定代表人授权委托书；</w:t>
      </w:r>
      <w:bookmarkEnd w:id="219"/>
      <w:bookmarkEnd w:id="220"/>
    </w:p>
    <w:p>
      <w:pPr>
        <w:spacing w:line="360" w:lineRule="auto"/>
        <w:rPr>
          <w:rFonts w:hint="eastAsia" w:ascii="仿宋" w:hAnsi="仿宋" w:eastAsia="仿宋" w:cs="仿宋"/>
          <w:sz w:val="24"/>
          <w:highlight w:val="none"/>
        </w:rPr>
      </w:pPr>
      <w:bookmarkStart w:id="221" w:name="_Toc13229"/>
      <w:bookmarkStart w:id="222" w:name="_Toc397"/>
      <w:r>
        <w:rPr>
          <w:rFonts w:hint="eastAsia" w:ascii="仿宋" w:hAnsi="仿宋" w:eastAsia="仿宋" w:cs="仿宋"/>
          <w:sz w:val="24"/>
          <w:highlight w:val="none"/>
        </w:rPr>
        <w:t>（6）供应商自述；</w:t>
      </w:r>
      <w:bookmarkEnd w:id="221"/>
      <w:bookmarkEnd w:id="222"/>
    </w:p>
    <w:p>
      <w:pPr>
        <w:spacing w:line="360" w:lineRule="auto"/>
        <w:rPr>
          <w:rFonts w:hint="eastAsia" w:ascii="仿宋" w:hAnsi="仿宋" w:eastAsia="仿宋" w:cs="仿宋"/>
          <w:sz w:val="24"/>
          <w:highlight w:val="none"/>
          <w:lang w:eastAsia="zh-CN"/>
        </w:rPr>
      </w:pPr>
      <w:bookmarkStart w:id="223" w:name="_Toc6779"/>
      <w:bookmarkStart w:id="224" w:name="_Toc4577"/>
      <w:r>
        <w:rPr>
          <w:rFonts w:hint="eastAsia" w:ascii="仿宋" w:hAnsi="仿宋" w:eastAsia="仿宋" w:cs="仿宋"/>
          <w:sz w:val="24"/>
          <w:highlight w:val="none"/>
        </w:rPr>
        <w:t>（7）备品备件、易损件及专用工具供应清单</w:t>
      </w:r>
      <w:bookmarkEnd w:id="223"/>
      <w:bookmarkEnd w:id="224"/>
      <w:r>
        <w:rPr>
          <w:rFonts w:hint="eastAsia" w:ascii="仿宋" w:hAnsi="仿宋" w:eastAsia="仿宋" w:cs="仿宋"/>
          <w:sz w:val="24"/>
          <w:highlight w:val="none"/>
          <w:lang w:eastAsia="zh-CN"/>
        </w:rPr>
        <w:t>；</w:t>
      </w:r>
    </w:p>
    <w:p>
      <w:pPr>
        <w:spacing w:line="360" w:lineRule="auto"/>
        <w:rPr>
          <w:rFonts w:hint="eastAsia" w:ascii="仿宋" w:hAnsi="仿宋" w:eastAsia="仿宋" w:cs="仿宋"/>
          <w:sz w:val="24"/>
          <w:highlight w:val="none"/>
        </w:rPr>
      </w:pPr>
      <w:bookmarkStart w:id="225" w:name="_Toc23312"/>
      <w:bookmarkStart w:id="226" w:name="_Toc28513"/>
      <w:r>
        <w:rPr>
          <w:rFonts w:hint="eastAsia" w:ascii="仿宋" w:hAnsi="仿宋" w:eastAsia="仿宋" w:cs="仿宋"/>
          <w:sz w:val="24"/>
          <w:highlight w:val="none"/>
        </w:rPr>
        <w:t>（8）售后服务承诺；</w:t>
      </w:r>
      <w:bookmarkEnd w:id="225"/>
      <w:bookmarkEnd w:id="226"/>
    </w:p>
    <w:p>
      <w:pPr>
        <w:spacing w:line="360" w:lineRule="auto"/>
        <w:rPr>
          <w:rFonts w:hint="eastAsia" w:ascii="仿宋" w:hAnsi="仿宋" w:eastAsia="仿宋" w:cs="仿宋"/>
          <w:sz w:val="24"/>
          <w:highlight w:val="none"/>
        </w:rPr>
      </w:pPr>
      <w:bookmarkStart w:id="227" w:name="_Toc18195"/>
      <w:bookmarkStart w:id="228" w:name="_Toc23763"/>
      <w:r>
        <w:rPr>
          <w:rFonts w:hint="eastAsia" w:ascii="仿宋" w:hAnsi="仿宋" w:eastAsia="仿宋" w:cs="仿宋"/>
          <w:sz w:val="24"/>
          <w:highlight w:val="none"/>
        </w:rPr>
        <w:t>（9）技术方案；</w:t>
      </w:r>
      <w:bookmarkEnd w:id="227"/>
      <w:bookmarkEnd w:id="228"/>
    </w:p>
    <w:p>
      <w:pPr>
        <w:spacing w:line="360" w:lineRule="auto"/>
        <w:rPr>
          <w:rFonts w:hint="eastAsia" w:ascii="仿宋" w:hAnsi="仿宋" w:eastAsia="仿宋" w:cs="仿宋"/>
          <w:sz w:val="24"/>
          <w:highlight w:val="none"/>
        </w:rPr>
      </w:pPr>
      <w:bookmarkStart w:id="229" w:name="_Toc23680"/>
      <w:bookmarkStart w:id="230" w:name="_Toc25992"/>
      <w:r>
        <w:rPr>
          <w:rFonts w:hint="eastAsia" w:ascii="仿宋" w:hAnsi="仿宋" w:eastAsia="仿宋" w:cs="仿宋"/>
          <w:sz w:val="24"/>
          <w:highlight w:val="none"/>
        </w:rPr>
        <w:t>（10）2018年至今业绩一览表；</w:t>
      </w:r>
      <w:bookmarkEnd w:id="229"/>
      <w:bookmarkEnd w:id="230"/>
    </w:p>
    <w:p>
      <w:pPr>
        <w:spacing w:line="360" w:lineRule="auto"/>
        <w:rPr>
          <w:rFonts w:hint="eastAsia" w:ascii="仿宋" w:hAnsi="仿宋" w:eastAsia="仿宋" w:cs="仿宋"/>
          <w:sz w:val="24"/>
          <w:highlight w:val="none"/>
        </w:rPr>
      </w:pPr>
      <w:bookmarkStart w:id="231" w:name="_Toc28575"/>
      <w:bookmarkStart w:id="232" w:name="_Toc10141"/>
      <w:r>
        <w:rPr>
          <w:rFonts w:hint="eastAsia" w:ascii="仿宋" w:hAnsi="仿宋" w:eastAsia="仿宋" w:cs="仿宋"/>
          <w:sz w:val="24"/>
          <w:highlight w:val="none"/>
        </w:rPr>
        <w:t>（11）商务条款、技术规格偏离表；</w:t>
      </w:r>
      <w:bookmarkEnd w:id="231"/>
      <w:bookmarkEnd w:id="232"/>
    </w:p>
    <w:p>
      <w:pPr>
        <w:spacing w:line="360" w:lineRule="auto"/>
        <w:rPr>
          <w:rFonts w:hint="eastAsia" w:ascii="仿宋" w:hAnsi="仿宋" w:eastAsia="仿宋" w:cs="仿宋"/>
          <w:sz w:val="24"/>
          <w:highlight w:val="none"/>
        </w:rPr>
      </w:pPr>
      <w:bookmarkStart w:id="233" w:name="_Toc16710"/>
      <w:bookmarkStart w:id="234" w:name="_Toc14885"/>
      <w:r>
        <w:rPr>
          <w:rFonts w:hint="eastAsia" w:ascii="仿宋" w:hAnsi="仿宋" w:eastAsia="仿宋" w:cs="仿宋"/>
          <w:sz w:val="24"/>
          <w:highlight w:val="none"/>
        </w:rPr>
        <w:t>（12）《反商业贿赂承诺书》；</w:t>
      </w:r>
      <w:bookmarkEnd w:id="233"/>
      <w:bookmarkEnd w:id="234"/>
    </w:p>
    <w:p>
      <w:pPr>
        <w:spacing w:line="360" w:lineRule="auto"/>
        <w:rPr>
          <w:rFonts w:hint="eastAsia" w:ascii="仿宋" w:hAnsi="仿宋" w:eastAsia="仿宋" w:cs="仿宋"/>
          <w:sz w:val="24"/>
          <w:highlight w:val="none"/>
        </w:rPr>
      </w:pPr>
      <w:bookmarkStart w:id="235" w:name="_Toc27580"/>
      <w:bookmarkStart w:id="236" w:name="_Toc24544"/>
      <w:r>
        <w:rPr>
          <w:rFonts w:hint="eastAsia" w:ascii="仿宋" w:hAnsi="仿宋" w:eastAsia="仿宋" w:cs="仿宋"/>
          <w:sz w:val="24"/>
          <w:highlight w:val="none"/>
        </w:rPr>
        <w:t>（13）中小企业声明函；</w:t>
      </w:r>
      <w:bookmarkEnd w:id="235"/>
      <w:bookmarkEnd w:id="236"/>
    </w:p>
    <w:p>
      <w:pPr>
        <w:spacing w:line="360" w:lineRule="auto"/>
        <w:rPr>
          <w:rFonts w:hint="eastAsia" w:ascii="仿宋" w:hAnsi="仿宋" w:eastAsia="仿宋" w:cs="仿宋"/>
          <w:sz w:val="24"/>
          <w:highlight w:val="none"/>
        </w:rPr>
      </w:pPr>
      <w:bookmarkStart w:id="237" w:name="_Toc3254"/>
      <w:bookmarkStart w:id="238" w:name="_Toc24509"/>
      <w:r>
        <w:rPr>
          <w:rFonts w:hint="eastAsia" w:ascii="仿宋" w:hAnsi="仿宋" w:eastAsia="仿宋" w:cs="仿宋"/>
          <w:sz w:val="24"/>
          <w:highlight w:val="none"/>
        </w:rPr>
        <w:t>（14）无重大违法记录声明书；</w:t>
      </w:r>
      <w:bookmarkEnd w:id="237"/>
      <w:bookmarkEnd w:id="238"/>
    </w:p>
    <w:p>
      <w:pP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（15）其他附表</w:t>
      </w:r>
      <w:r>
        <w:rPr>
          <w:rFonts w:hint="eastAsia" w:ascii="仿宋" w:hAnsi="仿宋" w:eastAsia="仿宋" w:cs="仿宋"/>
          <w:sz w:val="24"/>
          <w:highlight w:val="none"/>
          <w:lang w:eastAsia="zh-CN"/>
        </w:rPr>
        <w:t>；</w:t>
      </w:r>
    </w:p>
    <w:p>
      <w:pPr>
        <w:spacing w:line="360" w:lineRule="auto"/>
        <w:rPr>
          <w:rFonts w:hint="eastAsia" w:ascii="仿宋" w:hAnsi="仿宋" w:eastAsia="仿宋" w:cs="仿宋"/>
          <w:sz w:val="24"/>
          <w:highlight w:val="none"/>
          <w:lang w:eastAsia="zh-CN"/>
        </w:rPr>
      </w:pPr>
      <w:r>
        <w:rPr>
          <w:rFonts w:hint="eastAsia" w:ascii="仿宋" w:hAnsi="仿宋" w:eastAsia="仿宋" w:cs="仿宋"/>
          <w:sz w:val="24"/>
          <w:highlight w:val="none"/>
        </w:rPr>
        <w:t>（16）投标人认为有必要提供的</w:t>
      </w:r>
      <w:r>
        <w:rPr>
          <w:rFonts w:hint="eastAsia" w:ascii="仿宋" w:hAnsi="仿宋" w:eastAsia="仿宋" w:cs="仿宋"/>
          <w:sz w:val="24"/>
          <w:highlight w:val="none"/>
          <w:lang w:val="en-US" w:eastAsia="zh-CN"/>
        </w:rPr>
        <w:t>其他</w:t>
      </w:r>
      <w:r>
        <w:rPr>
          <w:rFonts w:hint="eastAsia" w:ascii="仿宋" w:hAnsi="仿宋" w:eastAsia="仿宋" w:cs="仿宋"/>
          <w:sz w:val="24"/>
          <w:highlight w:val="none"/>
        </w:rPr>
        <w:t>内容</w:t>
      </w:r>
      <w:r>
        <w:rPr>
          <w:rFonts w:hint="eastAsia" w:ascii="仿宋" w:hAnsi="仿宋" w:eastAsia="仿宋" w:cs="仿宋"/>
          <w:sz w:val="24"/>
          <w:highlight w:val="none"/>
          <w:lang w:eastAsia="zh-CN"/>
        </w:rPr>
        <w:t>。</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p>
    <w:p>
      <w:pPr>
        <w:pStyle w:val="18"/>
        <w:rPr>
          <w:rFonts w:hint="eastAsia" w:ascii="仿宋" w:hAnsi="仿宋" w:eastAsia="仿宋" w:cs="仿宋"/>
          <w:highlight w:val="none"/>
        </w:rPr>
      </w:pPr>
    </w:p>
    <w:p>
      <w:pPr>
        <w:jc w:val="center"/>
        <w:rPr>
          <w:rFonts w:hint="eastAsia" w:ascii="仿宋" w:hAnsi="仿宋" w:eastAsia="仿宋" w:cs="仿宋"/>
          <w:b/>
          <w:sz w:val="28"/>
          <w:szCs w:val="28"/>
          <w:highlight w:val="none"/>
        </w:rPr>
      </w:pPr>
      <w:bookmarkStart w:id="239" w:name="_Toc32168"/>
      <w:bookmarkStart w:id="240" w:name="_Toc12572"/>
      <w:bookmarkStart w:id="241" w:name="_Toc421633322"/>
      <w:r>
        <w:rPr>
          <w:rFonts w:hint="eastAsia" w:ascii="仿宋" w:hAnsi="仿宋" w:eastAsia="仿宋" w:cs="仿宋"/>
          <w:b/>
          <w:sz w:val="28"/>
          <w:szCs w:val="28"/>
          <w:highlight w:val="none"/>
        </w:rPr>
        <w:t>一、投标</w:t>
      </w:r>
      <w:bookmarkEnd w:id="239"/>
      <w:bookmarkEnd w:id="240"/>
      <w:bookmarkEnd w:id="241"/>
      <w:r>
        <w:rPr>
          <w:rFonts w:hint="eastAsia" w:ascii="仿宋" w:hAnsi="仿宋" w:eastAsia="仿宋" w:cs="仿宋"/>
          <w:b/>
          <w:sz w:val="28"/>
          <w:szCs w:val="28"/>
          <w:highlight w:val="none"/>
        </w:rPr>
        <w:t>承诺书</w:t>
      </w:r>
    </w:p>
    <w:p>
      <w:pPr>
        <w:spacing w:line="520" w:lineRule="exact"/>
        <w:rPr>
          <w:rFonts w:hint="eastAsia" w:ascii="仿宋" w:hAnsi="仿宋" w:eastAsia="仿宋" w:cs="仿宋"/>
          <w:sz w:val="24"/>
          <w:highlight w:val="none"/>
          <w:u w:val="single"/>
        </w:rPr>
      </w:pPr>
      <w:r>
        <w:rPr>
          <w:rFonts w:hint="eastAsia" w:ascii="仿宋" w:hAnsi="仿宋" w:eastAsia="仿宋" w:cs="仿宋"/>
          <w:sz w:val="24"/>
          <w:highlight w:val="none"/>
        </w:rPr>
        <w:t>致（招标人）：</w:t>
      </w:r>
      <w:r>
        <w:rPr>
          <w:rFonts w:hint="eastAsia" w:ascii="仿宋" w:hAnsi="仿宋" w:eastAsia="仿宋" w:cs="仿宋"/>
          <w:sz w:val="24"/>
          <w:highlight w:val="none"/>
          <w:u w:val="single"/>
        </w:rPr>
        <w:t xml:space="preserve">                           </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根据已收到的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，我单位经研究贵方的</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后：</w:t>
      </w:r>
    </w:p>
    <w:p>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1、我方愿以投标报价单所报的投标价格及投标承诺书承包本</w:t>
      </w: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中所述招标范围内的全部内容。</w:t>
      </w:r>
    </w:p>
    <w:p>
      <w:pPr>
        <w:spacing w:line="500" w:lineRule="exact"/>
        <w:ind w:firstLine="477" w:firstLineChars="199"/>
        <w:rPr>
          <w:rFonts w:hint="eastAsia" w:ascii="仿宋" w:hAnsi="仿宋" w:eastAsia="仿宋" w:cs="仿宋"/>
          <w:sz w:val="24"/>
          <w:highlight w:val="none"/>
        </w:rPr>
      </w:pPr>
      <w:r>
        <w:rPr>
          <w:rFonts w:hint="eastAsia" w:ascii="仿宋" w:hAnsi="仿宋" w:eastAsia="仿宋" w:cs="仿宋"/>
          <w:sz w:val="24"/>
          <w:highlight w:val="none"/>
        </w:rPr>
        <w:t>2、一旦我方中标，我方保证在贵方约定的合同履行期限：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pPr>
        <w:autoSpaceDE w:val="0"/>
        <w:autoSpaceDN w:val="0"/>
        <w:adjustRightInd w:val="0"/>
        <w:spacing w:line="56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3、如果我方中标，非业主原因，我方保证将按下列质量标准完成本项目：</w:t>
      </w:r>
      <w:r>
        <w:rPr>
          <w:rFonts w:hint="eastAsia" w:ascii="仿宋" w:hAnsi="仿宋" w:eastAsia="仿宋" w:cs="仿宋"/>
          <w:kern w:val="0"/>
          <w:sz w:val="24"/>
          <w:highlight w:val="none"/>
          <w:u w:val="single"/>
        </w:rPr>
        <w:t>设备质量及安装质量必须符合国家相关行业检验评定标准；以及现行的相关标准及企业相关标准，达到合格标准；质量标准按国家相关规定及合同约定进行验收。</w:t>
      </w:r>
    </w:p>
    <w:p>
      <w:pPr>
        <w:spacing w:line="52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4、如果我方中标，我方将按</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规定的时间内签订合同。如果违约，我方愿以中标价的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%作为赔偿金，同时贵方有权终止我方中标并选择其它投标人。</w:t>
      </w:r>
    </w:p>
    <w:p>
      <w:pPr>
        <w:spacing w:line="52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5、如果我方中标，到达现场的设备质量、品牌、型号与</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不一致的，施工质量达不到一次性合格,我方将进行整改直至检验部门验收合格为止，并愿以中标价的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%作为违约金。</w:t>
      </w:r>
    </w:p>
    <w:p>
      <w:pPr>
        <w:spacing w:line="52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6、贵方的</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、答疑文件、</w:t>
      </w:r>
      <w:r>
        <w:rPr>
          <w:rFonts w:hint="eastAsia" w:ascii="仿宋" w:hAnsi="仿宋" w:eastAsia="仿宋" w:cs="仿宋"/>
          <w:kern w:val="0"/>
          <w:sz w:val="24"/>
          <w:highlight w:val="none"/>
          <w:lang w:eastAsia="zh-CN"/>
        </w:rPr>
        <w:t>磋商文件</w:t>
      </w:r>
      <w:r>
        <w:rPr>
          <w:rFonts w:hint="eastAsia" w:ascii="仿宋" w:hAnsi="仿宋" w:eastAsia="仿宋" w:cs="仿宋"/>
          <w:kern w:val="0"/>
          <w:sz w:val="24"/>
          <w:highlight w:val="none"/>
        </w:rPr>
        <w:t>补充、中标通知书和本</w:t>
      </w:r>
      <w:r>
        <w:rPr>
          <w:rFonts w:hint="eastAsia" w:ascii="仿宋" w:hAnsi="仿宋" w:eastAsia="仿宋" w:cs="仿宋"/>
          <w:kern w:val="0"/>
          <w:sz w:val="24"/>
          <w:highlight w:val="none"/>
          <w:lang w:eastAsia="zh-CN"/>
        </w:rPr>
        <w:t>响应文件</w:t>
      </w:r>
      <w:r>
        <w:rPr>
          <w:rFonts w:hint="eastAsia" w:ascii="仿宋" w:hAnsi="仿宋" w:eastAsia="仿宋" w:cs="仿宋"/>
          <w:kern w:val="0"/>
          <w:sz w:val="24"/>
          <w:highlight w:val="none"/>
        </w:rPr>
        <w:t>将作为合同附件，具有同等法律效力。</w:t>
      </w:r>
    </w:p>
    <w:p>
      <w:pPr>
        <w:spacing w:line="52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7、投标有效期：</w:t>
      </w: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rPr>
        <w:t>。</w:t>
      </w:r>
    </w:p>
    <w:p>
      <w:pPr>
        <w:autoSpaceDE w:val="0"/>
        <w:autoSpaceDN w:val="0"/>
        <w:adjustRightInd w:val="0"/>
        <w:spacing w:line="560" w:lineRule="exact"/>
        <w:ind w:firstLine="484" w:firstLineChars="202"/>
        <w:jc w:val="left"/>
        <w:rPr>
          <w:rFonts w:hint="eastAsia" w:ascii="仿宋" w:hAnsi="仿宋" w:eastAsia="仿宋" w:cs="仿宋"/>
          <w:kern w:val="0"/>
          <w:sz w:val="24"/>
          <w:highlight w:val="none"/>
        </w:rPr>
      </w:pPr>
      <w:r>
        <w:rPr>
          <w:rFonts w:hint="eastAsia" w:ascii="仿宋" w:hAnsi="仿宋" w:eastAsia="仿宋" w:cs="仿宋"/>
          <w:kern w:val="0"/>
          <w:sz w:val="24"/>
          <w:highlight w:val="none"/>
        </w:rPr>
        <w:t>8、质保期：</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，自相关部门验收合格之日起计算。如果由于我方责任致使系统不能验收，此保修期顺延，乙方对所供应的设备负责终身维护。</w:t>
      </w:r>
    </w:p>
    <w:p>
      <w:pPr>
        <w:spacing w:line="52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9、如果我方未中标，贵方没有必要对我方做出任何解释和说明，我方将充分尊重和理解贵方的选择。</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投标人：（盖章）  </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法定代表人或其委托代理人：（签字或盖章）</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日期：_____年____月____日 </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二、投标报价一览表</w:t>
      </w:r>
    </w:p>
    <w:tbl>
      <w:tblPr>
        <w:tblStyle w:val="24"/>
        <w:tblpPr w:leftFromText="180" w:rightFromText="180" w:vertAnchor="page" w:horzAnchor="page" w:tblpX="1710" w:tblpY="2283"/>
        <w:tblW w:w="92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3"/>
        <w:gridCol w:w="7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trPr>
        <w:tc>
          <w:tcPr>
            <w:tcW w:w="1733" w:type="dxa"/>
            <w:vAlign w:val="center"/>
          </w:tcPr>
          <w:p>
            <w:pPr>
              <w:autoSpaceDE w:val="0"/>
              <w:autoSpaceDN w:val="0"/>
              <w:spacing w:line="660" w:lineRule="exact"/>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项目名称</w:t>
            </w:r>
          </w:p>
        </w:tc>
        <w:tc>
          <w:tcPr>
            <w:tcW w:w="7481" w:type="dxa"/>
            <w:vAlign w:val="center"/>
          </w:tcPr>
          <w:p>
            <w:pPr>
              <w:widowControl/>
              <w:tabs>
                <w:tab w:val="left" w:pos="360"/>
              </w:tabs>
              <w:spacing w:line="360" w:lineRule="auto"/>
              <w:jc w:val="left"/>
              <w:rPr>
                <w:rFonts w:hint="eastAsia" w:ascii="仿宋" w:hAnsi="仿宋" w:eastAsia="仿宋" w:cs="仿宋"/>
                <w:bCs/>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trPr>
        <w:tc>
          <w:tcPr>
            <w:tcW w:w="1733" w:type="dxa"/>
            <w:vAlign w:val="center"/>
          </w:tcPr>
          <w:p>
            <w:pPr>
              <w:autoSpaceDE w:val="0"/>
              <w:autoSpaceDN w:val="0"/>
              <w:spacing w:line="660" w:lineRule="exact"/>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投标单位</w:t>
            </w:r>
          </w:p>
        </w:tc>
        <w:tc>
          <w:tcPr>
            <w:tcW w:w="7481" w:type="dxa"/>
            <w:vAlign w:val="center"/>
          </w:tcPr>
          <w:p>
            <w:pPr>
              <w:autoSpaceDE w:val="0"/>
              <w:autoSpaceDN w:val="0"/>
              <w:spacing w:line="660" w:lineRule="exact"/>
              <w:jc w:val="center"/>
              <w:rPr>
                <w:rFonts w:hint="eastAsia" w:ascii="仿宋" w:hAnsi="仿宋" w:eastAsia="仿宋" w:cs="仿宋"/>
                <w:bCs/>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3" w:hRule="atLeast"/>
        </w:trPr>
        <w:tc>
          <w:tcPr>
            <w:tcW w:w="9214" w:type="dxa"/>
            <w:gridSpan w:val="2"/>
            <w:vAlign w:val="center"/>
          </w:tcPr>
          <w:p>
            <w:pPr>
              <w:autoSpaceDE w:val="0"/>
              <w:autoSpaceDN w:val="0"/>
              <w:spacing w:line="660" w:lineRule="exact"/>
              <w:jc w:val="center"/>
              <w:rPr>
                <w:rFonts w:hint="eastAsia" w:ascii="仿宋" w:hAnsi="仿宋" w:eastAsia="仿宋" w:cs="仿宋"/>
                <w:bCs/>
                <w:kern w:val="0"/>
                <w:sz w:val="24"/>
                <w:highlight w:val="none"/>
              </w:rPr>
            </w:pPr>
            <w:r>
              <w:rPr>
                <w:rFonts w:hint="eastAsia" w:ascii="仿宋" w:hAnsi="仿宋" w:eastAsia="仿宋" w:cs="仿宋"/>
                <w:bCs/>
                <w:kern w:val="0"/>
                <w:sz w:val="24"/>
                <w:highlight w:val="none"/>
              </w:rPr>
              <w:t>投标报价（元）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7" w:hRule="atLeast"/>
        </w:trPr>
        <w:tc>
          <w:tcPr>
            <w:tcW w:w="9214" w:type="dxa"/>
            <w:gridSpan w:val="2"/>
            <w:vAlign w:val="center"/>
          </w:tcPr>
          <w:p>
            <w:pPr>
              <w:autoSpaceDE w:val="0"/>
              <w:autoSpaceDN w:val="0"/>
              <w:spacing w:before="156" w:beforeLines="50" w:line="48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投标总报价合计： 小写：                     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3" w:hRule="atLeast"/>
        </w:trPr>
        <w:tc>
          <w:tcPr>
            <w:tcW w:w="9214" w:type="dxa"/>
            <w:gridSpan w:val="2"/>
            <w:tcBorders>
              <w:top w:val="single" w:color="auto" w:sz="4" w:space="0"/>
              <w:bottom w:val="single" w:color="auto" w:sz="4" w:space="0"/>
            </w:tcBorders>
          </w:tcPr>
          <w:p>
            <w:pPr>
              <w:autoSpaceDE w:val="0"/>
              <w:autoSpaceDN w:val="0"/>
              <w:spacing w:before="156" w:beforeLines="50" w:line="360" w:lineRule="auto"/>
              <w:rPr>
                <w:rFonts w:hint="eastAsia" w:ascii="仿宋" w:hAnsi="仿宋" w:eastAsia="仿宋" w:cs="仿宋"/>
                <w:bCs/>
                <w:kern w:val="0"/>
                <w:sz w:val="24"/>
                <w:highlight w:val="none"/>
              </w:rPr>
            </w:pPr>
            <w:r>
              <w:rPr>
                <w:rFonts w:hint="eastAsia" w:ascii="仿宋" w:hAnsi="仿宋" w:eastAsia="仿宋" w:cs="仿宋"/>
                <w:sz w:val="24"/>
                <w:highlight w:val="none"/>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3" w:hRule="atLeast"/>
        </w:trPr>
        <w:tc>
          <w:tcPr>
            <w:tcW w:w="9214" w:type="dxa"/>
            <w:gridSpan w:val="2"/>
            <w:tcBorders>
              <w:top w:val="single" w:color="auto" w:sz="4" w:space="0"/>
            </w:tcBorders>
          </w:tcPr>
          <w:p>
            <w:pPr>
              <w:autoSpaceDE w:val="0"/>
              <w:autoSpaceDN w:val="0"/>
              <w:spacing w:before="156" w:beforeLines="50" w:line="360" w:lineRule="auto"/>
              <w:rPr>
                <w:rFonts w:hint="eastAsia" w:ascii="仿宋" w:hAnsi="仿宋" w:eastAsia="仿宋" w:cs="仿宋"/>
                <w:bCs/>
                <w:kern w:val="0"/>
                <w:sz w:val="24"/>
                <w:highlight w:val="none"/>
              </w:rPr>
            </w:pPr>
            <w:r>
              <w:rPr>
                <w:rFonts w:hint="eastAsia" w:ascii="仿宋" w:hAnsi="仿宋" w:eastAsia="仿宋" w:cs="仿宋"/>
                <w:bCs/>
                <w:kern w:val="0"/>
                <w:sz w:val="24"/>
                <w:highlight w:val="none"/>
              </w:rPr>
              <w:t>备注：</w:t>
            </w:r>
          </w:p>
        </w:tc>
      </w:tr>
    </w:tbl>
    <w:p>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 xml:space="preserve">注：1、表中大小写不一致时，以大写为准。     </w:t>
      </w:r>
    </w:p>
    <w:p>
      <w:pPr>
        <w:spacing w:line="360" w:lineRule="auto"/>
        <w:ind w:firstLine="480"/>
        <w:rPr>
          <w:rFonts w:hint="eastAsia" w:ascii="仿宋" w:hAnsi="仿宋" w:eastAsia="仿宋" w:cs="仿宋"/>
          <w:sz w:val="24"/>
          <w:highlight w:val="none"/>
        </w:rPr>
      </w:pPr>
      <w:r>
        <w:rPr>
          <w:rFonts w:hint="eastAsia" w:ascii="仿宋" w:hAnsi="仿宋" w:eastAsia="仿宋" w:cs="仿宋"/>
          <w:b/>
          <w:bCs/>
          <w:sz w:val="24"/>
          <w:highlight w:val="none"/>
        </w:rPr>
        <w:t>2、此表一式两份，一份用信封单独密封，另一份装订在</w:t>
      </w:r>
      <w:r>
        <w:rPr>
          <w:rFonts w:hint="eastAsia" w:ascii="仿宋" w:hAnsi="仿宋" w:eastAsia="仿宋" w:cs="仿宋"/>
          <w:b/>
          <w:bCs/>
          <w:sz w:val="24"/>
          <w:highlight w:val="none"/>
          <w:lang w:eastAsia="zh-CN"/>
        </w:rPr>
        <w:t>响应文件</w:t>
      </w:r>
      <w:r>
        <w:rPr>
          <w:rFonts w:hint="eastAsia" w:ascii="仿宋" w:hAnsi="仿宋" w:eastAsia="仿宋" w:cs="仿宋"/>
          <w:b/>
          <w:bCs/>
          <w:sz w:val="24"/>
          <w:highlight w:val="none"/>
        </w:rPr>
        <w:t xml:space="preserve">正本中，两个表须内容必须一致。 </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投标人：（盖章）  </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法定代表人或其委托代理人：（签字或盖章）</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日期：_____年____月____日 </w:t>
      </w:r>
    </w:p>
    <w:p>
      <w:pPr>
        <w:jc w:val="left"/>
        <w:rPr>
          <w:rFonts w:hint="eastAsia" w:ascii="仿宋" w:hAnsi="仿宋" w:eastAsia="仿宋" w:cs="仿宋"/>
          <w:b/>
          <w:sz w:val="28"/>
          <w:szCs w:val="28"/>
          <w:highlight w:val="none"/>
        </w:rPr>
      </w:pPr>
    </w:p>
    <w:p>
      <w:pPr>
        <w:jc w:val="left"/>
        <w:rPr>
          <w:rFonts w:hint="eastAsia" w:ascii="仿宋" w:hAnsi="仿宋" w:eastAsia="仿宋" w:cs="仿宋"/>
          <w:b/>
          <w:bCs/>
          <w:sz w:val="28"/>
          <w:szCs w:val="28"/>
          <w:highlight w:val="none"/>
        </w:rPr>
      </w:pPr>
      <w:r>
        <w:rPr>
          <w:rFonts w:hint="eastAsia" w:ascii="仿宋" w:hAnsi="仿宋" w:eastAsia="仿宋" w:cs="仿宋"/>
          <w:b/>
          <w:sz w:val="24"/>
          <w:highlight w:val="none"/>
        </w:rPr>
        <w:t>注：此表单独封装一份，单独提交供唱标时使用</w:t>
      </w:r>
    </w:p>
    <w:p>
      <w:pPr>
        <w:spacing w:line="360" w:lineRule="auto"/>
        <w:jc w:val="center"/>
        <w:rPr>
          <w:rFonts w:hint="eastAsia" w:ascii="仿宋" w:hAnsi="仿宋" w:eastAsia="仿宋" w:cs="仿宋"/>
          <w:b/>
          <w:bCs/>
          <w:sz w:val="28"/>
          <w:szCs w:val="28"/>
          <w:highlight w:val="none"/>
        </w:rPr>
      </w:pPr>
    </w:p>
    <w:p>
      <w:pPr>
        <w:spacing w:line="360" w:lineRule="auto"/>
        <w:jc w:val="center"/>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pStyle w:val="28"/>
        <w:rPr>
          <w:rFonts w:hint="eastAsia"/>
        </w:rPr>
      </w:pPr>
    </w:p>
    <w:p>
      <w:pPr>
        <w:spacing w:line="360" w:lineRule="auto"/>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rPr>
        <w:t>三、</w:t>
      </w:r>
      <w:r>
        <w:rPr>
          <w:rFonts w:hint="eastAsia" w:ascii="仿宋" w:hAnsi="仿宋" w:eastAsia="仿宋" w:cs="仿宋"/>
          <w:b/>
          <w:bCs/>
          <w:sz w:val="28"/>
          <w:szCs w:val="28"/>
          <w:highlight w:val="none"/>
          <w:lang w:val="en-US" w:eastAsia="zh-CN"/>
        </w:rPr>
        <w:t>经济标</w:t>
      </w:r>
    </w:p>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（报价格式详见附件-工程清单）</w:t>
      </w:r>
    </w:p>
    <w:p>
      <w:pPr>
        <w:pStyle w:val="5"/>
        <w:jc w:val="center"/>
        <w:rPr>
          <w:rFonts w:hint="eastAsia" w:ascii="仿宋" w:hAnsi="仿宋" w:eastAsia="仿宋" w:cs="仿宋"/>
          <w:highlight w:val="none"/>
        </w:rPr>
      </w:pPr>
    </w:p>
    <w:p>
      <w:pPr>
        <w:jc w:val="center"/>
        <w:rPr>
          <w:rFonts w:hint="eastAsia" w:ascii="仿宋" w:hAnsi="仿宋" w:eastAsia="仿宋" w:cs="仿宋"/>
          <w:sz w:val="28"/>
          <w:highlight w:val="none"/>
        </w:rPr>
      </w:pPr>
      <w:r>
        <w:rPr>
          <w:rFonts w:hint="eastAsia" w:ascii="仿宋" w:hAnsi="仿宋" w:eastAsia="仿宋" w:cs="仿宋"/>
          <w:sz w:val="28"/>
          <w:highlight w:val="none"/>
        </w:rPr>
        <w:t>清单总说明</w:t>
      </w:r>
    </w:p>
    <w:tbl>
      <w:tblPr>
        <w:tblStyle w:val="24"/>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9509" w:type="dxa"/>
          </w:tcPr>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一、项目概况</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本项目图纸设计总建筑面积96450㎡。建筑层数为地下2层，地上22层。建筑高度97米。结构形式为框架剪力墙结构，主要建筑功能为门诊、医技、手术室、ICU、病房及餐厅，示诊室等。</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二、编制范围</w:t>
            </w:r>
          </w:p>
          <w:p>
            <w:pPr>
              <w:adjustRightInd w:val="0"/>
              <w:snapToGrid w:val="0"/>
              <w:spacing w:line="32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根据建设方提供的盖章确认设备数量清单表中的数量计入，主要系统为</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医用中心供氧系统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医用真空中心站</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医用中心吸引系统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医用空气中心站</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医用空气系统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牙科空气及负压系统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病房设备带及配套设施</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手术室气体系统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医用呼叫系统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医用气体监控系统</w:t>
            </w:r>
          </w:p>
          <w:p>
            <w:pPr>
              <w:numPr>
                <w:ilvl w:val="0"/>
                <w:numId w:val="2"/>
              </w:numPr>
              <w:adjustRightInd w:val="0"/>
              <w:snapToGrid w:val="0"/>
              <w:spacing w:line="320" w:lineRule="exact"/>
              <w:rPr>
                <w:rFonts w:hint="eastAsia" w:ascii="仿宋" w:hAnsi="仿宋" w:eastAsia="仿宋" w:cs="仿宋"/>
                <w:sz w:val="24"/>
                <w:szCs w:val="24"/>
              </w:rPr>
            </w:pPr>
            <w:r>
              <w:rPr>
                <w:rFonts w:hint="eastAsia" w:ascii="仿宋" w:hAnsi="仿宋" w:eastAsia="仿宋" w:cs="仿宋"/>
                <w:sz w:val="24"/>
                <w:szCs w:val="24"/>
              </w:rPr>
              <w:t>供应室空气系统</w:t>
            </w:r>
          </w:p>
          <w:p>
            <w:pPr>
              <w:numPr>
                <w:ilvl w:val="0"/>
                <w:numId w:val="0"/>
              </w:numPr>
              <w:adjustRightInd w:val="0"/>
              <w:snapToGrid w:val="0"/>
              <w:spacing w:line="320" w:lineRule="exact"/>
              <w:ind w:left="720" w:leftChars="0"/>
              <w:rPr>
                <w:rFonts w:hint="eastAsia" w:ascii="仿宋" w:hAnsi="仿宋" w:eastAsia="仿宋" w:cs="仿宋"/>
                <w:sz w:val="24"/>
                <w:szCs w:val="24"/>
              </w:rPr>
            </w:pPr>
            <w:r>
              <w:rPr>
                <w:rFonts w:hint="eastAsia" w:ascii="仿宋" w:hAnsi="仿宋" w:eastAsia="仿宋" w:cs="仿宋"/>
                <w:sz w:val="24"/>
                <w:szCs w:val="24"/>
              </w:rPr>
              <w:t>三、工程量清单编制依据</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1、本项目根据建设方提供的盖章确认设备数量清单表中的数量计入。</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2、执行本项目相关的各种图集、规范及行业规定。</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3、国家建设部及国家质量检验检疫局于2012年12月25日联合发布的《建设工程量清单计价规范》（GB50500-2013）、《房屋建筑与装饰工程工程量计算规范》（GB 50854-2013）、《通用安装工程工程量计算规范》（GB 50856-2013）及相关解释和勘误。</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4、乌鲁木齐市建设委员会《乌鲁木齐市工程量清单计价实施细则》乌建发【2015】17号文件，自治区贯彻实施2013版《房屋建筑与装饰工程工程量计算规范》</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5、《关于调整我区建设工程计价依据增值税税率的通知》（新建标【2019】4号），增值税9％计取。</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6、《新疆维吾尔自治区建设工程工程量清单计价管理办法》（新建标【2018】8号）；</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7、本项目的</w:t>
            </w:r>
            <w:r>
              <w:rPr>
                <w:rFonts w:hint="eastAsia" w:ascii="仿宋" w:hAnsi="仿宋" w:eastAsia="仿宋" w:cs="仿宋"/>
                <w:sz w:val="24"/>
                <w:szCs w:val="24"/>
                <w:lang w:eastAsia="zh-CN"/>
              </w:rPr>
              <w:t>磋商文件</w:t>
            </w:r>
            <w:r>
              <w:rPr>
                <w:rFonts w:hint="eastAsia" w:ascii="仿宋" w:hAnsi="仿宋" w:eastAsia="仿宋" w:cs="仿宋"/>
                <w:sz w:val="24"/>
                <w:szCs w:val="24"/>
              </w:rPr>
              <w:t>、补充通知、答疑文件。</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8、其他有关文件、资料。</w:t>
            </w:r>
          </w:p>
          <w:p>
            <w:pPr>
              <w:adjustRightInd w:val="0"/>
              <w:snapToGrid w:val="0"/>
              <w:spacing w:line="320" w:lineRule="exact"/>
              <w:ind w:firstLine="480" w:firstLineChars="200"/>
              <w:rPr>
                <w:rFonts w:hint="eastAsia" w:ascii="仿宋" w:hAnsi="仿宋" w:eastAsia="仿宋" w:cs="仿宋"/>
                <w:sz w:val="24"/>
                <w:szCs w:val="24"/>
              </w:rPr>
            </w:pP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四、需说明的事项</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分部分项工程量清单中对工程项目的项目特征及具体做法只作重点描述，详细情况见施工图设计、技术说明、技术措施表及相关标准图集。组价时应结合投标人现场勘察情况包括完成所有工序工作内容的全部费用，清单描述不能作为投标人漏项、漏序的借口。</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施工现场情况，以现场踏勘情况为准。交通运输情况，以现场踏勘情况为准。环境保护要求，满足新疆维吾尔自治区及当地市政府对环境保护的相关要求和规定。施工单位务必进行详细的现场勘查，结合施工图纸，将现场所有能考虑的因素都考虑到报价内。</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投标报价时，招标人提出的措施项目清单是根据一般情况确定的，投标人可以根据本企业的实际情况、工程项目特点、施工组织设计等因素增加或减少措施项目内容报价。投标报价按《建设工程工程量清单计价规范》的规定及要求使用的表格及格式。</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工程量清单中每一个项目，都需填入综合单价及合价，对于没有填入综合单价及合价的项目，不同单项及单位工程中的分部分项工程量清单中相同项目（项目特征及工作内容相同）的报价应统一，如有差异按最低的一个报价进行结算。</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工程量清单表中任何内容不得随意删除和涂改，表中列明项目投标人均应如实填报，未填报的单价和合价视为已包含在工程量清单的其他项目单价和合价中。若有错误，在招标答疑时及时提出，以“补遗”资料为准。</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6、凡是工程量清单报价大写与小写不符时以大写为准。</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本分部分项工程量清单项目特征为现场确定施工内容，投标单位投标报价时应综合考虑为达到合格标准，按照施工规范要求，实际施工中所采用的施工工艺所需的人工费、材料费、机械费、企业管理费、利润和风险因素构成全部费用。</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8、本工程税率执行新建标[2019]4号《关于实施建筑业增值税新税率调整建设工程计价依据的通知》文件相关规定。</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9、本工程投标报价按《建设工程工程量清单计价规范》的规定及要求使用表格及格式。</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规费包括：工程排污费、养老保险费、失业保险费、医疗保险费、住房公积金、危险作业意外伤害保险、工伤保险费、生育保险费。规费和税金必须按国家有关规定按清单表给出的费率报价，规费为不可竞争费统一填报。</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暂列金额是指用于工程合同签订时尚未确定或者不可预见的所需材料、工程设备、服务的采购，施工中可能发生的工程变更、合同约定调整因素出现时的合同价款调整以及发生的索赔、现场签证确认等的费用。本工程暂列金按分部分项工程的10%即63万元计入，计在医用中心供氧系统项目中。</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12、措施项目清单中的安全文明施工费应按其中安全文明施工费应按照新建造 [2010]5号文的规定计算，不得作为竞争性费用。</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13、本项目控制价中未计取计日工。</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14、本项目控制价中未无材料暂估价，无专业工程暂估价。</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15、本工程投标报价分部分项工程采用综合单价计算。综合单价是指完成一个规定清单项目所需的人工费、材料和工程设备费、施工机具使用费和企业管理费、利润以及一定范围内的风险费用。</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16、工程量清单中项目名称、内容及项目特征叙述不到位的,由投标人根据设计图纸、相关规范考虑在报价中。</w:t>
            </w:r>
          </w:p>
          <w:p>
            <w:pPr>
              <w:adjustRightInd w:val="0"/>
              <w:snapToGrid w:val="0"/>
              <w:spacing w:line="3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17、本说明未尽事宜，以计价规范、计价管理办法、工程量计算规范、</w:t>
            </w:r>
            <w:r>
              <w:rPr>
                <w:rFonts w:hint="eastAsia" w:ascii="仿宋" w:hAnsi="仿宋" w:eastAsia="仿宋" w:cs="仿宋"/>
                <w:sz w:val="24"/>
                <w:szCs w:val="24"/>
                <w:lang w:eastAsia="zh-CN"/>
              </w:rPr>
              <w:t>磋商文件</w:t>
            </w:r>
            <w:r>
              <w:rPr>
                <w:rFonts w:hint="eastAsia" w:ascii="仿宋" w:hAnsi="仿宋" w:eastAsia="仿宋" w:cs="仿宋"/>
                <w:sz w:val="24"/>
                <w:szCs w:val="24"/>
              </w:rPr>
              <w:t>以及有关的法律法规、建设行政主管部门颁发的文件为准。</w:t>
            </w:r>
          </w:p>
          <w:p>
            <w:pPr>
              <w:adjustRightInd w:val="0"/>
              <w:snapToGrid w:val="0"/>
              <w:spacing w:line="420" w:lineRule="exact"/>
              <w:rPr>
                <w:rFonts w:hint="eastAsia" w:ascii="仿宋" w:hAnsi="仿宋" w:eastAsia="仿宋" w:cs="仿宋"/>
                <w:sz w:val="24"/>
                <w:szCs w:val="24"/>
                <w:highlight w:val="none"/>
              </w:rPr>
            </w:pPr>
          </w:p>
        </w:tc>
      </w:tr>
    </w:tbl>
    <w:p>
      <w:pPr>
        <w:pStyle w:val="5"/>
        <w:ind w:left="0" w:leftChars="0"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备注：附件一同与标书装订</w:t>
      </w:r>
    </w:p>
    <w:p>
      <w:pPr>
        <w:rPr>
          <w:rFonts w:hint="eastAsia" w:ascii="仿宋" w:hAnsi="仿宋" w:eastAsia="仿宋" w:cs="仿宋"/>
          <w:highlight w:val="none"/>
        </w:rPr>
      </w:pPr>
    </w:p>
    <w:p>
      <w:pPr>
        <w:pStyle w:val="5"/>
        <w:rPr>
          <w:rFonts w:hint="eastAsia" w:ascii="仿宋" w:hAnsi="仿宋" w:eastAsia="仿宋" w:cs="仿宋"/>
          <w:highlight w:val="none"/>
        </w:rPr>
      </w:pPr>
    </w:p>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四、法定代表人身份证明书</w:t>
      </w:r>
    </w:p>
    <w:p>
      <w:pPr>
        <w:jc w:val="center"/>
        <w:rPr>
          <w:rFonts w:hint="eastAsia" w:ascii="仿宋" w:hAnsi="仿宋" w:eastAsia="仿宋" w:cs="仿宋"/>
          <w:b/>
          <w:szCs w:val="21"/>
          <w:highlight w:val="none"/>
        </w:rPr>
      </w:pPr>
    </w:p>
    <w:p>
      <w:pP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单位名称：</w:t>
      </w:r>
    </w:p>
    <w:p>
      <w:pP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企业类型：</w:t>
      </w:r>
    </w:p>
    <w:p>
      <w:pP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地    址：</w:t>
      </w:r>
    </w:p>
    <w:p>
      <w:pP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营业期限：</w:t>
      </w:r>
    </w:p>
    <w:p>
      <w:pP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成立时间：</w:t>
      </w:r>
    </w:p>
    <w:p>
      <w:pPr>
        <w:spacing w:line="360" w:lineRule="auto"/>
        <w:rPr>
          <w:rFonts w:hint="eastAsia" w:ascii="仿宋" w:hAnsi="仿宋" w:eastAsia="仿宋" w:cs="仿宋"/>
          <w:bCs/>
          <w:sz w:val="24"/>
          <w:highlight w:val="none"/>
          <w:u w:val="single"/>
        </w:rPr>
      </w:pPr>
    </w:p>
    <w:p>
      <w:pPr>
        <w:spacing w:line="360" w:lineRule="auto"/>
        <w:rPr>
          <w:rFonts w:hint="eastAsia" w:ascii="仿宋" w:hAnsi="仿宋" w:eastAsia="仿宋" w:cs="仿宋"/>
          <w:bCs/>
          <w:sz w:val="24"/>
          <w:highlight w:val="none"/>
          <w:u w:val="single"/>
        </w:rPr>
      </w:pPr>
    </w:p>
    <w:p>
      <w:pPr>
        <w:spacing w:line="360" w:lineRule="auto"/>
        <w:rPr>
          <w:rFonts w:hint="eastAsia" w:ascii="仿宋" w:hAnsi="仿宋" w:eastAsia="仿宋" w:cs="仿宋"/>
          <w:bCs/>
          <w:sz w:val="24"/>
          <w:highlight w:val="none"/>
          <w:u w:val="single"/>
        </w:rPr>
      </w:pPr>
    </w:p>
    <w:p>
      <w:pPr>
        <w:spacing w:line="360" w:lineRule="auto"/>
        <w:rPr>
          <w:rFonts w:hint="eastAsia" w:ascii="仿宋" w:hAnsi="仿宋" w:eastAsia="仿宋" w:cs="仿宋"/>
          <w:bCs/>
          <w:sz w:val="24"/>
          <w:highlight w:val="none"/>
          <w:u w:val="single"/>
        </w:rPr>
      </w:pPr>
      <w:r>
        <w:rPr>
          <w:rFonts w:hint="eastAsia" w:ascii="仿宋" w:hAnsi="仿宋" w:eastAsia="仿宋" w:cs="仿宋"/>
          <w:bCs/>
          <w:sz w:val="24"/>
          <w:highlight w:val="none"/>
        </w:rPr>
        <w:t>姓名：      性别：      年龄：      职务：</w:t>
      </w:r>
    </w:p>
    <w:p>
      <w:pPr>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 xml:space="preserve">系 </w:t>
      </w:r>
      <w:r>
        <w:rPr>
          <w:rFonts w:hint="eastAsia" w:ascii="仿宋" w:hAnsi="仿宋" w:eastAsia="仿宋" w:cs="仿宋"/>
          <w:bCs/>
          <w:sz w:val="24"/>
          <w:highlight w:val="none"/>
          <w:u w:val="single"/>
        </w:rPr>
        <w:t xml:space="preserve">         （投标人单位名称）               </w:t>
      </w:r>
      <w:r>
        <w:rPr>
          <w:rFonts w:hint="eastAsia" w:ascii="仿宋" w:hAnsi="仿宋" w:eastAsia="仿宋" w:cs="仿宋"/>
          <w:bCs/>
          <w:sz w:val="24"/>
          <w:highlight w:val="none"/>
        </w:rPr>
        <w:t>的法定代表人。</w:t>
      </w:r>
    </w:p>
    <w:p>
      <w:pPr>
        <w:spacing w:line="360" w:lineRule="auto"/>
        <w:rPr>
          <w:rFonts w:hint="eastAsia" w:ascii="仿宋" w:hAnsi="仿宋" w:eastAsia="仿宋" w:cs="仿宋"/>
          <w:bCs/>
          <w:sz w:val="24"/>
          <w:highlight w:val="none"/>
        </w:rPr>
      </w:pP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特此证明。</w:t>
      </w:r>
    </w:p>
    <w:p>
      <w:pPr>
        <w:spacing w:line="360" w:lineRule="auto"/>
        <w:rPr>
          <w:rFonts w:hint="eastAsia" w:ascii="仿宋" w:hAnsi="仿宋" w:eastAsia="仿宋" w:cs="仿宋"/>
          <w:bCs/>
          <w:sz w:val="24"/>
          <w:highlight w:val="none"/>
        </w:rPr>
      </w:pPr>
    </w:p>
    <w:p>
      <w:pPr>
        <w:spacing w:line="360" w:lineRule="auto"/>
        <w:ind w:right="840" w:firstLine="480" w:firstLineChars="200"/>
        <w:rPr>
          <w:rFonts w:hint="eastAsia" w:ascii="仿宋" w:hAnsi="仿宋" w:eastAsia="仿宋" w:cs="仿宋"/>
          <w:bCs/>
          <w:sz w:val="24"/>
          <w:highlight w:val="none"/>
          <w:u w:val="single"/>
        </w:rPr>
      </w:pPr>
      <w:r>
        <w:rPr>
          <w:rFonts w:hint="eastAsia" w:ascii="仿宋" w:hAnsi="仿宋" w:eastAsia="仿宋" w:cs="仿宋"/>
          <w:bCs/>
          <w:sz w:val="24"/>
          <w:highlight w:val="none"/>
        </w:rPr>
        <w:t>投标人：</w:t>
      </w:r>
      <w:r>
        <w:rPr>
          <w:rFonts w:hint="eastAsia" w:ascii="仿宋" w:hAnsi="仿宋" w:eastAsia="仿宋" w:cs="仿宋"/>
          <w:bCs/>
          <w:sz w:val="24"/>
          <w:highlight w:val="none"/>
          <w:u w:val="single"/>
        </w:rPr>
        <w:t xml:space="preserve">                      （盖章）</w:t>
      </w:r>
    </w:p>
    <w:p>
      <w:pPr>
        <w:spacing w:line="360" w:lineRule="auto"/>
        <w:jc w:val="right"/>
        <w:rPr>
          <w:rFonts w:hint="eastAsia" w:ascii="仿宋" w:hAnsi="仿宋" w:eastAsia="仿宋" w:cs="仿宋"/>
          <w:bCs/>
          <w:sz w:val="24"/>
          <w:highlight w:val="none"/>
        </w:rPr>
      </w:pPr>
    </w:p>
    <w:p>
      <w:pPr>
        <w:spacing w:line="360" w:lineRule="auto"/>
        <w:jc w:val="left"/>
        <w:rPr>
          <w:rFonts w:hint="eastAsia" w:ascii="仿宋" w:hAnsi="仿宋" w:eastAsia="仿宋" w:cs="仿宋"/>
          <w:bCs/>
          <w:sz w:val="24"/>
          <w:highlight w:val="none"/>
        </w:rPr>
      </w:pPr>
      <w:r>
        <w:rPr>
          <w:rFonts w:hint="eastAsia" w:ascii="仿宋" w:hAnsi="仿宋" w:eastAsia="仿宋" w:cs="仿宋"/>
          <w:bCs/>
          <w:sz w:val="24"/>
          <w:highlight w:val="none"/>
        </w:rPr>
        <w:t>（注：后附身份证正、反面复印件）</w:t>
      </w:r>
    </w:p>
    <w:p>
      <w:pPr>
        <w:wordWrap w:val="0"/>
        <w:spacing w:line="360" w:lineRule="auto"/>
        <w:jc w:val="right"/>
        <w:rPr>
          <w:rFonts w:hint="eastAsia" w:ascii="仿宋" w:hAnsi="仿宋" w:eastAsia="仿宋" w:cs="仿宋"/>
          <w:bCs/>
          <w:sz w:val="24"/>
          <w:highlight w:val="none"/>
        </w:rPr>
      </w:pPr>
      <w:r>
        <w:rPr>
          <w:rFonts w:hint="eastAsia" w:ascii="仿宋" w:hAnsi="仿宋" w:eastAsia="仿宋" w:cs="仿宋"/>
          <w:bCs/>
          <w:sz w:val="24"/>
          <w:highlight w:val="none"/>
        </w:rPr>
        <w:t>日  期：   年   月   日</w:t>
      </w:r>
    </w:p>
    <w:p>
      <w:pPr>
        <w:spacing w:line="360" w:lineRule="auto"/>
        <w:jc w:val="left"/>
        <w:rPr>
          <w:rFonts w:hint="eastAsia" w:ascii="仿宋" w:hAnsi="仿宋" w:eastAsia="仿宋" w:cs="仿宋"/>
          <w:sz w:val="24"/>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pStyle w:val="18"/>
        <w:rPr>
          <w:rFonts w:hint="eastAsia" w:ascii="仿宋" w:hAnsi="仿宋" w:eastAsia="仿宋" w:cs="仿宋"/>
          <w:szCs w:val="21"/>
          <w:highlight w:val="none"/>
        </w:rPr>
      </w:pPr>
    </w:p>
    <w:p>
      <w:pPr>
        <w:pStyle w:val="18"/>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spacing w:line="360" w:lineRule="exact"/>
        <w:rPr>
          <w:rFonts w:hint="eastAsia" w:ascii="仿宋" w:hAnsi="仿宋" w:eastAsia="仿宋" w:cs="仿宋"/>
          <w:szCs w:val="21"/>
          <w:highlight w:val="none"/>
        </w:rPr>
      </w:pP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五、法人授权委托书</w:t>
      </w:r>
    </w:p>
    <w:p>
      <w:pPr>
        <w:rPr>
          <w:rFonts w:hint="eastAsia" w:ascii="仿宋" w:hAnsi="仿宋" w:eastAsia="仿宋" w:cs="仿宋"/>
          <w:szCs w:val="21"/>
          <w:highlight w:val="none"/>
        </w:rPr>
      </w:pPr>
    </w:p>
    <w:p>
      <w:pPr>
        <w:spacing w:line="360" w:lineRule="auto"/>
        <w:ind w:firstLine="630"/>
        <w:jc w:val="left"/>
        <w:rPr>
          <w:rFonts w:hint="eastAsia" w:ascii="仿宋" w:hAnsi="仿宋" w:eastAsia="仿宋" w:cs="仿宋"/>
          <w:sz w:val="24"/>
          <w:highlight w:val="none"/>
        </w:rPr>
      </w:pPr>
      <w:r>
        <w:rPr>
          <w:rFonts w:hint="eastAsia" w:ascii="仿宋" w:hAnsi="仿宋" w:eastAsia="仿宋" w:cs="仿宋"/>
          <w:sz w:val="24"/>
          <w:highlight w:val="none"/>
        </w:rPr>
        <w:t>本授权委托书声明：我</w:t>
      </w:r>
      <w:r>
        <w:rPr>
          <w:rFonts w:hint="eastAsia" w:ascii="仿宋" w:hAnsi="仿宋" w:eastAsia="仿宋" w:cs="仿宋"/>
          <w:sz w:val="24"/>
          <w:highlight w:val="none"/>
          <w:u w:val="single"/>
        </w:rPr>
        <w:t>（姓名）</w:t>
      </w:r>
      <w:r>
        <w:rPr>
          <w:rFonts w:hint="eastAsia" w:ascii="仿宋" w:hAnsi="仿宋" w:eastAsia="仿宋" w:cs="仿宋"/>
          <w:sz w:val="24"/>
          <w:highlight w:val="none"/>
        </w:rPr>
        <w:t>系</w:t>
      </w:r>
      <w:r>
        <w:rPr>
          <w:rFonts w:hint="eastAsia" w:ascii="仿宋" w:hAnsi="仿宋" w:eastAsia="仿宋" w:cs="仿宋"/>
          <w:sz w:val="24"/>
          <w:highlight w:val="none"/>
          <w:u w:val="single"/>
        </w:rPr>
        <w:t>（投标人名称）</w:t>
      </w:r>
      <w:r>
        <w:rPr>
          <w:rFonts w:hint="eastAsia" w:ascii="仿宋" w:hAnsi="仿宋" w:eastAsia="仿宋" w:cs="仿宋"/>
          <w:sz w:val="24"/>
          <w:highlight w:val="none"/>
        </w:rPr>
        <w:t>的法人代表人，现授权委托</w:t>
      </w:r>
      <w:r>
        <w:rPr>
          <w:rFonts w:hint="eastAsia" w:ascii="仿宋" w:hAnsi="仿宋" w:eastAsia="仿宋" w:cs="仿宋"/>
          <w:sz w:val="24"/>
          <w:highlight w:val="none"/>
          <w:u w:val="single"/>
        </w:rPr>
        <w:t>（投标人名称）</w:t>
      </w:r>
      <w:r>
        <w:rPr>
          <w:rFonts w:hint="eastAsia" w:ascii="仿宋" w:hAnsi="仿宋" w:eastAsia="仿宋" w:cs="仿宋"/>
          <w:sz w:val="24"/>
          <w:highlight w:val="none"/>
        </w:rPr>
        <w:t>的</w:t>
      </w:r>
      <w:r>
        <w:rPr>
          <w:rFonts w:hint="eastAsia" w:ascii="仿宋" w:hAnsi="仿宋" w:eastAsia="仿宋" w:cs="仿宋"/>
          <w:sz w:val="24"/>
          <w:highlight w:val="none"/>
          <w:u w:val="single"/>
        </w:rPr>
        <w:t>（姓名）</w:t>
      </w:r>
      <w:r>
        <w:rPr>
          <w:rFonts w:hint="eastAsia" w:ascii="仿宋" w:hAnsi="仿宋" w:eastAsia="仿宋" w:cs="仿宋"/>
          <w:sz w:val="24"/>
          <w:highlight w:val="none"/>
        </w:rPr>
        <w:t>为我公司代理人，以本公司的名义参加</w:t>
      </w:r>
      <w:r>
        <w:rPr>
          <w:rFonts w:hint="eastAsia" w:ascii="仿宋" w:hAnsi="仿宋" w:eastAsia="仿宋" w:cs="仿宋"/>
          <w:sz w:val="24"/>
          <w:highlight w:val="none"/>
          <w:u w:val="single"/>
        </w:rPr>
        <w:t>（招标人）</w:t>
      </w:r>
      <w:r>
        <w:rPr>
          <w:rFonts w:hint="eastAsia" w:ascii="仿宋" w:hAnsi="仿宋" w:eastAsia="仿宋" w:cs="仿宋"/>
          <w:sz w:val="24"/>
          <w:highlight w:val="none"/>
        </w:rPr>
        <w:t>的</w:t>
      </w:r>
      <w:r>
        <w:rPr>
          <w:rFonts w:hint="eastAsia" w:ascii="仿宋" w:hAnsi="仿宋" w:eastAsia="仿宋" w:cs="仿宋"/>
          <w:sz w:val="24"/>
          <w:highlight w:val="none"/>
          <w:u w:val="single"/>
        </w:rPr>
        <w:t>（招标项目名称及编号）</w:t>
      </w:r>
      <w:r>
        <w:rPr>
          <w:rFonts w:hint="eastAsia" w:ascii="仿宋" w:hAnsi="仿宋" w:eastAsia="仿宋" w:cs="仿宋"/>
          <w:sz w:val="24"/>
          <w:highlight w:val="none"/>
        </w:rPr>
        <w:t>招标项目的投标活动。代理人在参加整个项目招标投标活动、合同谈判过程中所签署的一切文件和处理与之有关的一切事物，我均予以承认。</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代理人：        性别：        年龄：</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单  位：        部门：        职务：</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代理人无转委权。特此委托。</w:t>
      </w:r>
    </w:p>
    <w:p>
      <w:pPr>
        <w:spacing w:line="360" w:lineRule="auto"/>
        <w:ind w:firstLine="435"/>
        <w:rPr>
          <w:rFonts w:hint="eastAsia" w:ascii="仿宋" w:hAnsi="仿宋" w:eastAsia="仿宋" w:cs="仿宋"/>
          <w:sz w:val="24"/>
          <w:highlight w:val="none"/>
        </w:rPr>
      </w:pPr>
    </w:p>
    <w:p>
      <w:pPr>
        <w:spacing w:line="360" w:lineRule="auto"/>
        <w:ind w:firstLine="435"/>
        <w:rPr>
          <w:rFonts w:hint="eastAsia" w:ascii="仿宋" w:hAnsi="仿宋" w:eastAsia="仿宋" w:cs="仿宋"/>
          <w:sz w:val="24"/>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040" w:type="dxa"/>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8040" w:type="dxa"/>
          </w:tcPr>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被授权人身份证正、反面</w:t>
            </w:r>
          </w:p>
        </w:tc>
      </w:tr>
    </w:tbl>
    <w:p>
      <w:pPr>
        <w:pStyle w:val="9"/>
        <w:rPr>
          <w:rFonts w:hint="eastAsia" w:ascii="仿宋" w:hAnsi="仿宋" w:eastAsia="仿宋" w:cs="仿宋"/>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投标人：（盖章）</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法定代表人：（签字或盖章）</w:t>
      </w:r>
    </w:p>
    <w:p>
      <w:pPr>
        <w:spacing w:line="360" w:lineRule="auto"/>
        <w:ind w:right="480"/>
        <w:jc w:val="right"/>
        <w:rPr>
          <w:rFonts w:hint="eastAsia" w:ascii="仿宋" w:hAnsi="仿宋" w:eastAsia="仿宋" w:cs="仿宋"/>
          <w:sz w:val="24"/>
          <w:highlight w:val="none"/>
        </w:rPr>
      </w:pPr>
    </w:p>
    <w:p>
      <w:pPr>
        <w:wordWrap w:val="0"/>
        <w:spacing w:line="360" w:lineRule="auto"/>
        <w:jc w:val="right"/>
        <w:rPr>
          <w:rFonts w:hint="eastAsia" w:ascii="仿宋" w:hAnsi="仿宋" w:eastAsia="仿宋" w:cs="仿宋"/>
          <w:sz w:val="24"/>
          <w:highlight w:val="none"/>
        </w:rPr>
      </w:pPr>
      <w:r>
        <w:rPr>
          <w:rFonts w:hint="eastAsia" w:ascii="仿宋" w:hAnsi="仿宋" w:eastAsia="仿宋" w:cs="仿宋"/>
          <w:sz w:val="24"/>
          <w:highlight w:val="none"/>
        </w:rPr>
        <w:t>日期：   年   月   日</w:t>
      </w:r>
    </w:p>
    <w:p>
      <w:pPr>
        <w:rPr>
          <w:rFonts w:hint="eastAsia" w:ascii="仿宋" w:hAnsi="仿宋" w:eastAsia="仿宋" w:cs="仿宋"/>
          <w:b/>
          <w:sz w:val="28"/>
          <w:szCs w:val="28"/>
          <w:highlight w:val="none"/>
        </w:rPr>
      </w:pPr>
      <w:bookmarkStart w:id="242" w:name="_Toc421633331"/>
      <w:bookmarkStart w:id="243" w:name="_Toc3154"/>
      <w:bookmarkStart w:id="244" w:name="_Toc6965"/>
      <w:r>
        <w:rPr>
          <w:rFonts w:hint="eastAsia" w:ascii="仿宋" w:hAnsi="仿宋" w:eastAsia="仿宋" w:cs="仿宋"/>
          <w:b/>
          <w:sz w:val="28"/>
          <w:szCs w:val="28"/>
          <w:highlight w:val="none"/>
        </w:rPr>
        <w:br w:type="page"/>
      </w: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六、供应商自述</w:t>
      </w:r>
    </w:p>
    <w:p>
      <w:pPr>
        <w:rPr>
          <w:rFonts w:hint="eastAsia" w:ascii="仿宋" w:hAnsi="仿宋" w:eastAsia="仿宋" w:cs="仿宋"/>
          <w:b/>
          <w:sz w:val="24"/>
          <w:highlight w:val="none"/>
        </w:rPr>
      </w:pPr>
      <w:r>
        <w:rPr>
          <w:rFonts w:hint="eastAsia" w:ascii="仿宋" w:hAnsi="仿宋" w:eastAsia="仿宋" w:cs="仿宋"/>
          <w:b/>
          <w:sz w:val="24"/>
          <w:highlight w:val="none"/>
        </w:rPr>
        <w:t>1、企业简介</w:t>
      </w:r>
    </w:p>
    <w:tbl>
      <w:tblPr>
        <w:tblStyle w:val="24"/>
        <w:tblpPr w:leftFromText="180" w:rightFromText="180" w:vertAnchor="text" w:horzAnchor="page" w:tblpX="1347" w:tblpY="19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8"/>
        <w:gridCol w:w="1713"/>
        <w:gridCol w:w="1333"/>
        <w:gridCol w:w="1350"/>
        <w:gridCol w:w="146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2028"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企业注册名称</w:t>
            </w:r>
          </w:p>
        </w:tc>
        <w:tc>
          <w:tcPr>
            <w:tcW w:w="4396" w:type="dxa"/>
            <w:gridSpan w:val="3"/>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p>
        </w:tc>
        <w:tc>
          <w:tcPr>
            <w:tcW w:w="1469" w:type="dxa"/>
            <w:tcBorders>
              <w:top w:val="single" w:color="000000" w:sz="8"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建立日期</w:t>
            </w:r>
          </w:p>
        </w:tc>
        <w:tc>
          <w:tcPr>
            <w:tcW w:w="1276" w:type="dxa"/>
            <w:tcBorders>
              <w:top w:val="single" w:color="000000" w:sz="8"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企业法人代表</w:t>
            </w:r>
          </w:p>
        </w:tc>
        <w:tc>
          <w:tcPr>
            <w:tcW w:w="1713"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p>
        </w:tc>
        <w:tc>
          <w:tcPr>
            <w:tcW w:w="1333"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职    称</w:t>
            </w:r>
          </w:p>
        </w:tc>
        <w:tc>
          <w:tcPr>
            <w:tcW w:w="1350"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p>
        </w:tc>
        <w:tc>
          <w:tcPr>
            <w:tcW w:w="1469" w:type="dxa"/>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企业性质</w:t>
            </w:r>
          </w:p>
        </w:tc>
        <w:tc>
          <w:tcPr>
            <w:tcW w:w="1276" w:type="dxa"/>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企业资质等级</w:t>
            </w:r>
          </w:p>
        </w:tc>
        <w:tc>
          <w:tcPr>
            <w:tcW w:w="7141"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2028" w:type="dxa"/>
            <w:tcBorders>
              <w:top w:val="single" w:color="auto" w:sz="4" w:space="0"/>
              <w:left w:val="single" w:color="000000" w:sz="8" w:space="0"/>
              <w:bottom w:val="single" w:color="000000" w:sz="4"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经营范围</w:t>
            </w:r>
          </w:p>
        </w:tc>
        <w:tc>
          <w:tcPr>
            <w:tcW w:w="7141" w:type="dxa"/>
            <w:gridSpan w:val="5"/>
            <w:tcBorders>
              <w:top w:val="single" w:color="auto" w:sz="4" w:space="0"/>
              <w:left w:val="single" w:color="auto" w:sz="4" w:space="0"/>
              <w:bottom w:val="single" w:color="000000" w:sz="4" w:space="0"/>
              <w:right w:val="single" w:color="000000" w:sz="8" w:space="0"/>
            </w:tcBorders>
            <w:vAlign w:val="center"/>
          </w:tcPr>
          <w:p>
            <w:pPr>
              <w:adjustRightInd w:val="0"/>
              <w:snapToGrid w:val="0"/>
              <w:jc w:val="center"/>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5" w:hRule="atLeast"/>
        </w:trPr>
        <w:tc>
          <w:tcPr>
            <w:tcW w:w="2028" w:type="dxa"/>
            <w:tcBorders>
              <w:top w:val="single" w:color="auto" w:sz="4" w:space="0"/>
              <w:left w:val="single" w:color="000000" w:sz="8" w:space="0"/>
              <w:bottom w:val="single" w:color="000000" w:sz="8" w:space="0"/>
              <w:right w:val="single" w:color="000000" w:sz="4" w:space="0"/>
            </w:tcBorders>
            <w:vAlign w:val="center"/>
          </w:tcPr>
          <w:p>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企业简介</w:t>
            </w:r>
          </w:p>
        </w:tc>
        <w:tc>
          <w:tcPr>
            <w:tcW w:w="7141" w:type="dxa"/>
            <w:gridSpan w:val="5"/>
            <w:tcBorders>
              <w:top w:val="single" w:color="auto" w:sz="4" w:space="0"/>
              <w:left w:val="single" w:color="auto" w:sz="4" w:space="0"/>
              <w:bottom w:val="single" w:color="000000" w:sz="8" w:space="0"/>
              <w:right w:val="single" w:color="000000" w:sz="8" w:space="0"/>
            </w:tcBorders>
            <w:vAlign w:val="center"/>
          </w:tcPr>
          <w:p>
            <w:pPr>
              <w:adjustRightInd w:val="0"/>
              <w:snapToGrid w:val="0"/>
              <w:rPr>
                <w:rFonts w:hint="eastAsia" w:ascii="仿宋" w:hAnsi="仿宋" w:eastAsia="仿宋" w:cs="仿宋"/>
                <w:sz w:val="24"/>
                <w:highlight w:val="none"/>
              </w:rPr>
            </w:pPr>
          </w:p>
        </w:tc>
      </w:tr>
    </w:tbl>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后附营业执照复印件（已实行三证合一的企业仅提供有社会信用代码的新版营业执照复印件）、组织机构代码原件、税务登记证原件；银行开户许可证等资格审查材料及产品制造商简介、制造商资质（如认证证书等证明材料）等复印件并加盖公章。</w:t>
      </w: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p>
    <w:p>
      <w:pPr>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br w:type="page"/>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附件6－1　法人或者其他组织的营业执照副本复印件或自然人的身份证明复印件</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(示例略)</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附件6－2　法人或者其他组织的税务登记证副本复印件(按规定可不进行税务登记的不提供)</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(示例略)</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附件6－3　具有良好的商业信誉和健全的财务会计制度（提供2020年度经审计的财务报表或其基本户开户银行开具的资信证明）；</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(示例略)</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附件6-4 具有履行合同所必需的设备和专业技术能力（提供书面声明，示例略）；</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附件6－5参加政府采购活动前三年内在经营活动中没有重大违法记录的书面声明（格式自拟，示例略）</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附件6－6有依法缴纳税收和社会保障资金的良好记录（提供连续近六个月的完税证明及社保缴纳证明）；</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(示例略)</w:t>
      </w:r>
    </w:p>
    <w:p>
      <w:pPr>
        <w:widowControl/>
        <w:wordWrap w:val="0"/>
        <w:spacing w:line="360" w:lineRule="auto"/>
        <w:jc w:val="left"/>
        <w:rPr>
          <w:rFonts w:hint="eastAsia" w:ascii="仿宋" w:hAnsi="仿宋" w:eastAsia="仿宋" w:cs="仿宋"/>
          <w:sz w:val="24"/>
          <w:highlight w:val="none"/>
        </w:rPr>
      </w:pPr>
      <w:r>
        <w:rPr>
          <w:rFonts w:hint="eastAsia" w:ascii="仿宋" w:hAnsi="仿宋" w:eastAsia="仿宋" w:cs="仿宋"/>
          <w:color w:val="000000" w:themeColor="text1"/>
          <w:spacing w:val="6"/>
          <w:kern w:val="0"/>
          <w:sz w:val="24"/>
          <w:highlight w:val="none"/>
          <w14:textFill>
            <w14:solidFill>
              <w14:schemeClr w14:val="tx1"/>
            </w14:solidFill>
          </w14:textFill>
        </w:rPr>
        <w:t>附件6－7　</w:t>
      </w:r>
      <w:r>
        <w:rPr>
          <w:rFonts w:hint="eastAsia" w:ascii="仿宋" w:hAnsi="仿宋" w:eastAsia="仿宋" w:cs="仿宋"/>
          <w:sz w:val="24"/>
          <w:highlight w:val="none"/>
        </w:rPr>
        <w:t>有效期内的建筑机电安装工程专业承包叁级及以上资质及电子与智能化工程专业承包贰级及以上资质证书复印件加盖公章；</w:t>
      </w:r>
    </w:p>
    <w:p>
      <w:pPr>
        <w:widowControl/>
        <w:wordWrap w:val="0"/>
        <w:spacing w:line="360" w:lineRule="auto"/>
        <w:jc w:val="left"/>
        <w:rPr>
          <w:rFonts w:hint="eastAsia" w:ascii="仿宋" w:hAnsi="仿宋" w:eastAsia="仿宋" w:cs="仿宋"/>
          <w:sz w:val="24"/>
          <w:highlight w:val="none"/>
        </w:rPr>
      </w:pPr>
      <w:r>
        <w:rPr>
          <w:rFonts w:hint="eastAsia" w:ascii="仿宋" w:hAnsi="仿宋" w:eastAsia="仿宋" w:cs="仿宋"/>
          <w:color w:val="000000" w:themeColor="text1"/>
          <w:spacing w:val="6"/>
          <w:kern w:val="0"/>
          <w:sz w:val="24"/>
          <w:highlight w:val="none"/>
          <w14:textFill>
            <w14:solidFill>
              <w14:schemeClr w14:val="tx1"/>
            </w14:solidFill>
          </w14:textFill>
        </w:rPr>
        <w:t xml:space="preserve">附件6－8  </w:t>
      </w:r>
      <w:r>
        <w:rPr>
          <w:rFonts w:hint="eastAsia" w:ascii="仿宋" w:hAnsi="仿宋" w:eastAsia="仿宋" w:cs="仿宋"/>
          <w:sz w:val="24"/>
          <w:highlight w:val="none"/>
        </w:rPr>
        <w:t>有效期内的中华人民共和国特种设备安装改造维修许可证GC2级及以上级别；复印件加盖公章；</w:t>
      </w:r>
    </w:p>
    <w:p>
      <w:pPr>
        <w:widowControl/>
        <w:wordWrap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附件6－9  有效期内的安全生产许可证复印件加盖公章；</w:t>
      </w:r>
    </w:p>
    <w:p>
      <w:pPr>
        <w:widowControl/>
        <w:wordWrap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附件6－10  投标人须具有医疗器械生产许可证</w:t>
      </w:r>
      <w:r>
        <w:rPr>
          <w:rFonts w:hint="eastAsia" w:ascii="仿宋" w:hAnsi="仿宋" w:eastAsia="仿宋" w:cs="仿宋"/>
          <w:sz w:val="24"/>
          <w:highlight w:val="none"/>
          <w:lang w:eastAsia="zh-CN"/>
        </w:rPr>
        <w:t>或</w:t>
      </w:r>
      <w:r>
        <w:rPr>
          <w:rFonts w:hint="eastAsia" w:ascii="仿宋" w:hAnsi="仿宋" w:eastAsia="仿宋" w:cs="仿宋"/>
          <w:sz w:val="24"/>
          <w:highlight w:val="none"/>
        </w:rPr>
        <w:t>医疗器械经营许可证（或第二类医疗器械经营备案凭证）；</w:t>
      </w:r>
    </w:p>
    <w:p>
      <w:pPr>
        <w:widowControl/>
        <w:wordWrap w:val="0"/>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rPr>
        <w:t>附件6－11  项目负责人要求：需具备二级及以上注册建造师（相关专业），不得担任其它在施建设工程项目的项目经理，项目负责人必须是</w:t>
      </w:r>
      <w:r>
        <w:rPr>
          <w:rFonts w:hint="eastAsia" w:ascii="仿宋" w:hAnsi="仿宋" w:eastAsia="仿宋" w:cs="仿宋"/>
          <w:sz w:val="24"/>
          <w:highlight w:val="none"/>
          <w:lang w:val="en-US" w:eastAsia="zh-CN"/>
        </w:rPr>
        <w:t>本单位</w:t>
      </w:r>
      <w:r>
        <w:rPr>
          <w:rFonts w:hint="eastAsia" w:ascii="仿宋" w:hAnsi="仿宋" w:eastAsia="仿宋" w:cs="仿宋"/>
          <w:sz w:val="24"/>
          <w:highlight w:val="none"/>
        </w:rPr>
        <w:t>正式员工</w:t>
      </w:r>
      <w:r>
        <w:rPr>
          <w:rFonts w:hint="eastAsia" w:ascii="仿宋" w:hAnsi="仿宋" w:eastAsia="仿宋" w:cs="仿宋"/>
          <w:sz w:val="24"/>
          <w:highlight w:val="none"/>
          <w:lang w:eastAsia="zh-CN"/>
        </w:rPr>
        <w:t>；</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附件6－12　符合</w:t>
      </w:r>
      <w:r>
        <w:rPr>
          <w:rFonts w:hint="eastAsia" w:ascii="仿宋" w:hAnsi="仿宋" w:eastAsia="仿宋" w:cs="仿宋"/>
          <w:color w:val="000000" w:themeColor="text1"/>
          <w:spacing w:val="6"/>
          <w:kern w:val="0"/>
          <w:sz w:val="24"/>
          <w:highlight w:val="none"/>
          <w:lang w:eastAsia="zh-CN"/>
          <w14:textFill>
            <w14:solidFill>
              <w14:schemeClr w14:val="tx1"/>
            </w14:solidFill>
          </w14:textFill>
        </w:rPr>
        <w:t>磋商文件</w:t>
      </w:r>
      <w:r>
        <w:rPr>
          <w:rFonts w:hint="eastAsia" w:ascii="仿宋" w:hAnsi="仿宋" w:eastAsia="仿宋" w:cs="仿宋"/>
          <w:color w:val="000000" w:themeColor="text1"/>
          <w:spacing w:val="6"/>
          <w:kern w:val="0"/>
          <w:sz w:val="24"/>
          <w:highlight w:val="none"/>
          <w14:textFill>
            <w14:solidFill>
              <w14:schemeClr w14:val="tx1"/>
            </w14:solidFill>
          </w14:textFill>
        </w:rPr>
        <w:t>要求的供应商其他资格条件的证明材料(供应商须提供在“信用中国”（www.creditchina.gov.cn）和中国政府采购网（www.ccgp.gov.cn）网站上未被列入失信被执行人、重大税收违法案件当事人名单以及政府采购严重违法失信行为记录名单的网页打印件)</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(示例略)</w:t>
      </w: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p>
    <w:p>
      <w:pPr>
        <w:tabs>
          <w:tab w:val="left" w:pos="567"/>
          <w:tab w:val="left" w:pos="2880"/>
        </w:tabs>
        <w:spacing w:line="460" w:lineRule="atLeast"/>
        <w:jc w:val="left"/>
        <w:rPr>
          <w:rFonts w:hint="eastAsia" w:ascii="仿宋" w:hAnsi="仿宋" w:eastAsia="仿宋" w:cs="仿宋"/>
          <w:color w:val="000000" w:themeColor="text1"/>
          <w:spacing w:val="6"/>
          <w:kern w:val="0"/>
          <w:sz w:val="24"/>
          <w:highlight w:val="none"/>
          <w14:textFill>
            <w14:solidFill>
              <w14:schemeClr w14:val="tx1"/>
            </w14:solidFill>
          </w14:textFill>
        </w:rPr>
      </w:pPr>
      <w:r>
        <w:rPr>
          <w:rFonts w:hint="eastAsia" w:ascii="仿宋" w:hAnsi="仿宋" w:eastAsia="仿宋" w:cs="仿宋"/>
          <w:color w:val="000000" w:themeColor="text1"/>
          <w:spacing w:val="6"/>
          <w:kern w:val="0"/>
          <w:sz w:val="24"/>
          <w:highlight w:val="none"/>
          <w14:textFill>
            <w14:solidFill>
              <w14:schemeClr w14:val="tx1"/>
            </w14:solidFill>
          </w14:textFill>
        </w:rPr>
        <w:t>附件6－13 供应商未向该整体项目或其中分项目前期工作提供过设计、编制、监理、检测、管理等服务的承诺书(格式自拟，示例略)</w:t>
      </w: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pStyle w:val="2"/>
        <w:rPr>
          <w:rFonts w:hint="eastAsia"/>
        </w:rPr>
      </w:pP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七、备品备件、易损件及专用工具供应清单</w:t>
      </w:r>
    </w:p>
    <w:tbl>
      <w:tblPr>
        <w:tblStyle w:val="24"/>
        <w:tblW w:w="9134" w:type="dxa"/>
        <w:tblInd w:w="108" w:type="dxa"/>
        <w:tblLayout w:type="fixed"/>
        <w:tblCellMar>
          <w:top w:w="0" w:type="dxa"/>
          <w:left w:w="108" w:type="dxa"/>
          <w:bottom w:w="0" w:type="dxa"/>
          <w:right w:w="108" w:type="dxa"/>
        </w:tblCellMar>
      </w:tblPr>
      <w:tblGrid>
        <w:gridCol w:w="735"/>
        <w:gridCol w:w="1832"/>
        <w:gridCol w:w="1686"/>
        <w:gridCol w:w="849"/>
        <w:gridCol w:w="756"/>
        <w:gridCol w:w="1008"/>
        <w:gridCol w:w="1096"/>
        <w:gridCol w:w="1172"/>
      </w:tblGrid>
      <w:tr>
        <w:tblPrEx>
          <w:tblCellMar>
            <w:top w:w="0" w:type="dxa"/>
            <w:left w:w="108" w:type="dxa"/>
            <w:bottom w:w="0" w:type="dxa"/>
            <w:right w:w="108" w:type="dxa"/>
          </w:tblCellMar>
        </w:tblPrEx>
        <w:tc>
          <w:tcPr>
            <w:tcW w:w="735"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序号</w:t>
            </w:r>
          </w:p>
        </w:tc>
        <w:tc>
          <w:tcPr>
            <w:tcW w:w="1832"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材料名称</w:t>
            </w:r>
          </w:p>
        </w:tc>
        <w:tc>
          <w:tcPr>
            <w:tcW w:w="1686"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型号规格</w:t>
            </w:r>
          </w:p>
        </w:tc>
        <w:tc>
          <w:tcPr>
            <w:tcW w:w="849"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单位</w:t>
            </w:r>
          </w:p>
        </w:tc>
        <w:tc>
          <w:tcPr>
            <w:tcW w:w="756"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数量</w:t>
            </w:r>
          </w:p>
        </w:tc>
        <w:tc>
          <w:tcPr>
            <w:tcW w:w="1008"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单价</w:t>
            </w:r>
          </w:p>
          <w:p>
            <w:pPr>
              <w:pStyle w:val="39"/>
              <w:jc w:val="center"/>
              <w:rPr>
                <w:rFonts w:hint="eastAsia" w:ascii="仿宋" w:hAnsi="仿宋" w:eastAsia="仿宋" w:cs="仿宋"/>
                <w:highlight w:val="none"/>
              </w:rPr>
            </w:pPr>
            <w:r>
              <w:rPr>
                <w:rFonts w:hint="eastAsia" w:ascii="仿宋" w:hAnsi="仿宋" w:eastAsia="仿宋" w:cs="仿宋"/>
                <w:highlight w:val="none"/>
              </w:rPr>
              <w:t>（元）</w:t>
            </w:r>
          </w:p>
        </w:tc>
        <w:tc>
          <w:tcPr>
            <w:tcW w:w="1096"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合价</w:t>
            </w:r>
          </w:p>
          <w:p>
            <w:pPr>
              <w:pStyle w:val="39"/>
              <w:jc w:val="center"/>
              <w:rPr>
                <w:rFonts w:hint="eastAsia" w:ascii="仿宋" w:hAnsi="仿宋" w:eastAsia="仿宋" w:cs="仿宋"/>
                <w:highlight w:val="none"/>
              </w:rPr>
            </w:pPr>
            <w:r>
              <w:rPr>
                <w:rFonts w:hint="eastAsia" w:ascii="仿宋" w:hAnsi="仿宋" w:eastAsia="仿宋" w:cs="仿宋"/>
                <w:highlight w:val="none"/>
              </w:rPr>
              <w:t>（元）</w:t>
            </w:r>
          </w:p>
        </w:tc>
        <w:tc>
          <w:tcPr>
            <w:tcW w:w="1172" w:type="dxa"/>
            <w:tcBorders>
              <w:top w:val="single" w:color="auto" w:sz="6" w:space="0"/>
              <w:left w:val="single" w:color="auto" w:sz="6" w:space="0"/>
              <w:bottom w:val="single" w:color="auto" w:sz="6" w:space="0"/>
              <w:right w:val="single" w:color="auto" w:sz="6" w:space="0"/>
            </w:tcBorders>
            <w:vAlign w:val="center"/>
          </w:tcPr>
          <w:p>
            <w:pPr>
              <w:pStyle w:val="39"/>
              <w:jc w:val="center"/>
              <w:rPr>
                <w:rFonts w:hint="eastAsia" w:ascii="仿宋" w:hAnsi="仿宋" w:eastAsia="仿宋" w:cs="仿宋"/>
                <w:highlight w:val="none"/>
              </w:rPr>
            </w:pPr>
            <w:r>
              <w:rPr>
                <w:rFonts w:hint="eastAsia" w:ascii="仿宋" w:hAnsi="仿宋" w:eastAsia="仿宋" w:cs="仿宋"/>
                <w:highlight w:val="none"/>
              </w:rPr>
              <w:t>备  注</w:t>
            </w: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183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454" w:hRule="atLeast"/>
        </w:trPr>
        <w:tc>
          <w:tcPr>
            <w:tcW w:w="735"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832" w:type="dxa"/>
            <w:tcBorders>
              <w:top w:val="single" w:color="auto" w:sz="6" w:space="0"/>
              <w:left w:val="single" w:color="auto" w:sz="6" w:space="0"/>
              <w:bottom w:val="single" w:color="auto" w:sz="6" w:space="0"/>
              <w:right w:val="single" w:color="auto" w:sz="6" w:space="0"/>
            </w:tcBorders>
            <w:vAlign w:val="center"/>
          </w:tcPr>
          <w:p>
            <w:pPr>
              <w:pStyle w:val="35"/>
              <w:jc w:val="center"/>
              <w:rPr>
                <w:rFonts w:hint="eastAsia" w:ascii="仿宋" w:hAnsi="仿宋" w:eastAsia="仿宋" w:cs="仿宋"/>
                <w:color w:val="auto"/>
                <w:highlight w:val="none"/>
              </w:rPr>
            </w:pPr>
            <w:r>
              <w:rPr>
                <w:rFonts w:hint="eastAsia" w:ascii="仿宋" w:hAnsi="仿宋" w:eastAsia="仿宋" w:cs="仿宋"/>
                <w:color w:val="auto"/>
                <w:highlight w:val="none"/>
              </w:rPr>
              <w:t>合　　计</w:t>
            </w:r>
          </w:p>
        </w:tc>
        <w:tc>
          <w:tcPr>
            <w:tcW w:w="168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849"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75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08"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096"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c>
          <w:tcPr>
            <w:tcW w:w="1172" w:type="dxa"/>
            <w:tcBorders>
              <w:top w:val="single" w:color="auto" w:sz="6" w:space="0"/>
              <w:left w:val="single" w:color="auto" w:sz="6" w:space="0"/>
              <w:bottom w:val="single" w:color="auto" w:sz="6" w:space="0"/>
              <w:right w:val="single" w:color="auto" w:sz="6" w:space="0"/>
            </w:tcBorders>
            <w:vAlign w:val="center"/>
          </w:tcPr>
          <w:p>
            <w:pPr>
              <w:pStyle w:val="35"/>
              <w:rPr>
                <w:rFonts w:hint="eastAsia" w:ascii="仿宋" w:hAnsi="仿宋" w:eastAsia="仿宋" w:cs="仿宋"/>
                <w:color w:val="auto"/>
                <w:highlight w:val="none"/>
              </w:rPr>
            </w:pPr>
          </w:p>
        </w:tc>
      </w:tr>
    </w:tbl>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注：此表中所列的备品备件、易损件及专用工具价格应包含在投标总报价之内。</w:t>
      </w:r>
    </w:p>
    <w:p>
      <w:pPr>
        <w:spacing w:line="360" w:lineRule="auto"/>
        <w:rPr>
          <w:rFonts w:hint="eastAsia" w:ascii="仿宋" w:hAnsi="仿宋" w:eastAsia="仿宋" w:cs="仿宋"/>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八、售后服务承诺（格式自拟）</w:t>
      </w:r>
    </w:p>
    <w:p>
      <w:pPr>
        <w:pStyle w:val="5"/>
        <w:ind w:left="0"/>
        <w:rPr>
          <w:rFonts w:hint="eastAsia" w:ascii="仿宋" w:hAnsi="仿宋" w:eastAsia="仿宋" w:cs="仿宋"/>
          <w:highlight w:val="none"/>
        </w:rPr>
      </w:pPr>
      <w:r>
        <w:rPr>
          <w:rFonts w:hint="eastAsia" w:ascii="仿宋" w:hAnsi="仿宋" w:eastAsia="仿宋" w:cs="仿宋"/>
          <w:highlight w:val="none"/>
        </w:rPr>
        <w:t>须包含但不限于以下内容：</w:t>
      </w:r>
    </w:p>
    <w:p>
      <w:pPr>
        <w:numPr>
          <w:ilvl w:val="0"/>
          <w:numId w:val="3"/>
        </w:numPr>
        <w:spacing w:line="360" w:lineRule="auto"/>
        <w:rPr>
          <w:rFonts w:hint="eastAsia" w:ascii="仿宋" w:hAnsi="仿宋" w:eastAsia="仿宋" w:cs="仿宋"/>
          <w:sz w:val="24"/>
          <w:highlight w:val="none"/>
        </w:rPr>
      </w:pPr>
      <w:r>
        <w:rPr>
          <w:rFonts w:hint="eastAsia" w:ascii="仿宋" w:hAnsi="仿宋" w:eastAsia="仿宋" w:cs="仿宋"/>
          <w:sz w:val="24"/>
          <w:highlight w:val="none"/>
        </w:rPr>
        <w:t>培训方案；</w:t>
      </w:r>
    </w:p>
    <w:p>
      <w:pPr>
        <w:spacing w:line="360" w:lineRule="auto"/>
        <w:jc w:val="left"/>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2、供应商的售后服务承诺除设备供货应承诺的内容外还应包括但不限于：响应时间、应急反应时间，定期检查时间，操作指导（现场、远程），维护等内容</w:t>
      </w:r>
      <w:r>
        <w:rPr>
          <w:rFonts w:hint="eastAsia" w:ascii="仿宋" w:hAnsi="仿宋" w:eastAsia="仿宋" w:cs="仿宋"/>
          <w:bCs/>
          <w:sz w:val="24"/>
          <w:highlight w:val="none"/>
          <w:lang w:eastAsia="zh-CN"/>
        </w:rPr>
        <w:t>。</w:t>
      </w: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spacing w:line="360" w:lineRule="auto"/>
        <w:jc w:val="left"/>
        <w:rPr>
          <w:rFonts w:hint="eastAsia" w:ascii="仿宋" w:hAnsi="仿宋" w:eastAsia="仿宋" w:cs="仿宋"/>
          <w:b/>
          <w:sz w:val="24"/>
          <w:highlight w:val="none"/>
        </w:rPr>
      </w:pPr>
    </w:p>
    <w:p>
      <w:pP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九、技术方案（格式自拟）</w:t>
      </w:r>
    </w:p>
    <w:p>
      <w:pPr>
        <w:jc w:val="left"/>
        <w:rPr>
          <w:rFonts w:hint="eastAsia" w:ascii="仿宋" w:hAnsi="仿宋" w:eastAsia="仿宋" w:cs="仿宋"/>
          <w:b/>
          <w:sz w:val="24"/>
          <w:szCs w:val="28"/>
          <w:highlight w:val="none"/>
        </w:rPr>
      </w:pPr>
      <w:r>
        <w:rPr>
          <w:rFonts w:hint="eastAsia" w:ascii="仿宋" w:hAnsi="仿宋" w:eastAsia="仿宋" w:cs="仿宋"/>
          <w:b/>
          <w:sz w:val="24"/>
          <w:szCs w:val="28"/>
          <w:highlight w:val="none"/>
        </w:rPr>
        <w:t>格式自拟，应当包含但不限于以下内容：</w:t>
      </w:r>
    </w:p>
    <w:p>
      <w:pPr>
        <w:rPr>
          <w:rFonts w:hint="eastAsia" w:ascii="仿宋" w:hAnsi="仿宋" w:eastAsia="仿宋" w:cs="仿宋"/>
          <w:sz w:val="24"/>
          <w:szCs w:val="28"/>
          <w:highlight w:val="none"/>
        </w:rPr>
      </w:pPr>
      <w:r>
        <w:rPr>
          <w:rFonts w:hint="eastAsia" w:ascii="仿宋" w:hAnsi="仿宋" w:eastAsia="仿宋" w:cs="仿宋"/>
          <w:sz w:val="24"/>
          <w:szCs w:val="28"/>
          <w:highlight w:val="none"/>
        </w:rPr>
        <w:t>1、项目供货及实施方案；</w:t>
      </w:r>
    </w:p>
    <w:p>
      <w:pPr>
        <w:rPr>
          <w:rFonts w:hint="eastAsia" w:ascii="仿宋" w:hAnsi="仿宋" w:eastAsia="仿宋" w:cs="仿宋"/>
          <w:sz w:val="24"/>
          <w:szCs w:val="28"/>
          <w:highlight w:val="none"/>
        </w:rPr>
      </w:pPr>
      <w:r>
        <w:rPr>
          <w:rFonts w:hint="eastAsia" w:ascii="仿宋" w:hAnsi="仿宋" w:eastAsia="仿宋" w:cs="仿宋"/>
          <w:sz w:val="24"/>
          <w:szCs w:val="28"/>
          <w:highlight w:val="none"/>
        </w:rPr>
        <w:t>2、维保方案；</w:t>
      </w:r>
    </w:p>
    <w:p>
      <w:pPr>
        <w:pStyle w:val="5"/>
        <w:ind w:left="0"/>
        <w:rPr>
          <w:rFonts w:hint="eastAsia" w:ascii="仿宋" w:hAnsi="仿宋" w:eastAsia="仿宋" w:cs="仿宋"/>
          <w:b w:val="0"/>
          <w:bCs w:val="0"/>
          <w:szCs w:val="28"/>
          <w:highlight w:val="none"/>
        </w:rPr>
      </w:pPr>
      <w:r>
        <w:rPr>
          <w:rFonts w:hint="eastAsia" w:ascii="仿宋" w:hAnsi="仿宋" w:eastAsia="仿宋" w:cs="仿宋"/>
          <w:b w:val="0"/>
          <w:bCs w:val="0"/>
          <w:szCs w:val="28"/>
          <w:highlight w:val="none"/>
        </w:rPr>
        <w:t>3、完整的质保方案；</w:t>
      </w:r>
    </w:p>
    <w:p>
      <w:pPr>
        <w:rPr>
          <w:rFonts w:hint="eastAsia" w:ascii="仿宋" w:hAnsi="仿宋" w:eastAsia="仿宋" w:cs="仿宋"/>
          <w:sz w:val="24"/>
          <w:szCs w:val="28"/>
          <w:highlight w:val="none"/>
        </w:rPr>
      </w:pPr>
      <w:r>
        <w:rPr>
          <w:rFonts w:hint="eastAsia" w:ascii="仿宋" w:hAnsi="仿宋" w:eastAsia="仿宋" w:cs="仿宋"/>
          <w:sz w:val="24"/>
          <w:szCs w:val="28"/>
          <w:highlight w:val="none"/>
        </w:rPr>
        <w:t>4、技术人员配备方案。</w:t>
      </w:r>
    </w:p>
    <w:p>
      <w:pPr>
        <w:spacing w:line="360" w:lineRule="exact"/>
        <w:rPr>
          <w:rFonts w:hint="eastAsia" w:ascii="仿宋" w:hAnsi="仿宋" w:eastAsia="仿宋" w:cs="仿宋"/>
          <w:color w:val="000000"/>
          <w:kern w:val="0"/>
          <w:sz w:val="24"/>
          <w:highlight w:val="none"/>
        </w:rPr>
      </w:pPr>
      <w:r>
        <w:rPr>
          <w:rFonts w:hint="eastAsia" w:ascii="仿宋" w:hAnsi="仿宋" w:eastAsia="仿宋" w:cs="仿宋"/>
          <w:b/>
          <w:color w:val="000000"/>
          <w:sz w:val="24"/>
          <w:highlight w:val="none"/>
        </w:rPr>
        <w:t xml:space="preserve">  </w:t>
      </w:r>
      <w:r>
        <w:rPr>
          <w:rFonts w:hint="eastAsia" w:ascii="仿宋" w:hAnsi="仿宋" w:eastAsia="仿宋" w:cs="仿宋"/>
          <w:bCs/>
          <w:color w:val="000000"/>
          <w:sz w:val="24"/>
          <w:highlight w:val="none"/>
        </w:rPr>
        <w:t>注：上述内容中若需要表格请投标人自行编制（</w:t>
      </w:r>
      <w:r>
        <w:rPr>
          <w:rFonts w:hint="eastAsia" w:ascii="仿宋" w:hAnsi="仿宋" w:eastAsia="仿宋" w:cs="仿宋"/>
          <w:bCs/>
          <w:color w:val="000000"/>
          <w:sz w:val="24"/>
          <w:highlight w:val="none"/>
          <w:lang w:eastAsia="zh-CN"/>
        </w:rPr>
        <w:t>磋商文件</w:t>
      </w:r>
      <w:r>
        <w:rPr>
          <w:rFonts w:hint="eastAsia" w:ascii="仿宋" w:hAnsi="仿宋" w:eastAsia="仿宋" w:cs="仿宋"/>
          <w:bCs/>
          <w:color w:val="000000"/>
          <w:sz w:val="24"/>
          <w:highlight w:val="none"/>
        </w:rPr>
        <w:t>中已给出格式的除外）</w:t>
      </w:r>
    </w:p>
    <w:p>
      <w:pPr>
        <w:pStyle w:val="48"/>
        <w:spacing w:line="0" w:lineRule="atLeast"/>
        <w:ind w:firstLine="562"/>
        <w:rPr>
          <w:rFonts w:hint="eastAsia" w:ascii="仿宋" w:hAnsi="仿宋" w:eastAsia="仿宋" w:cs="仿宋"/>
          <w:b/>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 xml:space="preserve"> </w:t>
      </w: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bCs/>
          <w:color w:val="000000"/>
          <w:sz w:val="24"/>
          <w:highlight w:val="none"/>
        </w:rPr>
      </w:pPr>
    </w:p>
    <w:p>
      <w:pP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br w:type="page"/>
      </w:r>
    </w:p>
    <w:p>
      <w:pPr>
        <w:tabs>
          <w:tab w:val="center" w:pos="4629"/>
        </w:tabs>
        <w:spacing w:before="240" w:after="480"/>
        <w:jc w:val="left"/>
        <w:rPr>
          <w:rFonts w:hint="eastAsia" w:ascii="仿宋" w:hAnsi="仿宋" w:eastAsia="仿宋" w:cs="仿宋"/>
          <w:b/>
          <w:color w:val="000000"/>
          <w:sz w:val="24"/>
          <w:highlight w:val="none"/>
        </w:rPr>
      </w:pPr>
      <w:r>
        <w:rPr>
          <w:rFonts w:hint="eastAsia" w:ascii="仿宋" w:hAnsi="仿宋" w:eastAsia="仿宋" w:cs="仿宋"/>
          <w:b/>
          <w:bCs/>
          <w:color w:val="000000"/>
          <w:sz w:val="24"/>
          <w:highlight w:val="none"/>
        </w:rPr>
        <w:t xml:space="preserve">附表 </w:t>
      </w:r>
      <w:r>
        <w:rPr>
          <w:rFonts w:hint="eastAsia" w:ascii="仿宋" w:hAnsi="仿宋" w:eastAsia="仿宋" w:cs="仿宋"/>
          <w:b/>
          <w:color w:val="000000"/>
          <w:sz w:val="24"/>
          <w:highlight w:val="none"/>
        </w:rPr>
        <w:t>1、投标人拟派出的本单位项目负责人情况表</w:t>
      </w:r>
    </w:p>
    <w:p>
      <w:pPr>
        <w:tabs>
          <w:tab w:val="center" w:pos="4629"/>
        </w:tabs>
        <w:spacing w:before="240" w:after="48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项目技术负责人简历表</w:t>
      </w:r>
    </w:p>
    <w:p>
      <w:pPr>
        <w:autoSpaceDE w:val="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投标人名称 ：</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rPr>
        <w:t>项目编号/合同包号：</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u w:val="single"/>
        </w:rPr>
        <w:t>　　　　　　　　　</w:t>
      </w:r>
    </w:p>
    <w:p>
      <w:pPr>
        <w:pStyle w:val="5"/>
        <w:rPr>
          <w:rFonts w:hint="eastAsia" w:ascii="仿宋" w:hAnsi="仿宋" w:eastAsia="仿宋" w:cs="仿宋"/>
          <w:highlight w:val="none"/>
        </w:rPr>
      </w:pPr>
    </w:p>
    <w:tbl>
      <w:tblPr>
        <w:tblStyle w:val="24"/>
        <w:tblW w:w="0" w:type="auto"/>
        <w:jc w:val="center"/>
        <w:tblLayout w:type="fixed"/>
        <w:tblCellMar>
          <w:top w:w="0" w:type="dxa"/>
          <w:left w:w="108" w:type="dxa"/>
          <w:bottom w:w="0" w:type="dxa"/>
          <w:right w:w="108" w:type="dxa"/>
        </w:tblCellMar>
      </w:tblPr>
      <w:tblGrid>
        <w:gridCol w:w="1260"/>
        <w:gridCol w:w="1303"/>
        <w:gridCol w:w="1428"/>
        <w:gridCol w:w="1113"/>
        <w:gridCol w:w="800"/>
        <w:gridCol w:w="787"/>
        <w:gridCol w:w="577"/>
        <w:gridCol w:w="2435"/>
      </w:tblGrid>
      <w:tr>
        <w:tblPrEx>
          <w:tblCellMar>
            <w:top w:w="0" w:type="dxa"/>
            <w:left w:w="108" w:type="dxa"/>
            <w:bottom w:w="0" w:type="dxa"/>
            <w:right w:w="108" w:type="dxa"/>
          </w:tblCellMar>
        </w:tblPrEx>
        <w:trPr>
          <w:cantSplit/>
          <w:trHeight w:val="830" w:hRule="atLeast"/>
          <w:jc w:val="center"/>
        </w:trPr>
        <w:tc>
          <w:tcPr>
            <w:tcW w:w="1260" w:type="dxa"/>
            <w:tcBorders>
              <w:top w:val="single" w:color="000000" w:sz="4" w:space="0"/>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姓  名</w:t>
            </w:r>
          </w:p>
        </w:tc>
        <w:tc>
          <w:tcPr>
            <w:tcW w:w="1303" w:type="dxa"/>
            <w:tcBorders>
              <w:top w:val="single" w:color="000000" w:sz="4" w:space="0"/>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c>
          <w:tcPr>
            <w:tcW w:w="1428" w:type="dxa"/>
            <w:tcBorders>
              <w:top w:val="single" w:color="000000" w:sz="4" w:space="0"/>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性  别</w:t>
            </w:r>
          </w:p>
        </w:tc>
        <w:tc>
          <w:tcPr>
            <w:tcW w:w="1113" w:type="dxa"/>
            <w:tcBorders>
              <w:top w:val="single" w:color="000000" w:sz="4" w:space="0"/>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c>
          <w:tcPr>
            <w:tcW w:w="1587" w:type="dxa"/>
            <w:gridSpan w:val="2"/>
            <w:tcBorders>
              <w:top w:val="single" w:color="000000" w:sz="4" w:space="0"/>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出生年月</w:t>
            </w:r>
          </w:p>
        </w:tc>
        <w:tc>
          <w:tcPr>
            <w:tcW w:w="3012" w:type="dxa"/>
            <w:gridSpan w:val="2"/>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r>
      <w:tr>
        <w:tblPrEx>
          <w:tblCellMar>
            <w:top w:w="0" w:type="dxa"/>
            <w:left w:w="108" w:type="dxa"/>
            <w:bottom w:w="0" w:type="dxa"/>
            <w:right w:w="108" w:type="dxa"/>
          </w:tblCellMar>
        </w:tblPrEx>
        <w:trPr>
          <w:cantSplit/>
          <w:trHeight w:val="984" w:hRule="atLeast"/>
          <w:jc w:val="center"/>
        </w:trPr>
        <w:tc>
          <w:tcPr>
            <w:tcW w:w="1260" w:type="dxa"/>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职  务</w:t>
            </w:r>
          </w:p>
        </w:tc>
        <w:tc>
          <w:tcPr>
            <w:tcW w:w="1303" w:type="dxa"/>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c>
          <w:tcPr>
            <w:tcW w:w="1428" w:type="dxa"/>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职  称</w:t>
            </w:r>
          </w:p>
        </w:tc>
        <w:tc>
          <w:tcPr>
            <w:tcW w:w="1113" w:type="dxa"/>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c>
          <w:tcPr>
            <w:tcW w:w="1587"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文化程度</w:t>
            </w:r>
          </w:p>
        </w:tc>
        <w:tc>
          <w:tcPr>
            <w:tcW w:w="3012" w:type="dxa"/>
            <w:gridSpan w:val="2"/>
            <w:tcBorders>
              <w:top w:val="nil"/>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r>
      <w:tr>
        <w:tblPrEx>
          <w:tblCellMar>
            <w:top w:w="0" w:type="dxa"/>
            <w:left w:w="108" w:type="dxa"/>
            <w:bottom w:w="0" w:type="dxa"/>
            <w:right w:w="108" w:type="dxa"/>
          </w:tblCellMar>
        </w:tblPrEx>
        <w:trPr>
          <w:cantSplit/>
          <w:trHeight w:val="1281" w:hRule="atLeast"/>
          <w:jc w:val="center"/>
        </w:trPr>
        <w:tc>
          <w:tcPr>
            <w:tcW w:w="3991" w:type="dxa"/>
            <w:gridSpan w:val="3"/>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何时何校何专业毕业</w:t>
            </w: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r>
      <w:tr>
        <w:tblPrEx>
          <w:tblCellMar>
            <w:top w:w="0" w:type="dxa"/>
            <w:left w:w="108" w:type="dxa"/>
            <w:bottom w:w="0" w:type="dxa"/>
            <w:right w:w="108" w:type="dxa"/>
          </w:tblCellMar>
        </w:tblPrEx>
        <w:trPr>
          <w:cantSplit/>
          <w:trHeight w:val="976" w:hRule="atLeast"/>
          <w:jc w:val="center"/>
        </w:trPr>
        <w:tc>
          <w:tcPr>
            <w:tcW w:w="3991" w:type="dxa"/>
            <w:gridSpan w:val="3"/>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项目管理资历</w:t>
            </w:r>
          </w:p>
        </w:tc>
        <w:tc>
          <w:tcPr>
            <w:tcW w:w="1913"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c>
          <w:tcPr>
            <w:tcW w:w="1364"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传真</w:t>
            </w:r>
          </w:p>
        </w:tc>
        <w:tc>
          <w:tcPr>
            <w:tcW w:w="2435" w:type="dxa"/>
            <w:tcBorders>
              <w:top w:val="nil"/>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r>
      <w:tr>
        <w:tblPrEx>
          <w:tblCellMar>
            <w:top w:w="0" w:type="dxa"/>
            <w:left w:w="108" w:type="dxa"/>
            <w:bottom w:w="0" w:type="dxa"/>
            <w:right w:w="108" w:type="dxa"/>
          </w:tblCellMar>
        </w:tblPrEx>
        <w:trPr>
          <w:cantSplit/>
          <w:trHeight w:val="976" w:hRule="atLeast"/>
          <w:jc w:val="center"/>
        </w:trPr>
        <w:tc>
          <w:tcPr>
            <w:tcW w:w="3991" w:type="dxa"/>
            <w:gridSpan w:val="3"/>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电        话</w:t>
            </w:r>
          </w:p>
        </w:tc>
        <w:tc>
          <w:tcPr>
            <w:tcW w:w="1913"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c>
          <w:tcPr>
            <w:tcW w:w="1364"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手机</w:t>
            </w:r>
          </w:p>
        </w:tc>
        <w:tc>
          <w:tcPr>
            <w:tcW w:w="2435" w:type="dxa"/>
            <w:tcBorders>
              <w:top w:val="nil"/>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p>
        </w:tc>
      </w:tr>
      <w:tr>
        <w:tblPrEx>
          <w:tblCellMar>
            <w:top w:w="0" w:type="dxa"/>
            <w:left w:w="108" w:type="dxa"/>
            <w:bottom w:w="0" w:type="dxa"/>
            <w:right w:w="108" w:type="dxa"/>
          </w:tblCellMar>
        </w:tblPrEx>
        <w:trPr>
          <w:cantSplit/>
          <w:trHeight w:val="976" w:hRule="atLeast"/>
          <w:jc w:val="center"/>
        </w:trPr>
        <w:tc>
          <w:tcPr>
            <w:tcW w:w="1260" w:type="dxa"/>
            <w:vMerge w:val="restart"/>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工</w:t>
            </w:r>
          </w:p>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作</w:t>
            </w:r>
          </w:p>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简</w:t>
            </w:r>
          </w:p>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历</w:t>
            </w:r>
          </w:p>
        </w:tc>
        <w:tc>
          <w:tcPr>
            <w:tcW w:w="2731"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何年何月至何年何月</w:t>
            </w: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在何单位从事何工作及任何职务</w:t>
            </w:r>
          </w:p>
        </w:tc>
      </w:tr>
      <w:tr>
        <w:tblPrEx>
          <w:tblCellMar>
            <w:top w:w="0" w:type="dxa"/>
            <w:left w:w="108" w:type="dxa"/>
            <w:bottom w:w="0" w:type="dxa"/>
            <w:right w:w="108" w:type="dxa"/>
          </w:tblCellMar>
        </w:tblPrEx>
        <w:trPr>
          <w:cantSplit/>
          <w:trHeight w:val="976"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hint="eastAsia" w:ascii="仿宋" w:hAnsi="仿宋" w:eastAsia="仿宋" w:cs="仿宋"/>
                <w:bCs/>
                <w:color w:val="000000"/>
                <w:sz w:val="24"/>
                <w:highlight w:val="none"/>
              </w:rPr>
            </w:pPr>
          </w:p>
        </w:tc>
        <w:tc>
          <w:tcPr>
            <w:tcW w:w="2731" w:type="dxa"/>
            <w:gridSpan w:val="2"/>
            <w:tcBorders>
              <w:top w:val="nil"/>
              <w:left w:val="single" w:color="000000" w:sz="4" w:space="0"/>
              <w:bottom w:val="single" w:color="000000" w:sz="4" w:space="0"/>
              <w:right w:val="nil"/>
            </w:tcBorders>
            <w:vAlign w:val="center"/>
          </w:tcPr>
          <w:p>
            <w:pPr>
              <w:pStyle w:val="47"/>
              <w:spacing w:line="520" w:lineRule="exact"/>
              <w:rPr>
                <w:rFonts w:hint="eastAsia" w:ascii="仿宋" w:hAnsi="仿宋" w:eastAsia="仿宋" w:cs="仿宋"/>
                <w:sz w:val="24"/>
                <w:highlight w:val="none"/>
              </w:rPr>
            </w:pPr>
          </w:p>
        </w:tc>
        <w:tc>
          <w:tcPr>
            <w:tcW w:w="5712" w:type="dxa"/>
            <w:gridSpan w:val="5"/>
            <w:tcBorders>
              <w:top w:val="nil"/>
              <w:left w:val="single" w:color="000000" w:sz="4" w:space="0"/>
              <w:bottom w:val="single" w:color="000000" w:sz="4" w:space="0"/>
              <w:right w:val="single" w:color="000000" w:sz="4" w:space="0"/>
            </w:tcBorders>
            <w:vAlign w:val="center"/>
          </w:tcPr>
          <w:p>
            <w:pPr>
              <w:pStyle w:val="47"/>
              <w:spacing w:line="520" w:lineRule="exact"/>
              <w:rPr>
                <w:rFonts w:hint="eastAsia" w:ascii="仿宋" w:hAnsi="仿宋" w:eastAsia="仿宋" w:cs="仿宋"/>
                <w:sz w:val="24"/>
                <w:highlight w:val="none"/>
              </w:rPr>
            </w:pPr>
          </w:p>
        </w:tc>
      </w:tr>
      <w:tr>
        <w:tblPrEx>
          <w:tblCellMar>
            <w:top w:w="0" w:type="dxa"/>
            <w:left w:w="108" w:type="dxa"/>
            <w:bottom w:w="0" w:type="dxa"/>
            <w:right w:w="108" w:type="dxa"/>
          </w:tblCellMar>
        </w:tblPrEx>
        <w:trPr>
          <w:cantSplit/>
          <w:trHeight w:val="976"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hint="eastAsia" w:ascii="仿宋" w:hAnsi="仿宋" w:eastAsia="仿宋" w:cs="仿宋"/>
                <w:bCs/>
                <w:color w:val="000000"/>
                <w:sz w:val="24"/>
                <w:highlight w:val="none"/>
              </w:rPr>
            </w:pPr>
          </w:p>
        </w:tc>
        <w:tc>
          <w:tcPr>
            <w:tcW w:w="2731"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color w:val="000000"/>
                <w:sz w:val="24"/>
                <w:highlight w:val="none"/>
              </w:rPr>
            </w:pPr>
          </w:p>
        </w:tc>
      </w:tr>
      <w:tr>
        <w:tblPrEx>
          <w:tblCellMar>
            <w:top w:w="0" w:type="dxa"/>
            <w:left w:w="108" w:type="dxa"/>
            <w:bottom w:w="0" w:type="dxa"/>
            <w:right w:w="108" w:type="dxa"/>
          </w:tblCellMar>
        </w:tblPrEx>
        <w:trPr>
          <w:cantSplit/>
          <w:trHeight w:val="976"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hint="eastAsia" w:ascii="仿宋" w:hAnsi="仿宋" w:eastAsia="仿宋" w:cs="仿宋"/>
                <w:bCs/>
                <w:color w:val="000000"/>
                <w:sz w:val="24"/>
                <w:highlight w:val="none"/>
              </w:rPr>
            </w:pPr>
          </w:p>
        </w:tc>
        <w:tc>
          <w:tcPr>
            <w:tcW w:w="2731" w:type="dxa"/>
            <w:gridSpan w:val="2"/>
            <w:tcBorders>
              <w:top w:val="nil"/>
              <w:left w:val="single" w:color="000000" w:sz="4" w:space="0"/>
              <w:bottom w:val="single" w:color="000000" w:sz="4" w:space="0"/>
              <w:right w:val="nil"/>
            </w:tcBorders>
            <w:vAlign w:val="center"/>
          </w:tcPr>
          <w:p>
            <w:pPr>
              <w:spacing w:line="520" w:lineRule="exact"/>
              <w:jc w:val="center"/>
              <w:rPr>
                <w:rFonts w:hint="eastAsia" w:ascii="仿宋" w:hAnsi="仿宋" w:eastAsia="仿宋" w:cs="仿宋"/>
                <w:color w:val="000000"/>
                <w:sz w:val="24"/>
                <w:highlight w:val="none"/>
              </w:rPr>
            </w:pP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jc w:val="center"/>
              <w:rPr>
                <w:rFonts w:hint="eastAsia" w:ascii="仿宋" w:hAnsi="仿宋" w:eastAsia="仿宋" w:cs="仿宋"/>
                <w:color w:val="000000"/>
                <w:sz w:val="24"/>
                <w:highlight w:val="none"/>
              </w:rPr>
            </w:pPr>
          </w:p>
        </w:tc>
      </w:tr>
      <w:tr>
        <w:tblPrEx>
          <w:tblCellMar>
            <w:top w:w="0" w:type="dxa"/>
            <w:left w:w="108" w:type="dxa"/>
            <w:bottom w:w="0" w:type="dxa"/>
            <w:right w:w="108" w:type="dxa"/>
          </w:tblCellMar>
        </w:tblPrEx>
        <w:trPr>
          <w:cantSplit/>
          <w:trHeight w:val="1009" w:hRule="atLeast"/>
          <w:jc w:val="center"/>
        </w:trPr>
        <w:tc>
          <w:tcPr>
            <w:tcW w:w="1260" w:type="dxa"/>
            <w:vMerge w:val="continue"/>
            <w:tcBorders>
              <w:top w:val="nil"/>
              <w:left w:val="single" w:color="000000" w:sz="4" w:space="0"/>
              <w:bottom w:val="single" w:color="000000" w:sz="4" w:space="0"/>
              <w:right w:val="nil"/>
            </w:tcBorders>
            <w:vAlign w:val="center"/>
          </w:tcPr>
          <w:p>
            <w:pPr>
              <w:widowControl/>
              <w:spacing w:line="520" w:lineRule="exact"/>
              <w:jc w:val="left"/>
              <w:rPr>
                <w:rFonts w:hint="eastAsia" w:ascii="仿宋" w:hAnsi="仿宋" w:eastAsia="仿宋" w:cs="仿宋"/>
                <w:bCs/>
                <w:color w:val="000000"/>
                <w:sz w:val="24"/>
                <w:highlight w:val="none"/>
              </w:rPr>
            </w:pPr>
          </w:p>
        </w:tc>
        <w:tc>
          <w:tcPr>
            <w:tcW w:w="2731" w:type="dxa"/>
            <w:gridSpan w:val="2"/>
            <w:tcBorders>
              <w:top w:val="nil"/>
              <w:left w:val="single" w:color="000000" w:sz="4" w:space="0"/>
              <w:bottom w:val="single" w:color="000000" w:sz="4" w:space="0"/>
              <w:right w:val="nil"/>
            </w:tcBorders>
            <w:vAlign w:val="center"/>
          </w:tcPr>
          <w:p>
            <w:pPr>
              <w:spacing w:line="520" w:lineRule="exact"/>
              <w:rPr>
                <w:rFonts w:hint="eastAsia" w:ascii="仿宋" w:hAnsi="仿宋" w:eastAsia="仿宋" w:cs="仿宋"/>
                <w:color w:val="000000"/>
                <w:sz w:val="24"/>
                <w:highlight w:val="none"/>
              </w:rPr>
            </w:pPr>
          </w:p>
        </w:tc>
        <w:tc>
          <w:tcPr>
            <w:tcW w:w="5712" w:type="dxa"/>
            <w:gridSpan w:val="5"/>
            <w:tcBorders>
              <w:top w:val="nil"/>
              <w:left w:val="single" w:color="000000" w:sz="4" w:space="0"/>
              <w:bottom w:val="single" w:color="000000" w:sz="4" w:space="0"/>
              <w:right w:val="single" w:color="000000" w:sz="4" w:space="0"/>
            </w:tcBorders>
            <w:vAlign w:val="center"/>
          </w:tcPr>
          <w:p>
            <w:pPr>
              <w:spacing w:line="520" w:lineRule="exact"/>
              <w:rPr>
                <w:rFonts w:hint="eastAsia" w:ascii="仿宋" w:hAnsi="仿宋" w:eastAsia="仿宋" w:cs="仿宋"/>
                <w:color w:val="000000"/>
                <w:sz w:val="24"/>
                <w:highlight w:val="none"/>
              </w:rPr>
            </w:pPr>
          </w:p>
        </w:tc>
      </w:tr>
    </w:tbl>
    <w:p>
      <w:pPr>
        <w:jc w:val="left"/>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备注：后附身份证、学历证书、注册证书或职称证书、社保缴纳证明、类似业绩等相关证书或及证明材料复印件。</w:t>
      </w:r>
    </w:p>
    <w:p>
      <w:pPr>
        <w:tabs>
          <w:tab w:val="center" w:pos="4629"/>
        </w:tabs>
        <w:spacing w:before="240" w:after="480"/>
        <w:jc w:val="left"/>
        <w:rPr>
          <w:rFonts w:hint="eastAsia" w:ascii="仿宋" w:hAnsi="仿宋" w:eastAsia="仿宋" w:cs="仿宋"/>
          <w:b/>
          <w:bCs/>
          <w:color w:val="000000"/>
          <w:sz w:val="24"/>
          <w:highlight w:val="none"/>
        </w:rPr>
      </w:pPr>
    </w:p>
    <w:p>
      <w:pPr>
        <w:tabs>
          <w:tab w:val="center" w:pos="4629"/>
        </w:tabs>
        <w:spacing w:before="240" w:after="480"/>
        <w:jc w:val="left"/>
        <w:rPr>
          <w:rFonts w:hint="eastAsia" w:ascii="仿宋" w:hAnsi="仿宋" w:eastAsia="仿宋" w:cs="仿宋"/>
          <w:b/>
          <w:color w:val="000000"/>
          <w:sz w:val="24"/>
          <w:highlight w:val="none"/>
        </w:rPr>
      </w:pPr>
      <w:r>
        <w:rPr>
          <w:rFonts w:hint="eastAsia" w:ascii="仿宋" w:hAnsi="仿宋" w:eastAsia="仿宋" w:cs="仿宋"/>
          <w:b/>
          <w:bCs/>
          <w:color w:val="000000"/>
          <w:sz w:val="24"/>
          <w:highlight w:val="none"/>
        </w:rPr>
        <w:t>附表</w:t>
      </w:r>
      <w:r>
        <w:rPr>
          <w:rFonts w:hint="eastAsia" w:ascii="仿宋" w:hAnsi="仿宋" w:eastAsia="仿宋" w:cs="仿宋"/>
          <w:b/>
          <w:color w:val="000000"/>
          <w:sz w:val="24"/>
          <w:highlight w:val="none"/>
        </w:rPr>
        <w:t>2、投标人拟投入的</w:t>
      </w:r>
      <w:r>
        <w:rPr>
          <w:rFonts w:hint="eastAsia" w:ascii="仿宋" w:hAnsi="仿宋" w:eastAsia="仿宋" w:cs="仿宋"/>
          <w:b/>
          <w:color w:val="000000"/>
          <w:sz w:val="24"/>
          <w:highlight w:val="none"/>
          <w:lang w:val="en-US" w:eastAsia="zh-CN"/>
        </w:rPr>
        <w:t>技术</w:t>
      </w:r>
      <w:r>
        <w:rPr>
          <w:rFonts w:hint="eastAsia" w:ascii="仿宋" w:hAnsi="仿宋" w:eastAsia="仿宋" w:cs="仿宋"/>
          <w:b/>
          <w:color w:val="000000"/>
          <w:sz w:val="24"/>
          <w:highlight w:val="none"/>
        </w:rPr>
        <w:t>人员情况表</w:t>
      </w:r>
    </w:p>
    <w:p>
      <w:pPr>
        <w:tabs>
          <w:tab w:val="center" w:pos="4629"/>
        </w:tabs>
        <w:spacing w:before="240" w:after="480" w:line="52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拟投入本项目人员一览表</w:t>
      </w:r>
    </w:p>
    <w:p>
      <w:pPr>
        <w:autoSpaceDE w:val="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投标人名称 ：</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rPr>
        <w:t>项目编号/合同包号：</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u w:val="single"/>
        </w:rPr>
        <w:t>　　　　　　　　　</w:t>
      </w:r>
    </w:p>
    <w:p>
      <w:pPr>
        <w:pStyle w:val="5"/>
        <w:rPr>
          <w:rFonts w:hint="eastAsia" w:ascii="仿宋" w:hAnsi="仿宋" w:eastAsia="仿宋" w:cs="仿宋"/>
          <w:highlight w:val="none"/>
        </w:rPr>
      </w:pPr>
    </w:p>
    <w:tbl>
      <w:tblPr>
        <w:tblStyle w:val="2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134"/>
        <w:gridCol w:w="2268"/>
        <w:gridCol w:w="1914"/>
        <w:gridCol w:w="1219"/>
        <w:gridCol w:w="113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 名</w:t>
            </w:r>
          </w:p>
        </w:tc>
        <w:tc>
          <w:tcPr>
            <w:tcW w:w="1134" w:type="dxa"/>
            <w:vAlign w:val="center"/>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职  称</w:t>
            </w:r>
          </w:p>
        </w:tc>
        <w:tc>
          <w:tcPr>
            <w:tcW w:w="2268" w:type="dxa"/>
            <w:vAlign w:val="center"/>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注册证书（如有）专业及编号</w:t>
            </w:r>
          </w:p>
        </w:tc>
        <w:tc>
          <w:tcPr>
            <w:tcW w:w="1914" w:type="dxa"/>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拟在本项目担任的岗位</w:t>
            </w:r>
          </w:p>
        </w:tc>
        <w:tc>
          <w:tcPr>
            <w:tcW w:w="1219" w:type="dxa"/>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工作年限</w:t>
            </w:r>
          </w:p>
        </w:tc>
        <w:tc>
          <w:tcPr>
            <w:tcW w:w="1134" w:type="dxa"/>
            <w:vAlign w:val="center"/>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驻场时间</w:t>
            </w:r>
          </w:p>
        </w:tc>
        <w:tc>
          <w:tcPr>
            <w:tcW w:w="1106" w:type="dxa"/>
            <w:vAlign w:val="center"/>
          </w:tcPr>
          <w:p>
            <w:pPr>
              <w:pStyle w:val="14"/>
              <w:spacing w:line="5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2268" w:type="dxa"/>
          </w:tcPr>
          <w:p>
            <w:pPr>
              <w:pStyle w:val="14"/>
              <w:spacing w:line="520" w:lineRule="exact"/>
              <w:rPr>
                <w:rFonts w:hint="eastAsia" w:ascii="仿宋" w:hAnsi="仿宋" w:eastAsia="仿宋" w:cs="仿宋"/>
                <w:color w:val="000000"/>
                <w:sz w:val="24"/>
                <w:szCs w:val="24"/>
                <w:highlight w:val="none"/>
              </w:rPr>
            </w:pPr>
          </w:p>
        </w:tc>
        <w:tc>
          <w:tcPr>
            <w:tcW w:w="1914" w:type="dxa"/>
          </w:tcPr>
          <w:p>
            <w:pPr>
              <w:pStyle w:val="14"/>
              <w:spacing w:line="520" w:lineRule="exact"/>
              <w:rPr>
                <w:rFonts w:hint="eastAsia" w:ascii="仿宋" w:hAnsi="仿宋" w:eastAsia="仿宋" w:cs="仿宋"/>
                <w:color w:val="000000"/>
                <w:sz w:val="24"/>
                <w:szCs w:val="24"/>
                <w:highlight w:val="none"/>
              </w:rPr>
            </w:pPr>
          </w:p>
        </w:tc>
        <w:tc>
          <w:tcPr>
            <w:tcW w:w="1219" w:type="dxa"/>
          </w:tcPr>
          <w:p>
            <w:pPr>
              <w:pStyle w:val="14"/>
              <w:spacing w:line="520" w:lineRule="exact"/>
              <w:rPr>
                <w:rFonts w:hint="eastAsia" w:ascii="仿宋" w:hAnsi="仿宋" w:eastAsia="仿宋" w:cs="仿宋"/>
                <w:color w:val="000000"/>
                <w:sz w:val="24"/>
                <w:szCs w:val="24"/>
                <w:highlight w:val="none"/>
              </w:rPr>
            </w:pPr>
          </w:p>
        </w:tc>
        <w:tc>
          <w:tcPr>
            <w:tcW w:w="1134" w:type="dxa"/>
          </w:tcPr>
          <w:p>
            <w:pPr>
              <w:pStyle w:val="14"/>
              <w:spacing w:line="520" w:lineRule="exact"/>
              <w:rPr>
                <w:rFonts w:hint="eastAsia" w:ascii="仿宋" w:hAnsi="仿宋" w:eastAsia="仿宋" w:cs="仿宋"/>
                <w:color w:val="000000"/>
                <w:sz w:val="24"/>
                <w:szCs w:val="24"/>
                <w:highlight w:val="none"/>
              </w:rPr>
            </w:pPr>
          </w:p>
        </w:tc>
        <w:tc>
          <w:tcPr>
            <w:tcW w:w="1106" w:type="dxa"/>
          </w:tcPr>
          <w:p>
            <w:pPr>
              <w:pStyle w:val="14"/>
              <w:spacing w:line="520" w:lineRule="exact"/>
              <w:rPr>
                <w:rFonts w:hint="eastAsia" w:ascii="仿宋" w:hAnsi="仿宋" w:eastAsia="仿宋" w:cs="仿宋"/>
                <w:color w:val="000000"/>
                <w:sz w:val="24"/>
                <w:szCs w:val="24"/>
                <w:highlight w:val="none"/>
              </w:rPr>
            </w:pPr>
          </w:p>
        </w:tc>
      </w:tr>
    </w:tbl>
    <w:p>
      <w:pPr>
        <w:spacing w:line="44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后附身份证、学历证书、注册或职称证书、类似业绩等相关证书或及证明材料复印件。</w:t>
      </w:r>
    </w:p>
    <w:p>
      <w:pPr>
        <w:rPr>
          <w:rFonts w:hint="eastAsia" w:ascii="仿宋" w:hAnsi="仿宋" w:eastAsia="仿宋" w:cs="仿宋"/>
          <w:b/>
          <w:sz w:val="28"/>
          <w:szCs w:val="28"/>
          <w:highlight w:val="none"/>
        </w:rPr>
      </w:pPr>
    </w:p>
    <w:p>
      <w:pPr>
        <w:pStyle w:val="5"/>
        <w:ind w:left="0"/>
        <w:rPr>
          <w:rFonts w:hint="eastAsia" w:ascii="仿宋" w:hAnsi="仿宋" w:eastAsia="仿宋" w:cs="仿宋"/>
          <w:highlight w:val="none"/>
        </w:rPr>
      </w:pPr>
    </w:p>
    <w:p>
      <w:pPr>
        <w:pStyle w:val="5"/>
        <w:ind w:left="0"/>
        <w:rPr>
          <w:rFonts w:hint="eastAsia" w:ascii="仿宋" w:hAnsi="仿宋" w:eastAsia="仿宋" w:cs="仿宋"/>
          <w:highlight w:val="none"/>
        </w:rPr>
      </w:pPr>
      <w:r>
        <w:rPr>
          <w:rFonts w:hint="eastAsia" w:ascii="仿宋" w:hAnsi="仿宋" w:eastAsia="仿宋" w:cs="仿宋"/>
          <w:highlight w:val="none"/>
        </w:rPr>
        <w:t>附表3</w:t>
      </w:r>
    </w:p>
    <w:p>
      <w:pPr>
        <w:jc w:val="center"/>
        <w:rPr>
          <w:rFonts w:hint="eastAsia" w:ascii="仿宋" w:hAnsi="仿宋" w:eastAsia="仿宋" w:cs="仿宋"/>
          <w:highlight w:val="none"/>
        </w:rPr>
      </w:pPr>
      <w:r>
        <w:rPr>
          <w:rFonts w:hint="eastAsia" w:ascii="仿宋" w:hAnsi="仿宋" w:eastAsia="仿宋" w:cs="仿宋"/>
          <w:b/>
          <w:color w:val="000000"/>
          <w:sz w:val="30"/>
          <w:highlight w:val="none"/>
        </w:rPr>
        <w:t>有关投标产品结构、技术性能详述</w:t>
      </w:r>
    </w:p>
    <w:p>
      <w:pPr>
        <w:autoSpaceDE w:val="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投标人名称 ：</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rPr>
        <w:t>项目编号/合同包号：</w:t>
      </w:r>
      <w:r>
        <w:rPr>
          <w:rFonts w:hint="eastAsia" w:ascii="仿宋" w:hAnsi="仿宋" w:eastAsia="仿宋" w:cs="仿宋"/>
          <w:color w:val="000000"/>
          <w:sz w:val="2"/>
          <w:szCs w:val="2"/>
          <w:highlight w:val="none"/>
        </w:rPr>
        <w:t>UU</w:t>
      </w:r>
      <w:r>
        <w:rPr>
          <w:rFonts w:hint="eastAsia" w:ascii="仿宋" w:hAnsi="仿宋" w:eastAsia="仿宋" w:cs="仿宋"/>
          <w:color w:val="000000"/>
          <w:sz w:val="24"/>
          <w:highlight w:val="none"/>
          <w:u w:val="single"/>
        </w:rPr>
        <w:t>　　　　　　　　　</w:t>
      </w:r>
    </w:p>
    <w:p>
      <w:pPr>
        <w:rPr>
          <w:rFonts w:hint="eastAsia" w:ascii="仿宋" w:hAnsi="仿宋" w:eastAsia="仿宋" w:cs="仿宋"/>
          <w:color w:val="000000"/>
          <w:sz w:val="24"/>
          <w:highlight w:val="none"/>
          <w:u w:val="singl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2776"/>
        <w:gridCol w:w="2208"/>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92"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设备名称</w:t>
            </w:r>
          </w:p>
        </w:tc>
        <w:tc>
          <w:tcPr>
            <w:tcW w:w="277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规格型号及主要技术参数  （详述）   </w:t>
            </w:r>
          </w:p>
        </w:tc>
        <w:tc>
          <w:tcPr>
            <w:tcW w:w="2208"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性能说明（详述）</w:t>
            </w:r>
          </w:p>
        </w:tc>
        <w:tc>
          <w:tcPr>
            <w:tcW w:w="1348"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6" w:type="dxa"/>
            <w:vAlign w:val="center"/>
          </w:tcPr>
          <w:p>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1492" w:type="dxa"/>
            <w:vAlign w:val="center"/>
          </w:tcPr>
          <w:p>
            <w:pPr>
              <w:jc w:val="center"/>
              <w:rPr>
                <w:rFonts w:hint="eastAsia" w:ascii="仿宋" w:hAnsi="仿宋" w:eastAsia="仿宋" w:cs="仿宋"/>
                <w:color w:val="000000"/>
                <w:sz w:val="24"/>
                <w:highlight w:val="none"/>
              </w:rPr>
            </w:pPr>
          </w:p>
        </w:tc>
        <w:tc>
          <w:tcPr>
            <w:tcW w:w="2776" w:type="dxa"/>
            <w:vAlign w:val="center"/>
          </w:tcPr>
          <w:p>
            <w:pPr>
              <w:jc w:val="center"/>
              <w:rPr>
                <w:rFonts w:hint="eastAsia" w:ascii="仿宋" w:hAnsi="仿宋" w:eastAsia="仿宋" w:cs="仿宋"/>
                <w:color w:val="000000"/>
                <w:sz w:val="24"/>
                <w:highlight w:val="none"/>
              </w:rPr>
            </w:pPr>
          </w:p>
        </w:tc>
        <w:tc>
          <w:tcPr>
            <w:tcW w:w="2208" w:type="dxa"/>
            <w:vAlign w:val="center"/>
          </w:tcPr>
          <w:p>
            <w:pPr>
              <w:jc w:val="center"/>
              <w:rPr>
                <w:rFonts w:hint="eastAsia" w:ascii="仿宋" w:hAnsi="仿宋" w:eastAsia="仿宋" w:cs="仿宋"/>
                <w:color w:val="000000"/>
                <w:sz w:val="24"/>
                <w:highlight w:val="none"/>
              </w:rPr>
            </w:pPr>
          </w:p>
        </w:tc>
        <w:tc>
          <w:tcPr>
            <w:tcW w:w="1348" w:type="dxa"/>
            <w:vAlign w:val="center"/>
          </w:tcPr>
          <w:p>
            <w:pPr>
              <w:jc w:val="center"/>
              <w:rPr>
                <w:rFonts w:hint="eastAsia" w:ascii="仿宋" w:hAnsi="仿宋" w:eastAsia="仿宋" w:cs="仿宋"/>
                <w:color w:val="000000"/>
                <w:sz w:val="24"/>
                <w:highlight w:val="none"/>
              </w:rPr>
            </w:pPr>
          </w:p>
        </w:tc>
      </w:tr>
    </w:tbl>
    <w:p>
      <w:pPr>
        <w:rPr>
          <w:rFonts w:hint="eastAsia" w:ascii="仿宋" w:hAnsi="仿宋" w:eastAsia="仿宋" w:cs="仿宋"/>
          <w:color w:val="000000"/>
          <w:sz w:val="24"/>
          <w:highlight w:val="none"/>
        </w:rPr>
      </w:pPr>
    </w:p>
    <w:p>
      <w:pPr>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注：此表需详列投标的每种设备，对投标产品规格技术参数及性能要求详述；后附所投设备的扫描件或复印件（资料中应能简要反映出设备的规格型号、主要技术参数及性能说明）。</w:t>
      </w:r>
    </w:p>
    <w:p>
      <w:pPr>
        <w:rPr>
          <w:rFonts w:hint="eastAsia" w:ascii="仿宋" w:hAnsi="仿宋" w:eastAsia="仿宋" w:cs="仿宋"/>
          <w:highlight w:val="none"/>
        </w:rPr>
      </w:pPr>
    </w:p>
    <w:p>
      <w:pPr>
        <w:rPr>
          <w:rFonts w:hint="eastAsia" w:ascii="仿宋" w:hAnsi="仿宋" w:eastAsia="仿宋" w:cs="仿宋"/>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pStyle w:val="5"/>
        <w:rPr>
          <w:rFonts w:hint="eastAsia" w:ascii="仿宋" w:hAnsi="仿宋" w:eastAsia="仿宋" w:cs="仿宋"/>
          <w:highlight w:val="none"/>
        </w:rPr>
      </w:pPr>
    </w:p>
    <w:p>
      <w:pPr>
        <w:rPr>
          <w:rFonts w:hint="eastAsia" w:ascii="仿宋" w:hAnsi="仿宋" w:eastAsia="仿宋" w:cs="仿宋"/>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十、2018年至今业绩一览表</w:t>
      </w:r>
    </w:p>
    <w:tbl>
      <w:tblPr>
        <w:tblStyle w:val="24"/>
        <w:tblW w:w="9215"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560"/>
        <w:gridCol w:w="2693"/>
        <w:gridCol w:w="2268"/>
        <w:gridCol w:w="18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rPr>
        <w:tc>
          <w:tcPr>
            <w:tcW w:w="851" w:type="dxa"/>
            <w:vAlign w:val="center"/>
          </w:tcPr>
          <w:p>
            <w:pPr>
              <w:pStyle w:val="35"/>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560" w:type="dxa"/>
            <w:vAlign w:val="center"/>
          </w:tcPr>
          <w:p>
            <w:pPr>
              <w:pStyle w:val="35"/>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业绩类别</w:t>
            </w:r>
          </w:p>
        </w:tc>
        <w:tc>
          <w:tcPr>
            <w:tcW w:w="2693" w:type="dxa"/>
            <w:vAlign w:val="center"/>
          </w:tcPr>
          <w:p>
            <w:pPr>
              <w:pStyle w:val="35"/>
              <w:spacing w:line="440" w:lineRule="exact"/>
              <w:ind w:left="93" w:leftChars="-329" w:hanging="784" w:hangingChars="327"/>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项目名称</w:t>
            </w:r>
          </w:p>
        </w:tc>
        <w:tc>
          <w:tcPr>
            <w:tcW w:w="2268" w:type="dxa"/>
          </w:tcPr>
          <w:p>
            <w:pPr>
              <w:pStyle w:val="35"/>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合同金额</w:t>
            </w:r>
          </w:p>
        </w:tc>
        <w:tc>
          <w:tcPr>
            <w:tcW w:w="1843" w:type="dxa"/>
            <w:vAlign w:val="center"/>
          </w:tcPr>
          <w:p>
            <w:pPr>
              <w:pStyle w:val="35"/>
              <w:spacing w:line="44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供货内容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7" w:hRule="atLeast"/>
        </w:trPr>
        <w:tc>
          <w:tcPr>
            <w:tcW w:w="851" w:type="dxa"/>
            <w:vAlign w:val="center"/>
          </w:tcPr>
          <w:p>
            <w:pPr>
              <w:pStyle w:val="35"/>
              <w:spacing w:line="440" w:lineRule="exact"/>
              <w:jc w:val="center"/>
              <w:rPr>
                <w:rFonts w:hint="eastAsia" w:ascii="仿宋" w:hAnsi="仿宋" w:eastAsia="仿宋" w:cs="仿宋"/>
                <w:color w:val="auto"/>
                <w:highlight w:val="none"/>
              </w:rPr>
            </w:pPr>
          </w:p>
        </w:tc>
        <w:tc>
          <w:tcPr>
            <w:tcW w:w="1560" w:type="dxa"/>
            <w:vAlign w:val="center"/>
          </w:tcPr>
          <w:p>
            <w:pPr>
              <w:pStyle w:val="35"/>
              <w:spacing w:line="440" w:lineRule="exact"/>
              <w:jc w:val="center"/>
              <w:rPr>
                <w:rFonts w:hint="eastAsia" w:ascii="仿宋" w:hAnsi="仿宋" w:eastAsia="仿宋" w:cs="仿宋"/>
                <w:color w:val="auto"/>
                <w:highlight w:val="none"/>
              </w:rPr>
            </w:pPr>
          </w:p>
        </w:tc>
        <w:tc>
          <w:tcPr>
            <w:tcW w:w="2693" w:type="dxa"/>
            <w:vAlign w:val="center"/>
          </w:tcPr>
          <w:p>
            <w:pPr>
              <w:pStyle w:val="35"/>
              <w:spacing w:line="440" w:lineRule="exact"/>
              <w:jc w:val="center"/>
              <w:rPr>
                <w:rFonts w:hint="eastAsia" w:ascii="仿宋" w:hAnsi="仿宋" w:eastAsia="仿宋" w:cs="仿宋"/>
                <w:color w:val="auto"/>
                <w:highlight w:val="none"/>
              </w:rPr>
            </w:pPr>
          </w:p>
        </w:tc>
        <w:tc>
          <w:tcPr>
            <w:tcW w:w="2268" w:type="dxa"/>
          </w:tcPr>
          <w:p>
            <w:pPr>
              <w:pStyle w:val="35"/>
              <w:spacing w:line="440" w:lineRule="exact"/>
              <w:jc w:val="center"/>
              <w:rPr>
                <w:rFonts w:hint="eastAsia" w:ascii="仿宋" w:hAnsi="仿宋" w:eastAsia="仿宋" w:cs="仿宋"/>
                <w:color w:val="auto"/>
                <w:highlight w:val="none"/>
              </w:rPr>
            </w:pPr>
          </w:p>
        </w:tc>
        <w:tc>
          <w:tcPr>
            <w:tcW w:w="1843" w:type="dxa"/>
            <w:vAlign w:val="center"/>
          </w:tcPr>
          <w:p>
            <w:pPr>
              <w:pStyle w:val="35"/>
              <w:spacing w:line="440" w:lineRule="exact"/>
              <w:jc w:val="center"/>
              <w:rPr>
                <w:rFonts w:hint="eastAsia" w:ascii="仿宋" w:hAnsi="仿宋" w:eastAsia="仿宋" w:cs="仿宋"/>
                <w:color w:val="auto"/>
                <w:highlight w:val="none"/>
              </w:rPr>
            </w:pPr>
          </w:p>
        </w:tc>
      </w:tr>
    </w:tbl>
    <w:p>
      <w:pPr>
        <w:spacing w:line="400" w:lineRule="exact"/>
        <w:rPr>
          <w:rFonts w:hint="eastAsia" w:ascii="仿宋" w:hAnsi="仿宋" w:eastAsia="仿宋" w:cs="仿宋"/>
          <w:szCs w:val="21"/>
          <w:highlight w:val="none"/>
        </w:rPr>
      </w:pPr>
      <w:r>
        <w:rPr>
          <w:rFonts w:hint="eastAsia" w:ascii="仿宋" w:hAnsi="仿宋" w:eastAsia="仿宋" w:cs="仿宋"/>
          <w:sz w:val="24"/>
          <w:highlight w:val="none"/>
        </w:rPr>
        <w:t>注：后附证明材料，包括合同或供货协议或中标通知书复印件加盖公章。</w:t>
      </w:r>
    </w:p>
    <w:p>
      <w:pPr>
        <w:spacing w:line="400" w:lineRule="exact"/>
        <w:rPr>
          <w:rFonts w:hint="eastAsia" w:ascii="仿宋" w:hAnsi="仿宋" w:eastAsia="仿宋" w:cs="仿宋"/>
          <w:szCs w:val="21"/>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p>
      <w:pPr>
        <w:jc w:val="center"/>
        <w:rPr>
          <w:rFonts w:hint="eastAsia" w:ascii="仿宋" w:hAnsi="仿宋" w:eastAsia="仿宋" w:cs="仿宋"/>
          <w:b/>
          <w:sz w:val="28"/>
          <w:szCs w:val="28"/>
          <w:highlight w:val="none"/>
        </w:rPr>
      </w:pPr>
    </w:p>
    <w:bookmarkEnd w:id="242"/>
    <w:bookmarkEnd w:id="243"/>
    <w:bookmarkEnd w:id="244"/>
    <w:p>
      <w:pPr>
        <w:spacing w:line="40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十一、商务条款、技术规格偏离表</w:t>
      </w:r>
    </w:p>
    <w:p>
      <w:pPr>
        <w:adjustRightInd w:val="0"/>
        <w:snapToGrid w:val="0"/>
        <w:spacing w:line="360" w:lineRule="auto"/>
        <w:jc w:val="center"/>
        <w:rPr>
          <w:rFonts w:hint="eastAsia" w:ascii="仿宋" w:hAnsi="仿宋" w:eastAsia="仿宋" w:cs="仿宋"/>
          <w:sz w:val="28"/>
          <w:szCs w:val="28"/>
          <w:highlight w:val="none"/>
        </w:rPr>
      </w:pPr>
    </w:p>
    <w:p>
      <w:pPr>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（一）商务条款偏离表</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986"/>
        <w:gridCol w:w="2268"/>
        <w:gridCol w:w="21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986"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eastAsia="zh-CN"/>
              </w:rPr>
              <w:t>磋商文件</w:t>
            </w:r>
            <w:r>
              <w:rPr>
                <w:rFonts w:hint="eastAsia" w:ascii="仿宋" w:hAnsi="仿宋" w:eastAsia="仿宋" w:cs="仿宋"/>
                <w:sz w:val="24"/>
                <w:highlight w:val="none"/>
              </w:rPr>
              <w:t>内容</w:t>
            </w:r>
          </w:p>
        </w:tc>
        <w:tc>
          <w:tcPr>
            <w:tcW w:w="2268"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内容</w:t>
            </w:r>
          </w:p>
        </w:tc>
        <w:tc>
          <w:tcPr>
            <w:tcW w:w="2127"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偏离情况</w:t>
            </w:r>
          </w:p>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（正/负偏离）</w:t>
            </w:r>
          </w:p>
        </w:tc>
        <w:tc>
          <w:tcPr>
            <w:tcW w:w="1701"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tcPr>
          <w:p>
            <w:pPr>
              <w:spacing w:line="360" w:lineRule="auto"/>
              <w:rPr>
                <w:rFonts w:hint="eastAsia" w:ascii="仿宋" w:hAnsi="仿宋" w:eastAsia="仿宋" w:cs="仿宋"/>
                <w:highlight w:val="none"/>
              </w:rPr>
            </w:pPr>
          </w:p>
        </w:tc>
        <w:tc>
          <w:tcPr>
            <w:tcW w:w="1986" w:type="dxa"/>
          </w:tcPr>
          <w:p>
            <w:pPr>
              <w:spacing w:line="360" w:lineRule="auto"/>
              <w:rPr>
                <w:rFonts w:hint="eastAsia" w:ascii="仿宋" w:hAnsi="仿宋" w:eastAsia="仿宋" w:cs="仿宋"/>
                <w:highlight w:val="none"/>
              </w:rPr>
            </w:pPr>
          </w:p>
        </w:tc>
        <w:tc>
          <w:tcPr>
            <w:tcW w:w="2268" w:type="dxa"/>
          </w:tcPr>
          <w:p>
            <w:pPr>
              <w:spacing w:line="360" w:lineRule="auto"/>
              <w:rPr>
                <w:rFonts w:hint="eastAsia" w:ascii="仿宋" w:hAnsi="仿宋" w:eastAsia="仿宋" w:cs="仿宋"/>
                <w:highlight w:val="none"/>
              </w:rPr>
            </w:pPr>
          </w:p>
        </w:tc>
        <w:tc>
          <w:tcPr>
            <w:tcW w:w="2127" w:type="dxa"/>
          </w:tcPr>
          <w:p>
            <w:pPr>
              <w:spacing w:line="360" w:lineRule="auto"/>
              <w:rPr>
                <w:rFonts w:hint="eastAsia" w:ascii="仿宋" w:hAnsi="仿宋" w:eastAsia="仿宋" w:cs="仿宋"/>
                <w:highlight w:val="none"/>
              </w:rPr>
            </w:pPr>
          </w:p>
        </w:tc>
        <w:tc>
          <w:tcPr>
            <w:tcW w:w="1701" w:type="dxa"/>
          </w:tcPr>
          <w:p>
            <w:pPr>
              <w:spacing w:line="360" w:lineRule="auto"/>
              <w:rPr>
                <w:rFonts w:hint="eastAsia" w:ascii="仿宋" w:hAnsi="仿宋" w:eastAsia="仿宋" w:cs="仿宋"/>
                <w:highlight w:val="none"/>
              </w:rPr>
            </w:pPr>
          </w:p>
        </w:tc>
      </w:tr>
    </w:tbl>
    <w:p>
      <w:pPr>
        <w:autoSpaceDE w:val="0"/>
        <w:autoSpaceDN w:val="0"/>
        <w:spacing w:line="360" w:lineRule="auto"/>
        <w:ind w:right="-148"/>
        <w:textAlignment w:val="bottom"/>
        <w:rPr>
          <w:rFonts w:hint="eastAsia" w:ascii="仿宋" w:hAnsi="仿宋" w:eastAsia="仿宋" w:cs="仿宋"/>
          <w:highlight w:val="none"/>
        </w:rPr>
      </w:pPr>
      <w:r>
        <w:rPr>
          <w:rFonts w:hint="eastAsia" w:ascii="仿宋" w:hAnsi="仿宋" w:eastAsia="仿宋" w:cs="仿宋"/>
          <w:highlight w:val="none"/>
        </w:rPr>
        <w:t>注：</w:t>
      </w:r>
    </w:p>
    <w:p>
      <w:pPr>
        <w:numPr>
          <w:ilvl w:val="0"/>
          <w:numId w:val="4"/>
        </w:numPr>
        <w:autoSpaceDE w:val="0"/>
        <w:autoSpaceDN w:val="0"/>
        <w:spacing w:line="360" w:lineRule="auto"/>
        <w:ind w:right="-148"/>
        <w:textAlignment w:val="bottom"/>
        <w:rPr>
          <w:rFonts w:hint="eastAsia" w:ascii="仿宋" w:hAnsi="仿宋" w:eastAsia="仿宋" w:cs="仿宋"/>
          <w:szCs w:val="21"/>
          <w:highlight w:val="none"/>
        </w:rPr>
      </w:pPr>
      <w:r>
        <w:rPr>
          <w:rFonts w:hint="eastAsia" w:ascii="仿宋" w:hAnsi="仿宋" w:eastAsia="仿宋" w:cs="仿宋"/>
          <w:szCs w:val="21"/>
          <w:highlight w:val="none"/>
        </w:rPr>
        <w:t>投标人应在</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中对本项逐条按顺序响应，做出必要的解释并列出商务偏差表。统一回答“无偏离”“正偏离”等，未在本表中列明的则视为全部响应。</w:t>
      </w:r>
    </w:p>
    <w:p>
      <w:pPr>
        <w:numPr>
          <w:ilvl w:val="0"/>
          <w:numId w:val="4"/>
        </w:numPr>
        <w:autoSpaceDE w:val="0"/>
        <w:autoSpaceDN w:val="0"/>
        <w:spacing w:line="360" w:lineRule="auto"/>
        <w:ind w:right="-148"/>
        <w:textAlignment w:val="bottom"/>
        <w:rPr>
          <w:rFonts w:hint="eastAsia" w:ascii="仿宋" w:hAnsi="仿宋" w:eastAsia="仿宋" w:cs="仿宋"/>
          <w:highlight w:val="none"/>
        </w:rPr>
      </w:pPr>
      <w:r>
        <w:rPr>
          <w:rFonts w:hint="eastAsia" w:ascii="仿宋" w:hAnsi="仿宋" w:eastAsia="仿宋" w:cs="仿宋"/>
          <w:szCs w:val="21"/>
          <w:highlight w:val="none"/>
        </w:rPr>
        <w:t>投标人必须据实填写，不得虚假提供，否则将取消其投标或中标资格，并按有关规定进行处罚。</w:t>
      </w:r>
    </w:p>
    <w:p>
      <w:pPr>
        <w:spacing w:line="440" w:lineRule="exact"/>
        <w:rPr>
          <w:rFonts w:hint="eastAsia" w:ascii="仿宋" w:hAnsi="仿宋" w:eastAsia="仿宋" w:cs="仿宋"/>
          <w:bCs/>
          <w:sz w:val="22"/>
          <w:szCs w:val="22"/>
          <w:highlight w:val="none"/>
        </w:rPr>
      </w:pPr>
      <w:r>
        <w:rPr>
          <w:rFonts w:hint="eastAsia" w:ascii="仿宋" w:hAnsi="仿宋" w:eastAsia="仿宋" w:cs="仿宋"/>
          <w:bCs/>
          <w:sz w:val="22"/>
          <w:szCs w:val="22"/>
          <w:highlight w:val="none"/>
        </w:rPr>
        <w:t>投标人：(盖章)</w:t>
      </w:r>
    </w:p>
    <w:p>
      <w:pPr>
        <w:spacing w:line="440" w:lineRule="exact"/>
        <w:rPr>
          <w:rFonts w:hint="eastAsia" w:ascii="仿宋" w:hAnsi="仿宋" w:eastAsia="仿宋" w:cs="仿宋"/>
          <w:bCs/>
          <w:sz w:val="22"/>
          <w:szCs w:val="22"/>
          <w:highlight w:val="none"/>
        </w:rPr>
      </w:pPr>
      <w:r>
        <w:rPr>
          <w:rFonts w:hint="eastAsia" w:ascii="仿宋" w:hAnsi="仿宋" w:eastAsia="仿宋" w:cs="仿宋"/>
          <w:bCs/>
          <w:sz w:val="22"/>
          <w:szCs w:val="22"/>
          <w:highlight w:val="none"/>
        </w:rPr>
        <w:t>法定代表人或其委托代理人：(签字或盖章)</w:t>
      </w:r>
    </w:p>
    <w:p>
      <w:pPr>
        <w:spacing w:line="360" w:lineRule="auto"/>
        <w:jc w:val="left"/>
        <w:rPr>
          <w:rFonts w:hint="eastAsia" w:ascii="仿宋" w:hAnsi="仿宋" w:eastAsia="仿宋" w:cs="仿宋"/>
          <w:szCs w:val="21"/>
          <w:highlight w:val="none"/>
        </w:rPr>
      </w:pPr>
      <w:r>
        <w:rPr>
          <w:rFonts w:hint="eastAsia" w:ascii="仿宋" w:hAnsi="仿宋" w:eastAsia="仿宋" w:cs="仿宋"/>
          <w:bCs/>
          <w:sz w:val="22"/>
          <w:szCs w:val="22"/>
          <w:highlight w:val="none"/>
        </w:rPr>
        <w:t>日期：</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年</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月</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日</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（二）技术规格偏离表</w:t>
      </w:r>
    </w:p>
    <w:tbl>
      <w:tblPr>
        <w:tblStyle w:val="2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270"/>
        <w:gridCol w:w="1559"/>
        <w:gridCol w:w="1559"/>
        <w:gridCol w:w="184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57"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270"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货物名称</w:t>
            </w:r>
          </w:p>
        </w:tc>
        <w:tc>
          <w:tcPr>
            <w:tcW w:w="1559"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招标规格</w:t>
            </w:r>
          </w:p>
        </w:tc>
        <w:tc>
          <w:tcPr>
            <w:tcW w:w="1559"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投标规格</w:t>
            </w:r>
          </w:p>
        </w:tc>
        <w:tc>
          <w:tcPr>
            <w:tcW w:w="1843" w:type="dxa"/>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偏离情况</w:t>
            </w:r>
          </w:p>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（正/负偏离）</w:t>
            </w:r>
          </w:p>
        </w:tc>
        <w:tc>
          <w:tcPr>
            <w:tcW w:w="1276" w:type="dxa"/>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57" w:type="dxa"/>
          </w:tcPr>
          <w:p>
            <w:pPr>
              <w:spacing w:line="360" w:lineRule="auto"/>
              <w:rPr>
                <w:rFonts w:hint="eastAsia" w:ascii="仿宋" w:hAnsi="仿宋" w:eastAsia="仿宋" w:cs="仿宋"/>
                <w:highlight w:val="none"/>
              </w:rPr>
            </w:pPr>
          </w:p>
        </w:tc>
        <w:tc>
          <w:tcPr>
            <w:tcW w:w="2270"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559" w:type="dxa"/>
          </w:tcPr>
          <w:p>
            <w:pPr>
              <w:spacing w:line="360" w:lineRule="auto"/>
              <w:rPr>
                <w:rFonts w:hint="eastAsia" w:ascii="仿宋" w:hAnsi="仿宋" w:eastAsia="仿宋" w:cs="仿宋"/>
                <w:highlight w:val="none"/>
              </w:rPr>
            </w:pPr>
          </w:p>
        </w:tc>
        <w:tc>
          <w:tcPr>
            <w:tcW w:w="1843" w:type="dxa"/>
          </w:tcPr>
          <w:p>
            <w:pPr>
              <w:spacing w:line="360" w:lineRule="auto"/>
              <w:rPr>
                <w:rFonts w:hint="eastAsia" w:ascii="仿宋" w:hAnsi="仿宋" w:eastAsia="仿宋" w:cs="仿宋"/>
                <w:highlight w:val="none"/>
              </w:rPr>
            </w:pPr>
          </w:p>
        </w:tc>
        <w:tc>
          <w:tcPr>
            <w:tcW w:w="1276" w:type="dxa"/>
          </w:tcPr>
          <w:p>
            <w:pPr>
              <w:spacing w:line="360" w:lineRule="auto"/>
              <w:rPr>
                <w:rFonts w:hint="eastAsia" w:ascii="仿宋" w:hAnsi="仿宋" w:eastAsia="仿宋" w:cs="仿宋"/>
                <w:highlight w:val="none"/>
              </w:rPr>
            </w:pPr>
          </w:p>
        </w:tc>
      </w:tr>
    </w:tbl>
    <w:p>
      <w:pPr>
        <w:autoSpaceDE w:val="0"/>
        <w:autoSpaceDN w:val="0"/>
        <w:spacing w:line="360" w:lineRule="auto"/>
        <w:ind w:right="-148"/>
        <w:textAlignment w:val="bottom"/>
        <w:rPr>
          <w:rFonts w:hint="eastAsia" w:ascii="仿宋" w:hAnsi="仿宋" w:eastAsia="仿宋" w:cs="仿宋"/>
          <w:highlight w:val="none"/>
        </w:rPr>
      </w:pPr>
      <w:r>
        <w:rPr>
          <w:rFonts w:hint="eastAsia" w:ascii="仿宋" w:hAnsi="仿宋" w:eastAsia="仿宋" w:cs="仿宋"/>
          <w:highlight w:val="none"/>
        </w:rPr>
        <w:t>注：</w:t>
      </w:r>
    </w:p>
    <w:p>
      <w:pPr>
        <w:autoSpaceDE w:val="0"/>
        <w:autoSpaceDN w:val="0"/>
        <w:spacing w:line="360" w:lineRule="auto"/>
        <w:ind w:right="-148"/>
        <w:textAlignment w:val="bottom"/>
        <w:rPr>
          <w:rFonts w:hint="eastAsia" w:ascii="仿宋" w:hAnsi="仿宋" w:eastAsia="仿宋" w:cs="仿宋"/>
          <w:szCs w:val="21"/>
          <w:highlight w:val="none"/>
        </w:rPr>
      </w:pPr>
      <w:r>
        <w:rPr>
          <w:rFonts w:hint="eastAsia" w:ascii="仿宋" w:hAnsi="仿宋" w:eastAsia="仿宋" w:cs="仿宋"/>
          <w:szCs w:val="21"/>
          <w:highlight w:val="none"/>
        </w:rPr>
        <w:t>1、投标人应在</w:t>
      </w:r>
      <w:r>
        <w:rPr>
          <w:rFonts w:hint="eastAsia" w:ascii="仿宋" w:hAnsi="仿宋" w:eastAsia="仿宋" w:cs="仿宋"/>
          <w:szCs w:val="21"/>
          <w:highlight w:val="none"/>
          <w:lang w:eastAsia="zh-CN"/>
        </w:rPr>
        <w:t>响应文件</w:t>
      </w:r>
      <w:r>
        <w:rPr>
          <w:rFonts w:hint="eastAsia" w:ascii="仿宋" w:hAnsi="仿宋" w:eastAsia="仿宋" w:cs="仿宋"/>
          <w:szCs w:val="21"/>
          <w:highlight w:val="none"/>
        </w:rPr>
        <w:t>中对本项逐条按顺序响应，做出必要的解释并列出技术偏差表。统一回答“无偏离”“正偏离”等，未在本表中列明的则视为全部响应。</w:t>
      </w:r>
    </w:p>
    <w:p>
      <w:pPr>
        <w:autoSpaceDE w:val="0"/>
        <w:autoSpaceDN w:val="0"/>
        <w:spacing w:line="360" w:lineRule="auto"/>
        <w:ind w:right="-148"/>
        <w:textAlignment w:val="bottom"/>
        <w:rPr>
          <w:rFonts w:hint="eastAsia" w:ascii="仿宋" w:hAnsi="仿宋" w:eastAsia="仿宋" w:cs="仿宋"/>
          <w:highlight w:val="none"/>
        </w:rPr>
      </w:pPr>
      <w:r>
        <w:rPr>
          <w:rFonts w:hint="eastAsia" w:ascii="仿宋" w:hAnsi="仿宋" w:eastAsia="仿宋" w:cs="仿宋"/>
          <w:szCs w:val="21"/>
          <w:highlight w:val="none"/>
        </w:rPr>
        <w:t>2、投标人必须据实填写，不得虚假提供，否则将取消其投标或中标资格，并按有关规定进行处罚。</w:t>
      </w:r>
    </w:p>
    <w:p>
      <w:pPr>
        <w:spacing w:line="440" w:lineRule="exact"/>
        <w:rPr>
          <w:rFonts w:hint="eastAsia" w:ascii="仿宋" w:hAnsi="仿宋" w:eastAsia="仿宋" w:cs="仿宋"/>
          <w:bCs/>
          <w:sz w:val="22"/>
          <w:szCs w:val="22"/>
          <w:highlight w:val="none"/>
        </w:rPr>
      </w:pPr>
      <w:r>
        <w:rPr>
          <w:rFonts w:hint="eastAsia" w:ascii="仿宋" w:hAnsi="仿宋" w:eastAsia="仿宋" w:cs="仿宋"/>
          <w:bCs/>
          <w:sz w:val="22"/>
          <w:szCs w:val="22"/>
          <w:highlight w:val="none"/>
        </w:rPr>
        <w:t>3、此表后须附质检报告、技术资料等佐证材料。</w:t>
      </w:r>
    </w:p>
    <w:p>
      <w:pPr>
        <w:spacing w:line="440" w:lineRule="exact"/>
        <w:rPr>
          <w:rFonts w:hint="eastAsia" w:ascii="仿宋" w:hAnsi="仿宋" w:eastAsia="仿宋" w:cs="仿宋"/>
          <w:bCs/>
          <w:sz w:val="22"/>
          <w:szCs w:val="22"/>
          <w:highlight w:val="none"/>
        </w:rPr>
      </w:pPr>
      <w:r>
        <w:rPr>
          <w:rFonts w:hint="eastAsia" w:ascii="仿宋" w:hAnsi="仿宋" w:eastAsia="仿宋" w:cs="仿宋"/>
          <w:bCs/>
          <w:sz w:val="22"/>
          <w:szCs w:val="22"/>
          <w:highlight w:val="none"/>
        </w:rPr>
        <w:t>投标人：(盖章)</w:t>
      </w:r>
    </w:p>
    <w:p>
      <w:pPr>
        <w:spacing w:line="440" w:lineRule="exact"/>
        <w:rPr>
          <w:rFonts w:hint="eastAsia" w:ascii="仿宋" w:hAnsi="仿宋" w:eastAsia="仿宋" w:cs="仿宋"/>
          <w:bCs/>
          <w:sz w:val="22"/>
          <w:szCs w:val="22"/>
          <w:highlight w:val="none"/>
        </w:rPr>
      </w:pPr>
      <w:r>
        <w:rPr>
          <w:rFonts w:hint="eastAsia" w:ascii="仿宋" w:hAnsi="仿宋" w:eastAsia="仿宋" w:cs="仿宋"/>
          <w:bCs/>
          <w:sz w:val="22"/>
          <w:szCs w:val="22"/>
          <w:highlight w:val="none"/>
        </w:rPr>
        <w:t>法定代表人或其委托代理人：(签字或盖章)</w:t>
      </w:r>
    </w:p>
    <w:p>
      <w:pPr>
        <w:spacing w:line="360" w:lineRule="auto"/>
        <w:jc w:val="left"/>
        <w:rPr>
          <w:rFonts w:hint="eastAsia" w:ascii="仿宋" w:hAnsi="仿宋" w:eastAsia="仿宋" w:cs="仿宋"/>
          <w:szCs w:val="21"/>
          <w:highlight w:val="none"/>
        </w:rPr>
      </w:pPr>
      <w:r>
        <w:rPr>
          <w:rFonts w:hint="eastAsia" w:ascii="仿宋" w:hAnsi="仿宋" w:eastAsia="仿宋" w:cs="仿宋"/>
          <w:bCs/>
          <w:sz w:val="22"/>
          <w:szCs w:val="22"/>
          <w:highlight w:val="none"/>
        </w:rPr>
        <w:t>日期：</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年</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月</w:t>
      </w:r>
      <w:r>
        <w:rPr>
          <w:rFonts w:hint="eastAsia" w:ascii="仿宋" w:hAnsi="仿宋" w:eastAsia="仿宋" w:cs="仿宋"/>
          <w:bCs/>
          <w:sz w:val="22"/>
          <w:szCs w:val="22"/>
          <w:highlight w:val="none"/>
          <w:u w:val="single"/>
        </w:rPr>
        <w:t xml:space="preserve">    </w:t>
      </w:r>
      <w:r>
        <w:rPr>
          <w:rFonts w:hint="eastAsia" w:ascii="仿宋" w:hAnsi="仿宋" w:eastAsia="仿宋" w:cs="仿宋"/>
          <w:bCs/>
          <w:sz w:val="22"/>
          <w:szCs w:val="22"/>
          <w:highlight w:val="none"/>
        </w:rPr>
        <w:t>日</w:t>
      </w: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sz w:val="24"/>
          <w:highlight w:val="none"/>
        </w:rPr>
      </w:pPr>
    </w:p>
    <w:p>
      <w:pPr>
        <w:spacing w:before="156" w:beforeLines="50" w:after="156" w:afterLines="50" w:line="460" w:lineRule="atLeast"/>
        <w:jc w:val="center"/>
        <w:rPr>
          <w:rFonts w:hint="eastAsia" w:ascii="仿宋" w:hAnsi="仿宋" w:eastAsia="仿宋" w:cs="仿宋"/>
          <w:b/>
          <w:sz w:val="24"/>
          <w:highlight w:val="none"/>
        </w:rPr>
      </w:pPr>
      <w:r>
        <w:rPr>
          <w:rFonts w:hint="eastAsia" w:ascii="仿宋" w:hAnsi="仿宋" w:eastAsia="仿宋" w:cs="仿宋"/>
          <w:b/>
          <w:sz w:val="28"/>
          <w:szCs w:val="28"/>
          <w:highlight w:val="none"/>
        </w:rPr>
        <w:t>十二、</w:t>
      </w:r>
      <w:r>
        <w:rPr>
          <w:rFonts w:hint="eastAsia" w:ascii="仿宋" w:hAnsi="仿宋" w:eastAsia="仿宋" w:cs="仿宋"/>
          <w:b/>
          <w:sz w:val="24"/>
          <w:highlight w:val="none"/>
        </w:rPr>
        <w:t>《反商业贿赂承诺书》</w:t>
      </w:r>
    </w:p>
    <w:p>
      <w:pPr>
        <w:pStyle w:val="12"/>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我公司承诺在</w:t>
      </w:r>
      <w:r>
        <w:rPr>
          <w:rFonts w:hint="eastAsia" w:ascii="仿宋" w:hAnsi="仿宋" w:eastAsia="仿宋" w:cs="仿宋"/>
          <w:sz w:val="24"/>
          <w:highlight w:val="none"/>
          <w:u w:val="single"/>
        </w:rPr>
        <w:t>（项目名称、项目编号）</w:t>
      </w:r>
      <w:r>
        <w:rPr>
          <w:rFonts w:hint="eastAsia" w:ascii="仿宋" w:hAnsi="仿宋" w:eastAsia="仿宋" w:cs="仿宋"/>
          <w:sz w:val="24"/>
          <w:highlight w:val="none"/>
        </w:rPr>
        <w:t xml:space="preserve">招标活动中，不给予招标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360" w:lineRule="auto"/>
        <w:ind w:firstLine="0"/>
        <w:rPr>
          <w:rFonts w:hint="eastAsia" w:ascii="仿宋" w:hAnsi="仿宋" w:eastAsia="仿宋" w:cs="仿宋"/>
          <w:sz w:val="24"/>
          <w:highlight w:val="none"/>
        </w:rPr>
      </w:pPr>
    </w:p>
    <w:p>
      <w:pPr>
        <w:pStyle w:val="12"/>
        <w:spacing w:line="360" w:lineRule="auto"/>
        <w:ind w:firstLine="0"/>
        <w:rPr>
          <w:rFonts w:hint="eastAsia" w:ascii="仿宋" w:hAnsi="仿宋" w:eastAsia="仿宋" w:cs="仿宋"/>
          <w:sz w:val="24"/>
          <w:highlight w:val="none"/>
        </w:rPr>
      </w:pPr>
    </w:p>
    <w:p>
      <w:pPr>
        <w:pStyle w:val="12"/>
        <w:spacing w:line="360" w:lineRule="auto"/>
        <w:ind w:firstLine="0"/>
        <w:rPr>
          <w:rFonts w:hint="eastAsia" w:ascii="仿宋" w:hAnsi="仿宋" w:eastAsia="仿宋" w:cs="仿宋"/>
          <w:sz w:val="24"/>
          <w:highlight w:val="none"/>
        </w:rPr>
      </w:pPr>
    </w:p>
    <w:p>
      <w:pPr>
        <w:pStyle w:val="12"/>
        <w:spacing w:line="360" w:lineRule="auto"/>
        <w:ind w:firstLine="0"/>
        <w:rPr>
          <w:rFonts w:hint="eastAsia" w:ascii="仿宋" w:hAnsi="仿宋" w:eastAsia="仿宋" w:cs="仿宋"/>
          <w:sz w:val="24"/>
          <w:highlight w:val="none"/>
        </w:rPr>
      </w:pPr>
      <w:r>
        <w:rPr>
          <w:rFonts w:hint="eastAsia" w:ascii="仿宋" w:hAnsi="仿宋" w:eastAsia="仿宋" w:cs="仿宋"/>
          <w:sz w:val="24"/>
          <w:highlight w:val="none"/>
        </w:rPr>
        <w:t>投标人：（盖章）</w:t>
      </w:r>
    </w:p>
    <w:p>
      <w:pPr>
        <w:pStyle w:val="12"/>
        <w:spacing w:line="360" w:lineRule="auto"/>
        <w:ind w:firstLine="0"/>
        <w:rPr>
          <w:rFonts w:hint="eastAsia" w:ascii="仿宋" w:hAnsi="仿宋" w:eastAsia="仿宋" w:cs="仿宋"/>
          <w:sz w:val="24"/>
          <w:highlight w:val="none"/>
        </w:rPr>
      </w:pPr>
    </w:p>
    <w:p>
      <w:pPr>
        <w:pStyle w:val="12"/>
        <w:spacing w:line="360" w:lineRule="auto"/>
        <w:ind w:firstLine="0"/>
        <w:rPr>
          <w:rFonts w:hint="eastAsia" w:ascii="仿宋" w:hAnsi="仿宋" w:eastAsia="仿宋" w:cs="仿宋"/>
          <w:sz w:val="24"/>
          <w:highlight w:val="none"/>
        </w:rPr>
      </w:pPr>
      <w:r>
        <w:rPr>
          <w:rFonts w:hint="eastAsia" w:ascii="仿宋" w:hAnsi="仿宋" w:eastAsia="仿宋" w:cs="仿宋"/>
          <w:sz w:val="24"/>
          <w:highlight w:val="none"/>
        </w:rPr>
        <w:t>公司法人代表（签字或盖章）：</w:t>
      </w:r>
    </w:p>
    <w:p>
      <w:pPr>
        <w:pStyle w:val="12"/>
        <w:spacing w:line="360" w:lineRule="auto"/>
        <w:ind w:firstLine="0"/>
        <w:rPr>
          <w:rFonts w:hint="eastAsia" w:ascii="仿宋" w:hAnsi="仿宋" w:eastAsia="仿宋" w:cs="仿宋"/>
          <w:sz w:val="24"/>
          <w:highlight w:val="none"/>
        </w:rPr>
      </w:pPr>
    </w:p>
    <w:p>
      <w:pPr>
        <w:pStyle w:val="12"/>
        <w:spacing w:line="360" w:lineRule="auto"/>
        <w:ind w:firstLine="0"/>
        <w:rPr>
          <w:rFonts w:hint="eastAsia" w:ascii="仿宋" w:hAnsi="仿宋" w:eastAsia="仿宋" w:cs="仿宋"/>
          <w:sz w:val="24"/>
          <w:highlight w:val="none"/>
        </w:rPr>
      </w:pPr>
      <w:r>
        <w:rPr>
          <w:rFonts w:hint="eastAsia" w:ascii="仿宋" w:hAnsi="仿宋" w:eastAsia="仿宋" w:cs="仿宋"/>
          <w:sz w:val="24"/>
          <w:highlight w:val="none"/>
        </w:rPr>
        <w:t>法人授权代表（签字或盖章）：</w:t>
      </w:r>
    </w:p>
    <w:p>
      <w:pPr>
        <w:pStyle w:val="12"/>
        <w:spacing w:line="360" w:lineRule="auto"/>
        <w:ind w:firstLine="845"/>
        <w:rPr>
          <w:rFonts w:hint="eastAsia" w:ascii="仿宋" w:hAnsi="仿宋" w:eastAsia="仿宋" w:cs="仿宋"/>
          <w:sz w:val="24"/>
          <w:highlight w:val="none"/>
        </w:rPr>
      </w:pPr>
      <w:r>
        <w:rPr>
          <w:rFonts w:hint="eastAsia" w:ascii="仿宋" w:hAnsi="仿宋" w:eastAsia="仿宋" w:cs="仿宋"/>
          <w:sz w:val="24"/>
          <w:highlight w:val="none"/>
        </w:rPr>
        <w:t xml:space="preserve">　　　　　　　　　　　                       </w:t>
      </w:r>
    </w:p>
    <w:p>
      <w:pPr>
        <w:pStyle w:val="12"/>
        <w:spacing w:line="360" w:lineRule="auto"/>
        <w:ind w:firstLine="0"/>
        <w:jc w:val="right"/>
        <w:rPr>
          <w:rFonts w:hint="eastAsia" w:ascii="仿宋" w:hAnsi="仿宋" w:eastAsia="仿宋" w:cs="仿宋"/>
          <w:sz w:val="24"/>
          <w:highlight w:val="none"/>
        </w:rPr>
      </w:pPr>
      <w:r>
        <w:rPr>
          <w:rFonts w:hint="eastAsia" w:ascii="仿宋" w:hAnsi="仿宋" w:eastAsia="仿宋" w:cs="仿宋"/>
          <w:sz w:val="24"/>
          <w:highlight w:val="none"/>
        </w:rPr>
        <w:t>日期：   年   月   日</w:t>
      </w: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spacing w:line="360" w:lineRule="auto"/>
        <w:jc w:val="left"/>
        <w:rPr>
          <w:rFonts w:hint="eastAsia" w:ascii="仿宋" w:hAnsi="仿宋" w:eastAsia="仿宋" w:cs="仿宋"/>
          <w:b/>
          <w:sz w:val="28"/>
          <w:szCs w:val="28"/>
          <w:highlight w:val="none"/>
        </w:rPr>
      </w:pPr>
    </w:p>
    <w:p>
      <w:pPr>
        <w:widowControl/>
        <w:shd w:val="clear" w:color="auto" w:fill="FFFFFF"/>
        <w:spacing w:before="100" w:beforeAutospacing="1" w:after="100" w:afterAutospacing="1" w:line="700" w:lineRule="exact"/>
        <w:jc w:val="center"/>
        <w:rPr>
          <w:rFonts w:hint="eastAsia" w:ascii="仿宋" w:hAnsi="仿宋" w:eastAsia="仿宋" w:cs="仿宋"/>
          <w:b/>
          <w:color w:val="000000"/>
          <w:kern w:val="0"/>
          <w:sz w:val="24"/>
          <w:highlight w:val="none"/>
        </w:rPr>
      </w:pPr>
      <w:r>
        <w:rPr>
          <w:rFonts w:hint="eastAsia" w:ascii="仿宋" w:hAnsi="仿宋" w:eastAsia="仿宋" w:cs="仿宋"/>
          <w:b/>
          <w:sz w:val="24"/>
          <w:highlight w:val="none"/>
        </w:rPr>
        <w:t>十三、</w:t>
      </w:r>
      <w:r>
        <w:rPr>
          <w:rFonts w:hint="eastAsia" w:ascii="仿宋" w:hAnsi="仿宋" w:eastAsia="仿宋" w:cs="仿宋"/>
          <w:b/>
          <w:color w:val="000000"/>
          <w:kern w:val="0"/>
          <w:sz w:val="24"/>
          <w:highlight w:val="none"/>
        </w:rPr>
        <w:t>中小企业声明函（货物）（如有）</w:t>
      </w:r>
    </w:p>
    <w:p>
      <w:pPr>
        <w:widowControl/>
        <w:shd w:val="clear" w:color="auto" w:fill="FFFFFF"/>
        <w:spacing w:before="100" w:beforeAutospacing="1" w:after="100" w:afterAutospacing="1" w:line="360" w:lineRule="auto"/>
        <w:ind w:firstLine="48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本公司（联合体）郑重声明，根据《政府采购促进中小企业发展管理办法》（财库〔2020〕46号）的规定，本公司（联合体）参加</w:t>
      </w:r>
      <w:r>
        <w:rPr>
          <w:rFonts w:hint="eastAsia" w:ascii="仿宋" w:hAnsi="仿宋" w:eastAsia="仿宋" w:cs="仿宋"/>
          <w:color w:val="000000"/>
          <w:kern w:val="0"/>
          <w:sz w:val="24"/>
          <w:highlight w:val="none"/>
          <w:u w:val="single"/>
        </w:rPr>
        <w:t>（单位名称）</w:t>
      </w:r>
      <w:r>
        <w:rPr>
          <w:rFonts w:hint="eastAsia" w:ascii="仿宋" w:hAnsi="仿宋" w:eastAsia="仿宋" w:cs="仿宋"/>
          <w:color w:val="000000"/>
          <w:kern w:val="0"/>
          <w:sz w:val="24"/>
          <w:highlight w:val="none"/>
        </w:rPr>
        <w:t>的</w:t>
      </w:r>
      <w:r>
        <w:rPr>
          <w:rFonts w:hint="eastAsia" w:ascii="仿宋" w:hAnsi="仿宋" w:eastAsia="仿宋" w:cs="仿宋"/>
          <w:color w:val="000000"/>
          <w:kern w:val="0"/>
          <w:sz w:val="24"/>
          <w:highlight w:val="none"/>
          <w:u w:val="single"/>
        </w:rPr>
        <w:t>（项目名称）</w:t>
      </w:r>
      <w:r>
        <w:rPr>
          <w:rFonts w:hint="eastAsia" w:ascii="仿宋" w:hAnsi="仿宋" w:eastAsia="仿宋" w:cs="仿宋"/>
          <w:color w:val="000000"/>
          <w:kern w:val="0"/>
          <w:sz w:val="24"/>
          <w:highlight w:val="none"/>
        </w:rPr>
        <w:t>采购活动，提供的货物全部由符合政策要求的中小企业制造。相关企业（含联合体中的中小企业、签订分包意向协议的中小企业）的具体情况如下：</w:t>
      </w:r>
    </w:p>
    <w:p>
      <w:pPr>
        <w:widowControl/>
        <w:shd w:val="clear" w:color="auto" w:fill="FFFFFF"/>
        <w:spacing w:before="100" w:beforeAutospacing="1" w:after="100" w:afterAutospacing="1" w:line="360" w:lineRule="auto"/>
        <w:jc w:val="left"/>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u w:val="single"/>
        </w:rPr>
        <w:t>（标的名称）</w:t>
      </w:r>
      <w:r>
        <w:rPr>
          <w:rFonts w:hint="eastAsia" w:ascii="仿宋" w:hAnsi="仿宋" w:eastAsia="仿宋" w:cs="仿宋"/>
          <w:color w:val="000000"/>
          <w:kern w:val="0"/>
          <w:sz w:val="24"/>
          <w:highlight w:val="none"/>
        </w:rPr>
        <w:t>，属于</w:t>
      </w:r>
      <w:r>
        <w:rPr>
          <w:rFonts w:hint="eastAsia" w:ascii="仿宋" w:hAnsi="仿宋" w:eastAsia="仿宋" w:cs="仿宋"/>
          <w:color w:val="000000"/>
          <w:kern w:val="0"/>
          <w:sz w:val="24"/>
          <w:highlight w:val="none"/>
          <w:u w:val="single"/>
        </w:rPr>
        <w:t>（采购文件中明确的所属行业）</w:t>
      </w:r>
      <w:r>
        <w:rPr>
          <w:rFonts w:hint="eastAsia" w:ascii="仿宋" w:hAnsi="仿宋" w:eastAsia="仿宋" w:cs="仿宋"/>
          <w:color w:val="000000"/>
          <w:kern w:val="0"/>
          <w:sz w:val="24"/>
          <w:highlight w:val="none"/>
        </w:rPr>
        <w:t>行业；制造商为</w:t>
      </w:r>
      <w:r>
        <w:rPr>
          <w:rFonts w:hint="eastAsia" w:ascii="仿宋" w:hAnsi="仿宋" w:eastAsia="仿宋" w:cs="仿宋"/>
          <w:color w:val="000000"/>
          <w:kern w:val="0"/>
          <w:sz w:val="24"/>
          <w:highlight w:val="none"/>
          <w:u w:val="single"/>
        </w:rPr>
        <w:t>（企业名称）</w:t>
      </w:r>
      <w:r>
        <w:rPr>
          <w:rFonts w:hint="eastAsia" w:ascii="仿宋" w:hAnsi="仿宋" w:eastAsia="仿宋" w:cs="仿宋"/>
          <w:color w:val="000000"/>
          <w:kern w:val="0"/>
          <w:sz w:val="24"/>
          <w:highlight w:val="none"/>
        </w:rPr>
        <w:t>，从业人员</w:t>
      </w:r>
      <w:r>
        <w:rPr>
          <w:rFonts w:hint="eastAsia" w:ascii="仿宋" w:hAnsi="仿宋" w:eastAsia="仿宋" w:cs="仿宋"/>
          <w:color w:val="000000"/>
          <w:kern w:val="0"/>
          <w:sz w:val="24"/>
          <w:highlight w:val="none"/>
          <w:u w:val="single"/>
        </w:rPr>
        <w:t xml:space="preserve">     人</w:t>
      </w:r>
      <w:r>
        <w:rPr>
          <w:rFonts w:hint="eastAsia" w:ascii="仿宋" w:hAnsi="仿宋" w:eastAsia="仿宋" w:cs="仿宋"/>
          <w:color w:val="000000"/>
          <w:kern w:val="0"/>
          <w:sz w:val="24"/>
          <w:highlight w:val="none"/>
        </w:rPr>
        <w:t>，营业收入为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万元，资产总额为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万元，属于</w:t>
      </w:r>
      <w:r>
        <w:rPr>
          <w:rFonts w:hint="eastAsia" w:ascii="仿宋" w:hAnsi="仿宋" w:eastAsia="仿宋" w:cs="仿宋"/>
          <w:color w:val="000000"/>
          <w:kern w:val="0"/>
          <w:sz w:val="24"/>
          <w:highlight w:val="none"/>
          <w:u w:val="single"/>
        </w:rPr>
        <w:t>（中型企业、小型企业、微型企业）；</w:t>
      </w:r>
    </w:p>
    <w:p>
      <w:pPr>
        <w:widowControl/>
        <w:shd w:val="clear" w:color="auto" w:fill="FFFFFF"/>
        <w:spacing w:before="100" w:beforeAutospacing="1" w:after="100" w:afterAutospacing="1" w:line="360" w:lineRule="auto"/>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2、</w:t>
      </w:r>
      <w:r>
        <w:rPr>
          <w:rFonts w:hint="eastAsia" w:ascii="仿宋" w:hAnsi="仿宋" w:eastAsia="仿宋" w:cs="仿宋"/>
          <w:color w:val="000000"/>
          <w:kern w:val="0"/>
          <w:sz w:val="24"/>
          <w:highlight w:val="none"/>
          <w:u w:val="single"/>
        </w:rPr>
        <w:t>（标的名称）</w:t>
      </w:r>
      <w:r>
        <w:rPr>
          <w:rFonts w:hint="eastAsia" w:ascii="仿宋" w:hAnsi="仿宋" w:eastAsia="仿宋" w:cs="仿宋"/>
          <w:color w:val="000000"/>
          <w:kern w:val="0"/>
          <w:sz w:val="24"/>
          <w:highlight w:val="none"/>
        </w:rPr>
        <w:t>，属于</w:t>
      </w:r>
      <w:r>
        <w:rPr>
          <w:rFonts w:hint="eastAsia" w:ascii="仿宋" w:hAnsi="仿宋" w:eastAsia="仿宋" w:cs="仿宋"/>
          <w:color w:val="000000"/>
          <w:kern w:val="0"/>
          <w:sz w:val="24"/>
          <w:highlight w:val="none"/>
          <w:u w:val="single"/>
        </w:rPr>
        <w:t>（采购文件中明确的所属行业）</w:t>
      </w:r>
      <w:r>
        <w:rPr>
          <w:rFonts w:hint="eastAsia" w:ascii="仿宋" w:hAnsi="仿宋" w:eastAsia="仿宋" w:cs="仿宋"/>
          <w:color w:val="000000"/>
          <w:kern w:val="0"/>
          <w:sz w:val="24"/>
          <w:highlight w:val="none"/>
        </w:rPr>
        <w:t>行业；制造商为</w:t>
      </w:r>
      <w:r>
        <w:rPr>
          <w:rFonts w:hint="eastAsia" w:ascii="仿宋" w:hAnsi="仿宋" w:eastAsia="仿宋" w:cs="仿宋"/>
          <w:color w:val="000000"/>
          <w:kern w:val="0"/>
          <w:sz w:val="24"/>
          <w:highlight w:val="none"/>
          <w:u w:val="single"/>
        </w:rPr>
        <w:t>（企业名称）</w:t>
      </w:r>
      <w:r>
        <w:rPr>
          <w:rFonts w:hint="eastAsia" w:ascii="仿宋" w:hAnsi="仿宋" w:eastAsia="仿宋" w:cs="仿宋"/>
          <w:color w:val="000000"/>
          <w:kern w:val="0"/>
          <w:sz w:val="24"/>
          <w:highlight w:val="none"/>
        </w:rPr>
        <w:t>，从业人员</w:t>
      </w:r>
      <w:r>
        <w:rPr>
          <w:rFonts w:hint="eastAsia" w:ascii="仿宋" w:hAnsi="仿宋" w:eastAsia="仿宋" w:cs="仿宋"/>
          <w:color w:val="000000"/>
          <w:kern w:val="0"/>
          <w:sz w:val="24"/>
          <w:highlight w:val="none"/>
          <w:u w:val="single"/>
        </w:rPr>
        <w:t xml:space="preserve">     人</w:t>
      </w:r>
      <w:r>
        <w:rPr>
          <w:rFonts w:hint="eastAsia" w:ascii="仿宋" w:hAnsi="仿宋" w:eastAsia="仿宋" w:cs="仿宋"/>
          <w:color w:val="000000"/>
          <w:kern w:val="0"/>
          <w:sz w:val="24"/>
          <w:highlight w:val="none"/>
        </w:rPr>
        <w:t>，营业收入为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万元，资产总额为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万元，属于</w:t>
      </w:r>
      <w:r>
        <w:rPr>
          <w:rFonts w:hint="eastAsia" w:ascii="仿宋" w:hAnsi="仿宋" w:eastAsia="仿宋" w:cs="仿宋"/>
          <w:color w:val="000000"/>
          <w:kern w:val="0"/>
          <w:sz w:val="24"/>
          <w:highlight w:val="none"/>
          <w:u w:val="single"/>
        </w:rPr>
        <w:t>（中型企业、小型企业、微型企业）；</w:t>
      </w:r>
    </w:p>
    <w:p>
      <w:pPr>
        <w:widowControl/>
        <w:shd w:val="clear" w:color="auto" w:fill="FFFFFF"/>
        <w:spacing w:before="100" w:beforeAutospacing="1" w:after="100" w:afterAutospacing="1" w:line="360" w:lineRule="auto"/>
        <w:ind w:firstLine="48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p>
      <w:pPr>
        <w:widowControl/>
        <w:shd w:val="clear" w:color="auto" w:fill="FFFFFF"/>
        <w:spacing w:before="100" w:beforeAutospacing="1" w:after="100" w:afterAutospacing="1" w:line="360" w:lineRule="auto"/>
        <w:ind w:firstLine="48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以上企业，不属于大企业的分支机构，不存在控股股东为大企业的情形，也不存在与大企业的负责人为同一人的情形。　　</w:t>
      </w:r>
    </w:p>
    <w:p>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color w:val="000000"/>
          <w:kern w:val="0"/>
          <w:sz w:val="24"/>
          <w:highlight w:val="none"/>
        </w:rPr>
        <w:t>本企业对上述声明内容的真实性负责。如有虚假，将依法承担相应责任。</w:t>
      </w:r>
      <w:r>
        <w:rPr>
          <w:rFonts w:hint="eastAsia" w:ascii="仿宋" w:hAnsi="仿宋" w:eastAsia="仿宋" w:cs="仿宋"/>
          <w:color w:val="000000"/>
          <w:kern w:val="0"/>
          <w:sz w:val="24"/>
          <w:highlight w:val="none"/>
        </w:rPr>
        <w:br w:type="textWrapping"/>
      </w:r>
      <w:r>
        <w:rPr>
          <w:rFonts w:hint="eastAsia" w:ascii="仿宋" w:hAnsi="仿宋" w:eastAsia="仿宋" w:cs="仿宋"/>
          <w:color w:val="000000"/>
          <w:kern w:val="0"/>
          <w:sz w:val="24"/>
          <w:highlight w:val="none"/>
        </w:rPr>
        <w:t>　　企业名称（盖章）：</w:t>
      </w:r>
      <w:r>
        <w:rPr>
          <w:rFonts w:hint="eastAsia" w:ascii="仿宋" w:hAnsi="仿宋" w:eastAsia="仿宋" w:cs="仿宋"/>
          <w:color w:val="000000"/>
          <w:kern w:val="0"/>
          <w:sz w:val="24"/>
          <w:highlight w:val="none"/>
        </w:rPr>
        <w:br w:type="textWrapping"/>
      </w:r>
      <w:r>
        <w:rPr>
          <w:rFonts w:hint="eastAsia" w:ascii="仿宋" w:hAnsi="仿宋" w:eastAsia="仿宋" w:cs="仿宋"/>
          <w:color w:val="000000"/>
          <w:kern w:val="0"/>
          <w:sz w:val="24"/>
          <w:highlight w:val="none"/>
        </w:rPr>
        <w:t>　　日   期：</w:t>
      </w:r>
    </w:p>
    <w:p>
      <w:pPr>
        <w:pStyle w:val="18"/>
        <w:rPr>
          <w:rFonts w:hint="eastAsia" w:ascii="仿宋" w:hAnsi="仿宋" w:eastAsia="仿宋" w:cs="仿宋"/>
          <w:highlight w:val="none"/>
        </w:rPr>
      </w:pPr>
      <w:r>
        <w:rPr>
          <w:rFonts w:hint="eastAsia" w:ascii="仿宋" w:hAnsi="仿宋" w:eastAsia="仿宋" w:cs="仿宋"/>
          <w:highlight w:val="none"/>
        </w:rPr>
        <w:t>注：人员、营业收入、资产总额填报上一年度数据，无上一年度数据的新成立企业可不填报。</w:t>
      </w:r>
    </w:p>
    <w:p>
      <w:pPr>
        <w:pStyle w:val="18"/>
        <w:rPr>
          <w:rFonts w:hint="eastAsia" w:ascii="仿宋" w:hAnsi="仿宋" w:eastAsia="仿宋" w:cs="仿宋"/>
          <w:highlight w:val="none"/>
        </w:rPr>
      </w:pPr>
    </w:p>
    <w:p>
      <w:pPr>
        <w:pStyle w:val="18"/>
        <w:rPr>
          <w:rFonts w:hint="eastAsia" w:ascii="仿宋" w:hAnsi="仿宋" w:eastAsia="仿宋" w:cs="仿宋"/>
          <w:highlight w:val="none"/>
        </w:rPr>
      </w:pPr>
      <w:r>
        <w:rPr>
          <w:rFonts w:hint="eastAsia" w:ascii="仿宋" w:hAnsi="仿宋" w:eastAsia="仿宋" w:cs="仿宋"/>
          <w:highlight w:val="none"/>
        </w:rPr>
        <w:t>（若响应文件中无上述证明文件，则在评审时不考虑对该小、微企业的相关优惠。）</w:t>
      </w: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color w:val="000000"/>
          <w:kern w:val="0"/>
          <w:sz w:val="24"/>
          <w:highlight w:val="none"/>
        </w:rPr>
      </w:pPr>
    </w:p>
    <w:p>
      <w:pPr>
        <w:adjustRightInd w:val="0"/>
        <w:snapToGrid w:val="0"/>
        <w:spacing w:line="360" w:lineRule="auto"/>
        <w:ind w:firstLine="482" w:firstLineChars="200"/>
        <w:jc w:val="center"/>
        <w:rPr>
          <w:rFonts w:hint="eastAsia" w:ascii="仿宋" w:hAnsi="仿宋" w:eastAsia="仿宋" w:cs="仿宋"/>
          <w:b/>
          <w:color w:val="000000"/>
          <w:kern w:val="0"/>
          <w:sz w:val="24"/>
          <w:highlight w:val="none"/>
        </w:rPr>
      </w:pPr>
    </w:p>
    <w:p>
      <w:pPr>
        <w:adjustRightInd w:val="0"/>
        <w:snapToGrid w:val="0"/>
        <w:spacing w:line="360" w:lineRule="auto"/>
        <w:ind w:firstLine="482" w:firstLineChars="200"/>
        <w:jc w:val="center"/>
        <w:rPr>
          <w:rFonts w:hint="eastAsia" w:ascii="仿宋" w:hAnsi="仿宋" w:eastAsia="仿宋" w:cs="仿宋"/>
          <w:b/>
          <w:color w:val="000000"/>
          <w:kern w:val="0"/>
          <w:sz w:val="24"/>
          <w:highlight w:val="none"/>
        </w:rPr>
      </w:pPr>
    </w:p>
    <w:p>
      <w:pPr>
        <w:adjustRightInd w:val="0"/>
        <w:snapToGrid w:val="0"/>
        <w:spacing w:line="360" w:lineRule="auto"/>
        <w:ind w:firstLine="482" w:firstLineChars="200"/>
        <w:jc w:val="center"/>
        <w:rPr>
          <w:rFonts w:hint="eastAsia" w:ascii="仿宋" w:hAnsi="仿宋" w:eastAsia="仿宋" w:cs="仿宋"/>
          <w:b/>
          <w:color w:val="000000"/>
          <w:kern w:val="0"/>
          <w:sz w:val="24"/>
          <w:highlight w:val="none"/>
        </w:rPr>
      </w:pPr>
    </w:p>
    <w:p>
      <w:pPr>
        <w:adjustRightInd w:val="0"/>
        <w:snapToGrid w:val="0"/>
        <w:spacing w:line="360" w:lineRule="auto"/>
        <w:ind w:firstLine="482" w:firstLineChars="200"/>
        <w:jc w:val="center"/>
        <w:rPr>
          <w:rFonts w:hint="eastAsia" w:ascii="仿宋" w:hAnsi="仿宋" w:eastAsia="仿宋" w:cs="仿宋"/>
          <w:b/>
          <w:color w:val="000000"/>
          <w:kern w:val="0"/>
          <w:sz w:val="24"/>
          <w:highlight w:val="none"/>
        </w:rPr>
      </w:pPr>
    </w:p>
    <w:p>
      <w:pPr>
        <w:adjustRightInd w:val="0"/>
        <w:snapToGrid w:val="0"/>
        <w:spacing w:line="360" w:lineRule="auto"/>
        <w:ind w:firstLine="482" w:firstLineChars="200"/>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监狱企业声明函</w:t>
      </w:r>
    </w:p>
    <w:p>
      <w:pPr>
        <w:adjustRightInd w:val="0"/>
        <w:snapToGrid w:val="0"/>
        <w:spacing w:line="360" w:lineRule="auto"/>
        <w:ind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（监狱企业适用）</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本公司郑重声明，根据《关于政府采购支持监狱企业发展有关问题的通知》（财库[2014]68号）的规定，本公司为监狱企业。</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本公司参加______单位的______项目采购活动，采购活动提供本企业（填写制造的货物，由本企业承担工程、提供服务）。</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本条所称货物不包括使用大型企业注册商标的货物和服务。</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本公司对上述声明的真实性负责。如有虚假，将依法承担相应责任。</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企业名称（盖公章）：</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法定代表人（负责人）或其授权代表(签字)：</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2" w:firstLineChars="200"/>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残疾人福利性单位声明函</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本单位对上述声明的真实性负责。如有虚假，将依法承担相应责任。                               </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单位名称（盖章）：</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日  期：</w:t>
      </w:r>
    </w:p>
    <w:p>
      <w:pPr>
        <w:spacing w:line="440" w:lineRule="exact"/>
        <w:ind w:firstLine="420"/>
        <w:jc w:val="center"/>
        <w:rPr>
          <w:rFonts w:hint="eastAsia" w:ascii="仿宋" w:hAnsi="仿宋" w:eastAsia="仿宋" w:cs="仿宋"/>
          <w:b/>
          <w:color w:val="000000" w:themeColor="text1"/>
          <w:szCs w:val="22"/>
          <w:highlight w:val="none"/>
          <w14:textFill>
            <w14:solidFill>
              <w14:schemeClr w14:val="tx1"/>
            </w14:solidFill>
          </w14:textFill>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十四、无重大违法记录声明书</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u w:val="single"/>
        </w:rPr>
        <w:t xml:space="preserve">（招标人）         </w:t>
      </w:r>
      <w:r>
        <w:rPr>
          <w:rFonts w:hint="eastAsia" w:ascii="仿宋" w:hAnsi="仿宋" w:eastAsia="仿宋" w:cs="仿宋"/>
          <w:sz w:val="24"/>
          <w:highlight w:val="none"/>
        </w:rPr>
        <w:t>：</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我公司参与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特此声明  </w:t>
      </w: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sz w:val="24"/>
          <w:highlight w:val="none"/>
        </w:rPr>
      </w:pPr>
    </w:p>
    <w:p>
      <w:pPr>
        <w:adjustRightInd w:val="0"/>
        <w:snapToGrid w:val="0"/>
        <w:spacing w:line="360" w:lineRule="auto"/>
        <w:ind w:firstLine="480" w:firstLineChars="200"/>
        <w:rPr>
          <w:rFonts w:hint="eastAsia" w:ascii="仿宋" w:hAnsi="仿宋" w:eastAsia="仿宋" w:cs="仿宋"/>
          <w:bCs/>
          <w:sz w:val="24"/>
          <w:highlight w:val="none"/>
        </w:rPr>
      </w:pPr>
    </w:p>
    <w:p>
      <w:pPr>
        <w:adjustRightInd w:val="0"/>
        <w:snapToGrid w:val="0"/>
        <w:spacing w:line="360" w:lineRule="auto"/>
        <w:ind w:firstLine="3112" w:firstLineChars="1297"/>
        <w:rPr>
          <w:rFonts w:hint="eastAsia" w:ascii="仿宋" w:hAnsi="仿宋" w:eastAsia="仿宋" w:cs="仿宋"/>
          <w:sz w:val="24"/>
          <w:highlight w:val="none"/>
        </w:rPr>
      </w:pPr>
    </w:p>
    <w:p>
      <w:pPr>
        <w:spacing w:line="360" w:lineRule="auto"/>
        <w:ind w:firstLine="4003" w:firstLineChars="1668"/>
        <w:rPr>
          <w:rFonts w:hint="eastAsia" w:ascii="仿宋" w:hAnsi="仿宋" w:eastAsia="仿宋" w:cs="仿宋"/>
          <w:sz w:val="24"/>
          <w:highlight w:val="none"/>
          <w:u w:val="single"/>
        </w:rPr>
      </w:pPr>
      <w:r>
        <w:rPr>
          <w:rFonts w:hint="eastAsia" w:ascii="仿宋" w:hAnsi="仿宋" w:eastAsia="仿宋" w:cs="仿宋"/>
          <w:sz w:val="24"/>
          <w:highlight w:val="none"/>
        </w:rPr>
        <w:t>投标人名称（盖单位章）：</w:t>
      </w:r>
      <w:r>
        <w:rPr>
          <w:rFonts w:hint="eastAsia" w:ascii="仿宋" w:hAnsi="仿宋" w:eastAsia="仿宋" w:cs="仿宋"/>
          <w:sz w:val="24"/>
          <w:highlight w:val="none"/>
          <w:u w:val="single"/>
        </w:rPr>
        <w:t xml:space="preserve">                 </w:t>
      </w:r>
    </w:p>
    <w:p>
      <w:pPr>
        <w:spacing w:line="360" w:lineRule="auto"/>
        <w:ind w:firstLine="4003" w:firstLineChars="1668"/>
        <w:rPr>
          <w:rFonts w:hint="eastAsia" w:ascii="仿宋" w:hAnsi="仿宋" w:eastAsia="仿宋" w:cs="仿宋"/>
          <w:sz w:val="24"/>
          <w:highlight w:val="none"/>
          <w:u w:val="single"/>
        </w:rPr>
      </w:pPr>
      <w:r>
        <w:rPr>
          <w:rFonts w:hint="eastAsia" w:ascii="仿宋" w:hAnsi="仿宋" w:eastAsia="仿宋" w:cs="仿宋"/>
          <w:sz w:val="24"/>
          <w:highlight w:val="none"/>
        </w:rPr>
        <w:t>法定代表人（签字或盖章）：</w:t>
      </w:r>
      <w:r>
        <w:rPr>
          <w:rFonts w:hint="eastAsia" w:ascii="仿宋" w:hAnsi="仿宋" w:eastAsia="仿宋" w:cs="仿宋"/>
          <w:sz w:val="24"/>
          <w:highlight w:val="none"/>
          <w:u w:val="single"/>
        </w:rPr>
        <w:t xml:space="preserve">                </w:t>
      </w:r>
    </w:p>
    <w:p>
      <w:pPr>
        <w:spacing w:line="360" w:lineRule="auto"/>
        <w:ind w:firstLine="4003" w:firstLineChars="1668"/>
        <w:rPr>
          <w:rFonts w:hint="eastAsia" w:ascii="仿宋" w:hAnsi="仿宋" w:eastAsia="仿宋" w:cs="仿宋"/>
          <w:sz w:val="24"/>
          <w:highlight w:val="none"/>
        </w:rPr>
      </w:pPr>
      <w:r>
        <w:rPr>
          <w:rFonts w:hint="eastAsia" w:ascii="仿宋" w:hAnsi="仿宋" w:eastAsia="仿宋" w:cs="仿宋"/>
          <w:sz w:val="24"/>
          <w:highlight w:val="none"/>
        </w:rPr>
        <w:t xml:space="preserve">日    期：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十五、其他附表</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一、节能、环境标志产品优惠明细表</w:t>
      </w: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(若有，请如实填写)</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（1）节能产品明细清单                       报价货币种类</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金额单位：元</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制造商</w:t>
            </w:r>
          </w:p>
        </w:tc>
        <w:tc>
          <w:tcPr>
            <w:tcW w:w="518"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品牌</w:t>
            </w:r>
          </w:p>
        </w:tc>
        <w:tc>
          <w:tcPr>
            <w:tcW w:w="1628"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产品名称、规格型号</w:t>
            </w:r>
          </w:p>
        </w:tc>
        <w:tc>
          <w:tcPr>
            <w:tcW w:w="1074"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节字标志认证证书号</w:t>
            </w:r>
          </w:p>
        </w:tc>
        <w:tc>
          <w:tcPr>
            <w:tcW w:w="1683"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节能产品认证证书有效截止日期</w:t>
            </w:r>
          </w:p>
        </w:tc>
        <w:tc>
          <w:tcPr>
            <w:tcW w:w="2004"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产品所在节能产品政府采购清单页码</w:t>
            </w:r>
          </w:p>
        </w:tc>
        <w:tc>
          <w:tcPr>
            <w:tcW w:w="715"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c>
          <w:tcPr>
            <w:tcW w:w="619"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753"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hint="eastAsia" w:ascii="仿宋" w:hAnsi="仿宋" w:eastAsia="仿宋" w:cs="仿宋"/>
                <w:color w:val="000000"/>
                <w:sz w:val="24"/>
                <w:highlight w:val="none"/>
              </w:rPr>
            </w:pPr>
          </w:p>
        </w:tc>
        <w:tc>
          <w:tcPr>
            <w:tcW w:w="518" w:type="dxa"/>
            <w:vAlign w:val="center"/>
          </w:tcPr>
          <w:p>
            <w:pPr>
              <w:spacing w:line="440" w:lineRule="exact"/>
              <w:jc w:val="center"/>
              <w:rPr>
                <w:rFonts w:hint="eastAsia" w:ascii="仿宋" w:hAnsi="仿宋" w:eastAsia="仿宋" w:cs="仿宋"/>
                <w:color w:val="000000"/>
                <w:sz w:val="24"/>
                <w:highlight w:val="none"/>
              </w:rPr>
            </w:pPr>
          </w:p>
        </w:tc>
        <w:tc>
          <w:tcPr>
            <w:tcW w:w="1628" w:type="dxa"/>
            <w:vAlign w:val="center"/>
          </w:tcPr>
          <w:p>
            <w:pPr>
              <w:spacing w:line="440" w:lineRule="exact"/>
              <w:jc w:val="center"/>
              <w:rPr>
                <w:rFonts w:hint="eastAsia" w:ascii="仿宋" w:hAnsi="仿宋" w:eastAsia="仿宋" w:cs="仿宋"/>
                <w:color w:val="000000"/>
                <w:sz w:val="24"/>
                <w:highlight w:val="none"/>
              </w:rPr>
            </w:pPr>
          </w:p>
        </w:tc>
        <w:tc>
          <w:tcPr>
            <w:tcW w:w="1074" w:type="dxa"/>
            <w:vAlign w:val="center"/>
          </w:tcPr>
          <w:p>
            <w:pPr>
              <w:spacing w:line="440" w:lineRule="exact"/>
              <w:jc w:val="center"/>
              <w:rPr>
                <w:rFonts w:hint="eastAsia" w:ascii="仿宋" w:hAnsi="仿宋" w:eastAsia="仿宋" w:cs="仿宋"/>
                <w:color w:val="000000"/>
                <w:sz w:val="24"/>
                <w:highlight w:val="none"/>
              </w:rPr>
            </w:pPr>
          </w:p>
        </w:tc>
        <w:tc>
          <w:tcPr>
            <w:tcW w:w="1683" w:type="dxa"/>
            <w:vAlign w:val="center"/>
          </w:tcPr>
          <w:p>
            <w:pPr>
              <w:spacing w:line="440" w:lineRule="exact"/>
              <w:jc w:val="center"/>
              <w:rPr>
                <w:rFonts w:hint="eastAsia" w:ascii="仿宋" w:hAnsi="仿宋" w:eastAsia="仿宋" w:cs="仿宋"/>
                <w:color w:val="000000"/>
                <w:sz w:val="24"/>
                <w:highlight w:val="none"/>
              </w:rPr>
            </w:pPr>
          </w:p>
        </w:tc>
        <w:tc>
          <w:tcPr>
            <w:tcW w:w="2004" w:type="dxa"/>
            <w:vAlign w:val="center"/>
          </w:tcPr>
          <w:p>
            <w:pPr>
              <w:spacing w:line="440" w:lineRule="exact"/>
              <w:jc w:val="center"/>
              <w:rPr>
                <w:rFonts w:hint="eastAsia" w:ascii="仿宋" w:hAnsi="仿宋" w:eastAsia="仿宋" w:cs="仿宋"/>
                <w:color w:val="000000"/>
                <w:sz w:val="24"/>
                <w:highlight w:val="none"/>
              </w:rPr>
            </w:pPr>
          </w:p>
        </w:tc>
        <w:tc>
          <w:tcPr>
            <w:tcW w:w="715" w:type="dxa"/>
            <w:vAlign w:val="center"/>
          </w:tcPr>
          <w:p>
            <w:pPr>
              <w:spacing w:line="440" w:lineRule="exact"/>
              <w:jc w:val="center"/>
              <w:rPr>
                <w:rFonts w:hint="eastAsia" w:ascii="仿宋" w:hAnsi="仿宋" w:eastAsia="仿宋" w:cs="仿宋"/>
                <w:color w:val="000000"/>
                <w:sz w:val="24"/>
                <w:highlight w:val="none"/>
              </w:rPr>
            </w:pPr>
          </w:p>
        </w:tc>
        <w:tc>
          <w:tcPr>
            <w:tcW w:w="619" w:type="dxa"/>
            <w:vAlign w:val="center"/>
          </w:tcPr>
          <w:p>
            <w:pPr>
              <w:spacing w:line="440" w:lineRule="exact"/>
              <w:jc w:val="center"/>
              <w:rPr>
                <w:rFonts w:hint="eastAsia" w:ascii="仿宋" w:hAnsi="仿宋" w:eastAsia="仿宋" w:cs="仿宋"/>
                <w:color w:val="000000"/>
                <w:sz w:val="24"/>
                <w:highlight w:val="none"/>
              </w:rPr>
            </w:pPr>
          </w:p>
        </w:tc>
        <w:tc>
          <w:tcPr>
            <w:tcW w:w="753" w:type="dxa"/>
            <w:vAlign w:val="center"/>
          </w:tcPr>
          <w:p>
            <w:pPr>
              <w:spacing w:line="4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hint="eastAsia" w:ascii="仿宋" w:hAnsi="仿宋" w:eastAsia="仿宋" w:cs="仿宋"/>
                <w:color w:val="000000"/>
                <w:sz w:val="24"/>
                <w:highlight w:val="none"/>
              </w:rPr>
            </w:pPr>
          </w:p>
        </w:tc>
        <w:tc>
          <w:tcPr>
            <w:tcW w:w="518" w:type="dxa"/>
            <w:vAlign w:val="center"/>
          </w:tcPr>
          <w:p>
            <w:pPr>
              <w:spacing w:line="440" w:lineRule="exact"/>
              <w:jc w:val="center"/>
              <w:rPr>
                <w:rFonts w:hint="eastAsia" w:ascii="仿宋" w:hAnsi="仿宋" w:eastAsia="仿宋" w:cs="仿宋"/>
                <w:color w:val="000000"/>
                <w:sz w:val="24"/>
                <w:highlight w:val="none"/>
              </w:rPr>
            </w:pPr>
          </w:p>
        </w:tc>
        <w:tc>
          <w:tcPr>
            <w:tcW w:w="1628" w:type="dxa"/>
            <w:vAlign w:val="center"/>
          </w:tcPr>
          <w:p>
            <w:pPr>
              <w:spacing w:line="440" w:lineRule="exact"/>
              <w:jc w:val="center"/>
              <w:rPr>
                <w:rFonts w:hint="eastAsia" w:ascii="仿宋" w:hAnsi="仿宋" w:eastAsia="仿宋" w:cs="仿宋"/>
                <w:color w:val="000000"/>
                <w:sz w:val="24"/>
                <w:highlight w:val="none"/>
              </w:rPr>
            </w:pPr>
          </w:p>
        </w:tc>
        <w:tc>
          <w:tcPr>
            <w:tcW w:w="1074" w:type="dxa"/>
            <w:vAlign w:val="center"/>
          </w:tcPr>
          <w:p>
            <w:pPr>
              <w:spacing w:line="440" w:lineRule="exact"/>
              <w:jc w:val="center"/>
              <w:rPr>
                <w:rFonts w:hint="eastAsia" w:ascii="仿宋" w:hAnsi="仿宋" w:eastAsia="仿宋" w:cs="仿宋"/>
                <w:color w:val="000000"/>
                <w:sz w:val="24"/>
                <w:highlight w:val="none"/>
              </w:rPr>
            </w:pPr>
          </w:p>
        </w:tc>
        <w:tc>
          <w:tcPr>
            <w:tcW w:w="1683" w:type="dxa"/>
            <w:vAlign w:val="center"/>
          </w:tcPr>
          <w:p>
            <w:pPr>
              <w:spacing w:line="440" w:lineRule="exact"/>
              <w:jc w:val="center"/>
              <w:rPr>
                <w:rFonts w:hint="eastAsia" w:ascii="仿宋" w:hAnsi="仿宋" w:eastAsia="仿宋" w:cs="仿宋"/>
                <w:color w:val="000000"/>
                <w:sz w:val="24"/>
                <w:highlight w:val="none"/>
              </w:rPr>
            </w:pPr>
          </w:p>
        </w:tc>
        <w:tc>
          <w:tcPr>
            <w:tcW w:w="2004" w:type="dxa"/>
            <w:vAlign w:val="center"/>
          </w:tcPr>
          <w:p>
            <w:pPr>
              <w:spacing w:line="440" w:lineRule="exact"/>
              <w:jc w:val="center"/>
              <w:rPr>
                <w:rFonts w:hint="eastAsia" w:ascii="仿宋" w:hAnsi="仿宋" w:eastAsia="仿宋" w:cs="仿宋"/>
                <w:color w:val="000000"/>
                <w:sz w:val="24"/>
                <w:highlight w:val="none"/>
              </w:rPr>
            </w:pPr>
          </w:p>
        </w:tc>
        <w:tc>
          <w:tcPr>
            <w:tcW w:w="715" w:type="dxa"/>
            <w:vAlign w:val="center"/>
          </w:tcPr>
          <w:p>
            <w:pPr>
              <w:spacing w:line="440" w:lineRule="exact"/>
              <w:jc w:val="center"/>
              <w:rPr>
                <w:rFonts w:hint="eastAsia" w:ascii="仿宋" w:hAnsi="仿宋" w:eastAsia="仿宋" w:cs="仿宋"/>
                <w:color w:val="000000"/>
                <w:sz w:val="24"/>
                <w:highlight w:val="none"/>
              </w:rPr>
            </w:pPr>
          </w:p>
        </w:tc>
        <w:tc>
          <w:tcPr>
            <w:tcW w:w="619" w:type="dxa"/>
            <w:vAlign w:val="center"/>
          </w:tcPr>
          <w:p>
            <w:pPr>
              <w:spacing w:line="440" w:lineRule="exact"/>
              <w:jc w:val="center"/>
              <w:rPr>
                <w:rFonts w:hint="eastAsia" w:ascii="仿宋" w:hAnsi="仿宋" w:eastAsia="仿宋" w:cs="仿宋"/>
                <w:color w:val="000000"/>
                <w:sz w:val="24"/>
                <w:highlight w:val="none"/>
              </w:rPr>
            </w:pPr>
          </w:p>
        </w:tc>
        <w:tc>
          <w:tcPr>
            <w:tcW w:w="753" w:type="dxa"/>
            <w:vAlign w:val="center"/>
          </w:tcPr>
          <w:p>
            <w:pPr>
              <w:spacing w:line="4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合计金额</w:t>
            </w:r>
          </w:p>
        </w:tc>
        <w:tc>
          <w:tcPr>
            <w:tcW w:w="4091" w:type="dxa"/>
            <w:gridSpan w:val="4"/>
            <w:vAlign w:val="center"/>
          </w:tcPr>
          <w:p>
            <w:pPr>
              <w:spacing w:line="440" w:lineRule="exact"/>
              <w:rPr>
                <w:rFonts w:hint="eastAsia" w:ascii="仿宋" w:hAnsi="仿宋" w:eastAsia="仿宋" w:cs="仿宋"/>
                <w:color w:val="000000"/>
                <w:sz w:val="24"/>
                <w:highlight w:val="none"/>
              </w:rPr>
            </w:pPr>
          </w:p>
        </w:tc>
      </w:tr>
    </w:tbl>
    <w:p>
      <w:pPr>
        <w:spacing w:line="440" w:lineRule="exact"/>
        <w:rPr>
          <w:rFonts w:hint="eastAsia" w:ascii="仿宋" w:hAnsi="仿宋" w:eastAsia="仿宋" w:cs="仿宋"/>
          <w:color w:val="000000"/>
          <w:sz w:val="24"/>
          <w:highlight w:val="none"/>
        </w:rPr>
      </w:pP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（2）环保产品明细清单                   报价货币种类</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金额单位：元</w:t>
      </w:r>
    </w:p>
    <w:tbl>
      <w:tblPr>
        <w:tblStyle w:val="2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制造商</w:t>
            </w:r>
          </w:p>
        </w:tc>
        <w:tc>
          <w:tcPr>
            <w:tcW w:w="855"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品牌</w:t>
            </w:r>
          </w:p>
        </w:tc>
        <w:tc>
          <w:tcPr>
            <w:tcW w:w="1159"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产品名称、规格型号</w:t>
            </w:r>
          </w:p>
        </w:tc>
        <w:tc>
          <w:tcPr>
            <w:tcW w:w="1496"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中国环境标志认证证书编号</w:t>
            </w:r>
          </w:p>
        </w:tc>
        <w:tc>
          <w:tcPr>
            <w:tcW w:w="1498"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认证证书有效截止日期</w:t>
            </w:r>
          </w:p>
        </w:tc>
        <w:tc>
          <w:tcPr>
            <w:tcW w:w="1888"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产品所在环境标志产品政府采购清单页码</w:t>
            </w:r>
          </w:p>
        </w:tc>
        <w:tc>
          <w:tcPr>
            <w:tcW w:w="605"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w:t>
            </w:r>
          </w:p>
        </w:tc>
        <w:tc>
          <w:tcPr>
            <w:tcW w:w="678"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820" w:type="dxa"/>
            <w:vAlign w:val="center"/>
          </w:tcPr>
          <w:p>
            <w:pPr>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hint="eastAsia" w:ascii="仿宋" w:hAnsi="仿宋" w:eastAsia="仿宋" w:cs="仿宋"/>
                <w:color w:val="000000"/>
                <w:sz w:val="24"/>
                <w:highlight w:val="none"/>
              </w:rPr>
            </w:pPr>
          </w:p>
        </w:tc>
        <w:tc>
          <w:tcPr>
            <w:tcW w:w="855" w:type="dxa"/>
            <w:vAlign w:val="center"/>
          </w:tcPr>
          <w:p>
            <w:pPr>
              <w:spacing w:line="440" w:lineRule="exact"/>
              <w:jc w:val="center"/>
              <w:rPr>
                <w:rFonts w:hint="eastAsia" w:ascii="仿宋" w:hAnsi="仿宋" w:eastAsia="仿宋" w:cs="仿宋"/>
                <w:color w:val="000000"/>
                <w:sz w:val="24"/>
                <w:highlight w:val="none"/>
              </w:rPr>
            </w:pPr>
          </w:p>
        </w:tc>
        <w:tc>
          <w:tcPr>
            <w:tcW w:w="1159" w:type="dxa"/>
            <w:vAlign w:val="center"/>
          </w:tcPr>
          <w:p>
            <w:pPr>
              <w:spacing w:line="440" w:lineRule="exact"/>
              <w:jc w:val="center"/>
              <w:rPr>
                <w:rFonts w:hint="eastAsia" w:ascii="仿宋" w:hAnsi="仿宋" w:eastAsia="仿宋" w:cs="仿宋"/>
                <w:color w:val="000000"/>
                <w:sz w:val="24"/>
                <w:highlight w:val="none"/>
              </w:rPr>
            </w:pPr>
          </w:p>
        </w:tc>
        <w:tc>
          <w:tcPr>
            <w:tcW w:w="1496" w:type="dxa"/>
            <w:vAlign w:val="center"/>
          </w:tcPr>
          <w:p>
            <w:pPr>
              <w:spacing w:line="440" w:lineRule="exact"/>
              <w:jc w:val="center"/>
              <w:rPr>
                <w:rFonts w:hint="eastAsia" w:ascii="仿宋" w:hAnsi="仿宋" w:eastAsia="仿宋" w:cs="仿宋"/>
                <w:color w:val="000000"/>
                <w:sz w:val="24"/>
                <w:highlight w:val="none"/>
              </w:rPr>
            </w:pPr>
          </w:p>
        </w:tc>
        <w:tc>
          <w:tcPr>
            <w:tcW w:w="1498" w:type="dxa"/>
            <w:vAlign w:val="center"/>
          </w:tcPr>
          <w:p>
            <w:pPr>
              <w:spacing w:line="440" w:lineRule="exact"/>
              <w:jc w:val="center"/>
              <w:rPr>
                <w:rFonts w:hint="eastAsia" w:ascii="仿宋" w:hAnsi="仿宋" w:eastAsia="仿宋" w:cs="仿宋"/>
                <w:color w:val="000000"/>
                <w:sz w:val="24"/>
                <w:highlight w:val="none"/>
              </w:rPr>
            </w:pPr>
          </w:p>
        </w:tc>
        <w:tc>
          <w:tcPr>
            <w:tcW w:w="1888" w:type="dxa"/>
            <w:vAlign w:val="center"/>
          </w:tcPr>
          <w:p>
            <w:pPr>
              <w:spacing w:line="440" w:lineRule="exact"/>
              <w:jc w:val="center"/>
              <w:rPr>
                <w:rFonts w:hint="eastAsia" w:ascii="仿宋" w:hAnsi="仿宋" w:eastAsia="仿宋" w:cs="仿宋"/>
                <w:color w:val="000000"/>
                <w:sz w:val="24"/>
                <w:highlight w:val="none"/>
              </w:rPr>
            </w:pPr>
          </w:p>
        </w:tc>
        <w:tc>
          <w:tcPr>
            <w:tcW w:w="605" w:type="dxa"/>
            <w:vAlign w:val="center"/>
          </w:tcPr>
          <w:p>
            <w:pPr>
              <w:spacing w:line="440" w:lineRule="exact"/>
              <w:jc w:val="center"/>
              <w:rPr>
                <w:rFonts w:hint="eastAsia" w:ascii="仿宋" w:hAnsi="仿宋" w:eastAsia="仿宋" w:cs="仿宋"/>
                <w:color w:val="000000"/>
                <w:sz w:val="24"/>
                <w:highlight w:val="none"/>
              </w:rPr>
            </w:pPr>
          </w:p>
        </w:tc>
        <w:tc>
          <w:tcPr>
            <w:tcW w:w="678" w:type="dxa"/>
            <w:vAlign w:val="center"/>
          </w:tcPr>
          <w:p>
            <w:pPr>
              <w:spacing w:line="440" w:lineRule="exact"/>
              <w:jc w:val="center"/>
              <w:rPr>
                <w:rFonts w:hint="eastAsia" w:ascii="仿宋" w:hAnsi="仿宋" w:eastAsia="仿宋" w:cs="仿宋"/>
                <w:color w:val="000000"/>
                <w:sz w:val="24"/>
                <w:highlight w:val="none"/>
              </w:rPr>
            </w:pPr>
          </w:p>
        </w:tc>
        <w:tc>
          <w:tcPr>
            <w:tcW w:w="820" w:type="dxa"/>
            <w:vAlign w:val="center"/>
          </w:tcPr>
          <w:p>
            <w:pPr>
              <w:spacing w:line="4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hint="eastAsia" w:ascii="仿宋" w:hAnsi="仿宋" w:eastAsia="仿宋" w:cs="仿宋"/>
                <w:color w:val="000000"/>
                <w:sz w:val="24"/>
                <w:highlight w:val="none"/>
              </w:rPr>
            </w:pPr>
          </w:p>
        </w:tc>
        <w:tc>
          <w:tcPr>
            <w:tcW w:w="855" w:type="dxa"/>
            <w:vAlign w:val="center"/>
          </w:tcPr>
          <w:p>
            <w:pPr>
              <w:spacing w:line="440" w:lineRule="exact"/>
              <w:jc w:val="center"/>
              <w:rPr>
                <w:rFonts w:hint="eastAsia" w:ascii="仿宋" w:hAnsi="仿宋" w:eastAsia="仿宋" w:cs="仿宋"/>
                <w:color w:val="000000"/>
                <w:sz w:val="24"/>
                <w:highlight w:val="none"/>
              </w:rPr>
            </w:pPr>
          </w:p>
        </w:tc>
        <w:tc>
          <w:tcPr>
            <w:tcW w:w="1159" w:type="dxa"/>
            <w:vAlign w:val="center"/>
          </w:tcPr>
          <w:p>
            <w:pPr>
              <w:spacing w:line="440" w:lineRule="exact"/>
              <w:jc w:val="center"/>
              <w:rPr>
                <w:rFonts w:hint="eastAsia" w:ascii="仿宋" w:hAnsi="仿宋" w:eastAsia="仿宋" w:cs="仿宋"/>
                <w:color w:val="000000"/>
                <w:sz w:val="24"/>
                <w:highlight w:val="none"/>
              </w:rPr>
            </w:pPr>
          </w:p>
        </w:tc>
        <w:tc>
          <w:tcPr>
            <w:tcW w:w="1496" w:type="dxa"/>
            <w:vAlign w:val="center"/>
          </w:tcPr>
          <w:p>
            <w:pPr>
              <w:spacing w:line="440" w:lineRule="exact"/>
              <w:jc w:val="center"/>
              <w:rPr>
                <w:rFonts w:hint="eastAsia" w:ascii="仿宋" w:hAnsi="仿宋" w:eastAsia="仿宋" w:cs="仿宋"/>
                <w:color w:val="000000"/>
                <w:sz w:val="24"/>
                <w:highlight w:val="none"/>
              </w:rPr>
            </w:pPr>
          </w:p>
        </w:tc>
        <w:tc>
          <w:tcPr>
            <w:tcW w:w="1498" w:type="dxa"/>
            <w:vAlign w:val="center"/>
          </w:tcPr>
          <w:p>
            <w:pPr>
              <w:spacing w:line="440" w:lineRule="exact"/>
              <w:jc w:val="center"/>
              <w:rPr>
                <w:rFonts w:hint="eastAsia" w:ascii="仿宋" w:hAnsi="仿宋" w:eastAsia="仿宋" w:cs="仿宋"/>
                <w:color w:val="000000"/>
                <w:sz w:val="24"/>
                <w:highlight w:val="none"/>
              </w:rPr>
            </w:pPr>
          </w:p>
        </w:tc>
        <w:tc>
          <w:tcPr>
            <w:tcW w:w="1888" w:type="dxa"/>
            <w:vAlign w:val="center"/>
          </w:tcPr>
          <w:p>
            <w:pPr>
              <w:spacing w:line="440" w:lineRule="exact"/>
              <w:jc w:val="center"/>
              <w:rPr>
                <w:rFonts w:hint="eastAsia" w:ascii="仿宋" w:hAnsi="仿宋" w:eastAsia="仿宋" w:cs="仿宋"/>
                <w:color w:val="000000"/>
                <w:sz w:val="24"/>
                <w:highlight w:val="none"/>
              </w:rPr>
            </w:pPr>
          </w:p>
        </w:tc>
        <w:tc>
          <w:tcPr>
            <w:tcW w:w="605" w:type="dxa"/>
            <w:vAlign w:val="center"/>
          </w:tcPr>
          <w:p>
            <w:pPr>
              <w:spacing w:line="440" w:lineRule="exact"/>
              <w:jc w:val="center"/>
              <w:rPr>
                <w:rFonts w:hint="eastAsia" w:ascii="仿宋" w:hAnsi="仿宋" w:eastAsia="仿宋" w:cs="仿宋"/>
                <w:color w:val="000000"/>
                <w:sz w:val="24"/>
                <w:highlight w:val="none"/>
              </w:rPr>
            </w:pPr>
          </w:p>
        </w:tc>
        <w:tc>
          <w:tcPr>
            <w:tcW w:w="678" w:type="dxa"/>
            <w:vAlign w:val="center"/>
          </w:tcPr>
          <w:p>
            <w:pPr>
              <w:spacing w:line="440" w:lineRule="exact"/>
              <w:jc w:val="center"/>
              <w:rPr>
                <w:rFonts w:hint="eastAsia" w:ascii="仿宋" w:hAnsi="仿宋" w:eastAsia="仿宋" w:cs="仿宋"/>
                <w:color w:val="000000"/>
                <w:sz w:val="24"/>
                <w:highlight w:val="none"/>
              </w:rPr>
            </w:pPr>
          </w:p>
        </w:tc>
        <w:tc>
          <w:tcPr>
            <w:tcW w:w="820" w:type="dxa"/>
            <w:vAlign w:val="center"/>
          </w:tcPr>
          <w:p>
            <w:pPr>
              <w:spacing w:line="440" w:lineRule="exact"/>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合计金额</w:t>
            </w:r>
          </w:p>
        </w:tc>
        <w:tc>
          <w:tcPr>
            <w:tcW w:w="3991" w:type="dxa"/>
            <w:gridSpan w:val="4"/>
            <w:vAlign w:val="center"/>
          </w:tcPr>
          <w:p>
            <w:pPr>
              <w:spacing w:line="440" w:lineRule="exact"/>
              <w:rPr>
                <w:rFonts w:hint="eastAsia" w:ascii="仿宋" w:hAnsi="仿宋" w:eastAsia="仿宋" w:cs="仿宋"/>
                <w:color w:val="000000"/>
                <w:sz w:val="24"/>
                <w:highlight w:val="none"/>
              </w:rPr>
            </w:pPr>
          </w:p>
        </w:tc>
      </w:tr>
    </w:tbl>
    <w:p>
      <w:pPr>
        <w:tabs>
          <w:tab w:val="left" w:pos="13000"/>
        </w:tabs>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pPr>
        <w:tabs>
          <w:tab w:val="left" w:pos="13000"/>
        </w:tabs>
        <w:spacing w:line="440" w:lineRule="exac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1、空调机、照明产品（包括双端荧光灯、自镇流荧光灯、单端荧光灯、管形荧光灯镇流器）、电视机、电热水器、计算机、打印机、显示器、便器、水嘴等九类产品为政府强制采购节能产品。</w:t>
      </w:r>
    </w:p>
    <w:p>
      <w:pPr>
        <w:spacing w:line="440" w:lineRule="exac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2、若无货物属于优先采购节能、环境标志产品的，则不填写此表。</w:t>
      </w:r>
    </w:p>
    <w:p>
      <w:pPr>
        <w:adjustRightInd w:val="0"/>
        <w:snapToGrid w:val="0"/>
        <w:spacing w:line="440" w:lineRule="exact"/>
        <w:rPr>
          <w:rFonts w:hint="eastAsia" w:ascii="仿宋" w:hAnsi="仿宋" w:eastAsia="仿宋" w:cs="仿宋"/>
          <w:color w:val="000000"/>
          <w:sz w:val="24"/>
          <w:highlight w:val="none"/>
        </w:rPr>
      </w:pPr>
    </w:p>
    <w:p>
      <w:pPr>
        <w:adjustRightInd w:val="0"/>
        <w:snapToGrid w:val="0"/>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供应商（盖单位章）：</w:t>
      </w:r>
    </w:p>
    <w:p>
      <w:pPr>
        <w:adjustRightInd w:val="0"/>
        <w:snapToGrid w:val="0"/>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法定代表人或其委托代理人签字：</w:t>
      </w:r>
      <w:r>
        <w:rPr>
          <w:rFonts w:hint="eastAsia" w:ascii="仿宋" w:hAnsi="仿宋" w:eastAsia="仿宋" w:cs="仿宋"/>
          <w:color w:val="000000"/>
          <w:sz w:val="24"/>
          <w:highlight w:val="none"/>
          <w:u w:val="single"/>
        </w:rPr>
        <w:t xml:space="preserve">       </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adjustRightInd w:val="0"/>
        <w:snapToGrid w:val="0"/>
        <w:spacing w:line="440" w:lineRule="exact"/>
        <w:ind w:right="24"/>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附件</w:t>
      </w:r>
    </w:p>
    <w:p>
      <w:pPr>
        <w:adjustRightInd w:val="0"/>
        <w:snapToGrid w:val="0"/>
        <w:spacing w:line="440" w:lineRule="exact"/>
        <w:ind w:right="24"/>
        <w:jc w:val="center"/>
        <w:rPr>
          <w:rFonts w:hint="eastAsia" w:ascii="仿宋" w:hAnsi="仿宋" w:eastAsia="仿宋" w:cs="仿宋"/>
          <w:color w:val="000000"/>
          <w:sz w:val="24"/>
          <w:highlight w:val="none"/>
        </w:rPr>
      </w:pPr>
    </w:p>
    <w:p>
      <w:pPr>
        <w:adjustRightInd w:val="0"/>
        <w:snapToGrid w:val="0"/>
        <w:spacing w:line="440" w:lineRule="exact"/>
        <w:ind w:right="24"/>
        <w:jc w:val="center"/>
        <w:rPr>
          <w:rFonts w:hint="eastAsia" w:ascii="仿宋" w:hAnsi="仿宋" w:eastAsia="仿宋" w:cs="仿宋"/>
          <w:b/>
          <w:bCs/>
          <w:color w:val="000000"/>
          <w:sz w:val="28"/>
          <w:szCs w:val="32"/>
          <w:highlight w:val="none"/>
        </w:rPr>
      </w:pPr>
      <w:r>
        <w:rPr>
          <w:rFonts w:hint="eastAsia" w:ascii="仿宋" w:hAnsi="仿宋" w:eastAsia="仿宋" w:cs="仿宋"/>
          <w:b/>
          <w:color w:val="000000"/>
          <w:sz w:val="28"/>
          <w:szCs w:val="32"/>
          <w:highlight w:val="none"/>
        </w:rPr>
        <w:t>节能、环境标志产品证明材料</w:t>
      </w:r>
    </w:p>
    <w:p>
      <w:pPr>
        <w:adjustRightInd w:val="0"/>
        <w:snapToGrid w:val="0"/>
        <w:spacing w:line="440" w:lineRule="exact"/>
        <w:ind w:right="24"/>
        <w:rPr>
          <w:rFonts w:hint="eastAsia" w:ascii="仿宋" w:hAnsi="仿宋" w:eastAsia="仿宋" w:cs="仿宋"/>
          <w:bCs/>
          <w:color w:val="000000"/>
          <w:sz w:val="24"/>
          <w:highlight w:val="none"/>
        </w:rPr>
      </w:pP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1.节能产品：应在</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中国政府采购网（ ht tp://www.ccgp.gov.cn ）</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国家发展改革委网站（ http://hzs.ndrc.gov.cn ）</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中国质量认证心网站（ http://www.cqc.com.cn ）</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2.环境标志产品：应在</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中国政府采购网（ http://www.ccgp.gov.cn ）</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国家环境保护部网（ http://www.sepa.gov.cn ）</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中国绿色采购网（ http://www.cgpn.cn ）</w:t>
      </w:r>
    </w:p>
    <w:p>
      <w:pPr>
        <w:spacing w:line="440" w:lineRule="exact"/>
        <w:ind w:firstLine="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3.属优先采购节能、环境标志产品须从以上权威媒体网站上下载的网页公告、目录清单、证书等，并注出所在位置。</w:t>
      </w:r>
    </w:p>
    <w:p>
      <w:pPr>
        <w:spacing w:line="440" w:lineRule="exact"/>
        <w:ind w:firstLine="480" w:firstLineChars="200"/>
        <w:rPr>
          <w:rFonts w:hint="eastAsia" w:ascii="仿宋" w:hAnsi="仿宋" w:eastAsia="仿宋" w:cs="仿宋"/>
          <w:b/>
          <w:color w:val="000000"/>
          <w:kern w:val="0"/>
          <w:sz w:val="24"/>
          <w:highlight w:val="none"/>
        </w:rPr>
      </w:pPr>
      <w:r>
        <w:rPr>
          <w:rFonts w:hint="eastAsia" w:ascii="仿宋" w:hAnsi="仿宋" w:eastAsia="仿宋" w:cs="仿宋"/>
          <w:color w:val="000000"/>
          <w:sz w:val="24"/>
          <w:highlight w:val="none"/>
        </w:rPr>
        <w:t>4.证明材料加盖供应商公章。</w:t>
      </w:r>
    </w:p>
    <w:p>
      <w:pPr>
        <w:spacing w:line="360" w:lineRule="auto"/>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color w:val="000000"/>
          <w:kern w:val="0"/>
          <w:sz w:val="32"/>
          <w:szCs w:val="32"/>
          <w:highlight w:val="none"/>
        </w:rPr>
      </w:pPr>
    </w:p>
    <w:p>
      <w:pPr>
        <w:spacing w:line="360" w:lineRule="auto"/>
        <w:rPr>
          <w:rFonts w:hint="eastAsia" w:ascii="仿宋" w:hAnsi="仿宋" w:eastAsia="仿宋" w:cs="仿宋"/>
          <w:b/>
          <w:color w:val="000000"/>
          <w:kern w:val="0"/>
          <w:sz w:val="32"/>
          <w:szCs w:val="32"/>
          <w:highlight w:val="none"/>
        </w:rPr>
      </w:pPr>
    </w:p>
    <w:p>
      <w:pPr>
        <w:spacing w:line="360" w:lineRule="auto"/>
        <w:rPr>
          <w:rFonts w:hint="eastAsia" w:ascii="仿宋" w:hAnsi="仿宋" w:eastAsia="仿宋" w:cs="仿宋"/>
          <w:b/>
          <w:color w:val="000000"/>
          <w:kern w:val="0"/>
          <w:sz w:val="32"/>
          <w:szCs w:val="32"/>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十六、投标人认为有必要提供的</w:t>
      </w:r>
      <w:r>
        <w:rPr>
          <w:rFonts w:hint="eastAsia" w:ascii="仿宋" w:hAnsi="仿宋" w:eastAsia="仿宋" w:cs="仿宋"/>
          <w:b/>
          <w:sz w:val="28"/>
          <w:szCs w:val="28"/>
          <w:highlight w:val="none"/>
          <w:lang w:val="en-US" w:eastAsia="zh-CN"/>
        </w:rPr>
        <w:t>其他</w:t>
      </w:r>
      <w:r>
        <w:rPr>
          <w:rFonts w:hint="eastAsia" w:ascii="仿宋" w:hAnsi="仿宋" w:eastAsia="仿宋" w:cs="仿宋"/>
          <w:b/>
          <w:sz w:val="28"/>
          <w:szCs w:val="28"/>
          <w:highlight w:val="none"/>
        </w:rPr>
        <w:t>内容</w:t>
      </w:r>
    </w:p>
    <w:p>
      <w:pPr>
        <w:spacing w:line="360" w:lineRule="auto"/>
        <w:ind w:left="420"/>
        <w:rPr>
          <w:rFonts w:hint="eastAsia" w:ascii="仿宋" w:hAnsi="仿宋" w:eastAsia="仿宋" w:cs="仿宋"/>
          <w:sz w:val="24"/>
          <w:highlight w:val="none"/>
        </w:rPr>
      </w:pPr>
      <w:r>
        <w:rPr>
          <w:rFonts w:hint="eastAsia" w:ascii="仿宋" w:hAnsi="仿宋" w:eastAsia="仿宋" w:cs="仿宋"/>
          <w:sz w:val="24"/>
          <w:highlight w:val="none"/>
        </w:rPr>
        <w:t>投标人认为有必要提供的其他证明材料（可参考评分标准，</w:t>
      </w:r>
      <w:r>
        <w:rPr>
          <w:rFonts w:hint="eastAsia" w:ascii="仿宋" w:hAnsi="仿宋" w:eastAsia="仿宋" w:cs="仿宋"/>
          <w:sz w:val="24"/>
          <w:highlight w:val="none"/>
          <w:lang w:val="en-US" w:eastAsia="zh-CN"/>
        </w:rPr>
        <w:t>磋商文件未提供</w:t>
      </w:r>
      <w:r>
        <w:rPr>
          <w:rFonts w:hint="eastAsia" w:ascii="仿宋" w:hAnsi="仿宋" w:eastAsia="仿宋" w:cs="仿宋"/>
          <w:sz w:val="24"/>
          <w:highlight w:val="none"/>
        </w:rPr>
        <w:t>格式的格式自拟）。</w:t>
      </w:r>
    </w:p>
    <w:p>
      <w:pPr>
        <w:spacing w:line="360" w:lineRule="auto"/>
        <w:ind w:left="420"/>
        <w:rPr>
          <w:rFonts w:hint="eastAsia" w:ascii="仿宋" w:hAnsi="仿宋" w:eastAsia="仿宋" w:cs="仿宋"/>
          <w:sz w:val="24"/>
          <w:highlight w:val="none"/>
        </w:rPr>
      </w:pPr>
    </w:p>
    <w:p>
      <w:pPr>
        <w:spacing w:line="360" w:lineRule="auto"/>
        <w:ind w:firstLine="482" w:firstLineChars="200"/>
        <w:rPr>
          <w:rFonts w:hint="eastAsia" w:ascii="仿宋" w:hAnsi="仿宋" w:eastAsia="仿宋" w:cs="仿宋"/>
          <w:b/>
          <w:bCs/>
          <w:sz w:val="24"/>
          <w:highlight w:val="none"/>
        </w:rPr>
      </w:pPr>
    </w:p>
    <w:p>
      <w:pPr>
        <w:spacing w:line="360" w:lineRule="auto"/>
        <w:rPr>
          <w:rFonts w:hint="eastAsia" w:ascii="仿宋" w:hAnsi="仿宋" w:eastAsia="仿宋" w:cs="仿宋"/>
          <w:b/>
          <w:sz w:val="28"/>
          <w:szCs w:val="28"/>
          <w:highlight w:val="none"/>
        </w:rPr>
      </w:pPr>
    </w:p>
    <w:p>
      <w:pPr>
        <w:pStyle w:val="21"/>
        <w:rPr>
          <w:rFonts w:hint="eastAsia" w:ascii="仿宋" w:hAnsi="仿宋" w:eastAsia="仿宋" w:cs="仿宋"/>
          <w:highlight w:val="none"/>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HYb2gj">
    <w:altName w:val="宋体"/>
    <w:panose1 w:val="00000000000000000000"/>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posOffset>2557780</wp:posOffset>
              </wp:positionH>
              <wp:positionV relativeFrom="paragraph">
                <wp:posOffset>-390525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4pt;margin-top:-30.75pt;height:144pt;width:144pt;mso-position-horizontal-relative:margin;mso-wrap-style:none;z-index:251661312;mso-width-relative:page;mso-height-relative:page;" filled="f" stroked="f" coordsize="21600,21600" o:gfxdata="UEsDBAoAAAAAAIdO4kAAAAAAAAAAAAAAAAAEAAAAZHJzL1BLAwQUAAAACACHTuJAKAm5d9gAAAAL&#10;AQAADwAAAGRycy9kb3ducmV2LnhtbE2PzU7DMBCE70i8g7VI3Fo7oY0gxKlERTgi0XDg6MZLEvBP&#10;ZLtpeHuWEz3u7Gjmm2q3WMNmDHH0TkK2FsDQdV6Prpfw3jare2AxKaeV8Q4l/GCEXX19ValS+7N7&#10;w/mQekYhLpZKwpDSVHIeuwGtims/oaPfpw9WJTpDz3VQZwq3hudCFNyq0VHDoCbcD9h9H05Wwr5p&#10;2zBjDOYDX5q7r9enDT4vUt7eZOIRWMIl/ZvhD5/QoSamoz85HZmRsBE5oScJqyLbAiNH8SBIOUrI&#10;82ILvK745Yb6F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Cbl3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ge">
                <wp:posOffset>10387965</wp:posOffset>
              </wp:positionV>
              <wp:extent cx="1828800" cy="182880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817.95pt;height:144pt;width:144pt;mso-position-horizontal:center;mso-position-horizontal-relative:margin;mso-position-vertical-relative:page;mso-wrap-style:none;z-index:-251656192;mso-width-relative:page;mso-height-relative:page;" filled="f" stroked="f" coordsize="21600,21600" o:gfxdata="UEsDBAoAAAAAAIdO4kAAAAAAAAAAAAAAAAAEAAAAZHJzL1BLAwQUAAAACACHTuJAizephtYAAAAK&#10;AQAADwAAAGRycy9kb3ducmV2LnhtbE2PwU7DMBBE70j8g7WVuFGnqShJiNNDJS7cKAiJmxtvk6j2&#10;OrLdNPl7lhMc981odqbez86KCUMcPCnYrDMQSK03A3UKPj9eHwsQMWky2npCBQtG2Df3d7WujL/R&#10;O07H1AkOoVhpBX1KYyVlbHt0Oq79iMTa2QenE5+hkyboG4c7K/Ms20mnB+IPvR7x0GN7OV6dguf5&#10;y+MY8YDf56kN/bAU9m1R6mG1yV5AJJzTnxl+63N1aLjTyV/JRGEV8JDEdLd9KkGwnhcFoxOjMt+W&#10;IJta/p/Q/ABQSwMEFAAAAAgAh07iQJfFIx3EAQAAkQMAAA4AAABkcnMvZTJvRG9jLnhtbK1TzY7T&#10;MBC+I/EOlu/U2UpAFTVdgapFSAiQln0A17EbS/6Tx23SF4A34MSFO8/V52DsJF3YvexhL854ZvzN&#10;fN9M1teDNeQoI2jvGnq1qCiRTvhWu31D777dvFpRAom7lhvvZENPEuj15uWLdR9qufSdN62MBEEc&#10;1H1oaJdSqBkD0UnLYeGDdBhUPlqe8Br3rI28R3Rr2LKq3rDexzZELyQAerdjkE6I8SmAXikt5NaL&#10;g5UujahRGp6QEnQ6AN2UbpWSIn1RCmQipqHINJUTi6C9yyfbrHm9jzx0Wkwt8Ke08ICT5dph0QvU&#10;lidODlE/grJaRA9epYXwlo1EiiLI4qp6oM1tx4MsXFBqCBfR4flgxefj10h029DXy7eUOG5x5Oef&#10;P86//px/fyfZiRL1AWrMvA2Ym4b3fsDFmf2Azsx8UNHmL3IiGEeBTxeB5ZCIyI9Wy9WqwpDA2HxB&#10;fHb/PERIH6S3JBsNjTjBIiw/foI0ps4puZrzN9qYMkXj/nMgZvaw3PvYY7bSsBsmQjvfnpBPj8Nv&#10;qMNdp8R8dKht3pPZiLOxm4xcA8K7Q8LCpZ+MOkJNxXBShdG0VXkV/r2XrPs/af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zephtYAAAAKAQAADwAAAAAAAAABACAAAAAiAAAAZHJzL2Rvd25yZXYu&#10;eG1sUEsBAhQAFAAAAAgAh07iQJfFIx3EAQAAkQMAAA4AAAAAAAAAAQAgAAAAJQ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posOffset>2557780</wp:posOffset>
              </wp:positionH>
              <wp:positionV relativeFrom="paragraph">
                <wp:posOffset>-390525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4pt;margin-top:-30.75pt;height:144pt;width:144pt;mso-position-horizontal-relative:margin;mso-wrap-style:none;z-index:251663360;mso-width-relative:page;mso-height-relative:page;" filled="f" stroked="f" coordsize="21600,21600" o:gfxdata="UEsDBAoAAAAAAIdO4kAAAAAAAAAAAAAAAAAEAAAAZHJzL1BLAwQUAAAACACHTuJAKAm5d9gAAAAL&#10;AQAADwAAAGRycy9kb3ducmV2LnhtbE2PzU7DMBCE70i8g7VI3Fo7oY0gxKlERTgi0XDg6MZLEvBP&#10;ZLtpeHuWEz3u7Gjmm2q3WMNmDHH0TkK2FsDQdV6Prpfw3jare2AxKaeV8Q4l/GCEXX19ValS+7N7&#10;w/mQekYhLpZKwpDSVHIeuwGtims/oaPfpw9WJTpDz3VQZwq3hudCFNyq0VHDoCbcD9h9H05Wwr5p&#10;2zBjDOYDX5q7r9enDT4vUt7eZOIRWMIl/ZvhD5/QoSamoz85HZmRsBE5oScJqyLbAiNH8SBIOUrI&#10;82ILvK745Yb6F1BLAwQUAAAACACHTuJAr2PYMCwCAABV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gJuXfYAAAACwEAAA8AAAAAAAAAAQAgAAAAIgAAAGRycy9kb3ducmV2LnhtbFBLAQIU&#10;ABQAAAAIAIdO4kCvY9gwLAIAAFUEAAAOAAAAAAAAAAEAIAAAACcBAABkcnMvZTJvRG9jLnhtbFBL&#10;BQYAAAAABgAGAFkBAADF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margin">
                <wp:align>center</wp:align>
              </wp:positionH>
              <wp:positionV relativeFrom="page">
                <wp:posOffset>10387965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817.95pt;height:144pt;width:144pt;mso-position-horizontal:center;mso-position-horizontal-relative:margin;mso-position-vertical-relative:page;mso-wrap-style:none;z-index:-251654144;mso-width-relative:page;mso-height-relative:page;" filled="f" stroked="f" coordsize="21600,21600" o:gfxdata="UEsDBAoAAAAAAIdO4kAAAAAAAAAAAAAAAAAEAAAAZHJzL1BLAwQUAAAACACHTuJAizephtYAAAAK&#10;AQAADwAAAGRycy9kb3ducmV2LnhtbE2PwU7DMBBE70j8g7WVuFGnqShJiNNDJS7cKAiJmxtvk6j2&#10;OrLdNPl7lhMc981odqbez86KCUMcPCnYrDMQSK03A3UKPj9eHwsQMWky2npCBQtG2Df3d7WujL/R&#10;O07H1AkOoVhpBX1KYyVlbHt0Oq79iMTa2QenE5+hkyboG4c7K/Ms20mnB+IPvR7x0GN7OV6dguf5&#10;y+MY8YDf56kN/bAU9m1R6mG1yV5AJJzTnxl+63N1aLjTyV/JRGEV8JDEdLd9KkGwnhcFoxOjMt+W&#10;IJta/p/Q/ABQSwMEFAAAAAgAh07iQKYqe7vBAQAAjQMAAA4AAABkcnMvZTJvRG9jLnhtbK1TzY7T&#10;MBC+I/EOlu/U2R6qKmq62lW1CAkB0sIDuI7dWPKfPG6TvgC8AScu3HmuPgdjJ+nCctkDF2c8M/5m&#10;vm8mm9vBGnKSEbR3Db1ZVJRIJ3yr3aGhXz4/vFlTAom7lhvvZEPPEujt9vWrTR9qufSdN62MBEEc&#10;1H1oaJdSqBkD0UnLYeGDdBhUPlqe8BoPrI28R3Rr2LKqVqz3sQ3RCwmA3t0YpBNifAmgV0oLufPi&#10;aKVLI2qUhiekBJ0OQLelW6WkSB+VApmIaSgyTeXEImjv88m2G14fIg+dFlML/CUtPONkuXZY9Aq1&#10;44mTY9T/QFktogev0kJ4y0YiRRFkcVM90+ax40EWLig1hKvo8P9gxYfTp0h029AVJY5bHPjl+7fL&#10;j1+Xn1/JKsvTB6gx6zFgXhru/YBLM/sBnZn1oKLNX+RDMI7inq/iyiERkR+tl+t1hSGBsfmC+Ozp&#10;eYiQ3kpvSTYaGnF6RVR+eg9pTJ1TcjXnH7QxZYLG/eVAzOxhufexx2ylYT9MhPa+PSOfHgffUId7&#10;Tol551DXvCOzEWdjPxm5BoS7Y8LCpZ+MOkJNxXBKhdG0UXkN/ryXrKe/aP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izephtYAAAAKAQAADwAAAAAAAAABACAAAAAiAAAAZHJzL2Rvd25yZXYueG1s&#10;UEsBAhQAFAAAAAgAh07iQKYqe7vBAQAAjQMAAA4AAAAAAAAAAQAgAAAAJQ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S0/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9REsctTvz89Hj+8ev88ztB&#10;HwrUB6gx7yFgZhre+QHXZvYDOjPvQUWbv8iIYByxThd55ZCIyI9Wy9WqwpDA2HxBfPb8PERI76W3&#10;JBsNjTi/Iis/foQ0ps4puZrz99qYMkPj/nIgZvaw3PvYY7bSsBsmQjvfnpBPj6NvqMNNp8R8cKgs&#10;9pdmI87GbjJyDQhvDw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EUtPzCAQAAjwMAAA4AAAAAAAAAAQAgAAAAHgEAAGRycy9lMm9Eb2MueG1sUEsF&#10;BgAAAAAGAAYAWQEAAFI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p>
    <w:pPr>
      <w:pStyle w:val="16"/>
      <w:pBdr>
        <w:bottom w:val="none" w:color="auto" w:sz="0" w:space="0"/>
      </w:pBdr>
    </w:pPr>
  </w:p>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69A43"/>
    <w:multiLevelType w:val="singleLevel"/>
    <w:tmpl w:val="D8569A43"/>
    <w:lvl w:ilvl="0" w:tentative="0">
      <w:start w:val="1"/>
      <w:numFmt w:val="decimal"/>
      <w:suff w:val="nothing"/>
      <w:lvlText w:val="%1、"/>
      <w:lvlJc w:val="left"/>
    </w:lvl>
  </w:abstractNum>
  <w:abstractNum w:abstractNumId="1">
    <w:nsid w:val="165B5D25"/>
    <w:multiLevelType w:val="multilevel"/>
    <w:tmpl w:val="165B5D25"/>
    <w:lvl w:ilvl="0" w:tentative="0">
      <w:start w:val="1"/>
      <w:numFmt w:val="decimalEnclosedCircle"/>
      <w:lvlText w:val="%1"/>
      <w:lvlJc w:val="left"/>
      <w:pPr>
        <w:ind w:left="1080" w:hanging="36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2F1313F0"/>
    <w:multiLevelType w:val="singleLevel"/>
    <w:tmpl w:val="2F1313F0"/>
    <w:lvl w:ilvl="0" w:tentative="0">
      <w:start w:val="1"/>
      <w:numFmt w:val="decimal"/>
      <w:suff w:val="nothing"/>
      <w:lvlText w:val="%1、"/>
      <w:lvlJc w:val="left"/>
    </w:lvl>
  </w:abstractNum>
  <w:abstractNum w:abstractNumId="3">
    <w:nsid w:val="3F23695B"/>
    <w:multiLevelType w:val="multilevel"/>
    <w:tmpl w:val="3F23695B"/>
    <w:lvl w:ilvl="0" w:tentative="0">
      <w:start w:val="1"/>
      <w:numFmt w:val="decimal"/>
      <w:lvlText w:val="%1"/>
      <w:lvlJc w:val="left"/>
      <w:pPr>
        <w:ind w:left="425" w:hanging="425"/>
      </w:pPr>
    </w:lvl>
    <w:lvl w:ilvl="1" w:tentative="0">
      <w:start w:val="1"/>
      <w:numFmt w:val="decimal"/>
      <w:lvlText w:val="%1.%2"/>
      <w:lvlJc w:val="left"/>
      <w:pPr>
        <w:ind w:left="3828" w:hanging="567"/>
      </w:pPr>
    </w:lvl>
    <w:lvl w:ilvl="2" w:tentative="0">
      <w:start w:val="1"/>
      <w:numFmt w:val="decimal"/>
      <w:pStyle w:val="40"/>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92E2C"/>
    <w:rsid w:val="000C5AB4"/>
    <w:rsid w:val="000F2D8E"/>
    <w:rsid w:val="00147614"/>
    <w:rsid w:val="001A2157"/>
    <w:rsid w:val="001C2678"/>
    <w:rsid w:val="00212110"/>
    <w:rsid w:val="00256B8A"/>
    <w:rsid w:val="002D3BC1"/>
    <w:rsid w:val="00337B11"/>
    <w:rsid w:val="00346E2B"/>
    <w:rsid w:val="003604F3"/>
    <w:rsid w:val="00361939"/>
    <w:rsid w:val="003C3CDD"/>
    <w:rsid w:val="003F0E3D"/>
    <w:rsid w:val="004724C4"/>
    <w:rsid w:val="004A72C3"/>
    <w:rsid w:val="00653566"/>
    <w:rsid w:val="00695A12"/>
    <w:rsid w:val="006D1121"/>
    <w:rsid w:val="006F5376"/>
    <w:rsid w:val="007171E1"/>
    <w:rsid w:val="00747068"/>
    <w:rsid w:val="0077635A"/>
    <w:rsid w:val="008D7D16"/>
    <w:rsid w:val="0094228F"/>
    <w:rsid w:val="009476A8"/>
    <w:rsid w:val="00A60424"/>
    <w:rsid w:val="00A6676A"/>
    <w:rsid w:val="00AB48C3"/>
    <w:rsid w:val="00AE33FE"/>
    <w:rsid w:val="00AE3D88"/>
    <w:rsid w:val="00BD6B66"/>
    <w:rsid w:val="00BE6D49"/>
    <w:rsid w:val="00C26E9E"/>
    <w:rsid w:val="00C31FC2"/>
    <w:rsid w:val="00C432C5"/>
    <w:rsid w:val="00C67105"/>
    <w:rsid w:val="00D15D64"/>
    <w:rsid w:val="00D70570"/>
    <w:rsid w:val="00E2393D"/>
    <w:rsid w:val="00E710CA"/>
    <w:rsid w:val="00E73489"/>
    <w:rsid w:val="00E94B08"/>
    <w:rsid w:val="00F84CD3"/>
    <w:rsid w:val="01236550"/>
    <w:rsid w:val="017B3C8F"/>
    <w:rsid w:val="026C30B2"/>
    <w:rsid w:val="02B671FF"/>
    <w:rsid w:val="039329EF"/>
    <w:rsid w:val="04016806"/>
    <w:rsid w:val="043052A8"/>
    <w:rsid w:val="056F0583"/>
    <w:rsid w:val="05BE5AE6"/>
    <w:rsid w:val="068158D9"/>
    <w:rsid w:val="06B9002E"/>
    <w:rsid w:val="06BD1F2A"/>
    <w:rsid w:val="07332908"/>
    <w:rsid w:val="074C0774"/>
    <w:rsid w:val="0755105A"/>
    <w:rsid w:val="07E441CD"/>
    <w:rsid w:val="07F01526"/>
    <w:rsid w:val="08256092"/>
    <w:rsid w:val="08FA78A9"/>
    <w:rsid w:val="095C1443"/>
    <w:rsid w:val="09DE106C"/>
    <w:rsid w:val="09E8254A"/>
    <w:rsid w:val="09E867B7"/>
    <w:rsid w:val="0A381D4A"/>
    <w:rsid w:val="0A4B6E85"/>
    <w:rsid w:val="0AAB4521"/>
    <w:rsid w:val="0AE9153D"/>
    <w:rsid w:val="0BB32788"/>
    <w:rsid w:val="0C92601F"/>
    <w:rsid w:val="0CA255AB"/>
    <w:rsid w:val="0D4B5053"/>
    <w:rsid w:val="0E122E5E"/>
    <w:rsid w:val="0E285820"/>
    <w:rsid w:val="0E6452DF"/>
    <w:rsid w:val="0E67009F"/>
    <w:rsid w:val="0EBD4E08"/>
    <w:rsid w:val="0EE14B49"/>
    <w:rsid w:val="0F8D1D56"/>
    <w:rsid w:val="0F8E114B"/>
    <w:rsid w:val="0FB501EB"/>
    <w:rsid w:val="100E016B"/>
    <w:rsid w:val="10584E63"/>
    <w:rsid w:val="10597E22"/>
    <w:rsid w:val="109227D6"/>
    <w:rsid w:val="11964C46"/>
    <w:rsid w:val="125D1947"/>
    <w:rsid w:val="1274361D"/>
    <w:rsid w:val="13276B9B"/>
    <w:rsid w:val="13AA242C"/>
    <w:rsid w:val="14007C61"/>
    <w:rsid w:val="1417546C"/>
    <w:rsid w:val="142946C9"/>
    <w:rsid w:val="145631E5"/>
    <w:rsid w:val="14AF10F2"/>
    <w:rsid w:val="164C054A"/>
    <w:rsid w:val="16A06F84"/>
    <w:rsid w:val="176D0C7B"/>
    <w:rsid w:val="182642D6"/>
    <w:rsid w:val="18F87AD1"/>
    <w:rsid w:val="19903CFE"/>
    <w:rsid w:val="19D95D48"/>
    <w:rsid w:val="19DF7CCD"/>
    <w:rsid w:val="1A077C57"/>
    <w:rsid w:val="1A322F4A"/>
    <w:rsid w:val="1C6454F0"/>
    <w:rsid w:val="1C8979CA"/>
    <w:rsid w:val="1CB01A33"/>
    <w:rsid w:val="1CD973FC"/>
    <w:rsid w:val="1D321028"/>
    <w:rsid w:val="1D572FBC"/>
    <w:rsid w:val="1D861B64"/>
    <w:rsid w:val="1D9569D4"/>
    <w:rsid w:val="1DFA5420"/>
    <w:rsid w:val="1E543800"/>
    <w:rsid w:val="1E5A5B5B"/>
    <w:rsid w:val="1ECC78DA"/>
    <w:rsid w:val="1FB709B6"/>
    <w:rsid w:val="1FB8220C"/>
    <w:rsid w:val="1FD01A23"/>
    <w:rsid w:val="204D0871"/>
    <w:rsid w:val="20763F39"/>
    <w:rsid w:val="20FC58B3"/>
    <w:rsid w:val="21371497"/>
    <w:rsid w:val="21F37FD1"/>
    <w:rsid w:val="222F4CE8"/>
    <w:rsid w:val="2269376F"/>
    <w:rsid w:val="22BE64D9"/>
    <w:rsid w:val="2332430E"/>
    <w:rsid w:val="2340762B"/>
    <w:rsid w:val="238626D9"/>
    <w:rsid w:val="23DA2F2C"/>
    <w:rsid w:val="245F4356"/>
    <w:rsid w:val="255270D1"/>
    <w:rsid w:val="25556B8E"/>
    <w:rsid w:val="256D5624"/>
    <w:rsid w:val="25A4606F"/>
    <w:rsid w:val="26A87B61"/>
    <w:rsid w:val="27132D83"/>
    <w:rsid w:val="272E75AD"/>
    <w:rsid w:val="27964262"/>
    <w:rsid w:val="27CC2B43"/>
    <w:rsid w:val="27E965E8"/>
    <w:rsid w:val="281A0B05"/>
    <w:rsid w:val="283F1941"/>
    <w:rsid w:val="285B638C"/>
    <w:rsid w:val="290321E0"/>
    <w:rsid w:val="2952050A"/>
    <w:rsid w:val="2ABF1595"/>
    <w:rsid w:val="2C8E096B"/>
    <w:rsid w:val="2D824F48"/>
    <w:rsid w:val="2DC5693D"/>
    <w:rsid w:val="2FFD2797"/>
    <w:rsid w:val="309F2AEE"/>
    <w:rsid w:val="30A803DD"/>
    <w:rsid w:val="313D0465"/>
    <w:rsid w:val="31B22412"/>
    <w:rsid w:val="322C5F06"/>
    <w:rsid w:val="327346D8"/>
    <w:rsid w:val="331413E4"/>
    <w:rsid w:val="336230B4"/>
    <w:rsid w:val="34421979"/>
    <w:rsid w:val="35531F02"/>
    <w:rsid w:val="3555367A"/>
    <w:rsid w:val="359453D3"/>
    <w:rsid w:val="359A38CD"/>
    <w:rsid w:val="35B366FB"/>
    <w:rsid w:val="37164CA5"/>
    <w:rsid w:val="373211A3"/>
    <w:rsid w:val="379B3BCA"/>
    <w:rsid w:val="37B76038"/>
    <w:rsid w:val="37DF4EDE"/>
    <w:rsid w:val="38F50446"/>
    <w:rsid w:val="393478F8"/>
    <w:rsid w:val="39792E2C"/>
    <w:rsid w:val="39EE52ED"/>
    <w:rsid w:val="3A0C2931"/>
    <w:rsid w:val="3BF87AF9"/>
    <w:rsid w:val="3C003D10"/>
    <w:rsid w:val="3C3A72D7"/>
    <w:rsid w:val="3CE056B6"/>
    <w:rsid w:val="3D394158"/>
    <w:rsid w:val="3D3E4C5A"/>
    <w:rsid w:val="3E952425"/>
    <w:rsid w:val="3EAA3860"/>
    <w:rsid w:val="3EE21AB4"/>
    <w:rsid w:val="3F266F6E"/>
    <w:rsid w:val="3F5D008B"/>
    <w:rsid w:val="3FAB278A"/>
    <w:rsid w:val="40056451"/>
    <w:rsid w:val="400E5937"/>
    <w:rsid w:val="41557453"/>
    <w:rsid w:val="41E03924"/>
    <w:rsid w:val="42346DAC"/>
    <w:rsid w:val="42427237"/>
    <w:rsid w:val="426847C5"/>
    <w:rsid w:val="42746229"/>
    <w:rsid w:val="42DE2CEF"/>
    <w:rsid w:val="432D5EB4"/>
    <w:rsid w:val="43771B25"/>
    <w:rsid w:val="439A047D"/>
    <w:rsid w:val="4404479A"/>
    <w:rsid w:val="440F5663"/>
    <w:rsid w:val="44124DB7"/>
    <w:rsid w:val="446D055E"/>
    <w:rsid w:val="46785F50"/>
    <w:rsid w:val="470F2EC4"/>
    <w:rsid w:val="47430FAE"/>
    <w:rsid w:val="47466724"/>
    <w:rsid w:val="47905C04"/>
    <w:rsid w:val="480A2BF5"/>
    <w:rsid w:val="48273210"/>
    <w:rsid w:val="492B783A"/>
    <w:rsid w:val="4940376B"/>
    <w:rsid w:val="49CB0B2D"/>
    <w:rsid w:val="4A7221C8"/>
    <w:rsid w:val="4A980730"/>
    <w:rsid w:val="4AC65B1C"/>
    <w:rsid w:val="4AFF09E5"/>
    <w:rsid w:val="4AFF47E9"/>
    <w:rsid w:val="4B02266C"/>
    <w:rsid w:val="4B5F3B57"/>
    <w:rsid w:val="4BA5079A"/>
    <w:rsid w:val="4BED3B67"/>
    <w:rsid w:val="4BF16BC4"/>
    <w:rsid w:val="4C8616FF"/>
    <w:rsid w:val="4CED1A82"/>
    <w:rsid w:val="4D21278E"/>
    <w:rsid w:val="4D227595"/>
    <w:rsid w:val="4D5F26B1"/>
    <w:rsid w:val="4DCA54C8"/>
    <w:rsid w:val="4F370A63"/>
    <w:rsid w:val="4F5016CB"/>
    <w:rsid w:val="4FAF5464"/>
    <w:rsid w:val="50486707"/>
    <w:rsid w:val="50D72170"/>
    <w:rsid w:val="51163061"/>
    <w:rsid w:val="51300551"/>
    <w:rsid w:val="51BF6017"/>
    <w:rsid w:val="5219664D"/>
    <w:rsid w:val="5240191F"/>
    <w:rsid w:val="52B85416"/>
    <w:rsid w:val="52D51026"/>
    <w:rsid w:val="53D37F78"/>
    <w:rsid w:val="54151AF0"/>
    <w:rsid w:val="553164E2"/>
    <w:rsid w:val="55E83930"/>
    <w:rsid w:val="55FC4B4C"/>
    <w:rsid w:val="569A2332"/>
    <w:rsid w:val="56BC2576"/>
    <w:rsid w:val="56CB5E72"/>
    <w:rsid w:val="56FB075B"/>
    <w:rsid w:val="572D2AFD"/>
    <w:rsid w:val="57483DF0"/>
    <w:rsid w:val="578711FF"/>
    <w:rsid w:val="5794549A"/>
    <w:rsid w:val="57C6179A"/>
    <w:rsid w:val="57F5195C"/>
    <w:rsid w:val="58890599"/>
    <w:rsid w:val="5A204917"/>
    <w:rsid w:val="5A34308E"/>
    <w:rsid w:val="5A8A5EDA"/>
    <w:rsid w:val="5A8D0AF5"/>
    <w:rsid w:val="5BE516F7"/>
    <w:rsid w:val="5C223DCD"/>
    <w:rsid w:val="5C966FFE"/>
    <w:rsid w:val="5E305C22"/>
    <w:rsid w:val="5EDF5E65"/>
    <w:rsid w:val="5EEA1906"/>
    <w:rsid w:val="5F042A46"/>
    <w:rsid w:val="5F201C05"/>
    <w:rsid w:val="5FFE5467"/>
    <w:rsid w:val="606978BD"/>
    <w:rsid w:val="61130B6E"/>
    <w:rsid w:val="61867BFA"/>
    <w:rsid w:val="62CE26A8"/>
    <w:rsid w:val="62D81144"/>
    <w:rsid w:val="630A04F7"/>
    <w:rsid w:val="63276A73"/>
    <w:rsid w:val="637D0F99"/>
    <w:rsid w:val="63F12384"/>
    <w:rsid w:val="64047DFB"/>
    <w:rsid w:val="64273AF0"/>
    <w:rsid w:val="654F4910"/>
    <w:rsid w:val="65655AC5"/>
    <w:rsid w:val="65B4758B"/>
    <w:rsid w:val="6670746E"/>
    <w:rsid w:val="669F4616"/>
    <w:rsid w:val="66B2347B"/>
    <w:rsid w:val="66C77C48"/>
    <w:rsid w:val="66ED10E3"/>
    <w:rsid w:val="66FE1520"/>
    <w:rsid w:val="67227B98"/>
    <w:rsid w:val="672741E4"/>
    <w:rsid w:val="677D6B1D"/>
    <w:rsid w:val="67C200DB"/>
    <w:rsid w:val="6967325A"/>
    <w:rsid w:val="69871EAB"/>
    <w:rsid w:val="69EA6859"/>
    <w:rsid w:val="69F97C73"/>
    <w:rsid w:val="6A177F90"/>
    <w:rsid w:val="6A1C24FD"/>
    <w:rsid w:val="6A923FAB"/>
    <w:rsid w:val="6AD02694"/>
    <w:rsid w:val="6C3201B0"/>
    <w:rsid w:val="6CEA7BA1"/>
    <w:rsid w:val="6D7C775B"/>
    <w:rsid w:val="6DE02C6C"/>
    <w:rsid w:val="6E3432E6"/>
    <w:rsid w:val="6E746E03"/>
    <w:rsid w:val="6F0A2D2D"/>
    <w:rsid w:val="6F0B7677"/>
    <w:rsid w:val="6F0F0529"/>
    <w:rsid w:val="6F7E4028"/>
    <w:rsid w:val="6FF06201"/>
    <w:rsid w:val="702D6292"/>
    <w:rsid w:val="709864F2"/>
    <w:rsid w:val="713B3D6A"/>
    <w:rsid w:val="71784F85"/>
    <w:rsid w:val="71A7413D"/>
    <w:rsid w:val="71B53FBC"/>
    <w:rsid w:val="71F24FAE"/>
    <w:rsid w:val="71FF1ED8"/>
    <w:rsid w:val="72A54BF6"/>
    <w:rsid w:val="730864B7"/>
    <w:rsid w:val="73747A76"/>
    <w:rsid w:val="73EB0538"/>
    <w:rsid w:val="756C7038"/>
    <w:rsid w:val="766629B1"/>
    <w:rsid w:val="767D240D"/>
    <w:rsid w:val="76A33BA5"/>
    <w:rsid w:val="77740498"/>
    <w:rsid w:val="781C29C1"/>
    <w:rsid w:val="79495842"/>
    <w:rsid w:val="7A176F30"/>
    <w:rsid w:val="7A4C3647"/>
    <w:rsid w:val="7AC21456"/>
    <w:rsid w:val="7AEF5341"/>
    <w:rsid w:val="7BC020A6"/>
    <w:rsid w:val="7BD976B5"/>
    <w:rsid w:val="7BF03DD3"/>
    <w:rsid w:val="7C482F4A"/>
    <w:rsid w:val="7C4E2930"/>
    <w:rsid w:val="7C597FC7"/>
    <w:rsid w:val="7C6C3892"/>
    <w:rsid w:val="7C864728"/>
    <w:rsid w:val="7CE7350D"/>
    <w:rsid w:val="7D2F173D"/>
    <w:rsid w:val="7D86037E"/>
    <w:rsid w:val="7DB0025B"/>
    <w:rsid w:val="7E4813BD"/>
    <w:rsid w:val="7E8C7E7E"/>
    <w:rsid w:val="7ED03788"/>
    <w:rsid w:val="7F2B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1"/>
    <w:pPr>
      <w:spacing w:before="12"/>
      <w:ind w:right="40"/>
      <w:jc w:val="center"/>
      <w:outlineLvl w:val="0"/>
    </w:pPr>
    <w:rPr>
      <w:b/>
      <w:bCs/>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1"/>
    <w:pPr>
      <w:ind w:left="1041"/>
      <w:outlineLvl w:val="2"/>
    </w:pPr>
    <w:rPr>
      <w:b/>
      <w:bCs/>
      <w:sz w:val="24"/>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7">
    <w:name w:val="heading 8"/>
    <w:basedOn w:val="1"/>
    <w:next w:val="1"/>
    <w:link w:val="45"/>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pPr>
    <w:rPr>
      <w:rFonts w:ascii="Times New Roman" w:hAnsi="Times New Roman"/>
      <w:szCs w:val="20"/>
    </w:rPr>
  </w:style>
  <w:style w:type="paragraph" w:styleId="8">
    <w:name w:val="Normal Indent"/>
    <w:basedOn w:val="1"/>
    <w:qFormat/>
    <w:uiPriority w:val="99"/>
    <w:pPr>
      <w:ind w:firstLine="420" w:firstLineChars="200"/>
    </w:pPr>
  </w:style>
  <w:style w:type="paragraph" w:styleId="9">
    <w:name w:val="toa heading"/>
    <w:basedOn w:val="1"/>
    <w:next w:val="1"/>
    <w:unhideWhenUsed/>
    <w:qFormat/>
    <w:uiPriority w:val="99"/>
    <w:pPr>
      <w:spacing w:before="120"/>
    </w:pPr>
    <w:rPr>
      <w:rFonts w:ascii="Cambria" w:hAnsi="Cambria"/>
      <w:sz w:val="24"/>
    </w:rPr>
  </w:style>
  <w:style w:type="paragraph" w:styleId="10">
    <w:name w:val="Body Text 3"/>
    <w:basedOn w:val="1"/>
    <w:qFormat/>
    <w:uiPriority w:val="0"/>
    <w:rPr>
      <w:kern w:val="0"/>
      <w:sz w:val="24"/>
      <w:szCs w:val="20"/>
    </w:rPr>
  </w:style>
  <w:style w:type="paragraph" w:styleId="11">
    <w:name w:val="Body Text"/>
    <w:basedOn w:val="1"/>
    <w:qFormat/>
    <w:uiPriority w:val="1"/>
    <w:pPr>
      <w:ind w:left="380"/>
    </w:pPr>
    <w:rPr>
      <w:sz w:val="24"/>
    </w:rPr>
  </w:style>
  <w:style w:type="paragraph" w:styleId="12">
    <w:name w:val="Body Text Indent"/>
    <w:basedOn w:val="1"/>
    <w:qFormat/>
    <w:uiPriority w:val="99"/>
    <w:pPr>
      <w:ind w:firstLine="630"/>
    </w:pPr>
  </w:style>
  <w:style w:type="paragraph" w:styleId="13">
    <w:name w:val="toc 3"/>
    <w:basedOn w:val="1"/>
    <w:next w:val="1"/>
    <w:qFormat/>
    <w:uiPriority w:val="0"/>
    <w:pPr>
      <w:ind w:left="840" w:leftChars="400"/>
    </w:pPr>
  </w:style>
  <w:style w:type="paragraph" w:styleId="14">
    <w:name w:val="Plain Text"/>
    <w:basedOn w:val="1"/>
    <w:link w:val="46"/>
    <w:qFormat/>
    <w:uiPriority w:val="99"/>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footnote text"/>
    <w:basedOn w:val="1"/>
    <w:link w:val="44"/>
    <w:qFormat/>
    <w:uiPriority w:val="0"/>
    <w:pPr>
      <w:adjustRightInd w:val="0"/>
      <w:snapToGrid w:val="0"/>
      <w:spacing w:line="312" w:lineRule="atLeast"/>
      <w:jc w:val="left"/>
      <w:textAlignment w:val="baseline"/>
    </w:pPr>
    <w:rPr>
      <w:rFonts w:eastAsia="仿宋"/>
      <w:kern w:val="0"/>
      <w:sz w:val="18"/>
      <w:szCs w:val="18"/>
    </w:rPr>
  </w:style>
  <w:style w:type="paragraph" w:styleId="19">
    <w:name w:val="toc 2"/>
    <w:basedOn w:val="1"/>
    <w:next w:val="1"/>
    <w:qFormat/>
    <w:uiPriority w:val="9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33"/>
    <w:qFormat/>
    <w:uiPriority w:val="0"/>
    <w:pPr>
      <w:outlineLvl w:val="0"/>
    </w:pPr>
    <w:rPr>
      <w:rFonts w:ascii="MS Sans Serif" w:hAnsi="MS Sans Serif" w:cs="MS Sans Serif"/>
      <w:b/>
      <w:bCs/>
      <w:sz w:val="24"/>
      <w:szCs w:val="32"/>
    </w:rPr>
  </w:style>
  <w:style w:type="paragraph" w:styleId="22">
    <w:name w:val="Body Text First Indent"/>
    <w:basedOn w:val="11"/>
    <w:qFormat/>
    <w:uiPriority w:val="0"/>
    <w:pPr>
      <w:widowControl/>
      <w:spacing w:line="276" w:lineRule="auto"/>
      <w:ind w:firstLine="420" w:firstLineChars="100"/>
    </w:pPr>
    <w:rPr>
      <w:rFonts w:ascii="Calibri" w:hAnsi="Calibri"/>
      <w:sz w:val="22"/>
      <w:szCs w:val="22"/>
      <w:lang w:eastAsia="en-US" w:bidi="en-US"/>
    </w:rPr>
  </w:style>
  <w:style w:type="paragraph" w:styleId="23">
    <w:name w:val="Body Text First Indent 2"/>
    <w:basedOn w:val="12"/>
    <w:qFormat/>
    <w:uiPriority w:val="99"/>
    <w:pPr>
      <w:spacing w:after="120"/>
      <w:ind w:left="420" w:leftChars="200" w:firstLine="420" w:firstLineChars="200"/>
    </w:p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563C1" w:themeColor="hyperlink"/>
      <w:u w:val="single"/>
      <w14:textFill>
        <w14:solidFill>
          <w14:schemeClr w14:val="hlink"/>
        </w14:solidFill>
      </w14:textFill>
    </w:rPr>
  </w:style>
  <w:style w:type="paragraph" w:customStyle="1" w:styleId="28">
    <w:name w:val="_Style 2"/>
    <w:basedOn w:val="3"/>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 w:type="paragraph" w:customStyle="1" w:styleId="29">
    <w:name w:val="文档正文"/>
    <w:basedOn w:val="1"/>
    <w:qFormat/>
    <w:uiPriority w:val="99"/>
    <w:pPr>
      <w:spacing w:line="360" w:lineRule="auto"/>
      <w:ind w:firstLine="567"/>
    </w:pPr>
    <w:rPr>
      <w:rFonts w:ascii="??_GB2312" w:eastAsia="Times New Roman"/>
      <w:kern w:val="0"/>
      <w:sz w:val="20"/>
      <w:szCs w:val="22"/>
    </w:rPr>
  </w:style>
  <w:style w:type="paragraph" w:customStyle="1" w:styleId="30">
    <w:name w:val="p0"/>
    <w:basedOn w:val="1"/>
    <w:qFormat/>
    <w:uiPriority w:val="99"/>
    <w:pPr>
      <w:widowControl/>
    </w:pPr>
    <w:rPr>
      <w:rFonts w:ascii="Calibri" w:hAnsi="Calibri"/>
      <w:szCs w:val="21"/>
    </w:rPr>
  </w:style>
  <w:style w:type="paragraph" w:customStyle="1" w:styleId="31">
    <w:name w:val="正文首行缩进 21"/>
    <w:basedOn w:val="12"/>
    <w:qFormat/>
    <w:uiPriority w:val="99"/>
    <w:pPr>
      <w:snapToGrid w:val="0"/>
      <w:spacing w:line="360" w:lineRule="auto"/>
      <w:ind w:left="277" w:right="-16" w:firstLine="420" w:firstLineChars="200"/>
    </w:pPr>
    <w:rPr>
      <w:rFonts w:ascii="宋体" w:hAnsi="宋体" w:eastAsia="华文中宋"/>
      <w:sz w:val="28"/>
      <w:szCs w:val="20"/>
    </w:rPr>
  </w:style>
  <w:style w:type="character" w:customStyle="1" w:styleId="32">
    <w:name w:val="标题 1 Char"/>
    <w:link w:val="3"/>
    <w:qFormat/>
    <w:uiPriority w:val="0"/>
    <w:rPr>
      <w:b/>
      <w:bCs/>
      <w:sz w:val="44"/>
      <w:szCs w:val="44"/>
    </w:rPr>
  </w:style>
  <w:style w:type="character" w:customStyle="1" w:styleId="33">
    <w:name w:val="标题 Char"/>
    <w:link w:val="21"/>
    <w:qFormat/>
    <w:uiPriority w:val="0"/>
    <w:rPr>
      <w:rFonts w:ascii="MS Sans Serif" w:hAnsi="MS Sans Serif" w:cs="MS Sans Serif"/>
      <w:b/>
      <w:bCs/>
      <w:kern w:val="2"/>
      <w:sz w:val="24"/>
      <w:szCs w:val="32"/>
      <w:lang w:val="en-US" w:bidi="ar-SA"/>
    </w:rPr>
  </w:style>
  <w:style w:type="paragraph" w:customStyle="1" w:styleId="34">
    <w:name w:val="1111"/>
    <w:basedOn w:val="1"/>
    <w:qFormat/>
    <w:locked/>
    <w:uiPriority w:val="99"/>
    <w:pPr>
      <w:jc w:val="left"/>
    </w:pPr>
    <w:rPr>
      <w:rFonts w:ascii="宋体" w:hAnsi="宋体"/>
      <w:sz w:val="18"/>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p16"/>
    <w:basedOn w:val="1"/>
    <w:qFormat/>
    <w:uiPriority w:val="0"/>
    <w:pPr>
      <w:widowControl/>
      <w:spacing w:before="100" w:after="100"/>
      <w:jc w:val="left"/>
    </w:pPr>
    <w:rPr>
      <w:rFonts w:ascii="宋体" w:hAnsi="宋体" w:cs="宋体"/>
      <w:kern w:val="0"/>
      <w:sz w:val="24"/>
    </w:rPr>
  </w:style>
  <w:style w:type="paragraph" w:customStyle="1" w:styleId="37">
    <w:name w:val="Table Paragraph"/>
    <w:basedOn w:val="1"/>
    <w:qFormat/>
    <w:uiPriority w:val="1"/>
    <w:rPr>
      <w:rFonts w:ascii="宋体" w:hAnsi="宋体" w:cs="宋体"/>
      <w:lang w:val="zh-CN" w:bidi="zh-CN"/>
    </w:rPr>
  </w:style>
  <w:style w:type="paragraph" w:styleId="38">
    <w:name w:val="List Paragraph"/>
    <w:basedOn w:val="1"/>
    <w:qFormat/>
    <w:uiPriority w:val="34"/>
    <w:pPr>
      <w:ind w:firstLine="420" w:firstLineChars="200"/>
    </w:pPr>
  </w:style>
  <w:style w:type="paragraph" w:customStyle="1" w:styleId="39">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
    <w:name w:val="Heading3"/>
    <w:basedOn w:val="1"/>
    <w:next w:val="1"/>
    <w:qFormat/>
    <w:uiPriority w:val="0"/>
    <w:pPr>
      <w:keepNext/>
      <w:keepLines/>
      <w:widowControl/>
      <w:numPr>
        <w:ilvl w:val="2"/>
        <w:numId w:val="1"/>
      </w:numPr>
      <w:spacing w:before="260" w:after="260" w:line="416" w:lineRule="auto"/>
      <w:jc w:val="left"/>
      <w:textAlignment w:val="baseline"/>
    </w:pPr>
    <w:rPr>
      <w:rFonts w:ascii="宋体" w:hAnsi="宋体" w:cs="宋体"/>
      <w:b/>
      <w:bCs/>
      <w:kern w:val="0"/>
      <w:sz w:val="32"/>
      <w:szCs w:val="32"/>
    </w:rPr>
  </w:style>
  <w:style w:type="paragraph" w:customStyle="1" w:styleId="41">
    <w:name w:val="样式1"/>
    <w:basedOn w:val="1"/>
    <w:qFormat/>
    <w:uiPriority w:val="0"/>
  </w:style>
  <w:style w:type="paragraph" w:customStyle="1" w:styleId="42">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styleId="43">
    <w:name w:val="No Spacing"/>
    <w:qFormat/>
    <w:uiPriority w:val="1"/>
    <w:pPr>
      <w:widowControl w:val="0"/>
      <w:jc w:val="both"/>
    </w:pPr>
    <w:rPr>
      <w:rFonts w:ascii="Calibri" w:hAnsi="Calibri" w:eastAsia="宋体" w:cs="Times New Roman"/>
      <w:kern w:val="2"/>
      <w:sz w:val="21"/>
      <w:lang w:val="en-US" w:eastAsia="zh-CN" w:bidi="ar-SA"/>
    </w:rPr>
  </w:style>
  <w:style w:type="character" w:customStyle="1" w:styleId="44">
    <w:name w:val="脚注文本 Char"/>
    <w:basedOn w:val="26"/>
    <w:link w:val="18"/>
    <w:qFormat/>
    <w:uiPriority w:val="0"/>
    <w:rPr>
      <w:rFonts w:ascii="Times New Roman" w:hAnsi="Times New Roman" w:eastAsia="仿宋"/>
      <w:sz w:val="18"/>
      <w:szCs w:val="18"/>
    </w:rPr>
  </w:style>
  <w:style w:type="character" w:customStyle="1" w:styleId="45">
    <w:name w:val="标题 8 Char"/>
    <w:basedOn w:val="26"/>
    <w:link w:val="7"/>
    <w:semiHidden/>
    <w:qFormat/>
    <w:uiPriority w:val="0"/>
    <w:rPr>
      <w:rFonts w:asciiTheme="majorHAnsi" w:hAnsiTheme="majorHAnsi" w:eastAsiaTheme="majorEastAsia" w:cstheme="majorBidi"/>
      <w:kern w:val="2"/>
      <w:sz w:val="24"/>
      <w:szCs w:val="24"/>
    </w:rPr>
  </w:style>
  <w:style w:type="character" w:customStyle="1" w:styleId="46">
    <w:name w:val="纯文本 Char1"/>
    <w:link w:val="14"/>
    <w:qFormat/>
    <w:uiPriority w:val="99"/>
    <w:rPr>
      <w:rFonts w:ascii="宋体" w:hAnsi="Courier New" w:eastAsia="宋体" w:cs="Courier New"/>
      <w:kern w:val="2"/>
      <w:sz w:val="21"/>
      <w:szCs w:val="21"/>
    </w:rPr>
  </w:style>
  <w:style w:type="paragraph" w:customStyle="1" w:styleId="47">
    <w:name w:val="自定样式1"/>
    <w:basedOn w:val="1"/>
    <w:qFormat/>
    <w:uiPriority w:val="0"/>
    <w:pPr>
      <w:suppressAutoHyphens/>
      <w:jc w:val="center"/>
    </w:pPr>
    <w:rPr>
      <w:rFonts w:ascii="宋体" w:hAnsi="宋体"/>
      <w:color w:val="000000"/>
      <w:sz w:val="18"/>
    </w:rPr>
  </w:style>
  <w:style w:type="paragraph" w:customStyle="1" w:styleId="48">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9">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5322</Words>
  <Characters>30338</Characters>
  <Lines>252</Lines>
  <Paragraphs>71</Paragraphs>
  <TotalTime>75</TotalTime>
  <ScaleCrop>false</ScaleCrop>
  <LinksUpToDate>false</LinksUpToDate>
  <CharactersWithSpaces>35589</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2020-04-20T09:51:00Z</dcterms:created>
  <dc:creator>HeeChul</dc:creator>
  <cp:lastModifiedBy>Administrator</cp:lastModifiedBy>
  <cp:lastPrinted>2021-08-18T03:20:00Z</cp:lastPrinted>
  <dcterms:modified xsi:type="dcterms:W3CDTF">2021-10-25T08:49:18Z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AF57C5267B3344A4A3C8CF8282268BEA</vt:lpwstr>
  </property>
</Properties>
</file>